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申万菱信价值优选灵活配置混合型证券投资基金</w:t>
      </w: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2018年第3季度报告</w:t>
      </w:r>
    </w:p>
    <w:p w:rsidR="004061AC" w:rsidRPr="00220C32" w:rsidRDefault="00655CD8"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2018年9月30日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rPr>
          <w:rFonts w:asciiTheme="minorEastAsia" w:eastAsiaTheme="minorEastAsia" w:hAnsiTheme="minorEastAsia"/>
          <w:b/>
          <w:bCs/>
          <w:color w:val="000000" w:themeColor="text1"/>
          <w:sz w:val="24"/>
          <w:szCs w:val="24"/>
        </w:rPr>
      </w:pP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申万菱信基金管理有限公司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招商银行股份有限公司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sectPr w:rsidR="004061AC" w:rsidRPr="00220C32" w:rsidSect="00304A12">
          <w:headerReference w:type="default" r:id="rId8"/>
          <w:footerReference w:type="default" r:id="rId9"/>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00F16E3F" w:rsidRPr="00220C32">
        <w:rPr>
          <w:rFonts w:asciiTheme="minorEastAsia" w:eastAsiaTheme="minorEastAsia" w:hAnsiTheme="minorEastAsia"/>
          <w:b/>
          <w:color w:val="000000" w:themeColor="text1"/>
          <w:sz w:val="24"/>
          <w:szCs w:val="24"/>
        </w:rPr>
        <w:t>二〇一八年十月二十四日</w:t>
      </w:r>
    </w:p>
    <w:p w:rsidR="004061AC" w:rsidRPr="00220C32" w:rsidRDefault="004061AC" w:rsidP="00CB45EC">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Pr="00220C32">
        <w:rPr>
          <w:rFonts w:asciiTheme="minorEastAsia" w:eastAsiaTheme="minorEastAsia" w:hAnsiTheme="minorEastAsia"/>
          <w:color w:val="000000" w:themeColor="text1"/>
          <w:kern w:val="0"/>
          <w:sz w:val="24"/>
          <w:szCs w:val="24"/>
        </w:rPr>
        <w:t xml:space="preserve">1  </w:t>
      </w:r>
      <w:r w:rsidRPr="00220C32">
        <w:rPr>
          <w:rFonts w:asciiTheme="minorEastAsia" w:eastAsiaTheme="minorEastAsia" w:hAnsiTheme="minorEastAsia" w:hint="eastAsia"/>
          <w:color w:val="000000" w:themeColor="text1"/>
          <w:kern w:val="0"/>
          <w:sz w:val="24"/>
          <w:szCs w:val="24"/>
        </w:rPr>
        <w:t>重要提示</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基金托管人招商银行股份有限公司根据本基金合同规定，于2018年10月17日复核了本报告中的财务指标、净值表现和投资组合报告等内容，保证复核内容不存在虚假记载、误导性陈述或者重大遗漏。 </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4061AC" w:rsidRPr="00220C32" w:rsidRDefault="004061AC" w:rsidP="00BF6314">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本报告期自2018年7月1日起至9月30日止。</w:t>
      </w:r>
    </w:p>
    <w:p w:rsidR="004061AC" w:rsidRPr="00220C32" w:rsidRDefault="004061AC" w:rsidP="00CB45E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2  </w:t>
      </w:r>
      <w:r w:rsidRPr="00220C32">
        <w:rPr>
          <w:rFonts w:asciiTheme="minorEastAsia" w:eastAsiaTheme="minorEastAsia" w:hAnsiTheme="minorEastAsia"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220C32" w:rsidTr="00BF6314">
        <w:tc>
          <w:tcPr>
            <w:tcW w:w="2835"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基金简称</w:t>
            </w:r>
          </w:p>
        </w:tc>
        <w:tc>
          <w:tcPr>
            <w:tcW w:w="5479"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申万菱信价值优选灵活配置混合</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hint="eastAsia"/>
                <w:color w:val="000000" w:themeColor="text1"/>
                <w:kern w:val="0"/>
              </w:rPr>
              <w:t>005370</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220C32" w:rsidRDefault="001B2F35"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220C32" w:rsidRDefault="00C5218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005370</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基金运作方式</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契约型开放式</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基金合同生效日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2018年1月4日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13,062,663.00</w:t>
            </w:r>
            <w:r w:rsidRPr="00220C32">
              <w:rPr>
                <w:rFonts w:asciiTheme="minorEastAsia" w:eastAsiaTheme="minorEastAsia" w:hAnsiTheme="minorEastAsia" w:hint="eastAsia"/>
                <w:color w:val="000000" w:themeColor="text1"/>
                <w:kern w:val="0"/>
              </w:rPr>
              <w:t>份</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投资目标</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本基金采用数量化的投资方法精选个股，严格按照纪律执行，力争获取长期稳定的超越业绩比较基准的投资回报。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投资策略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采用数量化技术对投资策略进行优化，将特定的投资思想和理念通过具体指标与参数的设定体现在数量模型中，坚持以数量化的方式进行投资，充分发挥数量化投资的优势，保持投资策略的一致性与有效性。</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业绩比较基准</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50%×沪深300指数收益率 + 50%×中证综合债指数收益</w:t>
            </w:r>
            <w:r w:rsidRPr="00220C32">
              <w:rPr>
                <w:rFonts w:asciiTheme="minorEastAsia" w:eastAsiaTheme="minorEastAsia" w:hAnsiTheme="minorEastAsia"/>
                <w:color w:val="000000" w:themeColor="text1"/>
                <w:kern w:val="0"/>
              </w:rPr>
              <w:lastRenderedPageBreak/>
              <w:t>率</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lastRenderedPageBreak/>
              <w:t>风险收益特征</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 xml:space="preserve">本基金是混合型基金，其预期收益及预期风险水平高于债券型基金与货币市场基金，低于股票型基金。 </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基金管理人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申万菱信基金管理有限公司</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基金托管人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招商银行股份有限公司</w:t>
            </w:r>
          </w:p>
        </w:tc>
      </w:tr>
    </w:tbl>
    <w:p w:rsidR="004061AC" w:rsidRPr="00220C32" w:rsidRDefault="004061AC" w:rsidP="00CB45E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3  </w:t>
      </w:r>
      <w:r w:rsidRPr="00220C32">
        <w:rPr>
          <w:rFonts w:asciiTheme="minorEastAsia" w:eastAsiaTheme="minorEastAsia" w:hAnsiTheme="minorEastAsia" w:hint="eastAsia"/>
          <w:color w:val="000000" w:themeColor="text1"/>
          <w:kern w:val="0"/>
          <w:sz w:val="24"/>
          <w:szCs w:val="24"/>
        </w:rPr>
        <w:t>主要财务指标和基金净值表现</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3.1 </w:t>
      </w:r>
      <w:r w:rsidRPr="00220C32">
        <w:rPr>
          <w:rFonts w:asciiTheme="minorEastAsia" w:eastAsiaTheme="minorEastAsia" w:hAnsiTheme="minorEastAsia" w:hint="eastAsia"/>
          <w:b/>
          <w:bCs/>
          <w:color w:val="000000" w:themeColor="text1"/>
          <w:kern w:val="0"/>
          <w:sz w:val="24"/>
          <w:szCs w:val="24"/>
        </w:rPr>
        <w:t>主要财务指标</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AA3CB0" w:rsidRPr="00220C32" w:rsidTr="00AA3CB0">
        <w:tc>
          <w:tcPr>
            <w:tcW w:w="3402" w:type="dxa"/>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主要财务指标</w:t>
            </w:r>
          </w:p>
        </w:tc>
        <w:tc>
          <w:tcPr>
            <w:tcW w:w="4962" w:type="dxa"/>
            <w:vAlign w:val="center"/>
          </w:tcPr>
          <w:p w:rsidR="009C60F7" w:rsidRPr="00220C32" w:rsidRDefault="009C60F7"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报告期</w:t>
            </w:r>
          </w:p>
          <w:p w:rsidR="00C21520" w:rsidRPr="00220C32" w:rsidRDefault="009C60F7" w:rsidP="00237F09">
            <w:pPr>
              <w:adjustRightInd w:val="0"/>
              <w:spacing w:before="29" w:line="360" w:lineRule="auto"/>
              <w:ind w:left="17"/>
              <w:jc w:val="center"/>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rPr>
              <w:t>(</w:t>
            </w:r>
            <w:r w:rsidRPr="00220C32">
              <w:rPr>
                <w:rFonts w:asciiTheme="minorEastAsia" w:eastAsiaTheme="minorEastAsia" w:hAnsiTheme="minorEastAsia" w:cs="宋体"/>
                <w:color w:val="000000" w:themeColor="text1"/>
              </w:rPr>
              <w:t>2018年7月1日-2018年9月30日</w:t>
            </w:r>
            <w:r w:rsidRPr="00220C32">
              <w:rPr>
                <w:rFonts w:asciiTheme="minorEastAsia" w:eastAsiaTheme="minorEastAsia" w:hAnsiTheme="minorEastAsia" w:cs="宋体" w:hint="eastAsia"/>
                <w:color w:val="000000" w:themeColor="text1"/>
              </w:rPr>
              <w:t>)</w:t>
            </w:r>
          </w:p>
        </w:tc>
      </w:tr>
      <w:tr w:rsidR="00AA3CB0" w:rsidRPr="00220C32" w:rsidTr="00AA3CB0">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1.</w:t>
            </w:r>
            <w:r w:rsidRPr="00220C32">
              <w:rPr>
                <w:rFonts w:asciiTheme="minorEastAsia" w:eastAsiaTheme="minorEastAsia" w:hAnsiTheme="minorEastAsia" w:cs="宋体" w:hint="eastAsia"/>
                <w:color w:val="000000" w:themeColor="text1"/>
                <w:kern w:val="0"/>
              </w:rPr>
              <w:t>本期已实现收益</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-10,129,045.02</w:t>
            </w:r>
          </w:p>
        </w:tc>
      </w:tr>
      <w:tr w:rsidR="00AA3CB0" w:rsidRPr="00220C32" w:rsidTr="00AA3CB0">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2.</w:t>
            </w:r>
            <w:r w:rsidRPr="00220C32">
              <w:rPr>
                <w:rFonts w:asciiTheme="minorEastAsia" w:eastAsiaTheme="minorEastAsia" w:hAnsiTheme="minorEastAsia" w:cs="宋体" w:hint="eastAsia"/>
                <w:color w:val="000000" w:themeColor="text1"/>
                <w:kern w:val="0"/>
              </w:rPr>
              <w:t>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459,518.83</w:t>
            </w:r>
          </w:p>
        </w:tc>
      </w:tr>
      <w:tr w:rsidR="00AA3CB0" w:rsidRPr="00220C32" w:rsidTr="00AA3CB0">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3.</w:t>
            </w:r>
            <w:r w:rsidRPr="00220C32">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0.0152</w:t>
            </w:r>
          </w:p>
        </w:tc>
      </w:tr>
      <w:tr w:rsidR="00AA3CB0" w:rsidRPr="00220C32" w:rsidTr="00AA3CB0">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4.</w:t>
            </w:r>
            <w:r w:rsidRPr="00220C32">
              <w:rPr>
                <w:rFonts w:asciiTheme="minorEastAsia" w:eastAsiaTheme="minorEastAsia" w:hAnsiTheme="minorEastAsia" w:cs="宋体" w:hint="eastAsia"/>
                <w:color w:val="000000" w:themeColor="text1"/>
                <w:kern w:val="0"/>
              </w:rPr>
              <w:t>期末基金资产净值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11,165,857.04</w:t>
            </w:r>
          </w:p>
        </w:tc>
      </w:tr>
      <w:tr w:rsidR="00AA3CB0" w:rsidRPr="00220C32" w:rsidTr="00AA3CB0">
        <w:trPr>
          <w:trHeight w:val="158"/>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5.</w:t>
            </w:r>
            <w:r w:rsidRPr="00220C32">
              <w:rPr>
                <w:rFonts w:asciiTheme="minorEastAsia" w:eastAsiaTheme="minorEastAsia" w:hAnsiTheme="minorEastAsia" w:cs="宋体" w:hint="eastAsia"/>
                <w:color w:val="000000" w:themeColor="text1"/>
                <w:kern w:val="0"/>
              </w:rPr>
              <w:t>期末基金份额净值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0.8548</w:t>
            </w:r>
          </w:p>
        </w:tc>
      </w:tr>
    </w:tbl>
    <w:p w:rsidR="004761B6" w:rsidRDefault="00AA3CB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注：1）本期已实现收益指基金本期利息收入、投资收益、其他收入（不含公允价值变动收益）扣除相关费用后的余额，本期利润为本期已实现收益加上本期公允价值变动收益。</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上述基金业绩指标已扣除了基金的管理费、托管费和各项交易费用，但不包括持有人认购或交易基金的各项费用（例如：申购费、赎回费等），计入认购或交易基金各项费用后，实际收益水平要低于所列数字。</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 </w:t>
      </w:r>
      <w:r w:rsidRPr="00220C32">
        <w:rPr>
          <w:rFonts w:asciiTheme="minorEastAsia" w:eastAsiaTheme="minorEastAsia" w:hAnsiTheme="minorEastAsia" w:hint="eastAsia"/>
          <w:b/>
          <w:bCs/>
          <w:color w:val="000000" w:themeColor="text1"/>
          <w:kern w:val="0"/>
          <w:sz w:val="24"/>
          <w:szCs w:val="24"/>
        </w:rPr>
        <w:t>基金净值表现</w:t>
      </w:r>
    </w:p>
    <w:p w:rsidR="00CF6572" w:rsidRPr="00220C32" w:rsidRDefault="004061AC" w:rsidP="009E7C6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3.2.1 </w:t>
      </w:r>
      <w:r w:rsidRPr="00220C32">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408"/>
        <w:gridCol w:w="979"/>
        <w:gridCol w:w="1148"/>
      </w:tblGrid>
      <w:tr w:rsidR="00220C32" w:rsidRPr="00220C32" w:rsidTr="00AA3CB0">
        <w:tc>
          <w:tcPr>
            <w:tcW w:w="1395"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阶段</w:t>
            </w:r>
          </w:p>
        </w:tc>
        <w:tc>
          <w:tcPr>
            <w:tcW w:w="1092"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净值增长率①</w:t>
            </w:r>
          </w:p>
        </w:tc>
        <w:tc>
          <w:tcPr>
            <w:tcW w:w="116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净值增长率标准差②</w:t>
            </w:r>
          </w:p>
        </w:tc>
        <w:tc>
          <w:tcPr>
            <w:tcW w:w="118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业绩比较基准收益率③</w:t>
            </w:r>
          </w:p>
        </w:tc>
        <w:tc>
          <w:tcPr>
            <w:tcW w:w="1408"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业绩比较基准收益率标准差④</w:t>
            </w:r>
          </w:p>
        </w:tc>
        <w:tc>
          <w:tcPr>
            <w:tcW w:w="979"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①</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③</w:t>
            </w:r>
          </w:p>
        </w:tc>
        <w:tc>
          <w:tcPr>
            <w:tcW w:w="1148"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②</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④</w:t>
            </w:r>
          </w:p>
        </w:tc>
      </w:tr>
      <w:tr w:rsidR="004761B6" w:rsidTr="00AA3CB0">
        <w:tc>
          <w:tcPr>
            <w:tcW w:w="1395" w:type="dxa"/>
            <w:vAlign w:val="center"/>
          </w:tcPr>
          <w:p w:rsidR="004761B6" w:rsidRDefault="00AA3CB0">
            <w:pPr>
              <w:jc w:val="left"/>
            </w:pPr>
            <w:r>
              <w:rPr>
                <w:rFonts w:asciiTheme="minorEastAsia" w:eastAsiaTheme="minorEastAsia" w:hAnsiTheme="minorEastAsia"/>
                <w:color w:val="000000" w:themeColor="text1"/>
                <w:sz w:val="21"/>
              </w:rPr>
              <w:t>过去三个月</w:t>
            </w:r>
          </w:p>
        </w:tc>
        <w:tc>
          <w:tcPr>
            <w:tcW w:w="1092" w:type="dxa"/>
            <w:vAlign w:val="center"/>
          </w:tcPr>
          <w:p w:rsidR="004761B6" w:rsidRDefault="00AA3CB0">
            <w:pPr>
              <w:jc w:val="center"/>
            </w:pPr>
            <w:r>
              <w:rPr>
                <w:rFonts w:asciiTheme="minorEastAsia" w:eastAsiaTheme="minorEastAsia" w:hAnsiTheme="minorEastAsia"/>
                <w:color w:val="000000" w:themeColor="text1"/>
                <w:sz w:val="21"/>
              </w:rPr>
              <w:t>-1.26%</w:t>
            </w:r>
          </w:p>
        </w:tc>
        <w:tc>
          <w:tcPr>
            <w:tcW w:w="1161" w:type="dxa"/>
            <w:vAlign w:val="center"/>
          </w:tcPr>
          <w:p w:rsidR="004761B6" w:rsidRDefault="00AA3CB0">
            <w:pPr>
              <w:jc w:val="center"/>
            </w:pPr>
            <w:r>
              <w:rPr>
                <w:rFonts w:asciiTheme="minorEastAsia" w:eastAsiaTheme="minorEastAsia" w:hAnsiTheme="minorEastAsia"/>
                <w:color w:val="000000" w:themeColor="text1"/>
                <w:sz w:val="21"/>
              </w:rPr>
              <w:t>1.25%</w:t>
            </w:r>
          </w:p>
        </w:tc>
        <w:tc>
          <w:tcPr>
            <w:tcW w:w="1181" w:type="dxa"/>
            <w:vAlign w:val="center"/>
          </w:tcPr>
          <w:p w:rsidR="004761B6" w:rsidRDefault="00AA3CB0">
            <w:pPr>
              <w:jc w:val="center"/>
            </w:pPr>
            <w:r>
              <w:rPr>
                <w:rFonts w:asciiTheme="minorEastAsia" w:eastAsiaTheme="minorEastAsia" w:hAnsiTheme="minorEastAsia"/>
                <w:color w:val="000000" w:themeColor="text1"/>
                <w:sz w:val="21"/>
              </w:rPr>
              <w:t>-0.23%</w:t>
            </w:r>
          </w:p>
        </w:tc>
        <w:tc>
          <w:tcPr>
            <w:tcW w:w="1408" w:type="dxa"/>
            <w:vAlign w:val="center"/>
          </w:tcPr>
          <w:p w:rsidR="004761B6" w:rsidRDefault="00AA3CB0">
            <w:pPr>
              <w:jc w:val="center"/>
            </w:pPr>
            <w:r>
              <w:rPr>
                <w:rFonts w:asciiTheme="minorEastAsia" w:eastAsiaTheme="minorEastAsia" w:hAnsiTheme="minorEastAsia"/>
                <w:color w:val="000000" w:themeColor="text1"/>
                <w:sz w:val="21"/>
              </w:rPr>
              <w:t>0.67%</w:t>
            </w:r>
          </w:p>
        </w:tc>
        <w:tc>
          <w:tcPr>
            <w:tcW w:w="979" w:type="dxa"/>
            <w:vAlign w:val="center"/>
          </w:tcPr>
          <w:p w:rsidR="004761B6" w:rsidRDefault="00AA3CB0">
            <w:pPr>
              <w:jc w:val="center"/>
            </w:pPr>
            <w:r>
              <w:rPr>
                <w:rFonts w:asciiTheme="minorEastAsia" w:eastAsiaTheme="minorEastAsia" w:hAnsiTheme="minorEastAsia"/>
                <w:color w:val="000000" w:themeColor="text1"/>
                <w:sz w:val="21"/>
              </w:rPr>
              <w:t>-1.03%</w:t>
            </w:r>
          </w:p>
        </w:tc>
        <w:tc>
          <w:tcPr>
            <w:tcW w:w="1148" w:type="dxa"/>
            <w:vAlign w:val="center"/>
          </w:tcPr>
          <w:p w:rsidR="004761B6" w:rsidRDefault="00AA3CB0">
            <w:pPr>
              <w:jc w:val="center"/>
            </w:pPr>
            <w:r>
              <w:rPr>
                <w:rFonts w:asciiTheme="minorEastAsia" w:eastAsiaTheme="minorEastAsia" w:hAnsiTheme="minorEastAsia"/>
                <w:color w:val="000000" w:themeColor="text1"/>
                <w:sz w:val="21"/>
              </w:rPr>
              <w:t>0.58%</w:t>
            </w:r>
          </w:p>
        </w:tc>
      </w:tr>
    </w:tbl>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3.2.2</w:t>
      </w:r>
      <w:r w:rsidR="007B4D7A" w:rsidRPr="00220C32">
        <w:rPr>
          <w:rStyle w:val="afb"/>
          <w:rFonts w:hint="eastAsia"/>
          <w:color w:val="000000" w:themeColor="text1"/>
          <w:sz w:val="24"/>
          <w:szCs w:val="24"/>
          <w:shd w:val="clear" w:color="auto" w:fill="FFFFFF"/>
        </w:rPr>
        <w:t>自基金合同生效以来</w:t>
      </w:r>
      <w:r w:rsidR="00FB0BC9" w:rsidRPr="00220C32">
        <w:rPr>
          <w:rFonts w:asciiTheme="minorEastAsia" w:eastAsiaTheme="minorEastAsia" w:hAnsiTheme="minorEastAsia" w:hint="eastAsia"/>
          <w:b/>
          <w:bCs/>
          <w:color w:val="000000" w:themeColor="text1"/>
          <w:kern w:val="0"/>
          <w:sz w:val="24"/>
          <w:szCs w:val="24"/>
        </w:rPr>
        <w:t>基金累计</w:t>
      </w:r>
      <w:r w:rsidRPr="00220C32">
        <w:rPr>
          <w:rFonts w:asciiTheme="minorEastAsia" w:eastAsiaTheme="minorEastAsia" w:hAnsiTheme="minorEastAsia" w:hint="eastAsia"/>
          <w:b/>
          <w:bCs/>
          <w:color w:val="000000" w:themeColor="text1"/>
          <w:kern w:val="0"/>
          <w:sz w:val="24"/>
          <w:szCs w:val="24"/>
        </w:rPr>
        <w:t>净值增长率变动及其与同期业绩比较基准收益率变动的比较</w:t>
      </w:r>
    </w:p>
    <w:p w:rsidR="008606B6" w:rsidRPr="00220C32" w:rsidRDefault="008606B6" w:rsidP="009E7C6A">
      <w:pPr>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申万菱信价值优选灵活配置混合型证券投资基金</w:t>
      </w:r>
    </w:p>
    <w:p w:rsidR="004061AC" w:rsidRPr="00220C32" w:rsidRDefault="00FB0BC9" w:rsidP="009E7C6A">
      <w:pPr>
        <w:pStyle w:val="a5"/>
        <w:snapToGrid w:val="0"/>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累计净值增长率与业绩比较基准收益率</w:t>
      </w:r>
      <w:r w:rsidR="004061AC" w:rsidRPr="00220C32">
        <w:rPr>
          <w:rFonts w:asciiTheme="minorEastAsia" w:eastAsiaTheme="minorEastAsia" w:hAnsiTheme="minorEastAsia" w:hint="eastAsia"/>
          <w:color w:val="000000" w:themeColor="text1"/>
        </w:rPr>
        <w:t>历史走势对比图</w:t>
      </w:r>
    </w:p>
    <w:p w:rsidR="00AE7962" w:rsidRPr="00220C32" w:rsidRDefault="00AE7962" w:rsidP="009E7C6A">
      <w:pPr>
        <w:pStyle w:val="a5"/>
        <w:snapToGrid w:val="0"/>
        <w:spacing w:line="360" w:lineRule="auto"/>
        <w:ind w:firstLine="480"/>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w:t>
      </w:r>
      <w:r w:rsidR="0042009D" w:rsidRPr="00220C32">
        <w:rPr>
          <w:rFonts w:asciiTheme="minorEastAsia" w:eastAsiaTheme="minorEastAsia" w:hAnsiTheme="minorEastAsia"/>
          <w:color w:val="000000" w:themeColor="text1"/>
        </w:rPr>
        <w:t>2018年1月4日</w:t>
      </w:r>
      <w:r w:rsidRPr="00220C32">
        <w:rPr>
          <w:rFonts w:asciiTheme="minorEastAsia" w:eastAsiaTheme="minorEastAsia" w:hAnsiTheme="minorEastAsia" w:hint="eastAsia"/>
          <w:color w:val="000000" w:themeColor="text1"/>
        </w:rPr>
        <w:t>至2018年9月30日)</w:t>
      </w:r>
    </w:p>
    <w:p w:rsidR="004061AC" w:rsidRPr="00220C32" w:rsidRDefault="00866CF2" w:rsidP="004061AC">
      <w:pPr>
        <w:pStyle w:val="a5"/>
        <w:snapToGrid w:val="0"/>
        <w:spacing w:before="120" w:line="360" w:lineRule="auto"/>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4761B6" w:rsidRDefault="00AA3CB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注：1）自基金合同生效以来，本基金运作未满一年。</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2）本基金已在建仓期结束时，使基金的投资组合比例符合基金合同的有关约定。</w:t>
      </w:r>
    </w:p>
    <w:p w:rsidR="00957594" w:rsidRPr="00220C32" w:rsidRDefault="00957594" w:rsidP="004061AC">
      <w:pPr>
        <w:tabs>
          <w:tab w:val="left" w:pos="1800"/>
        </w:tabs>
        <w:spacing w:line="360" w:lineRule="auto"/>
        <w:rPr>
          <w:rFonts w:asciiTheme="minorEastAsia" w:eastAsiaTheme="minorEastAsia" w:hAnsiTheme="minorEastAsia"/>
          <w:color w:val="000000" w:themeColor="text1"/>
          <w:sz w:val="24"/>
          <w:szCs w:val="24"/>
        </w:rPr>
      </w:pPr>
    </w:p>
    <w:p w:rsidR="004061AC" w:rsidRPr="00220C32" w:rsidRDefault="004061AC" w:rsidP="00CB45E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4  </w:t>
      </w:r>
      <w:r w:rsidRPr="00220C32">
        <w:rPr>
          <w:rFonts w:asciiTheme="minorEastAsia" w:eastAsiaTheme="minorEastAsia" w:hAnsiTheme="minorEastAsia" w:hint="eastAsia"/>
          <w:color w:val="000000" w:themeColor="text1"/>
          <w:kern w:val="0"/>
          <w:sz w:val="24"/>
          <w:szCs w:val="24"/>
        </w:rPr>
        <w:t>管理人报告</w:t>
      </w:r>
    </w:p>
    <w:p w:rsidR="00B12B7D"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4.1 </w:t>
      </w:r>
      <w:r w:rsidRPr="00220C32">
        <w:rPr>
          <w:rFonts w:asciiTheme="minorEastAsia" w:eastAsiaTheme="minorEastAsia" w:hAnsiTheme="minorEastAsia" w:hint="eastAsia"/>
          <w:b/>
          <w:bCs/>
          <w:color w:val="000000" w:themeColor="text1"/>
          <w:kern w:val="0"/>
          <w:sz w:val="24"/>
          <w:szCs w:val="24"/>
        </w:rPr>
        <w:t>基金经理</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或基金经理小组</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简介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864"/>
        <w:gridCol w:w="2655"/>
      </w:tblGrid>
      <w:tr w:rsidR="00220C32" w:rsidRPr="00220C32" w:rsidTr="00AA3CB0">
        <w:trPr>
          <w:cantSplit/>
          <w:trHeight w:val="292"/>
          <w:jc w:val="center"/>
        </w:trPr>
        <w:tc>
          <w:tcPr>
            <w:tcW w:w="851"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姓名</w:t>
            </w:r>
          </w:p>
        </w:tc>
        <w:tc>
          <w:tcPr>
            <w:tcW w:w="850"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职务</w:t>
            </w:r>
          </w:p>
        </w:tc>
        <w:tc>
          <w:tcPr>
            <w:tcW w:w="3119" w:type="dxa"/>
            <w:gridSpan w:val="2"/>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任本基金的基金经理期限</w:t>
            </w:r>
          </w:p>
        </w:tc>
        <w:tc>
          <w:tcPr>
            <w:tcW w:w="864" w:type="dxa"/>
            <w:vMerge w:val="restart"/>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证券从业年限</w:t>
            </w:r>
          </w:p>
        </w:tc>
        <w:tc>
          <w:tcPr>
            <w:tcW w:w="2655"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说明</w:t>
            </w:r>
          </w:p>
        </w:tc>
      </w:tr>
      <w:tr w:rsidR="00220C32" w:rsidRPr="00220C32" w:rsidTr="00AA3CB0">
        <w:trPr>
          <w:cantSplit/>
          <w:jc w:val="center"/>
        </w:trPr>
        <w:tc>
          <w:tcPr>
            <w:tcW w:w="851"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任职日期</w:t>
            </w:r>
          </w:p>
        </w:tc>
        <w:tc>
          <w:tcPr>
            <w:tcW w:w="1559"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离任日期</w:t>
            </w:r>
          </w:p>
        </w:tc>
        <w:tc>
          <w:tcPr>
            <w:tcW w:w="864"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2655"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r>
      <w:tr w:rsidR="004761B6" w:rsidTr="00AA3CB0">
        <w:trPr>
          <w:jc w:val="center"/>
        </w:trPr>
        <w:tc>
          <w:tcPr>
            <w:tcW w:w="851" w:type="dxa"/>
            <w:vAlign w:val="center"/>
          </w:tcPr>
          <w:p w:rsidR="004761B6" w:rsidRDefault="00AA3CB0">
            <w:pPr>
              <w:jc w:val="center"/>
            </w:pPr>
            <w:r>
              <w:rPr>
                <w:rFonts w:asciiTheme="minorEastAsia" w:eastAsiaTheme="minorEastAsia" w:hAnsiTheme="minorEastAsia"/>
                <w:color w:val="000000" w:themeColor="text1"/>
              </w:rPr>
              <w:t>刘敦</w:t>
            </w:r>
          </w:p>
        </w:tc>
        <w:tc>
          <w:tcPr>
            <w:tcW w:w="850" w:type="dxa"/>
            <w:vAlign w:val="center"/>
          </w:tcPr>
          <w:p w:rsidR="004761B6" w:rsidRDefault="00AA3CB0">
            <w:pPr>
              <w:jc w:val="center"/>
            </w:pPr>
            <w:r>
              <w:rPr>
                <w:rFonts w:asciiTheme="minorEastAsia" w:eastAsiaTheme="minorEastAsia" w:hAnsiTheme="minorEastAsia"/>
                <w:color w:val="000000" w:themeColor="text1"/>
              </w:rPr>
              <w:t>指数与创新投资部负责人、量化投资部负责人（兼），本基金基金经理</w:t>
            </w:r>
          </w:p>
        </w:tc>
        <w:tc>
          <w:tcPr>
            <w:tcW w:w="1560" w:type="dxa"/>
            <w:vAlign w:val="center"/>
          </w:tcPr>
          <w:p w:rsidR="004761B6" w:rsidRDefault="00AA3CB0">
            <w:pPr>
              <w:jc w:val="center"/>
            </w:pPr>
            <w:r>
              <w:rPr>
                <w:rFonts w:asciiTheme="minorEastAsia" w:eastAsiaTheme="minorEastAsia" w:hAnsiTheme="minorEastAsia"/>
                <w:color w:val="000000" w:themeColor="text1"/>
              </w:rPr>
              <w:t>2018-03-14</w:t>
            </w:r>
          </w:p>
        </w:tc>
        <w:tc>
          <w:tcPr>
            <w:tcW w:w="1559" w:type="dxa"/>
            <w:vAlign w:val="center"/>
          </w:tcPr>
          <w:p w:rsidR="004761B6" w:rsidRDefault="00AA3CB0">
            <w:pPr>
              <w:jc w:val="center"/>
            </w:pPr>
            <w:r>
              <w:rPr>
                <w:rFonts w:asciiTheme="minorEastAsia" w:eastAsiaTheme="minorEastAsia" w:hAnsiTheme="minorEastAsia"/>
                <w:color w:val="000000" w:themeColor="text1"/>
              </w:rPr>
              <w:t>-</w:t>
            </w:r>
          </w:p>
        </w:tc>
        <w:tc>
          <w:tcPr>
            <w:tcW w:w="864" w:type="dxa"/>
            <w:vAlign w:val="center"/>
          </w:tcPr>
          <w:p w:rsidR="004761B6" w:rsidRDefault="00AA3CB0">
            <w:pPr>
              <w:jc w:val="center"/>
            </w:pPr>
            <w:r>
              <w:rPr>
                <w:rFonts w:asciiTheme="minorEastAsia" w:eastAsiaTheme="minorEastAsia" w:hAnsiTheme="minorEastAsia"/>
                <w:color w:val="000000" w:themeColor="text1"/>
              </w:rPr>
              <w:t>9年</w:t>
            </w:r>
          </w:p>
        </w:tc>
        <w:tc>
          <w:tcPr>
            <w:tcW w:w="2655" w:type="dxa"/>
            <w:vAlign w:val="center"/>
          </w:tcPr>
          <w:p w:rsidR="004761B6" w:rsidRDefault="00AA3CB0">
            <w:r>
              <w:rPr>
                <w:rFonts w:asciiTheme="minorEastAsia" w:eastAsiaTheme="minorEastAsia" w:hAnsiTheme="minorEastAsia"/>
                <w:color w:val="000000" w:themeColor="text1"/>
              </w:rPr>
              <w:t>刘敦先生，硕士研究生。2008年起从事金融相关工作，曾任职于艾利士通资产管理有限公司、平安资产管理有限公司、申银万国证券研究所等。2015年3月加入申万菱信基金管理有限公司，曾任专户投资经理，现任指数与创新投资部负责人、量化投资部负责人（兼），申万菱信沪深300价值指数证券投资基金、申万菱信深证成指分级证券投资基金、申万菱信量化成长混合型证券投资基金、申万菱信价值优选灵活配置混合型证券投资基金基金经理。</w:t>
            </w:r>
          </w:p>
        </w:tc>
      </w:tr>
    </w:tbl>
    <w:p w:rsidR="004761B6" w:rsidRDefault="00AA3CB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注：1.任职日期和离任日期一般情况下指公司作出决定之日；若该基金经理自基金合同生效日起即任职，则任职日期为基金合同生效日。</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2.证券从业的含义遵从行业协会《证券业从业人员资格管理办法》的相关规定。</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4.2 </w:t>
      </w:r>
      <w:r w:rsidRPr="00220C32">
        <w:rPr>
          <w:rFonts w:asciiTheme="minorEastAsia" w:eastAsiaTheme="minorEastAsia" w:hAnsiTheme="minorEastAsia" w:hint="eastAsia"/>
          <w:b/>
          <w:bCs/>
          <w:color w:val="000000" w:themeColor="text1"/>
          <w:kern w:val="0"/>
          <w:sz w:val="24"/>
          <w:szCs w:val="24"/>
        </w:rPr>
        <w:t>管理人对报告期内本基金运作遵规守信情况的说明</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内，本基金管理人严格遵守《证券法》、《证券投资基金法》及其配套法规的规定，严格遵守基金合同约定，本着诚实信用、勤勉尽责等原则管理和运用基金资产，在严格控制风险的基础上为持有人谋求最大利益。</w:t>
      </w:r>
    </w:p>
    <w:p w:rsidR="004061AC" w:rsidRPr="00220C32" w:rsidRDefault="004061AC" w:rsidP="00AA3CB0">
      <w:pPr>
        <w:spacing w:line="360" w:lineRule="auto"/>
        <w:ind w:firstLineChars="200" w:firstLine="420"/>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本基金投资运作符合法律法规和基金合同的规定,信息披露及时、准确、完整；本基金资产与本基金管理人与公司资产之间严格分开；没有发生内幕交易、操纵市场和不当关联交易及其他违规行为。在基金资产的管理运作中,无任何损害基金持有人利益的行为,并通过稳健经营、规范运作、规避风险,保护了基金持有人的合法权益。</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4.3 </w:t>
      </w:r>
      <w:r w:rsidRPr="00220C32">
        <w:rPr>
          <w:rFonts w:asciiTheme="minorEastAsia" w:eastAsiaTheme="minorEastAsia" w:hAnsiTheme="minorEastAsia" w:hint="eastAsia"/>
          <w:b/>
          <w:bCs/>
          <w:color w:val="000000" w:themeColor="text1"/>
          <w:kern w:val="0"/>
          <w:sz w:val="24"/>
          <w:szCs w:val="24"/>
        </w:rPr>
        <w:t>公平交易专项说明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4.3.1 </w:t>
      </w:r>
      <w:r w:rsidRPr="00220C32">
        <w:rPr>
          <w:rFonts w:asciiTheme="minorEastAsia" w:eastAsiaTheme="minorEastAsia" w:hAnsiTheme="minorEastAsia" w:hint="eastAsia"/>
          <w:color w:val="000000" w:themeColor="text1"/>
          <w:sz w:val="24"/>
          <w:szCs w:val="24"/>
        </w:rPr>
        <w:t>公平交易制度的执行情况</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根据《证券投资基金管理公司公平交易制度指导意见》，本公司制定了《公平交易办法》，通过组织结构的设置、工作制度、流程和技术手段全面落实公平交易原则在具体业务（包括研究分析、投资决策、交易执行等）环节中的实现，在保证各投资组合投资决策相对独立性的同时，确保各投资组合在获得投资信息、投资建议和实施投资决策方面享有公平的机会；同时，通过对投资交易行为的日常监控和事后分析评估来加强对公平交易过程和结果的监督。</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在投资和研究方面，本公司投资和研究部门不断完善研究方法和投资决策流程，提高投资决策的科学性和客观性，确保各投资组合享有公平的投资决策机会，建立公平交易的制度环境。</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在交易执行方面，本公司的投资管理职能和交易执行职能相隔离，通过实行集中交易制度和公平的交易分配制度，确保各投资组合享有公平的交易执行机会。</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日常监控和事后分析评估方面，本公司风险管理部开展日内和定期的工作对公平交易执行情况作整体监控和效果评估。风险管理部通过对不同组合之间同向交易的价差率的假设检验、价格占优的次数百分比统计、价差交易模拟贡献与组合收益率差异的比较等方法对本报告期以及连续四个季度期间内、不同时间窗口下公司管理的不同投资组合同向交易的交易价差进行了分析；对于场外交易，还特别对比了组合之间发生的同向交易的市场公允价格和交易对手，判断交易是否公平且是否涉及利益输送。</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本公司通过事前的制度规范、事中的监控和事后的分析评估，严格执行了公平交易制度，公平对待了旗下各投资组合。本报告期内，未出现违反公平交易制度的情况。</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4.3.2 </w:t>
      </w:r>
      <w:r w:rsidRPr="00220C32">
        <w:rPr>
          <w:rFonts w:asciiTheme="minorEastAsia" w:eastAsiaTheme="minorEastAsia" w:hAnsiTheme="minorEastAsia" w:hint="eastAsia"/>
          <w:color w:val="000000" w:themeColor="text1"/>
          <w:sz w:val="24"/>
          <w:szCs w:val="24"/>
        </w:rPr>
        <w:t>异常交易行为的专项说明</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本公司制定了《异常交易监控与报告办法》，明确定义了在投资交易过程中出现的各种可能导致不公平交易和利益输送的异常交易类型，并规定且落实了异常交易的日常监控、识别以及事后的分析流程。 </w:t>
      </w:r>
    </w:p>
    <w:p w:rsidR="004061AC" w:rsidRPr="00220C32" w:rsidRDefault="00957594" w:rsidP="00AA3CB0">
      <w:pPr>
        <w:spacing w:line="360" w:lineRule="auto"/>
        <w:ind w:firstLineChars="200" w:firstLine="420"/>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本基金本报告期内未出现异常交易的情况。本报告期内，本公司所有投资组合参与的交易所公开竞价同日反向交易成交较少的单边交易量超过该证券当日成交量的5%的情况有1次。投资组合经理因投资组合的投资策略而发生同日反向交易，未导致不公平交易和利益输送。</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4.4 </w:t>
      </w:r>
      <w:r w:rsidRPr="00220C32">
        <w:rPr>
          <w:rFonts w:asciiTheme="minorEastAsia" w:eastAsiaTheme="minorEastAsia" w:hAnsiTheme="minorEastAsia" w:hint="eastAsia"/>
          <w:b/>
          <w:bCs/>
          <w:color w:val="000000" w:themeColor="text1"/>
          <w:kern w:val="0"/>
          <w:sz w:val="24"/>
          <w:szCs w:val="24"/>
        </w:rPr>
        <w:t>报告期内基金的投资策略和业绩表现说明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4.4.1</w:t>
      </w:r>
      <w:r w:rsidRPr="00220C32">
        <w:rPr>
          <w:rFonts w:asciiTheme="minorEastAsia" w:eastAsiaTheme="minorEastAsia" w:hAnsiTheme="minorEastAsia" w:cs="宋体" w:hint="eastAsia"/>
          <w:color w:val="000000" w:themeColor="text1"/>
          <w:sz w:val="24"/>
          <w:szCs w:val="24"/>
        </w:rPr>
        <w:t>报告期内基金投资策略和运作分析</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2018年第三季度，上海与深圳A股整体均有所下跌，上证综指下跌0.92%，深证成份指数下跌10.43%，沪深300指数下跌2.05%，中证500指数下跌7.99%，中证1000指数下跌11.08%；大市值股票整体表现优于中小市值股票。</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本基金采用以估值、盈利、成长等因子为核心的量化多因子模型，力争构建在相同估值水平下有较高成长性，在相同成长水平下具有较低估值的股票组合。</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4.4.2</w:t>
      </w:r>
      <w:r w:rsidRPr="00220C32">
        <w:rPr>
          <w:rFonts w:asciiTheme="minorEastAsia" w:eastAsiaTheme="minorEastAsia" w:hAnsiTheme="minorEastAsia" w:cs="宋体" w:hint="eastAsia"/>
          <w:color w:val="000000" w:themeColor="text1"/>
          <w:sz w:val="24"/>
          <w:szCs w:val="24"/>
        </w:rPr>
        <w:t>报告期内基金的业绩表现</w:t>
      </w:r>
    </w:p>
    <w:p w:rsidR="009C5186" w:rsidRPr="00220C32" w:rsidRDefault="004061AC" w:rsidP="00AA3CB0">
      <w:pPr>
        <w:spacing w:line="360" w:lineRule="auto"/>
        <w:ind w:firstLineChars="200" w:firstLine="420"/>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rPr>
        <w:t>2018年第三季度，沪深300指数下跌2.05%，基金业绩基准表现为</w:t>
      </w:r>
      <w:r w:rsidR="002F47B7" w:rsidRPr="00220C32">
        <w:rPr>
          <w:rFonts w:asciiTheme="minorEastAsia" w:eastAsiaTheme="minorEastAsia" w:hAnsiTheme="minorEastAsia"/>
          <w:color w:val="000000" w:themeColor="text1"/>
        </w:rPr>
        <w:t>-0.23%</w:t>
      </w:r>
      <w:r w:rsidRPr="00220C32">
        <w:rPr>
          <w:rFonts w:asciiTheme="minorEastAsia" w:eastAsiaTheme="minorEastAsia" w:hAnsiTheme="minorEastAsia"/>
          <w:color w:val="000000" w:themeColor="text1"/>
        </w:rPr>
        <w:t>，申万菱信价值优选基金净值期间表现为</w:t>
      </w:r>
      <w:r w:rsidR="002F47B7" w:rsidRPr="00220C32">
        <w:rPr>
          <w:rFonts w:asciiTheme="minorEastAsia" w:eastAsiaTheme="minorEastAsia" w:hAnsiTheme="minorEastAsia"/>
          <w:color w:val="000000" w:themeColor="text1"/>
        </w:rPr>
        <w:t>-1.26%</w:t>
      </w:r>
      <w:bookmarkStart w:id="0" w:name="_GoBack"/>
      <w:bookmarkEnd w:id="0"/>
      <w:r w:rsidRPr="00220C32">
        <w:rPr>
          <w:rFonts w:asciiTheme="minorEastAsia" w:eastAsiaTheme="minorEastAsia" w:hAnsiTheme="minorEastAsia"/>
          <w:color w:val="000000" w:themeColor="text1"/>
        </w:rPr>
        <w:t>，和业绩基准的差为1.03%。</w:t>
      </w:r>
    </w:p>
    <w:p w:rsidR="00A04F76" w:rsidRPr="00220C32" w:rsidRDefault="006360DC" w:rsidP="00A04F76">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.5</w:t>
      </w:r>
      <w:r w:rsidR="00A04F76" w:rsidRPr="00220C32">
        <w:rPr>
          <w:rFonts w:asciiTheme="minorEastAsia" w:eastAsiaTheme="minorEastAsia" w:hAnsiTheme="minorEastAsia" w:hint="eastAsia"/>
          <w:b/>
          <w:color w:val="000000" w:themeColor="text1"/>
          <w:kern w:val="0"/>
          <w:sz w:val="24"/>
          <w:szCs w:val="24"/>
        </w:rPr>
        <w:t>报告期内基金持有人数或基金资产净值预警说明</w:t>
      </w:r>
    </w:p>
    <w:p w:rsidR="00A04F76" w:rsidRPr="00220C32" w:rsidRDefault="00A04F76" w:rsidP="00A04F76">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本基金在本报告期内出现超过连续二十个工作日基金资产净值低于五千万元的情形。截至本报告期末，本基金的资产净值未恢复至五千万元以上。</w:t>
      </w:r>
    </w:p>
    <w:p w:rsidR="004061AC" w:rsidRPr="00220C32" w:rsidRDefault="004061AC" w:rsidP="00CB45E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1C0993" w:rsidRPr="00220C32">
        <w:rPr>
          <w:rFonts w:asciiTheme="minorEastAsia" w:eastAsiaTheme="minorEastAsia" w:hAnsiTheme="minorEastAsia" w:hint="eastAsia"/>
          <w:color w:val="000000" w:themeColor="text1"/>
          <w:kern w:val="0"/>
          <w:sz w:val="24"/>
          <w:szCs w:val="24"/>
        </w:rPr>
        <w:t>5</w:t>
      </w:r>
      <w:r w:rsidRPr="00220C32">
        <w:rPr>
          <w:rFonts w:asciiTheme="minorEastAsia" w:eastAsiaTheme="minorEastAsia" w:hAnsiTheme="minorEastAsia" w:hint="eastAsia"/>
          <w:color w:val="000000" w:themeColor="text1"/>
          <w:kern w:val="0"/>
          <w:sz w:val="24"/>
          <w:szCs w:val="24"/>
        </w:rPr>
        <w:t>投资组合报告</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5.1 </w:t>
      </w:r>
      <w:r w:rsidRPr="00220C32">
        <w:rPr>
          <w:rFonts w:asciiTheme="minorEastAsia" w:eastAsiaTheme="minorEastAsia" w:hAnsiTheme="minorEastAsia" w:hint="eastAsia"/>
          <w:b/>
          <w:bCs/>
          <w:color w:val="000000" w:themeColor="text1"/>
          <w:kern w:val="0"/>
          <w:sz w:val="24"/>
          <w:szCs w:val="24"/>
        </w:rPr>
        <w:t>报告期末基金资产组合情况</w:t>
      </w:r>
    </w:p>
    <w:tbl>
      <w:tblPr>
        <w:tblStyle w:val="af7"/>
        <w:tblW w:w="8324" w:type="dxa"/>
        <w:jc w:val="center"/>
        <w:tblLayout w:type="fixed"/>
        <w:tblLook w:val="04A0"/>
      </w:tblPr>
      <w:tblGrid>
        <w:gridCol w:w="720"/>
        <w:gridCol w:w="4106"/>
        <w:gridCol w:w="1984"/>
        <w:gridCol w:w="1514"/>
      </w:tblGrid>
      <w:tr w:rsidR="00220C32" w:rsidRPr="00220C32" w:rsidTr="00AA3CB0">
        <w:trPr>
          <w:jc w:val="center"/>
        </w:trPr>
        <w:tc>
          <w:tcPr>
            <w:tcW w:w="720"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序号</w:t>
            </w:r>
          </w:p>
        </w:tc>
        <w:tc>
          <w:tcPr>
            <w:tcW w:w="4106"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项目</w:t>
            </w:r>
          </w:p>
        </w:tc>
        <w:tc>
          <w:tcPr>
            <w:tcW w:w="1984"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金额</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hint="eastAsia"/>
                <w:color w:val="000000" w:themeColor="text1"/>
                <w:sz w:val="21"/>
              </w:rPr>
              <w:t>元</w:t>
            </w:r>
            <w:r w:rsidR="00D57B7C" w:rsidRPr="00220C32">
              <w:rPr>
                <w:rFonts w:asciiTheme="minorEastAsia" w:eastAsiaTheme="minorEastAsia" w:hAnsiTheme="minorEastAsia" w:hint="eastAsia"/>
                <w:color w:val="000000" w:themeColor="text1"/>
                <w:sz w:val="21"/>
              </w:rPr>
              <w:t>)</w:t>
            </w:r>
          </w:p>
        </w:tc>
        <w:tc>
          <w:tcPr>
            <w:tcW w:w="1514"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占基金总资产的比例</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color w:val="000000" w:themeColor="text1"/>
                <w:sz w:val="21"/>
              </w:rPr>
              <w:t>%</w:t>
            </w:r>
            <w:r w:rsidR="00D57B7C" w:rsidRPr="00220C32">
              <w:rPr>
                <w:rFonts w:asciiTheme="minorEastAsia" w:eastAsiaTheme="minorEastAsia" w:hAnsiTheme="minorEastAsia" w:hint="eastAsia"/>
                <w:color w:val="000000" w:themeColor="text1"/>
                <w:sz w:val="21"/>
              </w:rPr>
              <w:t>)</w:t>
            </w:r>
          </w:p>
        </w:tc>
      </w:tr>
      <w:tr w:rsidR="00220C32" w:rsidRPr="00220C32" w:rsidTr="00AA3CB0">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4106"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权益投资</w:t>
            </w:r>
          </w:p>
        </w:tc>
        <w:tc>
          <w:tcPr>
            <w:tcW w:w="1984" w:type="dxa"/>
            <w:vAlign w:val="center"/>
          </w:tcPr>
          <w:p w:rsidR="00853140" w:rsidRPr="00220C32" w:rsidRDefault="00C77AEF" w:rsidP="00C77AE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8,422,748.43</w:t>
            </w:r>
          </w:p>
        </w:tc>
        <w:tc>
          <w:tcPr>
            <w:tcW w:w="151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73.21</w:t>
            </w:r>
          </w:p>
        </w:tc>
      </w:tr>
      <w:tr w:rsidR="00220C32" w:rsidRPr="00220C32" w:rsidTr="00AA3CB0">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4106"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其中：股票</w:t>
            </w:r>
          </w:p>
        </w:tc>
        <w:tc>
          <w:tcPr>
            <w:tcW w:w="198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8,422,748.43</w:t>
            </w:r>
          </w:p>
        </w:tc>
        <w:tc>
          <w:tcPr>
            <w:tcW w:w="151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73.21</w:t>
            </w:r>
          </w:p>
        </w:tc>
      </w:tr>
      <w:tr w:rsidR="00220C32" w:rsidRPr="00220C32" w:rsidTr="00AA3CB0">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4106"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固定收益投资</w:t>
            </w:r>
          </w:p>
        </w:tc>
        <w:tc>
          <w:tcPr>
            <w:tcW w:w="198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AA3CB0">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4106"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其中：债券</w:t>
            </w:r>
          </w:p>
        </w:tc>
        <w:tc>
          <w:tcPr>
            <w:tcW w:w="198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AA3CB0">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4106" w:type="dxa"/>
            <w:vAlign w:val="center"/>
          </w:tcPr>
          <w:p w:rsidR="00853140" w:rsidRPr="00220C32" w:rsidRDefault="00853140" w:rsidP="00A52F8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资产支持证券</w:t>
            </w:r>
          </w:p>
        </w:tc>
        <w:tc>
          <w:tcPr>
            <w:tcW w:w="198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AA3CB0">
        <w:trPr>
          <w:jc w:val="center"/>
        </w:trPr>
        <w:tc>
          <w:tcPr>
            <w:tcW w:w="720" w:type="dxa"/>
          </w:tcPr>
          <w:p w:rsidR="001D63BB" w:rsidRPr="00220C32" w:rsidRDefault="001D63BB" w:rsidP="001D63BB">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4106" w:type="dxa"/>
          </w:tcPr>
          <w:p w:rsidR="001D63BB" w:rsidRPr="00220C32" w:rsidRDefault="001D63BB" w:rsidP="001D63BB">
            <w:pPr>
              <w:spacing w:before="29" w:line="360" w:lineRule="auto"/>
              <w:ind w:leftChars="50" w:left="10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贵金属投资</w:t>
            </w:r>
          </w:p>
        </w:tc>
        <w:tc>
          <w:tcPr>
            <w:tcW w:w="1984"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AA3CB0">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4106" w:type="dxa"/>
            <w:vAlign w:val="center"/>
          </w:tcPr>
          <w:p w:rsidR="001D63BB" w:rsidRPr="00220C32" w:rsidRDefault="001D63BB" w:rsidP="00EA70F1">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金融衍生品投资</w:t>
            </w:r>
          </w:p>
        </w:tc>
        <w:tc>
          <w:tcPr>
            <w:tcW w:w="1984"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AA3CB0">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5</w:t>
            </w:r>
          </w:p>
        </w:tc>
        <w:tc>
          <w:tcPr>
            <w:tcW w:w="4106"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买入返售金融资产</w:t>
            </w:r>
          </w:p>
        </w:tc>
        <w:tc>
          <w:tcPr>
            <w:tcW w:w="1984"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AA3CB0">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p>
        </w:tc>
        <w:tc>
          <w:tcPr>
            <w:tcW w:w="4106"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其中：买断式回购的买入返售金融资产</w:t>
            </w:r>
          </w:p>
        </w:tc>
        <w:tc>
          <w:tcPr>
            <w:tcW w:w="1984"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514"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AA3CB0">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6</w:t>
            </w:r>
          </w:p>
        </w:tc>
        <w:tc>
          <w:tcPr>
            <w:tcW w:w="4106" w:type="dxa"/>
            <w:vAlign w:val="center"/>
          </w:tcPr>
          <w:p w:rsidR="001D63BB" w:rsidRPr="00220C32" w:rsidRDefault="001D63BB" w:rsidP="00A03AAC">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银行存款和结算备付金合计</w:t>
            </w:r>
          </w:p>
        </w:tc>
        <w:tc>
          <w:tcPr>
            <w:tcW w:w="1984"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3,052,117.84</w:t>
            </w:r>
          </w:p>
        </w:tc>
        <w:tc>
          <w:tcPr>
            <w:tcW w:w="1514"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26.53</w:t>
            </w:r>
          </w:p>
        </w:tc>
      </w:tr>
      <w:tr w:rsidR="00220C32" w:rsidRPr="00220C32" w:rsidTr="00AA3CB0">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7</w:t>
            </w:r>
          </w:p>
        </w:tc>
        <w:tc>
          <w:tcPr>
            <w:tcW w:w="4106"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其他各项资产</w:t>
            </w:r>
          </w:p>
        </w:tc>
        <w:tc>
          <w:tcPr>
            <w:tcW w:w="1984"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29,772.74</w:t>
            </w:r>
          </w:p>
        </w:tc>
        <w:tc>
          <w:tcPr>
            <w:tcW w:w="1514"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0.26</w:t>
            </w:r>
          </w:p>
        </w:tc>
      </w:tr>
      <w:tr w:rsidR="00220C32" w:rsidRPr="00220C32" w:rsidTr="00AA3CB0">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8</w:t>
            </w:r>
          </w:p>
        </w:tc>
        <w:tc>
          <w:tcPr>
            <w:tcW w:w="4106"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1984"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11,504,639.01</w:t>
            </w:r>
          </w:p>
        </w:tc>
        <w:tc>
          <w:tcPr>
            <w:tcW w:w="1514" w:type="dxa"/>
            <w:vAlign w:val="center"/>
          </w:tcPr>
          <w:p w:rsidR="001D63BB" w:rsidRPr="00220C32" w:rsidRDefault="001D63BB" w:rsidP="001675CD">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100.00</w:t>
            </w:r>
          </w:p>
        </w:tc>
      </w:tr>
    </w:tbl>
    <w:p w:rsidR="004061AC" w:rsidRPr="00220C32" w:rsidRDefault="001675CD" w:rsidP="004061AC">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注：本基金未开通港股通交易机制投资于港股。</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8A409E" w:rsidRPr="00B459CD" w:rsidRDefault="008A409E" w:rsidP="008A409E">
      <w:pPr>
        <w:rPr>
          <w:b/>
        </w:rPr>
      </w:pPr>
      <w:r w:rsidRPr="00B459CD">
        <w:rPr>
          <w:rFonts w:eastAsiaTheme="minorEastAsia" w:hint="eastAsia"/>
          <w:b/>
          <w:color w:val="000000" w:themeColor="text1"/>
          <w:kern w:val="0"/>
        </w:rPr>
        <w:t>5.2.1</w:t>
      </w:r>
      <w:r w:rsidRPr="00B459CD">
        <w:rPr>
          <w:rFonts w:eastAsiaTheme="minorEastAsia" w:hint="eastAsia"/>
          <w:b/>
          <w:color w:val="000000" w:themeColor="text1"/>
          <w:kern w:val="0"/>
        </w:rPr>
        <w:t>报告期末按行业分类的境内股票投资组合</w:t>
      </w:r>
    </w:p>
    <w:tbl>
      <w:tblPr>
        <w:tblW w:w="835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736"/>
        <w:gridCol w:w="1386"/>
      </w:tblGrid>
      <w:tr w:rsidR="008A409E" w:rsidRPr="008A409E" w:rsidTr="00AA3CB0">
        <w:trPr>
          <w:trHeight w:val="39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行业类别</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公允价值（元）</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占基金资产净值比例（％）</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农、林、牧、渔业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采矿业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AA3CB0">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429,809.00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AA3CB0">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3.85</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制造业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3,344,239.03</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29.95</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电力、热力、燃气及水生产和供应业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181,840.00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1.63</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建筑业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300,500.00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2.69</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批发和零售业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218,798.00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1.96</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交通运输、仓储和邮政业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209,893.00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1.88</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住宿和餐饮业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信息传输、软件和信息技术服务业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金融业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3,207,868.20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28.73</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房地产业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499,821.00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4.48</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租赁和商务服务业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科学研究和技术服务业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水利、环境和公共设施管理业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居民服务、修理和其他服务业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教育</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卫生和社会工作</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29,980.20</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0.27</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文化、体育和娱乐业</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综合</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AA3CB0">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合计</w:t>
            </w:r>
          </w:p>
        </w:tc>
        <w:tc>
          <w:tcPr>
            <w:tcW w:w="2736"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8,422,748.43</w:t>
            </w:r>
          </w:p>
        </w:tc>
        <w:tc>
          <w:tcPr>
            <w:tcW w:w="138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75.43</w:t>
            </w:r>
          </w:p>
        </w:tc>
      </w:tr>
    </w:tbl>
    <w:p w:rsidR="008A409E" w:rsidRPr="008A409E" w:rsidRDefault="008A409E" w:rsidP="008A409E">
      <w:pPr>
        <w:jc w:val="left"/>
        <w:rPr>
          <w:rFonts w:asciiTheme="minorEastAsia" w:eastAsiaTheme="minorEastAsia" w:hAnsiTheme="minorEastAsia"/>
          <w:b/>
          <w:bCs/>
          <w:color w:val="000000" w:themeColor="text1"/>
          <w:kern w:val="0"/>
          <w:sz w:val="24"/>
          <w:szCs w:val="24"/>
        </w:rPr>
      </w:pPr>
      <w:r w:rsidRPr="008A409E">
        <w:rPr>
          <w:rFonts w:asciiTheme="minorEastAsia" w:eastAsiaTheme="minorEastAsia" w:hAnsiTheme="minorEastAsia" w:hint="eastAsia"/>
          <w:b/>
          <w:bCs/>
          <w:color w:val="000000" w:themeColor="text1"/>
          <w:kern w:val="0"/>
          <w:sz w:val="24"/>
          <w:szCs w:val="24"/>
        </w:rPr>
        <w:t>5.2.2报告期末按行业分类的</w:t>
      </w:r>
      <w:r w:rsidR="004C2F03">
        <w:rPr>
          <w:rFonts w:asciiTheme="minorEastAsia" w:eastAsiaTheme="minorEastAsia" w:hAnsiTheme="minorEastAsia" w:hint="eastAsia"/>
          <w:b/>
          <w:bCs/>
          <w:color w:val="000000" w:themeColor="text1"/>
          <w:kern w:val="0"/>
          <w:sz w:val="24"/>
          <w:szCs w:val="24"/>
        </w:rPr>
        <w:t>港股通</w:t>
      </w:r>
      <w:r w:rsidRPr="008A409E">
        <w:rPr>
          <w:rFonts w:asciiTheme="minorEastAsia" w:eastAsiaTheme="minorEastAsia" w:hAnsiTheme="minorEastAsia" w:hint="eastAsia"/>
          <w:b/>
          <w:bCs/>
          <w:color w:val="000000" w:themeColor="text1"/>
          <w:kern w:val="0"/>
          <w:sz w:val="24"/>
          <w:szCs w:val="24"/>
        </w:rPr>
        <w:t>投资股票投资组合</w:t>
      </w:r>
    </w:p>
    <w:p w:rsidR="004061AC" w:rsidRPr="008A409E" w:rsidRDefault="008A409E"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r w:rsidRPr="008A409E">
        <w:rPr>
          <w:rFonts w:asciiTheme="minorEastAsia" w:eastAsiaTheme="minorEastAsia" w:hAnsiTheme="minorEastAsia"/>
          <w:color w:val="000000" w:themeColor="text1"/>
        </w:rPr>
        <w:t>本基金未开通港股通交易机制投资于港股。</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5.3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7"/>
        <w:tblW w:w="0" w:type="auto"/>
        <w:jc w:val="center"/>
        <w:tblLayout w:type="fixed"/>
        <w:tblLook w:val="04A0"/>
      </w:tblPr>
      <w:tblGrid>
        <w:gridCol w:w="817"/>
        <w:gridCol w:w="1276"/>
        <w:gridCol w:w="1701"/>
        <w:gridCol w:w="1276"/>
        <w:gridCol w:w="1743"/>
        <w:gridCol w:w="1517"/>
      </w:tblGrid>
      <w:tr w:rsidR="00220C32" w:rsidRPr="00220C32" w:rsidTr="00AA3CB0">
        <w:trPr>
          <w:jc w:val="center"/>
        </w:trPr>
        <w:tc>
          <w:tcPr>
            <w:tcW w:w="817"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股票代码</w:t>
            </w:r>
          </w:p>
        </w:tc>
        <w:tc>
          <w:tcPr>
            <w:tcW w:w="1701"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股票名称</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数量</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股</w:t>
            </w:r>
            <w:r w:rsidR="00D57B7C" w:rsidRPr="00220C32">
              <w:rPr>
                <w:rFonts w:asciiTheme="minorEastAsia" w:eastAsiaTheme="minorEastAsia" w:hAnsiTheme="minorEastAsia" w:cs="宋体" w:hint="eastAsia"/>
                <w:color w:val="000000" w:themeColor="text1"/>
                <w:sz w:val="21"/>
              </w:rPr>
              <w:t>)</w:t>
            </w:r>
          </w:p>
        </w:tc>
        <w:tc>
          <w:tcPr>
            <w:tcW w:w="1743" w:type="dxa"/>
            <w:vAlign w:val="center"/>
          </w:tcPr>
          <w:p w:rsidR="00853140" w:rsidRPr="00220C32" w:rsidRDefault="00853140" w:rsidP="006E042A">
            <w:pPr>
              <w:autoSpaceDE w:val="0"/>
              <w:autoSpaceDN w:val="0"/>
              <w:adjustRightInd w:val="0"/>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517"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4761B6" w:rsidTr="00AA3CB0">
        <w:trPr>
          <w:jc w:val="center"/>
        </w:trPr>
        <w:tc>
          <w:tcPr>
            <w:tcW w:w="817" w:type="dxa"/>
            <w:vAlign w:val="center"/>
          </w:tcPr>
          <w:p w:rsidR="004761B6" w:rsidRDefault="00AA3CB0">
            <w:pPr>
              <w:jc w:val="center"/>
            </w:pPr>
            <w:r>
              <w:rPr>
                <w:rFonts w:asciiTheme="minorEastAsia" w:eastAsiaTheme="minorEastAsia" w:hAnsiTheme="minorEastAsia" w:cs="宋体"/>
                <w:color w:val="000000" w:themeColor="text1"/>
                <w:sz w:val="21"/>
              </w:rPr>
              <w:t>1</w:t>
            </w:r>
          </w:p>
        </w:tc>
        <w:tc>
          <w:tcPr>
            <w:tcW w:w="1276" w:type="dxa"/>
            <w:vAlign w:val="center"/>
          </w:tcPr>
          <w:p w:rsidR="004761B6" w:rsidRDefault="00AA3CB0">
            <w:pPr>
              <w:jc w:val="center"/>
            </w:pPr>
            <w:r>
              <w:rPr>
                <w:rFonts w:asciiTheme="minorEastAsia" w:eastAsiaTheme="minorEastAsia" w:hAnsiTheme="minorEastAsia" w:cs="宋体"/>
                <w:color w:val="000000" w:themeColor="text1"/>
                <w:sz w:val="21"/>
              </w:rPr>
              <w:t>601318</w:t>
            </w:r>
          </w:p>
        </w:tc>
        <w:tc>
          <w:tcPr>
            <w:tcW w:w="1701" w:type="dxa"/>
            <w:vAlign w:val="center"/>
          </w:tcPr>
          <w:p w:rsidR="004761B6" w:rsidRDefault="00AA3CB0">
            <w:pPr>
              <w:jc w:val="center"/>
            </w:pPr>
            <w:r>
              <w:rPr>
                <w:rFonts w:asciiTheme="minorEastAsia" w:eastAsiaTheme="minorEastAsia" w:hAnsiTheme="minorEastAsia" w:cs="宋体"/>
                <w:color w:val="000000" w:themeColor="text1"/>
                <w:sz w:val="21"/>
              </w:rPr>
              <w:t>中国平安</w:t>
            </w:r>
          </w:p>
        </w:tc>
        <w:tc>
          <w:tcPr>
            <w:tcW w:w="1276" w:type="dxa"/>
            <w:vAlign w:val="center"/>
          </w:tcPr>
          <w:p w:rsidR="004761B6" w:rsidRDefault="00AA3CB0">
            <w:pPr>
              <w:jc w:val="right"/>
            </w:pPr>
            <w:r>
              <w:rPr>
                <w:rFonts w:asciiTheme="minorEastAsia" w:eastAsiaTheme="minorEastAsia" w:hAnsiTheme="minorEastAsia" w:cs="宋体"/>
                <w:color w:val="000000" w:themeColor="text1"/>
                <w:sz w:val="21"/>
              </w:rPr>
              <w:t>8,100.00</w:t>
            </w:r>
          </w:p>
        </w:tc>
        <w:tc>
          <w:tcPr>
            <w:tcW w:w="1743" w:type="dxa"/>
            <w:vAlign w:val="center"/>
          </w:tcPr>
          <w:p w:rsidR="004761B6" w:rsidRDefault="00AA3CB0">
            <w:pPr>
              <w:jc w:val="right"/>
            </w:pPr>
            <w:r>
              <w:rPr>
                <w:rFonts w:asciiTheme="minorEastAsia" w:eastAsiaTheme="minorEastAsia" w:hAnsiTheme="minorEastAsia" w:cs="宋体"/>
                <w:color w:val="000000" w:themeColor="text1"/>
                <w:sz w:val="21"/>
              </w:rPr>
              <w:t>554,850.00</w:t>
            </w:r>
          </w:p>
        </w:tc>
        <w:tc>
          <w:tcPr>
            <w:tcW w:w="1517" w:type="dxa"/>
            <w:vAlign w:val="center"/>
          </w:tcPr>
          <w:p w:rsidR="004761B6" w:rsidRDefault="00AA3CB0">
            <w:pPr>
              <w:jc w:val="right"/>
            </w:pPr>
            <w:r>
              <w:rPr>
                <w:rFonts w:asciiTheme="minorEastAsia" w:eastAsiaTheme="minorEastAsia" w:hAnsiTheme="minorEastAsia" w:cs="宋体"/>
                <w:color w:val="000000" w:themeColor="text1"/>
                <w:sz w:val="21"/>
              </w:rPr>
              <w:t>4.97</w:t>
            </w:r>
          </w:p>
        </w:tc>
      </w:tr>
      <w:tr w:rsidR="004761B6" w:rsidTr="00AA3CB0">
        <w:trPr>
          <w:jc w:val="center"/>
        </w:trPr>
        <w:tc>
          <w:tcPr>
            <w:tcW w:w="817" w:type="dxa"/>
            <w:vAlign w:val="center"/>
          </w:tcPr>
          <w:p w:rsidR="004761B6" w:rsidRDefault="00AA3CB0">
            <w:pPr>
              <w:jc w:val="center"/>
            </w:pPr>
            <w:r>
              <w:rPr>
                <w:rFonts w:asciiTheme="minorEastAsia" w:eastAsiaTheme="minorEastAsia" w:hAnsiTheme="minorEastAsia" w:cs="宋体"/>
                <w:color w:val="000000" w:themeColor="text1"/>
                <w:sz w:val="21"/>
              </w:rPr>
              <w:t>2</w:t>
            </w:r>
          </w:p>
        </w:tc>
        <w:tc>
          <w:tcPr>
            <w:tcW w:w="1276" w:type="dxa"/>
            <w:vAlign w:val="center"/>
          </w:tcPr>
          <w:p w:rsidR="004761B6" w:rsidRDefault="00AA3CB0">
            <w:pPr>
              <w:jc w:val="center"/>
            </w:pPr>
            <w:r>
              <w:rPr>
                <w:rFonts w:asciiTheme="minorEastAsia" w:eastAsiaTheme="minorEastAsia" w:hAnsiTheme="minorEastAsia" w:cs="宋体"/>
                <w:color w:val="000000" w:themeColor="text1"/>
                <w:sz w:val="21"/>
              </w:rPr>
              <w:t>600519</w:t>
            </w:r>
          </w:p>
        </w:tc>
        <w:tc>
          <w:tcPr>
            <w:tcW w:w="1701" w:type="dxa"/>
            <w:vAlign w:val="center"/>
          </w:tcPr>
          <w:p w:rsidR="004761B6" w:rsidRDefault="00AA3CB0">
            <w:pPr>
              <w:jc w:val="center"/>
            </w:pPr>
            <w:r>
              <w:rPr>
                <w:rFonts w:asciiTheme="minorEastAsia" w:eastAsiaTheme="minorEastAsia" w:hAnsiTheme="minorEastAsia" w:cs="宋体"/>
                <w:color w:val="000000" w:themeColor="text1"/>
                <w:sz w:val="21"/>
              </w:rPr>
              <w:t>贵州茅台</w:t>
            </w:r>
          </w:p>
        </w:tc>
        <w:tc>
          <w:tcPr>
            <w:tcW w:w="1276" w:type="dxa"/>
            <w:vAlign w:val="center"/>
          </w:tcPr>
          <w:p w:rsidR="004761B6" w:rsidRDefault="00AA3CB0">
            <w:pPr>
              <w:jc w:val="right"/>
            </w:pPr>
            <w:r>
              <w:rPr>
                <w:rFonts w:asciiTheme="minorEastAsia" w:eastAsiaTheme="minorEastAsia" w:hAnsiTheme="minorEastAsia" w:cs="宋体"/>
                <w:color w:val="000000" w:themeColor="text1"/>
                <w:sz w:val="21"/>
              </w:rPr>
              <w:t>700.00</w:t>
            </w:r>
          </w:p>
        </w:tc>
        <w:tc>
          <w:tcPr>
            <w:tcW w:w="1743" w:type="dxa"/>
            <w:vAlign w:val="center"/>
          </w:tcPr>
          <w:p w:rsidR="004761B6" w:rsidRDefault="00AA3CB0">
            <w:pPr>
              <w:jc w:val="right"/>
            </w:pPr>
            <w:r>
              <w:rPr>
                <w:rFonts w:asciiTheme="minorEastAsia" w:eastAsiaTheme="minorEastAsia" w:hAnsiTheme="minorEastAsia" w:cs="宋体"/>
                <w:color w:val="000000" w:themeColor="text1"/>
                <w:sz w:val="21"/>
              </w:rPr>
              <w:t>511,000.00</w:t>
            </w:r>
          </w:p>
        </w:tc>
        <w:tc>
          <w:tcPr>
            <w:tcW w:w="1517" w:type="dxa"/>
            <w:vAlign w:val="center"/>
          </w:tcPr>
          <w:p w:rsidR="004761B6" w:rsidRDefault="00AA3CB0">
            <w:pPr>
              <w:jc w:val="right"/>
            </w:pPr>
            <w:r>
              <w:rPr>
                <w:rFonts w:asciiTheme="minorEastAsia" w:eastAsiaTheme="minorEastAsia" w:hAnsiTheme="minorEastAsia" w:cs="宋体"/>
                <w:color w:val="000000" w:themeColor="text1"/>
                <w:sz w:val="21"/>
              </w:rPr>
              <w:t>4.58</w:t>
            </w:r>
          </w:p>
        </w:tc>
      </w:tr>
      <w:tr w:rsidR="004761B6" w:rsidTr="00AA3CB0">
        <w:trPr>
          <w:jc w:val="center"/>
        </w:trPr>
        <w:tc>
          <w:tcPr>
            <w:tcW w:w="817" w:type="dxa"/>
            <w:vAlign w:val="center"/>
          </w:tcPr>
          <w:p w:rsidR="004761B6" w:rsidRDefault="00AA3CB0">
            <w:pPr>
              <w:jc w:val="center"/>
            </w:pPr>
            <w:r>
              <w:rPr>
                <w:rFonts w:asciiTheme="minorEastAsia" w:eastAsiaTheme="minorEastAsia" w:hAnsiTheme="minorEastAsia" w:cs="宋体"/>
                <w:color w:val="000000" w:themeColor="text1"/>
                <w:sz w:val="21"/>
              </w:rPr>
              <w:t>3</w:t>
            </w:r>
          </w:p>
        </w:tc>
        <w:tc>
          <w:tcPr>
            <w:tcW w:w="1276" w:type="dxa"/>
            <w:vAlign w:val="center"/>
          </w:tcPr>
          <w:p w:rsidR="004761B6" w:rsidRDefault="00AA3CB0">
            <w:pPr>
              <w:jc w:val="center"/>
            </w:pPr>
            <w:r>
              <w:rPr>
                <w:rFonts w:asciiTheme="minorEastAsia" w:eastAsiaTheme="minorEastAsia" w:hAnsiTheme="minorEastAsia" w:cs="宋体"/>
                <w:color w:val="000000" w:themeColor="text1"/>
                <w:sz w:val="21"/>
              </w:rPr>
              <w:t>601288</w:t>
            </w:r>
          </w:p>
        </w:tc>
        <w:tc>
          <w:tcPr>
            <w:tcW w:w="1701" w:type="dxa"/>
            <w:vAlign w:val="center"/>
          </w:tcPr>
          <w:p w:rsidR="004761B6" w:rsidRDefault="00AA3CB0">
            <w:pPr>
              <w:jc w:val="center"/>
            </w:pPr>
            <w:r>
              <w:rPr>
                <w:rFonts w:asciiTheme="minorEastAsia" w:eastAsiaTheme="minorEastAsia" w:hAnsiTheme="minorEastAsia" w:cs="宋体"/>
                <w:color w:val="000000" w:themeColor="text1"/>
                <w:sz w:val="21"/>
              </w:rPr>
              <w:t>农业银行</w:t>
            </w:r>
          </w:p>
        </w:tc>
        <w:tc>
          <w:tcPr>
            <w:tcW w:w="1276" w:type="dxa"/>
            <w:vAlign w:val="center"/>
          </w:tcPr>
          <w:p w:rsidR="004761B6" w:rsidRDefault="00AA3CB0">
            <w:pPr>
              <w:jc w:val="right"/>
            </w:pPr>
            <w:r>
              <w:rPr>
                <w:rFonts w:asciiTheme="minorEastAsia" w:eastAsiaTheme="minorEastAsia" w:hAnsiTheme="minorEastAsia" w:cs="宋体"/>
                <w:color w:val="000000" w:themeColor="text1"/>
                <w:sz w:val="21"/>
              </w:rPr>
              <w:t>67,100.00</w:t>
            </w:r>
          </w:p>
        </w:tc>
        <w:tc>
          <w:tcPr>
            <w:tcW w:w="1743" w:type="dxa"/>
            <w:vAlign w:val="center"/>
          </w:tcPr>
          <w:p w:rsidR="004761B6" w:rsidRDefault="00AA3CB0">
            <w:pPr>
              <w:jc w:val="right"/>
            </w:pPr>
            <w:r>
              <w:rPr>
                <w:rFonts w:asciiTheme="minorEastAsia" w:eastAsiaTheme="minorEastAsia" w:hAnsiTheme="minorEastAsia" w:cs="宋体"/>
                <w:color w:val="000000" w:themeColor="text1"/>
                <w:sz w:val="21"/>
              </w:rPr>
              <w:t>261,019.00</w:t>
            </w:r>
          </w:p>
        </w:tc>
        <w:tc>
          <w:tcPr>
            <w:tcW w:w="1517" w:type="dxa"/>
            <w:vAlign w:val="center"/>
          </w:tcPr>
          <w:p w:rsidR="004761B6" w:rsidRDefault="00AA3CB0">
            <w:pPr>
              <w:jc w:val="right"/>
            </w:pPr>
            <w:r>
              <w:rPr>
                <w:rFonts w:asciiTheme="minorEastAsia" w:eastAsiaTheme="minorEastAsia" w:hAnsiTheme="minorEastAsia" w:cs="宋体"/>
                <w:color w:val="000000" w:themeColor="text1"/>
                <w:sz w:val="21"/>
              </w:rPr>
              <w:t>2.34</w:t>
            </w:r>
          </w:p>
        </w:tc>
      </w:tr>
      <w:tr w:rsidR="004761B6" w:rsidTr="00AA3CB0">
        <w:trPr>
          <w:jc w:val="center"/>
        </w:trPr>
        <w:tc>
          <w:tcPr>
            <w:tcW w:w="817" w:type="dxa"/>
            <w:vAlign w:val="center"/>
          </w:tcPr>
          <w:p w:rsidR="004761B6" w:rsidRDefault="00AA3CB0">
            <w:pPr>
              <w:jc w:val="center"/>
            </w:pPr>
            <w:r>
              <w:rPr>
                <w:rFonts w:asciiTheme="minorEastAsia" w:eastAsiaTheme="minorEastAsia" w:hAnsiTheme="minorEastAsia" w:cs="宋体"/>
                <w:color w:val="000000" w:themeColor="text1"/>
                <w:sz w:val="21"/>
              </w:rPr>
              <w:t>4</w:t>
            </w:r>
          </w:p>
        </w:tc>
        <w:tc>
          <w:tcPr>
            <w:tcW w:w="1276" w:type="dxa"/>
            <w:vAlign w:val="center"/>
          </w:tcPr>
          <w:p w:rsidR="004761B6" w:rsidRDefault="00AA3CB0">
            <w:pPr>
              <w:jc w:val="center"/>
            </w:pPr>
            <w:r>
              <w:rPr>
                <w:rFonts w:asciiTheme="minorEastAsia" w:eastAsiaTheme="minorEastAsia" w:hAnsiTheme="minorEastAsia" w:cs="宋体"/>
                <w:color w:val="000000" w:themeColor="text1"/>
                <w:sz w:val="21"/>
              </w:rPr>
              <w:t>601328</w:t>
            </w:r>
          </w:p>
        </w:tc>
        <w:tc>
          <w:tcPr>
            <w:tcW w:w="1701" w:type="dxa"/>
            <w:vAlign w:val="center"/>
          </w:tcPr>
          <w:p w:rsidR="004761B6" w:rsidRDefault="00AA3CB0">
            <w:pPr>
              <w:jc w:val="center"/>
            </w:pPr>
            <w:r>
              <w:rPr>
                <w:rFonts w:asciiTheme="minorEastAsia" w:eastAsiaTheme="minorEastAsia" w:hAnsiTheme="minorEastAsia" w:cs="宋体"/>
                <w:color w:val="000000" w:themeColor="text1"/>
                <w:sz w:val="21"/>
              </w:rPr>
              <w:t>交通银行</w:t>
            </w:r>
          </w:p>
        </w:tc>
        <w:tc>
          <w:tcPr>
            <w:tcW w:w="1276" w:type="dxa"/>
            <w:vAlign w:val="center"/>
          </w:tcPr>
          <w:p w:rsidR="004761B6" w:rsidRDefault="00AA3CB0">
            <w:pPr>
              <w:jc w:val="right"/>
            </w:pPr>
            <w:r>
              <w:rPr>
                <w:rFonts w:asciiTheme="minorEastAsia" w:eastAsiaTheme="minorEastAsia" w:hAnsiTheme="minorEastAsia" w:cs="宋体"/>
                <w:color w:val="000000" w:themeColor="text1"/>
                <w:sz w:val="21"/>
              </w:rPr>
              <w:t>41,500.00</w:t>
            </w:r>
          </w:p>
        </w:tc>
        <w:tc>
          <w:tcPr>
            <w:tcW w:w="1743" w:type="dxa"/>
            <w:vAlign w:val="center"/>
          </w:tcPr>
          <w:p w:rsidR="004761B6" w:rsidRDefault="00AA3CB0">
            <w:pPr>
              <w:jc w:val="right"/>
            </w:pPr>
            <w:r>
              <w:rPr>
                <w:rFonts w:asciiTheme="minorEastAsia" w:eastAsiaTheme="minorEastAsia" w:hAnsiTheme="minorEastAsia" w:cs="宋体"/>
                <w:color w:val="000000" w:themeColor="text1"/>
                <w:sz w:val="21"/>
              </w:rPr>
              <w:t>242,360.00</w:t>
            </w:r>
          </w:p>
        </w:tc>
        <w:tc>
          <w:tcPr>
            <w:tcW w:w="1517" w:type="dxa"/>
            <w:vAlign w:val="center"/>
          </w:tcPr>
          <w:p w:rsidR="004761B6" w:rsidRDefault="00AA3CB0">
            <w:pPr>
              <w:jc w:val="right"/>
            </w:pPr>
            <w:r>
              <w:rPr>
                <w:rFonts w:asciiTheme="minorEastAsia" w:eastAsiaTheme="minorEastAsia" w:hAnsiTheme="minorEastAsia" w:cs="宋体"/>
                <w:color w:val="000000" w:themeColor="text1"/>
                <w:sz w:val="21"/>
              </w:rPr>
              <w:t>2.17</w:t>
            </w:r>
          </w:p>
        </w:tc>
      </w:tr>
      <w:tr w:rsidR="004761B6" w:rsidTr="00AA3CB0">
        <w:trPr>
          <w:jc w:val="center"/>
        </w:trPr>
        <w:tc>
          <w:tcPr>
            <w:tcW w:w="817" w:type="dxa"/>
            <w:vAlign w:val="center"/>
          </w:tcPr>
          <w:p w:rsidR="004761B6" w:rsidRDefault="00AA3CB0">
            <w:pPr>
              <w:jc w:val="center"/>
            </w:pPr>
            <w:r>
              <w:rPr>
                <w:rFonts w:asciiTheme="minorEastAsia" w:eastAsiaTheme="minorEastAsia" w:hAnsiTheme="minorEastAsia" w:cs="宋体"/>
                <w:color w:val="000000" w:themeColor="text1"/>
                <w:sz w:val="21"/>
              </w:rPr>
              <w:t>5</w:t>
            </w:r>
          </w:p>
        </w:tc>
        <w:tc>
          <w:tcPr>
            <w:tcW w:w="1276" w:type="dxa"/>
            <w:vAlign w:val="center"/>
          </w:tcPr>
          <w:p w:rsidR="004761B6" w:rsidRDefault="00AA3CB0">
            <w:pPr>
              <w:jc w:val="center"/>
            </w:pPr>
            <w:r>
              <w:rPr>
                <w:rFonts w:asciiTheme="minorEastAsia" w:eastAsiaTheme="minorEastAsia" w:hAnsiTheme="minorEastAsia" w:cs="宋体"/>
                <w:color w:val="000000" w:themeColor="text1"/>
                <w:sz w:val="21"/>
              </w:rPr>
              <w:t>000333</w:t>
            </w:r>
          </w:p>
        </w:tc>
        <w:tc>
          <w:tcPr>
            <w:tcW w:w="1701" w:type="dxa"/>
            <w:vAlign w:val="center"/>
          </w:tcPr>
          <w:p w:rsidR="004761B6" w:rsidRDefault="00AA3CB0">
            <w:pPr>
              <w:jc w:val="center"/>
            </w:pPr>
            <w:r>
              <w:rPr>
                <w:rFonts w:asciiTheme="minorEastAsia" w:eastAsiaTheme="minorEastAsia" w:hAnsiTheme="minorEastAsia" w:cs="宋体"/>
                <w:color w:val="000000" w:themeColor="text1"/>
                <w:sz w:val="21"/>
              </w:rPr>
              <w:t>美的集团</w:t>
            </w:r>
          </w:p>
        </w:tc>
        <w:tc>
          <w:tcPr>
            <w:tcW w:w="1276" w:type="dxa"/>
            <w:vAlign w:val="center"/>
          </w:tcPr>
          <w:p w:rsidR="004761B6" w:rsidRDefault="00AA3CB0">
            <w:pPr>
              <w:jc w:val="right"/>
            </w:pPr>
            <w:r>
              <w:rPr>
                <w:rFonts w:asciiTheme="minorEastAsia" w:eastAsiaTheme="minorEastAsia" w:hAnsiTheme="minorEastAsia" w:cs="宋体"/>
                <w:color w:val="000000" w:themeColor="text1"/>
                <w:sz w:val="21"/>
              </w:rPr>
              <w:t>5,708.00</w:t>
            </w:r>
          </w:p>
        </w:tc>
        <w:tc>
          <w:tcPr>
            <w:tcW w:w="1743" w:type="dxa"/>
            <w:vAlign w:val="center"/>
          </w:tcPr>
          <w:p w:rsidR="004761B6" w:rsidRDefault="00AA3CB0">
            <w:pPr>
              <w:jc w:val="right"/>
            </w:pPr>
            <w:r>
              <w:rPr>
                <w:rFonts w:asciiTheme="minorEastAsia" w:eastAsiaTheme="minorEastAsia" w:hAnsiTheme="minorEastAsia" w:cs="宋体"/>
                <w:color w:val="000000" w:themeColor="text1"/>
                <w:sz w:val="21"/>
              </w:rPr>
              <w:t>240,135.56</w:t>
            </w:r>
          </w:p>
        </w:tc>
        <w:tc>
          <w:tcPr>
            <w:tcW w:w="1517" w:type="dxa"/>
            <w:vAlign w:val="center"/>
          </w:tcPr>
          <w:p w:rsidR="004761B6" w:rsidRDefault="00AA3CB0">
            <w:pPr>
              <w:jc w:val="right"/>
            </w:pPr>
            <w:r>
              <w:rPr>
                <w:rFonts w:asciiTheme="minorEastAsia" w:eastAsiaTheme="minorEastAsia" w:hAnsiTheme="minorEastAsia" w:cs="宋体"/>
                <w:color w:val="000000" w:themeColor="text1"/>
                <w:sz w:val="21"/>
              </w:rPr>
              <w:t>2.15</w:t>
            </w:r>
          </w:p>
        </w:tc>
      </w:tr>
      <w:tr w:rsidR="004761B6" w:rsidTr="00AA3CB0">
        <w:trPr>
          <w:jc w:val="center"/>
        </w:trPr>
        <w:tc>
          <w:tcPr>
            <w:tcW w:w="817" w:type="dxa"/>
            <w:vAlign w:val="center"/>
          </w:tcPr>
          <w:p w:rsidR="004761B6" w:rsidRDefault="00AA3CB0">
            <w:pPr>
              <w:jc w:val="center"/>
            </w:pPr>
            <w:r>
              <w:rPr>
                <w:rFonts w:asciiTheme="minorEastAsia" w:eastAsiaTheme="minorEastAsia" w:hAnsiTheme="minorEastAsia" w:cs="宋体"/>
                <w:color w:val="000000" w:themeColor="text1"/>
                <w:sz w:val="21"/>
              </w:rPr>
              <w:t>6</w:t>
            </w:r>
          </w:p>
        </w:tc>
        <w:tc>
          <w:tcPr>
            <w:tcW w:w="1276" w:type="dxa"/>
            <w:vAlign w:val="center"/>
          </w:tcPr>
          <w:p w:rsidR="004761B6" w:rsidRDefault="00AA3CB0">
            <w:pPr>
              <w:jc w:val="center"/>
            </w:pPr>
            <w:r>
              <w:rPr>
                <w:rFonts w:asciiTheme="minorEastAsia" w:eastAsiaTheme="minorEastAsia" w:hAnsiTheme="minorEastAsia" w:cs="宋体"/>
                <w:color w:val="000000" w:themeColor="text1"/>
                <w:sz w:val="21"/>
              </w:rPr>
              <w:t>000651</w:t>
            </w:r>
          </w:p>
        </w:tc>
        <w:tc>
          <w:tcPr>
            <w:tcW w:w="1701" w:type="dxa"/>
            <w:vAlign w:val="center"/>
          </w:tcPr>
          <w:p w:rsidR="004761B6" w:rsidRDefault="00AA3CB0">
            <w:pPr>
              <w:jc w:val="center"/>
            </w:pPr>
            <w:r>
              <w:rPr>
                <w:rFonts w:asciiTheme="minorEastAsia" w:eastAsiaTheme="minorEastAsia" w:hAnsiTheme="minorEastAsia" w:cs="宋体"/>
                <w:color w:val="000000" w:themeColor="text1"/>
                <w:sz w:val="21"/>
              </w:rPr>
              <w:t>格力电器</w:t>
            </w:r>
          </w:p>
        </w:tc>
        <w:tc>
          <w:tcPr>
            <w:tcW w:w="1276" w:type="dxa"/>
            <w:vAlign w:val="center"/>
          </w:tcPr>
          <w:p w:rsidR="004761B6" w:rsidRDefault="00AA3CB0">
            <w:pPr>
              <w:jc w:val="right"/>
            </w:pPr>
            <w:r>
              <w:rPr>
                <w:rFonts w:asciiTheme="minorEastAsia" w:eastAsiaTheme="minorEastAsia" w:hAnsiTheme="minorEastAsia" w:cs="宋体"/>
                <w:color w:val="000000" w:themeColor="text1"/>
                <w:sz w:val="21"/>
              </w:rPr>
              <w:t>5,900.00</w:t>
            </w:r>
          </w:p>
        </w:tc>
        <w:tc>
          <w:tcPr>
            <w:tcW w:w="1743" w:type="dxa"/>
            <w:vAlign w:val="center"/>
          </w:tcPr>
          <w:p w:rsidR="004761B6" w:rsidRDefault="00AA3CB0">
            <w:pPr>
              <w:jc w:val="right"/>
            </w:pPr>
            <w:r>
              <w:rPr>
                <w:rFonts w:asciiTheme="minorEastAsia" w:eastAsiaTheme="minorEastAsia" w:hAnsiTheme="minorEastAsia" w:cs="宋体"/>
                <w:color w:val="000000" w:themeColor="text1"/>
                <w:sz w:val="21"/>
              </w:rPr>
              <w:t>237,180.00</w:t>
            </w:r>
          </w:p>
        </w:tc>
        <w:tc>
          <w:tcPr>
            <w:tcW w:w="1517" w:type="dxa"/>
            <w:vAlign w:val="center"/>
          </w:tcPr>
          <w:p w:rsidR="004761B6" w:rsidRDefault="00AA3CB0">
            <w:pPr>
              <w:jc w:val="right"/>
            </w:pPr>
            <w:r>
              <w:rPr>
                <w:rFonts w:asciiTheme="minorEastAsia" w:eastAsiaTheme="minorEastAsia" w:hAnsiTheme="minorEastAsia" w:cs="宋体"/>
                <w:color w:val="000000" w:themeColor="text1"/>
                <w:sz w:val="21"/>
              </w:rPr>
              <w:t>2.12</w:t>
            </w:r>
          </w:p>
        </w:tc>
      </w:tr>
      <w:tr w:rsidR="004761B6" w:rsidTr="00AA3CB0">
        <w:trPr>
          <w:jc w:val="center"/>
        </w:trPr>
        <w:tc>
          <w:tcPr>
            <w:tcW w:w="817" w:type="dxa"/>
            <w:vAlign w:val="center"/>
          </w:tcPr>
          <w:p w:rsidR="004761B6" w:rsidRDefault="00AA3CB0">
            <w:pPr>
              <w:jc w:val="center"/>
            </w:pPr>
            <w:r>
              <w:rPr>
                <w:rFonts w:asciiTheme="minorEastAsia" w:eastAsiaTheme="minorEastAsia" w:hAnsiTheme="minorEastAsia" w:cs="宋体"/>
                <w:color w:val="000000" w:themeColor="text1"/>
                <w:sz w:val="21"/>
              </w:rPr>
              <w:t>7</w:t>
            </w:r>
          </w:p>
        </w:tc>
        <w:tc>
          <w:tcPr>
            <w:tcW w:w="1276" w:type="dxa"/>
            <w:vAlign w:val="center"/>
          </w:tcPr>
          <w:p w:rsidR="004761B6" w:rsidRDefault="00AA3CB0">
            <w:pPr>
              <w:jc w:val="center"/>
            </w:pPr>
            <w:r>
              <w:rPr>
                <w:rFonts w:asciiTheme="minorEastAsia" w:eastAsiaTheme="minorEastAsia" w:hAnsiTheme="minorEastAsia" w:cs="宋体"/>
                <w:color w:val="000000" w:themeColor="text1"/>
                <w:sz w:val="21"/>
              </w:rPr>
              <w:t>601398</w:t>
            </w:r>
          </w:p>
        </w:tc>
        <w:tc>
          <w:tcPr>
            <w:tcW w:w="1701" w:type="dxa"/>
            <w:vAlign w:val="center"/>
          </w:tcPr>
          <w:p w:rsidR="004761B6" w:rsidRDefault="00AA3CB0">
            <w:pPr>
              <w:jc w:val="center"/>
            </w:pPr>
            <w:r>
              <w:rPr>
                <w:rFonts w:asciiTheme="minorEastAsia" w:eastAsiaTheme="minorEastAsia" w:hAnsiTheme="minorEastAsia" w:cs="宋体"/>
                <w:color w:val="000000" w:themeColor="text1"/>
                <w:sz w:val="21"/>
              </w:rPr>
              <w:t>工商银行</w:t>
            </w:r>
          </w:p>
        </w:tc>
        <w:tc>
          <w:tcPr>
            <w:tcW w:w="1276" w:type="dxa"/>
            <w:vAlign w:val="center"/>
          </w:tcPr>
          <w:p w:rsidR="004761B6" w:rsidRDefault="00AA3CB0">
            <w:pPr>
              <w:jc w:val="right"/>
            </w:pPr>
            <w:r>
              <w:rPr>
                <w:rFonts w:asciiTheme="minorEastAsia" w:eastAsiaTheme="minorEastAsia" w:hAnsiTheme="minorEastAsia" w:cs="宋体"/>
                <w:color w:val="000000" w:themeColor="text1"/>
                <w:sz w:val="21"/>
              </w:rPr>
              <w:t>40,100.00</w:t>
            </w:r>
          </w:p>
        </w:tc>
        <w:tc>
          <w:tcPr>
            <w:tcW w:w="1743" w:type="dxa"/>
            <w:vAlign w:val="center"/>
          </w:tcPr>
          <w:p w:rsidR="004761B6" w:rsidRDefault="00AA3CB0">
            <w:pPr>
              <w:jc w:val="right"/>
            </w:pPr>
            <w:r>
              <w:rPr>
                <w:rFonts w:asciiTheme="minorEastAsia" w:eastAsiaTheme="minorEastAsia" w:hAnsiTheme="minorEastAsia" w:cs="宋体"/>
                <w:color w:val="000000" w:themeColor="text1"/>
                <w:sz w:val="21"/>
              </w:rPr>
              <w:t>231,377.00</w:t>
            </w:r>
          </w:p>
        </w:tc>
        <w:tc>
          <w:tcPr>
            <w:tcW w:w="1517" w:type="dxa"/>
            <w:vAlign w:val="center"/>
          </w:tcPr>
          <w:p w:rsidR="004761B6" w:rsidRDefault="00AA3CB0">
            <w:pPr>
              <w:jc w:val="right"/>
            </w:pPr>
            <w:r>
              <w:rPr>
                <w:rFonts w:asciiTheme="minorEastAsia" w:eastAsiaTheme="minorEastAsia" w:hAnsiTheme="minorEastAsia" w:cs="宋体"/>
                <w:color w:val="000000" w:themeColor="text1"/>
                <w:sz w:val="21"/>
              </w:rPr>
              <w:t>2.07</w:t>
            </w:r>
          </w:p>
        </w:tc>
      </w:tr>
      <w:tr w:rsidR="004761B6" w:rsidTr="00AA3CB0">
        <w:trPr>
          <w:jc w:val="center"/>
        </w:trPr>
        <w:tc>
          <w:tcPr>
            <w:tcW w:w="817" w:type="dxa"/>
            <w:vAlign w:val="center"/>
          </w:tcPr>
          <w:p w:rsidR="004761B6" w:rsidRDefault="00AA3CB0">
            <w:pPr>
              <w:jc w:val="center"/>
            </w:pPr>
            <w:r>
              <w:rPr>
                <w:rFonts w:asciiTheme="minorEastAsia" w:eastAsiaTheme="minorEastAsia" w:hAnsiTheme="minorEastAsia" w:cs="宋体"/>
                <w:color w:val="000000" w:themeColor="text1"/>
                <w:sz w:val="21"/>
              </w:rPr>
              <w:t>8</w:t>
            </w:r>
          </w:p>
        </w:tc>
        <w:tc>
          <w:tcPr>
            <w:tcW w:w="1276" w:type="dxa"/>
            <w:vAlign w:val="center"/>
          </w:tcPr>
          <w:p w:rsidR="004761B6" w:rsidRDefault="00AA3CB0">
            <w:pPr>
              <w:jc w:val="center"/>
            </w:pPr>
            <w:r>
              <w:rPr>
                <w:rFonts w:asciiTheme="minorEastAsia" w:eastAsiaTheme="minorEastAsia" w:hAnsiTheme="minorEastAsia" w:cs="宋体"/>
                <w:color w:val="000000" w:themeColor="text1"/>
                <w:sz w:val="21"/>
              </w:rPr>
              <w:t>600016</w:t>
            </w:r>
          </w:p>
        </w:tc>
        <w:tc>
          <w:tcPr>
            <w:tcW w:w="1701" w:type="dxa"/>
            <w:vAlign w:val="center"/>
          </w:tcPr>
          <w:p w:rsidR="004761B6" w:rsidRDefault="00AA3CB0">
            <w:pPr>
              <w:jc w:val="center"/>
            </w:pPr>
            <w:r>
              <w:rPr>
                <w:rFonts w:asciiTheme="minorEastAsia" w:eastAsiaTheme="minorEastAsia" w:hAnsiTheme="minorEastAsia" w:cs="宋体"/>
                <w:color w:val="000000" w:themeColor="text1"/>
                <w:sz w:val="21"/>
              </w:rPr>
              <w:t>民生银行</w:t>
            </w:r>
          </w:p>
        </w:tc>
        <w:tc>
          <w:tcPr>
            <w:tcW w:w="1276" w:type="dxa"/>
            <w:vAlign w:val="center"/>
          </w:tcPr>
          <w:p w:rsidR="004761B6" w:rsidRDefault="00AA3CB0">
            <w:pPr>
              <w:jc w:val="right"/>
            </w:pPr>
            <w:r>
              <w:rPr>
                <w:rFonts w:asciiTheme="minorEastAsia" w:eastAsiaTheme="minorEastAsia" w:hAnsiTheme="minorEastAsia" w:cs="宋体"/>
                <w:color w:val="000000" w:themeColor="text1"/>
                <w:sz w:val="21"/>
              </w:rPr>
              <w:t>36,360.00</w:t>
            </w:r>
          </w:p>
        </w:tc>
        <w:tc>
          <w:tcPr>
            <w:tcW w:w="1743" w:type="dxa"/>
            <w:vAlign w:val="center"/>
          </w:tcPr>
          <w:p w:rsidR="004761B6" w:rsidRDefault="00AA3CB0">
            <w:pPr>
              <w:jc w:val="right"/>
            </w:pPr>
            <w:r>
              <w:rPr>
                <w:rFonts w:asciiTheme="minorEastAsia" w:eastAsiaTheme="minorEastAsia" w:hAnsiTheme="minorEastAsia" w:cs="宋体"/>
                <w:color w:val="000000" w:themeColor="text1"/>
                <w:sz w:val="21"/>
              </w:rPr>
              <w:t>230,522.40</w:t>
            </w:r>
          </w:p>
        </w:tc>
        <w:tc>
          <w:tcPr>
            <w:tcW w:w="1517" w:type="dxa"/>
            <w:vAlign w:val="center"/>
          </w:tcPr>
          <w:p w:rsidR="004761B6" w:rsidRDefault="00AA3CB0">
            <w:pPr>
              <w:jc w:val="right"/>
            </w:pPr>
            <w:r>
              <w:rPr>
                <w:rFonts w:asciiTheme="minorEastAsia" w:eastAsiaTheme="minorEastAsia" w:hAnsiTheme="minorEastAsia" w:cs="宋体"/>
                <w:color w:val="000000" w:themeColor="text1"/>
                <w:sz w:val="21"/>
              </w:rPr>
              <w:t>2.06</w:t>
            </w:r>
          </w:p>
        </w:tc>
      </w:tr>
      <w:tr w:rsidR="004761B6" w:rsidTr="00AA3CB0">
        <w:trPr>
          <w:jc w:val="center"/>
        </w:trPr>
        <w:tc>
          <w:tcPr>
            <w:tcW w:w="817" w:type="dxa"/>
            <w:vAlign w:val="center"/>
          </w:tcPr>
          <w:p w:rsidR="004761B6" w:rsidRDefault="00AA3CB0">
            <w:pPr>
              <w:jc w:val="center"/>
            </w:pPr>
            <w:r>
              <w:rPr>
                <w:rFonts w:asciiTheme="minorEastAsia" w:eastAsiaTheme="minorEastAsia" w:hAnsiTheme="minorEastAsia" w:cs="宋体"/>
                <w:color w:val="000000" w:themeColor="text1"/>
                <w:sz w:val="21"/>
              </w:rPr>
              <w:t>9</w:t>
            </w:r>
          </w:p>
        </w:tc>
        <w:tc>
          <w:tcPr>
            <w:tcW w:w="1276" w:type="dxa"/>
            <w:vAlign w:val="center"/>
          </w:tcPr>
          <w:p w:rsidR="004761B6" w:rsidRDefault="00AA3CB0">
            <w:pPr>
              <w:jc w:val="center"/>
            </w:pPr>
            <w:r>
              <w:rPr>
                <w:rFonts w:asciiTheme="minorEastAsia" w:eastAsiaTheme="minorEastAsia" w:hAnsiTheme="minorEastAsia" w:cs="宋体"/>
                <w:color w:val="000000" w:themeColor="text1"/>
                <w:sz w:val="21"/>
              </w:rPr>
              <w:t>002304</w:t>
            </w:r>
          </w:p>
        </w:tc>
        <w:tc>
          <w:tcPr>
            <w:tcW w:w="1701" w:type="dxa"/>
            <w:vAlign w:val="center"/>
          </w:tcPr>
          <w:p w:rsidR="004761B6" w:rsidRDefault="00AA3CB0">
            <w:pPr>
              <w:jc w:val="center"/>
            </w:pPr>
            <w:r>
              <w:rPr>
                <w:rFonts w:asciiTheme="minorEastAsia" w:eastAsiaTheme="minorEastAsia" w:hAnsiTheme="minorEastAsia" w:cs="宋体"/>
                <w:color w:val="000000" w:themeColor="text1"/>
                <w:sz w:val="21"/>
              </w:rPr>
              <w:t>洋河股份</w:t>
            </w:r>
          </w:p>
        </w:tc>
        <w:tc>
          <w:tcPr>
            <w:tcW w:w="1276" w:type="dxa"/>
            <w:vAlign w:val="center"/>
          </w:tcPr>
          <w:p w:rsidR="004761B6" w:rsidRDefault="00AA3CB0">
            <w:pPr>
              <w:jc w:val="right"/>
            </w:pPr>
            <w:r>
              <w:rPr>
                <w:rFonts w:asciiTheme="minorEastAsia" w:eastAsiaTheme="minorEastAsia" w:hAnsiTheme="minorEastAsia" w:cs="宋体"/>
                <w:color w:val="000000" w:themeColor="text1"/>
                <w:sz w:val="21"/>
              </w:rPr>
              <w:t>1,800.00</w:t>
            </w:r>
          </w:p>
        </w:tc>
        <w:tc>
          <w:tcPr>
            <w:tcW w:w="1743" w:type="dxa"/>
            <w:vAlign w:val="center"/>
          </w:tcPr>
          <w:p w:rsidR="004761B6" w:rsidRDefault="00AA3CB0">
            <w:pPr>
              <w:jc w:val="right"/>
            </w:pPr>
            <w:r>
              <w:rPr>
                <w:rFonts w:asciiTheme="minorEastAsia" w:eastAsiaTheme="minorEastAsia" w:hAnsiTheme="minorEastAsia" w:cs="宋体"/>
                <w:color w:val="000000" w:themeColor="text1"/>
                <w:sz w:val="21"/>
              </w:rPr>
              <w:t>230,400.00</w:t>
            </w:r>
          </w:p>
        </w:tc>
        <w:tc>
          <w:tcPr>
            <w:tcW w:w="1517" w:type="dxa"/>
            <w:vAlign w:val="center"/>
          </w:tcPr>
          <w:p w:rsidR="004761B6" w:rsidRDefault="00AA3CB0">
            <w:pPr>
              <w:jc w:val="right"/>
            </w:pPr>
            <w:r>
              <w:rPr>
                <w:rFonts w:asciiTheme="minorEastAsia" w:eastAsiaTheme="minorEastAsia" w:hAnsiTheme="minorEastAsia" w:cs="宋体"/>
                <w:color w:val="000000" w:themeColor="text1"/>
                <w:sz w:val="21"/>
              </w:rPr>
              <w:t>2.06</w:t>
            </w:r>
          </w:p>
        </w:tc>
      </w:tr>
      <w:tr w:rsidR="004761B6" w:rsidTr="00AA3CB0">
        <w:trPr>
          <w:jc w:val="center"/>
        </w:trPr>
        <w:tc>
          <w:tcPr>
            <w:tcW w:w="817" w:type="dxa"/>
            <w:vAlign w:val="center"/>
          </w:tcPr>
          <w:p w:rsidR="004761B6" w:rsidRDefault="00AA3CB0">
            <w:pPr>
              <w:jc w:val="center"/>
            </w:pPr>
            <w:r>
              <w:rPr>
                <w:rFonts w:asciiTheme="minorEastAsia" w:eastAsiaTheme="minorEastAsia" w:hAnsiTheme="minorEastAsia" w:cs="宋体"/>
                <w:color w:val="000000" w:themeColor="text1"/>
                <w:sz w:val="21"/>
              </w:rPr>
              <w:t>10</w:t>
            </w:r>
          </w:p>
        </w:tc>
        <w:tc>
          <w:tcPr>
            <w:tcW w:w="1276" w:type="dxa"/>
            <w:vAlign w:val="center"/>
          </w:tcPr>
          <w:p w:rsidR="004761B6" w:rsidRDefault="00AA3CB0">
            <w:pPr>
              <w:jc w:val="center"/>
            </w:pPr>
            <w:r>
              <w:rPr>
                <w:rFonts w:asciiTheme="minorEastAsia" w:eastAsiaTheme="minorEastAsia" w:hAnsiTheme="minorEastAsia" w:cs="宋体"/>
                <w:color w:val="000000" w:themeColor="text1"/>
                <w:sz w:val="21"/>
              </w:rPr>
              <w:t>600585</w:t>
            </w:r>
          </w:p>
        </w:tc>
        <w:tc>
          <w:tcPr>
            <w:tcW w:w="1701" w:type="dxa"/>
            <w:vAlign w:val="center"/>
          </w:tcPr>
          <w:p w:rsidR="004761B6" w:rsidRDefault="00AA3CB0">
            <w:pPr>
              <w:jc w:val="center"/>
            </w:pPr>
            <w:r>
              <w:rPr>
                <w:rFonts w:asciiTheme="minorEastAsia" w:eastAsiaTheme="minorEastAsia" w:hAnsiTheme="minorEastAsia" w:cs="宋体"/>
                <w:color w:val="000000" w:themeColor="text1"/>
                <w:sz w:val="21"/>
              </w:rPr>
              <w:t>海螺水泥</w:t>
            </w:r>
          </w:p>
        </w:tc>
        <w:tc>
          <w:tcPr>
            <w:tcW w:w="1276" w:type="dxa"/>
            <w:vAlign w:val="center"/>
          </w:tcPr>
          <w:p w:rsidR="004761B6" w:rsidRDefault="00AA3CB0">
            <w:pPr>
              <w:jc w:val="right"/>
            </w:pPr>
            <w:r>
              <w:rPr>
                <w:rFonts w:asciiTheme="minorEastAsia" w:eastAsiaTheme="minorEastAsia" w:hAnsiTheme="minorEastAsia" w:cs="宋体"/>
                <w:color w:val="000000" w:themeColor="text1"/>
                <w:sz w:val="21"/>
              </w:rPr>
              <w:t>6,000.00</w:t>
            </w:r>
          </w:p>
        </w:tc>
        <w:tc>
          <w:tcPr>
            <w:tcW w:w="1743" w:type="dxa"/>
            <w:vAlign w:val="center"/>
          </w:tcPr>
          <w:p w:rsidR="004761B6" w:rsidRDefault="00AA3CB0">
            <w:pPr>
              <w:jc w:val="right"/>
            </w:pPr>
            <w:r>
              <w:rPr>
                <w:rFonts w:asciiTheme="minorEastAsia" w:eastAsiaTheme="minorEastAsia" w:hAnsiTheme="minorEastAsia" w:cs="宋体"/>
                <w:color w:val="000000" w:themeColor="text1"/>
                <w:sz w:val="21"/>
              </w:rPr>
              <w:t>220,740.00</w:t>
            </w:r>
          </w:p>
        </w:tc>
        <w:tc>
          <w:tcPr>
            <w:tcW w:w="1517" w:type="dxa"/>
            <w:vAlign w:val="center"/>
          </w:tcPr>
          <w:p w:rsidR="004761B6" w:rsidRDefault="00AA3CB0">
            <w:pPr>
              <w:jc w:val="right"/>
            </w:pPr>
            <w:r>
              <w:rPr>
                <w:rFonts w:asciiTheme="minorEastAsia" w:eastAsiaTheme="minorEastAsia" w:hAnsiTheme="minorEastAsia" w:cs="宋体"/>
                <w:color w:val="000000" w:themeColor="text1"/>
                <w:sz w:val="21"/>
              </w:rPr>
              <w:t>1.98</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5.4 </w:t>
      </w:r>
      <w:r w:rsidRPr="00220C32">
        <w:rPr>
          <w:rFonts w:asciiTheme="minorEastAsia" w:eastAsiaTheme="minorEastAsia" w:hAnsiTheme="minorEastAsia" w:hint="eastAsia"/>
          <w:b/>
          <w:bCs/>
          <w:color w:val="000000" w:themeColor="text1"/>
          <w:kern w:val="0"/>
          <w:sz w:val="24"/>
          <w:szCs w:val="24"/>
        </w:rPr>
        <w:t>报告期末按债券品种分类的债券投资组合</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本基金本报告期末未持有债券。</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5.5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的前五名债券投资明细</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color w:val="000000" w:themeColor="text1"/>
        </w:rPr>
        <w:t>本基金本报告期末未持有债券。</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5.6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的前十名资产支持证券投资明细</w:t>
      </w:r>
    </w:p>
    <w:p w:rsidR="001D63BB" w:rsidRPr="00220C32" w:rsidRDefault="004061AC" w:rsidP="001D63BB">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rPr>
        <w:t>本基金本报告期末未持有资产支持证券。</w:t>
      </w:r>
    </w:p>
    <w:p w:rsidR="001D63BB" w:rsidRPr="00220C32" w:rsidRDefault="001D63BB" w:rsidP="001D63B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4061AC" w:rsidRPr="00220C32" w:rsidRDefault="001D63BB" w:rsidP="00AA3CB0">
      <w:pPr>
        <w:widowControl/>
        <w:spacing w:line="360" w:lineRule="auto"/>
        <w:jc w:val="left"/>
        <w:rPr>
          <w:rFonts w:asciiTheme="minorEastAsia" w:eastAsiaTheme="minorEastAsia" w:hAnsiTheme="minorEastAsia"/>
          <w:color w:val="000000" w:themeColor="text1"/>
          <w:kern w:val="0"/>
          <w:sz w:val="24"/>
          <w:szCs w:val="24"/>
        </w:rPr>
      </w:pPr>
      <w:r w:rsidRPr="00220C32">
        <w:rPr>
          <w:rFonts w:ascii="宋体" w:hAnsi="宋体"/>
          <w:color w:val="000000" w:themeColor="text1"/>
        </w:rPr>
        <w:t>本基金本报告期末未持有贵金属。</w:t>
      </w:r>
    </w:p>
    <w:p w:rsidR="004061AC" w:rsidRPr="00220C32" w:rsidRDefault="00A917B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5.8</w:t>
      </w:r>
      <w:r w:rsidR="004061AC"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004061AC" w:rsidRPr="00220C32">
        <w:rPr>
          <w:rFonts w:asciiTheme="minorEastAsia" w:eastAsiaTheme="minorEastAsia" w:hAnsiTheme="minorEastAsia" w:hint="eastAsia"/>
          <w:b/>
          <w:bCs/>
          <w:color w:val="000000" w:themeColor="text1"/>
          <w:kern w:val="0"/>
          <w:sz w:val="24"/>
          <w:szCs w:val="24"/>
        </w:rPr>
        <w:t>的前五名权证投资明细</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本基金本报告期末未持有权证。</w:t>
      </w: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A917BF" w:rsidRPr="00220C32">
        <w:rPr>
          <w:rFonts w:asciiTheme="minorEastAsia" w:eastAsiaTheme="minorEastAsia" w:hAnsiTheme="minorEastAsia" w:hint="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9</w:t>
      </w:r>
      <w:r w:rsidR="00275745" w:rsidRPr="00220C32">
        <w:rPr>
          <w:rFonts w:asciiTheme="minorEastAsia" w:eastAsiaTheme="minorEastAsia" w:hAnsiTheme="minorEastAsia" w:hint="eastAsia"/>
          <w:b/>
          <w:bCs/>
          <w:color w:val="000000" w:themeColor="text1"/>
          <w:kern w:val="0"/>
          <w:sz w:val="24"/>
          <w:szCs w:val="24"/>
        </w:rPr>
        <w:t xml:space="preserve"> 报告期末本基金投资的股指期货交易情况说明</w:t>
      </w:r>
    </w:p>
    <w:p w:rsidR="00A96A94"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.9.1</w:t>
      </w:r>
      <w:r w:rsidR="00A96A94" w:rsidRPr="00220C32">
        <w:rPr>
          <w:rFonts w:asciiTheme="minorEastAsia" w:eastAsiaTheme="minorEastAsia" w:hAnsiTheme="minorEastAsia" w:hint="eastAsia"/>
          <w:b/>
          <w:bCs/>
          <w:color w:val="000000" w:themeColor="text1"/>
          <w:kern w:val="0"/>
          <w:sz w:val="24"/>
          <w:szCs w:val="24"/>
        </w:rPr>
        <w:t xml:space="preserve"> 报告期末本基金投资的股指期货持仓和损益明细</w:t>
      </w:r>
    </w:p>
    <w:p w:rsidR="00AA3A38" w:rsidRPr="00220C32" w:rsidRDefault="00AA3A38" w:rsidP="00AA3CB0">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rPr>
        <w:t>本基金本报告期末未持有股指期货。</w:t>
      </w: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.9.2</w:t>
      </w:r>
      <w:r w:rsidR="00275745" w:rsidRPr="00220C32">
        <w:rPr>
          <w:rFonts w:asciiTheme="minorEastAsia" w:eastAsiaTheme="minorEastAsia" w:hAnsiTheme="minorEastAsia" w:hint="eastAsia"/>
          <w:b/>
          <w:bCs/>
          <w:color w:val="000000" w:themeColor="text1"/>
          <w:kern w:val="0"/>
          <w:sz w:val="24"/>
          <w:szCs w:val="24"/>
        </w:rPr>
        <w:t xml:space="preserve"> 本基金投资股指期货的投资政策</w:t>
      </w:r>
    </w:p>
    <w:p w:rsidR="00275745" w:rsidRPr="00220C32" w:rsidRDefault="00275745" w:rsidP="00AA3CB0">
      <w:pPr>
        <w:spacing w:line="360" w:lineRule="auto"/>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本基金本报告期未持有股指期货。</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5.10报告期末本基金投资的国债期货交易情况说明</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5.10.1 本期国债期货投资政策</w:t>
      </w:r>
    </w:p>
    <w:p w:rsidR="00312A9F" w:rsidRPr="00220C32" w:rsidRDefault="00312A9F" w:rsidP="00AA3CB0">
      <w:pPr>
        <w:spacing w:line="360" w:lineRule="auto"/>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本基金本报告期未持有国债期货。</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5.10.2 报告期末本基金投资的国债期货持仓和损益明细</w:t>
      </w:r>
    </w:p>
    <w:p w:rsidR="00312A9F" w:rsidRPr="00AA3CB0" w:rsidRDefault="00312A9F" w:rsidP="00AA3CB0">
      <w:pPr>
        <w:spacing w:line="360" w:lineRule="auto"/>
        <w:rPr>
          <w:rFonts w:asciiTheme="minorEastAsia" w:eastAsiaTheme="minorEastAsia" w:hAnsiTheme="minorEastAsia"/>
          <w:color w:val="000000" w:themeColor="text1"/>
        </w:rPr>
      </w:pPr>
      <w:r w:rsidRPr="00AA3CB0">
        <w:rPr>
          <w:rFonts w:asciiTheme="minorEastAsia" w:eastAsiaTheme="minorEastAsia" w:hAnsiTheme="minorEastAsia"/>
          <w:color w:val="000000" w:themeColor="text1"/>
        </w:rPr>
        <w:t>本基金本报告期末未持有国债期货。</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5.10.3 本期国债期货投资评价</w:t>
      </w:r>
    </w:p>
    <w:p w:rsidR="00312A9F" w:rsidRPr="00220C32" w:rsidRDefault="00312A9F" w:rsidP="00AA3CB0">
      <w:pPr>
        <w:spacing w:line="360" w:lineRule="auto"/>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olor w:val="000000" w:themeColor="text1"/>
        </w:rPr>
        <w:t>本基金本报告期未持有国债期货。</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4061AC" w:rsidRPr="00220C32">
        <w:rPr>
          <w:rFonts w:asciiTheme="minorEastAsia" w:eastAsiaTheme="minorEastAsia" w:hAnsiTheme="minorEastAsia" w:hint="eastAsia"/>
          <w:b/>
          <w:bCs/>
          <w:color w:val="000000" w:themeColor="text1"/>
          <w:kern w:val="0"/>
          <w:sz w:val="24"/>
          <w:szCs w:val="24"/>
        </w:rPr>
        <w:t>投资组合报告附注</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w:t>
      </w:r>
      <w:r w:rsidR="004061AC" w:rsidRPr="00220C32">
        <w:rPr>
          <w:rFonts w:asciiTheme="minorEastAsia" w:eastAsiaTheme="minorEastAsia" w:hAnsiTheme="minorEastAsia"/>
          <w:color w:val="000000" w:themeColor="text1"/>
          <w:sz w:val="24"/>
          <w:szCs w:val="24"/>
        </w:rPr>
        <w:t>本基金投资的前十名证券的发行主体本期没有出现被监管部门立案调查，或在报告编制日前一年内受到公开谴责、处罚的情形。</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275745"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2</w:t>
      </w:r>
      <w:r w:rsidR="004061AC" w:rsidRPr="00220C32">
        <w:rPr>
          <w:rFonts w:asciiTheme="minorEastAsia" w:eastAsiaTheme="minorEastAsia" w:hAnsiTheme="minorEastAsia"/>
          <w:color w:val="000000" w:themeColor="text1"/>
          <w:sz w:val="24"/>
          <w:szCs w:val="24"/>
        </w:rPr>
        <w:t>基金投资的前十名股票没有超出基金合同规定的备选股票库。</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3</w:t>
      </w:r>
      <w:r w:rsidR="00D53190">
        <w:rPr>
          <w:rFonts w:asciiTheme="minorEastAsia" w:eastAsiaTheme="minorEastAsia" w:hAnsiTheme="minorEastAsia" w:hint="eastAsia"/>
          <w:b/>
          <w:bCs/>
          <w:color w:val="000000" w:themeColor="text1"/>
          <w:kern w:val="0"/>
          <w:sz w:val="24"/>
          <w:szCs w:val="24"/>
        </w:rPr>
        <w:t>其他</w:t>
      </w:r>
      <w:r w:rsidR="004061AC" w:rsidRPr="00220C32">
        <w:rPr>
          <w:rFonts w:asciiTheme="minorEastAsia" w:eastAsiaTheme="minorEastAsia" w:hAnsiTheme="minorEastAsia" w:hint="eastAsia"/>
          <w:b/>
          <w:bCs/>
          <w:color w:val="000000" w:themeColor="text1"/>
          <w:kern w:val="0"/>
          <w:sz w:val="24"/>
          <w:szCs w:val="24"/>
        </w:rPr>
        <w:t>资产构成</w:t>
      </w:r>
    </w:p>
    <w:tbl>
      <w:tblPr>
        <w:tblStyle w:val="af7"/>
        <w:tblW w:w="0" w:type="auto"/>
        <w:jc w:val="center"/>
        <w:tblInd w:w="15" w:type="dxa"/>
        <w:tblLook w:val="04A0"/>
      </w:tblPr>
      <w:tblGrid>
        <w:gridCol w:w="1235"/>
        <w:gridCol w:w="2470"/>
        <w:gridCol w:w="4618"/>
      </w:tblGrid>
      <w:tr w:rsidR="00220C32" w:rsidRPr="00220C32" w:rsidTr="00AA3CB0">
        <w:trPr>
          <w:jc w:val="center"/>
        </w:trPr>
        <w:tc>
          <w:tcPr>
            <w:tcW w:w="1235"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2470"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名称</w:t>
            </w:r>
          </w:p>
        </w:tc>
        <w:tc>
          <w:tcPr>
            <w:tcW w:w="4618"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金额(元)</w:t>
            </w:r>
          </w:p>
        </w:tc>
      </w:tr>
      <w:tr w:rsidR="00220C32" w:rsidRPr="00220C32" w:rsidTr="00AA3CB0">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存出保证金</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28,145.70</w:t>
            </w:r>
          </w:p>
        </w:tc>
      </w:tr>
      <w:tr w:rsidR="00220C32" w:rsidRPr="00220C32" w:rsidTr="00AA3CB0">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应收证券清算款</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AA3CB0">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应收股利</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AA3CB0">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4</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应收利息</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528.69</w:t>
            </w:r>
          </w:p>
        </w:tc>
      </w:tr>
      <w:tr w:rsidR="00220C32" w:rsidRPr="00220C32" w:rsidTr="00AA3CB0">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应收申购款</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1,098.35</w:t>
            </w:r>
          </w:p>
        </w:tc>
      </w:tr>
      <w:tr w:rsidR="00220C32" w:rsidRPr="00220C32" w:rsidTr="00AA3CB0">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其他应收款</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AA3CB0">
        <w:trPr>
          <w:jc w:val="center"/>
        </w:trPr>
        <w:tc>
          <w:tcPr>
            <w:tcW w:w="1235" w:type="dxa"/>
            <w:vAlign w:val="center"/>
          </w:tcPr>
          <w:p w:rsidR="00EB2C07" w:rsidRPr="00220C32" w:rsidRDefault="00EB2C07"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7</w:t>
            </w:r>
          </w:p>
        </w:tc>
        <w:tc>
          <w:tcPr>
            <w:tcW w:w="2470" w:type="dxa"/>
            <w:vAlign w:val="center"/>
          </w:tcPr>
          <w:p w:rsidR="00EB2C07" w:rsidRPr="00220C32" w:rsidRDefault="00EB2C07" w:rsidP="00175D4F">
            <w:pPr>
              <w:autoSpaceDE w:val="0"/>
              <w:autoSpaceDN w:val="0"/>
              <w:adjustRightInd w:val="0"/>
              <w:spacing w:before="29" w:line="360" w:lineRule="auto"/>
              <w:ind w:left="1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待摊费用</w:t>
            </w:r>
          </w:p>
        </w:tc>
        <w:tc>
          <w:tcPr>
            <w:tcW w:w="4618" w:type="dxa"/>
            <w:vAlign w:val="center"/>
          </w:tcPr>
          <w:p w:rsidR="00EB2C07" w:rsidRPr="00220C32" w:rsidRDefault="00EB2C07"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w:t>
            </w:r>
          </w:p>
        </w:tc>
      </w:tr>
      <w:tr w:rsidR="00220C32" w:rsidRPr="00220C32" w:rsidTr="00AA3CB0">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8</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AA3CB0">
        <w:trPr>
          <w:jc w:val="center"/>
        </w:trPr>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9</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461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29,772.74</w:t>
            </w:r>
          </w:p>
        </w:tc>
      </w:tr>
    </w:tbl>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4</w:t>
      </w:r>
      <w:r w:rsidR="004061AC" w:rsidRPr="00220C32">
        <w:rPr>
          <w:rFonts w:asciiTheme="minorEastAsia" w:eastAsiaTheme="minorEastAsia" w:hAnsiTheme="minorEastAsia" w:hint="eastAsia"/>
          <w:b/>
          <w:bCs/>
          <w:color w:val="000000" w:themeColor="text1"/>
          <w:kern w:val="0"/>
          <w:sz w:val="24"/>
          <w:szCs w:val="24"/>
        </w:rPr>
        <w:t>报告期末持有的处于转股期的可转换债券明细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本基金本报告期末未持有处于转股期的可转换债券。</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报告期末前十名股票中存在流通受限情况的说明</w:t>
      </w:r>
    </w:p>
    <w:tbl>
      <w:tblPr>
        <w:tblStyle w:val="af7"/>
        <w:tblW w:w="0" w:type="auto"/>
        <w:jc w:val="center"/>
        <w:tblInd w:w="15" w:type="dxa"/>
        <w:tblLayout w:type="fixed"/>
        <w:tblLook w:val="04A0"/>
      </w:tblPr>
      <w:tblGrid>
        <w:gridCol w:w="1083"/>
        <w:gridCol w:w="1302"/>
        <w:gridCol w:w="1301"/>
        <w:gridCol w:w="1805"/>
        <w:gridCol w:w="1655"/>
        <w:gridCol w:w="1177"/>
      </w:tblGrid>
      <w:tr w:rsidR="00220C32" w:rsidRPr="00220C32" w:rsidTr="00AA3CB0">
        <w:trPr>
          <w:jc w:val="center"/>
        </w:trPr>
        <w:tc>
          <w:tcPr>
            <w:tcW w:w="1083"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302"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股票代码</w:t>
            </w:r>
          </w:p>
        </w:tc>
        <w:tc>
          <w:tcPr>
            <w:tcW w:w="1301"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股票名称</w:t>
            </w:r>
          </w:p>
        </w:tc>
        <w:tc>
          <w:tcPr>
            <w:tcW w:w="1805"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流通受限部分的公允价值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55"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Pr="00220C32">
              <w:rPr>
                <w:rFonts w:asciiTheme="minorEastAsia" w:eastAsiaTheme="minorEastAsia" w:hAnsiTheme="minorEastAsia" w:cs="宋体"/>
                <w:color w:val="000000" w:themeColor="text1"/>
                <w:sz w:val="21"/>
              </w:rPr>
              <w:t>(%)</w:t>
            </w:r>
          </w:p>
        </w:tc>
        <w:tc>
          <w:tcPr>
            <w:tcW w:w="1177"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流通受限情况说明</w:t>
            </w:r>
          </w:p>
        </w:tc>
      </w:tr>
      <w:tr w:rsidR="004761B6" w:rsidTr="00AA3CB0">
        <w:trPr>
          <w:jc w:val="center"/>
        </w:trPr>
        <w:tc>
          <w:tcPr>
            <w:tcW w:w="1083" w:type="dxa"/>
            <w:vAlign w:val="center"/>
          </w:tcPr>
          <w:p w:rsidR="004761B6" w:rsidRDefault="00AA3CB0">
            <w:pPr>
              <w:jc w:val="center"/>
            </w:pPr>
            <w:r>
              <w:rPr>
                <w:rFonts w:asciiTheme="minorEastAsia" w:eastAsiaTheme="minorEastAsia" w:hAnsiTheme="minorEastAsia" w:cs="宋体"/>
                <w:color w:val="000000" w:themeColor="text1"/>
                <w:sz w:val="21"/>
              </w:rPr>
              <w:t>1</w:t>
            </w:r>
          </w:p>
        </w:tc>
        <w:tc>
          <w:tcPr>
            <w:tcW w:w="1302" w:type="dxa"/>
            <w:vAlign w:val="center"/>
          </w:tcPr>
          <w:p w:rsidR="004761B6" w:rsidRDefault="00AA3CB0">
            <w:pPr>
              <w:jc w:val="center"/>
            </w:pPr>
            <w:r>
              <w:rPr>
                <w:rFonts w:asciiTheme="minorEastAsia" w:eastAsiaTheme="minorEastAsia" w:hAnsiTheme="minorEastAsia" w:cs="宋体"/>
                <w:color w:val="000000" w:themeColor="text1"/>
                <w:sz w:val="21"/>
              </w:rPr>
              <w:t>000333</w:t>
            </w:r>
          </w:p>
        </w:tc>
        <w:tc>
          <w:tcPr>
            <w:tcW w:w="1301" w:type="dxa"/>
            <w:vAlign w:val="center"/>
          </w:tcPr>
          <w:p w:rsidR="004761B6" w:rsidRDefault="00AA3CB0">
            <w:pPr>
              <w:jc w:val="center"/>
            </w:pPr>
            <w:r>
              <w:rPr>
                <w:rFonts w:asciiTheme="minorEastAsia" w:eastAsiaTheme="minorEastAsia" w:hAnsiTheme="minorEastAsia" w:cs="宋体"/>
                <w:color w:val="000000" w:themeColor="text1"/>
                <w:sz w:val="21"/>
              </w:rPr>
              <w:t>美的集团</w:t>
            </w:r>
          </w:p>
        </w:tc>
        <w:tc>
          <w:tcPr>
            <w:tcW w:w="1805" w:type="dxa"/>
            <w:vAlign w:val="center"/>
          </w:tcPr>
          <w:p w:rsidR="004761B6" w:rsidRDefault="00AA3CB0">
            <w:pPr>
              <w:jc w:val="right"/>
            </w:pPr>
            <w:r>
              <w:rPr>
                <w:rFonts w:asciiTheme="minorEastAsia" w:eastAsiaTheme="minorEastAsia" w:hAnsiTheme="minorEastAsia" w:cs="宋体"/>
                <w:color w:val="000000" w:themeColor="text1"/>
                <w:sz w:val="21"/>
              </w:rPr>
              <w:t>240,135.56</w:t>
            </w:r>
          </w:p>
        </w:tc>
        <w:tc>
          <w:tcPr>
            <w:tcW w:w="1655" w:type="dxa"/>
            <w:vAlign w:val="center"/>
          </w:tcPr>
          <w:p w:rsidR="004761B6" w:rsidRDefault="00AA3CB0">
            <w:pPr>
              <w:jc w:val="right"/>
            </w:pPr>
            <w:r>
              <w:rPr>
                <w:rFonts w:asciiTheme="minorEastAsia" w:eastAsiaTheme="minorEastAsia" w:hAnsiTheme="minorEastAsia" w:cs="宋体"/>
                <w:color w:val="000000" w:themeColor="text1"/>
                <w:sz w:val="21"/>
              </w:rPr>
              <w:t>2.15</w:t>
            </w:r>
          </w:p>
        </w:tc>
        <w:tc>
          <w:tcPr>
            <w:tcW w:w="1177" w:type="dxa"/>
            <w:vAlign w:val="center"/>
          </w:tcPr>
          <w:p w:rsidR="004761B6" w:rsidRDefault="00AA3CB0">
            <w:pPr>
              <w:jc w:val="right"/>
            </w:pPr>
            <w:r>
              <w:rPr>
                <w:rFonts w:asciiTheme="minorEastAsia" w:eastAsiaTheme="minorEastAsia" w:hAnsiTheme="minorEastAsia" w:cs="宋体"/>
                <w:color w:val="000000" w:themeColor="text1"/>
                <w:sz w:val="21"/>
              </w:rPr>
              <w:t>重大事项</w:t>
            </w:r>
          </w:p>
        </w:tc>
      </w:tr>
    </w:tbl>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4061AC" w:rsidP="00CB45E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s="宋体" w:hint="eastAsia"/>
          <w:color w:val="000000" w:themeColor="text1"/>
          <w:kern w:val="0"/>
          <w:sz w:val="24"/>
          <w:szCs w:val="24"/>
        </w:rPr>
        <w:t>单位：份</w:t>
      </w:r>
    </w:p>
    <w:tbl>
      <w:tblPr>
        <w:tblW w:w="0" w:type="auto"/>
        <w:jc w:val="center"/>
        <w:tblInd w:w="-106" w:type="dxa"/>
        <w:tblLayout w:type="fixed"/>
        <w:tblLook w:val="0000"/>
      </w:tblPr>
      <w:tblGrid>
        <w:gridCol w:w="4609"/>
        <w:gridCol w:w="3728"/>
      </w:tblGrid>
      <w:tr w:rsidR="00220C32" w:rsidRPr="00220C32" w:rsidTr="00AA3CB0">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本报告期期初基金份额总额</w:t>
            </w:r>
          </w:p>
        </w:tc>
        <w:tc>
          <w:tcPr>
            <w:tcW w:w="3728"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6D7FF8"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84,938,338.84</w:t>
            </w:r>
          </w:p>
        </w:tc>
      </w:tr>
      <w:tr w:rsidR="00220C32" w:rsidRPr="00220C32" w:rsidTr="00AA3CB0">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基金总申购份额</w:t>
            </w:r>
          </w:p>
        </w:tc>
        <w:tc>
          <w:tcPr>
            <w:tcW w:w="3728"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319,582.08</w:t>
            </w:r>
          </w:p>
        </w:tc>
      </w:tr>
      <w:tr w:rsidR="00220C32" w:rsidRPr="00220C32" w:rsidTr="00AA3CB0">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减：</w:t>
            </w:r>
            <w:r w:rsidR="00FE179F" w:rsidRPr="00220C32">
              <w:rPr>
                <w:rFonts w:asciiTheme="minorEastAsia" w:eastAsiaTheme="minorEastAsia" w:hAnsiTheme="minorEastAsia" w:cs="宋体"/>
                <w:color w:val="000000" w:themeColor="text1"/>
                <w:kern w:val="0"/>
              </w:rPr>
              <w:t>报告期</w:t>
            </w:r>
            <w:r w:rsidRPr="00220C32">
              <w:rPr>
                <w:rFonts w:asciiTheme="minorEastAsia" w:eastAsiaTheme="minorEastAsia" w:hAnsiTheme="minorEastAsia" w:cs="宋体" w:hint="eastAsia"/>
                <w:color w:val="000000" w:themeColor="text1"/>
                <w:kern w:val="0"/>
              </w:rPr>
              <w:t>基金总赎回份额</w:t>
            </w:r>
          </w:p>
        </w:tc>
        <w:tc>
          <w:tcPr>
            <w:tcW w:w="3728"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72,195,257.92</w:t>
            </w:r>
          </w:p>
        </w:tc>
      </w:tr>
      <w:tr w:rsidR="00220C32" w:rsidRPr="00220C32" w:rsidTr="00AA3CB0">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基金拆分变动份额</w:t>
            </w:r>
          </w:p>
        </w:tc>
        <w:tc>
          <w:tcPr>
            <w:tcW w:w="3728"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AA3CB0">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本报告期期末基金份额总额</w:t>
            </w:r>
          </w:p>
        </w:tc>
        <w:tc>
          <w:tcPr>
            <w:tcW w:w="3728"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0A2B5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13,062,663.00</w:t>
            </w:r>
          </w:p>
        </w:tc>
      </w:tr>
    </w:tbl>
    <w:p w:rsidR="00EB374A" w:rsidRPr="00220C32" w:rsidRDefault="00EB374A" w:rsidP="00CB45EC">
      <w:pPr>
        <w:pStyle w:val="1"/>
        <w:tabs>
          <w:tab w:val="center" w:pos="4156"/>
          <w:tab w:val="right" w:pos="8312"/>
        </w:tabs>
        <w:spacing w:beforeLines="100" w:afterLines="100" w:line="360" w:lineRule="auto"/>
        <w:jc w:val="center"/>
        <w:rPr>
          <w:rFonts w:ascii="方正仿宋简体"/>
          <w:color w:val="000000" w:themeColor="text1"/>
          <w:sz w:val="24"/>
          <w:szCs w:val="24"/>
        </w:rPr>
      </w:pPr>
      <w:r w:rsidRPr="00220C32">
        <w:rPr>
          <w:rFonts w:asciiTheme="minorEastAsia" w:eastAsiaTheme="minorEastAsia" w:hAnsiTheme="minorEastAsia" w:cs="Arial" w:hint="eastAsia"/>
          <w:color w:val="000000" w:themeColor="text1"/>
          <w:kern w:val="0"/>
          <w:sz w:val="24"/>
          <w:szCs w:val="24"/>
        </w:rPr>
        <w:t xml:space="preserve">§7  </w:t>
      </w:r>
      <w:r w:rsidRPr="00220C32">
        <w:rPr>
          <w:rFonts w:ascii="方正仿宋简体" w:hint="eastAsia"/>
          <w:color w:val="000000" w:themeColor="text1"/>
          <w:sz w:val="24"/>
          <w:szCs w:val="24"/>
        </w:rPr>
        <w:t>基金管理人运用固有资金投资本基金情况</w:t>
      </w:r>
    </w:p>
    <w:p w:rsidR="00EB374A" w:rsidRPr="00220C32" w:rsidRDefault="00EB374A" w:rsidP="00EB374A">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本报告期内，本基金管理人未发生运用固有资金投资本基金的情况。</w:t>
      </w:r>
    </w:p>
    <w:p w:rsidR="008E18F2" w:rsidRPr="00220C32" w:rsidRDefault="008E18F2" w:rsidP="00CB45E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§8影响投资者决策的其他重要信息</w:t>
      </w:r>
    </w:p>
    <w:p w:rsidR="008E18F2" w:rsidRPr="009A5C99" w:rsidRDefault="008E18F2" w:rsidP="008E18F2">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113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
        <w:gridCol w:w="425"/>
        <w:gridCol w:w="2269"/>
        <w:gridCol w:w="1701"/>
        <w:gridCol w:w="1417"/>
        <w:gridCol w:w="1701"/>
        <w:gridCol w:w="1631"/>
        <w:gridCol w:w="1391"/>
      </w:tblGrid>
      <w:tr w:rsidR="008E18F2" w:rsidRPr="004F4D27" w:rsidTr="00AA3CB0">
        <w:trPr>
          <w:jc w:val="center"/>
        </w:trPr>
        <w:tc>
          <w:tcPr>
            <w:tcW w:w="805" w:type="dxa"/>
            <w:vMerge w:val="restart"/>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p>
        </w:tc>
        <w:tc>
          <w:tcPr>
            <w:tcW w:w="7513" w:type="dxa"/>
            <w:gridSpan w:val="5"/>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3022" w:type="dxa"/>
            <w:gridSpan w:val="2"/>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8E18F2" w:rsidRPr="004F4D27" w:rsidTr="00AA3CB0">
        <w:trPr>
          <w:jc w:val="center"/>
        </w:trPr>
        <w:tc>
          <w:tcPr>
            <w:tcW w:w="805" w:type="dxa"/>
            <w:vMerge/>
            <w:vAlign w:val="center"/>
          </w:tcPr>
          <w:p w:rsidR="008E18F2" w:rsidRPr="004F4D27" w:rsidRDefault="008E18F2" w:rsidP="00682FFA">
            <w:pPr>
              <w:autoSpaceDE w:val="0"/>
              <w:autoSpaceDN w:val="0"/>
              <w:adjustRightInd w:val="0"/>
              <w:jc w:val="center"/>
              <w:rPr>
                <w:rFonts w:ascii="宋体" w:hAnsi="宋体"/>
                <w:b/>
                <w:bCs/>
                <w:color w:val="000000"/>
                <w:kern w:val="0"/>
              </w:rPr>
            </w:pPr>
          </w:p>
        </w:tc>
        <w:tc>
          <w:tcPr>
            <w:tcW w:w="425" w:type="dxa"/>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2269" w:type="dxa"/>
            <w:vAlign w:val="center"/>
          </w:tcPr>
          <w:p w:rsidR="008E18F2" w:rsidRPr="004F4D27" w:rsidRDefault="008E18F2" w:rsidP="00AA3CB0">
            <w:pPr>
              <w:autoSpaceDE w:val="0"/>
              <w:autoSpaceDN w:val="0"/>
              <w:adjustRightInd w:val="0"/>
              <w:ind w:leftChars="-51" w:left="-107" w:rightChars="-51" w:right="-107"/>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1701" w:type="dxa"/>
            <w:vAlign w:val="center"/>
          </w:tcPr>
          <w:p w:rsidR="008E18F2" w:rsidRPr="004F4D27" w:rsidRDefault="008E18F2" w:rsidP="00682FFA">
            <w:pPr>
              <w:widowControl/>
              <w:jc w:val="center"/>
              <w:rPr>
                <w:rFonts w:ascii="宋体" w:hAnsi="宋体"/>
                <w:b/>
                <w:bCs/>
                <w:color w:val="000000"/>
                <w:kern w:val="0"/>
              </w:rPr>
            </w:pPr>
            <w:r w:rsidRPr="004F4D27">
              <w:rPr>
                <w:rFonts w:ascii="宋体" w:hAnsi="宋体" w:hint="eastAsia"/>
                <w:color w:val="000000"/>
                <w:kern w:val="0"/>
              </w:rPr>
              <w:t>期初份额</w:t>
            </w:r>
          </w:p>
        </w:tc>
        <w:tc>
          <w:tcPr>
            <w:tcW w:w="1417" w:type="dxa"/>
            <w:vAlign w:val="center"/>
          </w:tcPr>
          <w:p w:rsidR="008E18F2" w:rsidRPr="004F4D27" w:rsidRDefault="008E18F2" w:rsidP="00682FFA">
            <w:pPr>
              <w:widowControl/>
              <w:jc w:val="center"/>
              <w:rPr>
                <w:rFonts w:ascii="宋体" w:hAnsi="宋体"/>
                <w:b/>
                <w:bCs/>
                <w:color w:val="000000"/>
                <w:kern w:val="0"/>
              </w:rPr>
            </w:pPr>
            <w:r w:rsidRPr="004F4D27">
              <w:rPr>
                <w:rFonts w:ascii="宋体" w:hAnsi="宋体" w:hint="eastAsia"/>
                <w:color w:val="000000"/>
                <w:kern w:val="0"/>
              </w:rPr>
              <w:t>申购份额</w:t>
            </w:r>
          </w:p>
        </w:tc>
        <w:tc>
          <w:tcPr>
            <w:tcW w:w="1701" w:type="dxa"/>
            <w:vAlign w:val="center"/>
          </w:tcPr>
          <w:p w:rsidR="008E18F2" w:rsidRPr="004F4D27" w:rsidRDefault="008E18F2" w:rsidP="00682FFA">
            <w:pPr>
              <w:widowControl/>
              <w:jc w:val="center"/>
              <w:rPr>
                <w:rFonts w:ascii="宋体" w:hAnsi="宋体"/>
                <w:b/>
                <w:bCs/>
                <w:color w:val="000000"/>
                <w:kern w:val="0"/>
              </w:rPr>
            </w:pPr>
            <w:r w:rsidRPr="004F4D27">
              <w:rPr>
                <w:rFonts w:ascii="宋体" w:hAnsi="宋体" w:hint="eastAsia"/>
                <w:color w:val="000000"/>
                <w:kern w:val="0"/>
              </w:rPr>
              <w:t>赎回份额</w:t>
            </w:r>
          </w:p>
        </w:tc>
        <w:tc>
          <w:tcPr>
            <w:tcW w:w="1631" w:type="dxa"/>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391" w:type="dxa"/>
            <w:vAlign w:val="center"/>
          </w:tcPr>
          <w:p w:rsidR="008E18F2" w:rsidRPr="004F4D27" w:rsidRDefault="008E18F2" w:rsidP="00682FFA">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4761B6" w:rsidTr="00AA3CB0">
        <w:trPr>
          <w:jc w:val="center"/>
        </w:trPr>
        <w:tc>
          <w:tcPr>
            <w:tcW w:w="805" w:type="dxa"/>
          </w:tcPr>
          <w:p w:rsidR="004761B6" w:rsidRDefault="00AA3CB0">
            <w:r>
              <w:rPr>
                <w:rFonts w:ascii="宋体" w:hAnsi="宋体" w:hint="eastAsia"/>
                <w:bCs/>
                <w:color w:val="000000"/>
                <w:kern w:val="0"/>
              </w:rPr>
              <w:t>机构</w:t>
            </w:r>
          </w:p>
        </w:tc>
        <w:tc>
          <w:tcPr>
            <w:tcW w:w="425" w:type="dxa"/>
            <w:vAlign w:val="center"/>
          </w:tcPr>
          <w:p w:rsidR="004761B6" w:rsidRDefault="00AA3CB0">
            <w:pPr>
              <w:jc w:val="center"/>
            </w:pPr>
            <w:r>
              <w:rPr>
                <w:rFonts w:ascii="宋体" w:hAnsi="宋体"/>
                <w:color w:val="000000"/>
                <w:kern w:val="0"/>
              </w:rPr>
              <w:t>1</w:t>
            </w:r>
          </w:p>
        </w:tc>
        <w:tc>
          <w:tcPr>
            <w:tcW w:w="2269" w:type="dxa"/>
            <w:vAlign w:val="center"/>
          </w:tcPr>
          <w:p w:rsidR="004761B6" w:rsidRDefault="00AA3CB0">
            <w:pPr>
              <w:jc w:val="center"/>
            </w:pPr>
            <w:r>
              <w:rPr>
                <w:rFonts w:ascii="宋体" w:hAnsi="宋体"/>
                <w:color w:val="000000"/>
                <w:kern w:val="0"/>
              </w:rPr>
              <w:t>20180701—20180726</w:t>
            </w:r>
          </w:p>
        </w:tc>
        <w:tc>
          <w:tcPr>
            <w:tcW w:w="1701" w:type="dxa"/>
            <w:vAlign w:val="center"/>
          </w:tcPr>
          <w:p w:rsidR="004761B6" w:rsidRDefault="00AA3CB0">
            <w:pPr>
              <w:jc w:val="center"/>
            </w:pPr>
            <w:r>
              <w:rPr>
                <w:rFonts w:ascii="宋体" w:hAnsi="宋体"/>
                <w:color w:val="000000"/>
                <w:kern w:val="0"/>
              </w:rPr>
              <w:t>71,340,907.32</w:t>
            </w:r>
          </w:p>
        </w:tc>
        <w:tc>
          <w:tcPr>
            <w:tcW w:w="1417" w:type="dxa"/>
            <w:vAlign w:val="center"/>
          </w:tcPr>
          <w:p w:rsidR="004761B6" w:rsidRDefault="00AA3CB0">
            <w:pPr>
              <w:jc w:val="center"/>
            </w:pPr>
            <w:r>
              <w:rPr>
                <w:rFonts w:ascii="宋体" w:hAnsi="宋体"/>
                <w:color w:val="000000"/>
                <w:kern w:val="0"/>
              </w:rPr>
              <w:t>0.00</w:t>
            </w:r>
          </w:p>
        </w:tc>
        <w:tc>
          <w:tcPr>
            <w:tcW w:w="1701" w:type="dxa"/>
            <w:vAlign w:val="center"/>
          </w:tcPr>
          <w:p w:rsidR="004761B6" w:rsidRDefault="00AA3CB0">
            <w:pPr>
              <w:jc w:val="center"/>
            </w:pPr>
            <w:r>
              <w:rPr>
                <w:rFonts w:ascii="宋体" w:hAnsi="宋体"/>
                <w:color w:val="000000"/>
                <w:kern w:val="0"/>
              </w:rPr>
              <w:t>71,340,907.32</w:t>
            </w:r>
          </w:p>
        </w:tc>
        <w:tc>
          <w:tcPr>
            <w:tcW w:w="1631" w:type="dxa"/>
            <w:vAlign w:val="center"/>
          </w:tcPr>
          <w:p w:rsidR="004761B6" w:rsidRDefault="00AA3CB0">
            <w:pPr>
              <w:jc w:val="center"/>
            </w:pPr>
            <w:r>
              <w:rPr>
                <w:rFonts w:ascii="宋体" w:hAnsi="宋体"/>
                <w:color w:val="000000"/>
                <w:kern w:val="0"/>
              </w:rPr>
              <w:t>0.00</w:t>
            </w:r>
          </w:p>
        </w:tc>
        <w:tc>
          <w:tcPr>
            <w:tcW w:w="1391" w:type="dxa"/>
            <w:vAlign w:val="center"/>
          </w:tcPr>
          <w:p w:rsidR="004761B6" w:rsidRDefault="00AA3CB0">
            <w:pPr>
              <w:jc w:val="center"/>
            </w:pPr>
            <w:r>
              <w:rPr>
                <w:rFonts w:ascii="宋体" w:hAnsi="宋体"/>
                <w:color w:val="000000"/>
                <w:kern w:val="0"/>
              </w:rPr>
              <w:t>0.00%</w:t>
            </w:r>
          </w:p>
        </w:tc>
      </w:tr>
      <w:tr w:rsidR="004761B6" w:rsidTr="00AA3CB0">
        <w:trPr>
          <w:jc w:val="center"/>
        </w:trPr>
        <w:tc>
          <w:tcPr>
            <w:tcW w:w="805" w:type="dxa"/>
          </w:tcPr>
          <w:p w:rsidR="004761B6" w:rsidRDefault="00AA3CB0">
            <w:r>
              <w:rPr>
                <w:rFonts w:ascii="宋体" w:hAnsi="宋体" w:hint="eastAsia"/>
                <w:bCs/>
                <w:color w:val="000000"/>
                <w:kern w:val="0"/>
              </w:rPr>
              <w:t>个人</w:t>
            </w:r>
          </w:p>
        </w:tc>
        <w:tc>
          <w:tcPr>
            <w:tcW w:w="425" w:type="dxa"/>
            <w:vAlign w:val="center"/>
          </w:tcPr>
          <w:p w:rsidR="004761B6" w:rsidRDefault="00AA3CB0">
            <w:pPr>
              <w:jc w:val="center"/>
            </w:pPr>
            <w:r>
              <w:rPr>
                <w:rFonts w:ascii="宋体" w:hAnsi="宋体"/>
                <w:kern w:val="0"/>
              </w:rPr>
              <w:t>1</w:t>
            </w:r>
          </w:p>
        </w:tc>
        <w:tc>
          <w:tcPr>
            <w:tcW w:w="2269" w:type="dxa"/>
            <w:vAlign w:val="center"/>
          </w:tcPr>
          <w:p w:rsidR="004761B6" w:rsidRDefault="00AA3CB0">
            <w:pPr>
              <w:jc w:val="center"/>
            </w:pPr>
            <w:r>
              <w:rPr>
                <w:rFonts w:ascii="宋体" w:hAnsi="宋体"/>
                <w:kern w:val="0"/>
              </w:rPr>
              <w:t>20180817—20180930</w:t>
            </w:r>
          </w:p>
        </w:tc>
        <w:tc>
          <w:tcPr>
            <w:tcW w:w="1701" w:type="dxa"/>
            <w:vAlign w:val="center"/>
          </w:tcPr>
          <w:p w:rsidR="004761B6" w:rsidRDefault="00AA3CB0">
            <w:pPr>
              <w:jc w:val="center"/>
            </w:pPr>
            <w:r>
              <w:rPr>
                <w:rFonts w:ascii="宋体" w:hAnsi="宋体"/>
                <w:kern w:val="0"/>
              </w:rPr>
              <w:t>2,667,155.62</w:t>
            </w:r>
          </w:p>
        </w:tc>
        <w:tc>
          <w:tcPr>
            <w:tcW w:w="1417" w:type="dxa"/>
            <w:vAlign w:val="center"/>
          </w:tcPr>
          <w:p w:rsidR="004761B6" w:rsidRDefault="00AA3CB0">
            <w:pPr>
              <w:jc w:val="center"/>
            </w:pPr>
            <w:r>
              <w:rPr>
                <w:rFonts w:ascii="宋体" w:hAnsi="宋体"/>
                <w:kern w:val="0"/>
              </w:rPr>
              <w:t>233,603.24</w:t>
            </w:r>
          </w:p>
        </w:tc>
        <w:tc>
          <w:tcPr>
            <w:tcW w:w="1701" w:type="dxa"/>
            <w:vAlign w:val="center"/>
          </w:tcPr>
          <w:p w:rsidR="004761B6" w:rsidRDefault="00AA3CB0">
            <w:pPr>
              <w:jc w:val="center"/>
            </w:pPr>
            <w:r>
              <w:rPr>
                <w:rFonts w:ascii="宋体" w:hAnsi="宋体"/>
                <w:kern w:val="0"/>
              </w:rPr>
              <w:t>0.00</w:t>
            </w:r>
          </w:p>
        </w:tc>
        <w:tc>
          <w:tcPr>
            <w:tcW w:w="1631" w:type="dxa"/>
            <w:vAlign w:val="center"/>
          </w:tcPr>
          <w:p w:rsidR="004761B6" w:rsidRDefault="00AA3CB0">
            <w:pPr>
              <w:jc w:val="center"/>
            </w:pPr>
            <w:r>
              <w:rPr>
                <w:rFonts w:ascii="宋体" w:hAnsi="宋体"/>
                <w:kern w:val="0"/>
              </w:rPr>
              <w:t>2,900,758.86</w:t>
            </w:r>
          </w:p>
        </w:tc>
        <w:tc>
          <w:tcPr>
            <w:tcW w:w="1391" w:type="dxa"/>
            <w:vAlign w:val="center"/>
          </w:tcPr>
          <w:p w:rsidR="004761B6" w:rsidRDefault="00AA3CB0">
            <w:pPr>
              <w:jc w:val="center"/>
            </w:pPr>
            <w:r>
              <w:rPr>
                <w:rFonts w:ascii="宋体" w:hAnsi="宋体"/>
                <w:kern w:val="0"/>
              </w:rPr>
              <w:t>22.21%</w:t>
            </w:r>
          </w:p>
        </w:tc>
      </w:tr>
      <w:tr w:rsidR="008E18F2" w:rsidRPr="004F4D27" w:rsidTr="00AA3CB0">
        <w:trPr>
          <w:jc w:val="center"/>
        </w:trPr>
        <w:tc>
          <w:tcPr>
            <w:tcW w:w="11340" w:type="dxa"/>
            <w:gridSpan w:val="8"/>
            <w:vAlign w:val="center"/>
          </w:tcPr>
          <w:p w:rsidR="008E18F2" w:rsidRPr="004F4D27" w:rsidRDefault="008E18F2" w:rsidP="00682FFA">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8E18F2" w:rsidRPr="004F4D27" w:rsidTr="00AA3CB0">
        <w:trPr>
          <w:jc w:val="center"/>
        </w:trPr>
        <w:tc>
          <w:tcPr>
            <w:tcW w:w="11340" w:type="dxa"/>
            <w:gridSpan w:val="8"/>
            <w:vAlign w:val="center"/>
          </w:tcPr>
          <w:p w:rsidR="008E18F2" w:rsidRPr="004F4D27" w:rsidRDefault="008E18F2" w:rsidP="00682FFA">
            <w:pPr>
              <w:autoSpaceDE w:val="0"/>
              <w:autoSpaceDN w:val="0"/>
              <w:adjustRightInd w:val="0"/>
              <w:jc w:val="left"/>
              <w:rPr>
                <w:rFonts w:ascii="宋体" w:hAnsi="宋体"/>
                <w:kern w:val="0"/>
              </w:rPr>
            </w:pPr>
            <w:r w:rsidRPr="004F4D27">
              <w:rPr>
                <w:rFonts w:ascii="宋体" w:hAnsi="宋体" w:hint="eastAsia"/>
                <w:kern w:val="0"/>
              </w:rPr>
              <w:t xml:space="preserve">本基金本报告期存在单一投资者持有基金份额比例达到或者超过20%的情况。在单一投资者持有基金份额比例较高的情况下，如投资者集中赎回，可能会给基金带来流动性冲击。基金管理人将专业审慎、勤勉尽责地管控基金的流动性风险，保护持有人利益。 </w:t>
            </w:r>
          </w:p>
        </w:tc>
      </w:tr>
    </w:tbl>
    <w:p w:rsidR="004061AC" w:rsidRPr="00220C32" w:rsidRDefault="004061AC" w:rsidP="00CB45EC">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D02347"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hint="eastAsia"/>
          <w:color w:val="000000" w:themeColor="text1"/>
          <w:kern w:val="0"/>
          <w:sz w:val="24"/>
          <w:szCs w:val="24"/>
        </w:rPr>
        <w:t>备查文件目录</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9</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1</w:t>
      </w:r>
      <w:r w:rsidR="004061AC" w:rsidRPr="00220C32">
        <w:rPr>
          <w:rFonts w:asciiTheme="minorEastAsia" w:eastAsiaTheme="minorEastAsia" w:hAnsiTheme="minorEastAsia" w:hint="eastAsia"/>
          <w:b/>
          <w:bCs/>
          <w:color w:val="000000" w:themeColor="text1"/>
          <w:kern w:val="0"/>
          <w:sz w:val="24"/>
          <w:szCs w:val="24"/>
        </w:rPr>
        <w:t>备查文件目录</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基金合同；</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招募说明书及其定期更新；</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发售公告；</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成立公告；</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开放日常交易业务公告；</w:t>
      </w:r>
    </w:p>
    <w:p w:rsidR="004761B6" w:rsidRDefault="00AA3CB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定期报告；</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其他临时公告。</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9</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2</w:t>
      </w:r>
      <w:r w:rsidR="004061AC" w:rsidRPr="00220C32">
        <w:rPr>
          <w:rFonts w:asciiTheme="minorEastAsia" w:eastAsiaTheme="minorEastAsia" w:hAnsiTheme="minorEastAsia" w:hint="eastAsia"/>
          <w:b/>
          <w:bCs/>
          <w:color w:val="000000" w:themeColor="text1"/>
          <w:kern w:val="0"/>
          <w:sz w:val="24"/>
          <w:szCs w:val="24"/>
        </w:rPr>
        <w:t>存放地点</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上述备查文件中基金合同、招募说明书及其定期更新、基金发售公告和基金成立公告均放置于本基金管理人及基金托管人的住所；开放日常交易业务公告、定期报告和其他临时公告放置于本基金管理人的住所。本基金管理人住所地址为：中国上海市中山南路100号11层。</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9</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hint="eastAsia"/>
          <w:b/>
          <w:bCs/>
          <w:color w:val="000000" w:themeColor="text1"/>
          <w:kern w:val="0"/>
          <w:sz w:val="24"/>
          <w:szCs w:val="24"/>
        </w:rPr>
        <w:t>查阅方式</w:t>
      </w:r>
    </w:p>
    <w:p w:rsidR="00636DB7"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上述文件均可到本基金管理人的住所进行查阅，也可在本基金管理人的网站进行查阅，查询网址：www.swsmu.com。</w:t>
      </w: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832A00"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申万菱信基金管理有限公司</w:t>
      </w:r>
    </w:p>
    <w:p w:rsidR="004061AC" w:rsidRPr="00220C32" w:rsidRDefault="00945AF6"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二〇一八年十月二十四日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CB6" w:rsidRDefault="002F1CB6" w:rsidP="00876D65">
      <w:r>
        <w:separator/>
      </w:r>
    </w:p>
  </w:endnote>
  <w:endnote w:type="continuationSeparator" w:id="1">
    <w:p w:rsidR="002F1CB6" w:rsidRDefault="002F1CB6"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031E0B" w:rsidRPr="00031E0B">
      <w:fldChar w:fldCharType="begin"/>
    </w:r>
    <w:r>
      <w:instrText xml:space="preserve"> PAGE   \* MERGEFORMAT </w:instrText>
    </w:r>
    <w:r w:rsidR="00031E0B" w:rsidRPr="00031E0B">
      <w:fldChar w:fldCharType="separate"/>
    </w:r>
    <w:r w:rsidR="00CB45EC" w:rsidRPr="00CB45EC">
      <w:rPr>
        <w:noProof/>
        <w:lang w:val="zh-CN"/>
      </w:rPr>
      <w:t>1</w:t>
    </w:r>
    <w:r w:rsidR="00031E0B">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031E0B">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CB45EC">
      <w:rPr>
        <w:rStyle w:val="a7"/>
        <w:noProof/>
      </w:rPr>
      <w:t>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CB6" w:rsidRDefault="002F1CB6" w:rsidP="00876D65">
      <w:r>
        <w:separator/>
      </w:r>
    </w:p>
  </w:footnote>
  <w:footnote w:type="continuationSeparator" w:id="1">
    <w:p w:rsidR="002F1CB6" w:rsidRDefault="002F1CB6"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申万菱信价值优选灵活配置混合型证券投资基金</w:t>
    </w:r>
    <w:r w:rsidRPr="007120CC">
      <w:rPr>
        <w:rFonts w:hint="eastAsia"/>
      </w:rPr>
      <w:t>2018</w:t>
    </w:r>
    <w:r w:rsidRPr="007120CC">
      <w:rPr>
        <w:rFonts w:hint="eastAsia"/>
      </w:rPr>
      <w:t>年第</w:t>
    </w:r>
    <w:r w:rsidRPr="007120CC">
      <w:rPr>
        <w:rFonts w:hint="eastAsia"/>
      </w:rPr>
      <w:t>3</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0B"/>
    <w:rsid w:val="00031EBB"/>
    <w:rsid w:val="00032677"/>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551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A7A5E"/>
    <w:rsid w:val="001B0A62"/>
    <w:rsid w:val="001B2F35"/>
    <w:rsid w:val="001C0993"/>
    <w:rsid w:val="001C78B2"/>
    <w:rsid w:val="001C79F2"/>
    <w:rsid w:val="001D63BB"/>
    <w:rsid w:val="001D6A4B"/>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2F1CB6"/>
    <w:rsid w:val="002F47B7"/>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9085F"/>
    <w:rsid w:val="00394069"/>
    <w:rsid w:val="003A6061"/>
    <w:rsid w:val="003B6FBC"/>
    <w:rsid w:val="003C2B36"/>
    <w:rsid w:val="003E2240"/>
    <w:rsid w:val="003E62FB"/>
    <w:rsid w:val="003F39DF"/>
    <w:rsid w:val="003F63BE"/>
    <w:rsid w:val="004061AC"/>
    <w:rsid w:val="00406C52"/>
    <w:rsid w:val="004149AC"/>
    <w:rsid w:val="0042009D"/>
    <w:rsid w:val="00427F58"/>
    <w:rsid w:val="00433805"/>
    <w:rsid w:val="00465285"/>
    <w:rsid w:val="00471408"/>
    <w:rsid w:val="004761B6"/>
    <w:rsid w:val="004858E0"/>
    <w:rsid w:val="004934E9"/>
    <w:rsid w:val="004943C2"/>
    <w:rsid w:val="004A11A7"/>
    <w:rsid w:val="004C2F03"/>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18F2"/>
    <w:rsid w:val="008E2DCB"/>
    <w:rsid w:val="008E326D"/>
    <w:rsid w:val="008F5F67"/>
    <w:rsid w:val="008F60F2"/>
    <w:rsid w:val="0090217D"/>
    <w:rsid w:val="00905C5E"/>
    <w:rsid w:val="009078DC"/>
    <w:rsid w:val="00921AC7"/>
    <w:rsid w:val="00924582"/>
    <w:rsid w:val="00931291"/>
    <w:rsid w:val="0093367D"/>
    <w:rsid w:val="00936B5F"/>
    <w:rsid w:val="00941CB5"/>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3CB0"/>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68C4"/>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B45EC"/>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DDE"/>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2543-F661-4474-A122-1B17ECFD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5729</Characters>
  <Application>Microsoft Office Word</Application>
  <DocSecurity>4</DocSecurity>
  <Lines>47</Lines>
  <Paragraphs>13</Paragraphs>
  <ScaleCrop>false</ScaleCrop>
  <Company>Microsoft</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2018-10-23T17:59:00Z</dcterms:created>
  <dcterms:modified xsi:type="dcterms:W3CDTF">2018-10-23T17:59:00Z</dcterms:modified>
</cp:coreProperties>
</file>