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w:t>
      </w:r>
      <w:r w:rsidR="00C55ACE">
        <w:rPr>
          <w:rFonts w:asciiTheme="minorEastAsia" w:eastAsiaTheme="minorEastAsia" w:hAnsiTheme="minorEastAsia" w:hint="eastAsia"/>
          <w:b/>
          <w:bCs/>
          <w:sz w:val="44"/>
          <w:szCs w:val="44"/>
        </w:rPr>
        <w:t>景穗</w:t>
      </w:r>
      <w:r w:rsidRPr="003D21AE">
        <w:rPr>
          <w:rFonts w:asciiTheme="minorEastAsia" w:eastAsiaTheme="minorEastAsia" w:hAnsiTheme="minorEastAsia" w:hint="eastAsia"/>
          <w:b/>
          <w:bCs/>
          <w:sz w:val="44"/>
          <w:szCs w:val="44"/>
        </w:rPr>
        <w:t>灵活配置混合型证券投资基金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0644E5">
        <w:rPr>
          <w:rFonts w:asciiTheme="minorEastAsia" w:eastAsiaTheme="minorEastAsia" w:hAnsiTheme="minorEastAsia" w:hint="eastAsia"/>
          <w:b/>
          <w:bCs/>
          <w:sz w:val="28"/>
          <w:szCs w:val="28"/>
        </w:rPr>
        <w:t>农业</w:t>
      </w:r>
      <w:r w:rsidRPr="003D21AE">
        <w:rPr>
          <w:rFonts w:asciiTheme="minorEastAsia" w:eastAsiaTheme="minorEastAsia" w:hAnsiTheme="minorEastAsia"/>
          <w:b/>
          <w:bCs/>
          <w:sz w:val="28"/>
          <w:szCs w:val="28"/>
        </w:rPr>
        <w:t>银行股份有限公司</w:t>
      </w:r>
    </w:p>
    <w:p w:rsidR="00FD166D"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F672A3" w:rsidRPr="003D21AE">
        <w:rPr>
          <w:rFonts w:asciiTheme="minorEastAsia" w:eastAsiaTheme="minorEastAsia" w:hAnsiTheme="minorEastAsia" w:hint="eastAsia"/>
          <w:b/>
          <w:bCs/>
          <w:sz w:val="28"/>
          <w:szCs w:val="28"/>
        </w:rPr>
        <w:t>2018</w:t>
      </w:r>
      <w:r w:rsidR="00FD166D" w:rsidRPr="003D21AE">
        <w:rPr>
          <w:rFonts w:asciiTheme="minorEastAsia" w:eastAsiaTheme="minorEastAsia" w:hAnsiTheme="minorEastAsia" w:hint="eastAsia"/>
          <w:b/>
          <w:bCs/>
          <w:sz w:val="28"/>
          <w:szCs w:val="28"/>
        </w:rPr>
        <w:t>年</w:t>
      </w:r>
      <w:r w:rsidR="00894ADC">
        <w:rPr>
          <w:rFonts w:asciiTheme="minorEastAsia" w:eastAsiaTheme="minorEastAsia" w:hAnsiTheme="minorEastAsia" w:hint="eastAsia"/>
          <w:b/>
          <w:bCs/>
          <w:sz w:val="28"/>
          <w:szCs w:val="28"/>
        </w:rPr>
        <w:t xml:space="preserve"> 9</w:t>
      </w:r>
      <w:r w:rsidR="00FD166D" w:rsidRPr="003D21AE">
        <w:rPr>
          <w:rFonts w:asciiTheme="minorEastAsia" w:eastAsiaTheme="minorEastAsia" w:hAnsiTheme="minorEastAsia" w:hint="eastAsia"/>
          <w:b/>
          <w:bCs/>
          <w:sz w:val="28"/>
          <w:szCs w:val="28"/>
        </w:rPr>
        <w:t>月</w:t>
      </w:r>
      <w:r w:rsidR="00894ADC">
        <w:rPr>
          <w:rFonts w:asciiTheme="minorEastAsia" w:eastAsiaTheme="minorEastAsia" w:hAnsiTheme="minorEastAsia" w:hint="eastAsia"/>
          <w:b/>
          <w:bCs/>
          <w:sz w:val="28"/>
          <w:szCs w:val="28"/>
        </w:rPr>
        <w:t>5</w:t>
      </w:r>
      <w:r w:rsidR="00FD166D" w:rsidRPr="003D21AE">
        <w:rPr>
          <w:rFonts w:asciiTheme="minorEastAsia" w:eastAsiaTheme="minorEastAsia" w:hAnsiTheme="minorEastAsia" w:hint="eastAsia"/>
          <w:b/>
          <w:bCs/>
          <w:sz w:val="28"/>
          <w:szCs w:val="28"/>
        </w:rPr>
        <w:t>日</w:t>
      </w:r>
    </w:p>
    <w:p w:rsidR="00A249EA" w:rsidRPr="00A249EA" w:rsidRDefault="00A249EA"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清算报告公告日：2018年10月20</w:t>
      </w:r>
      <w:bookmarkStart w:id="0" w:name="_GoBack"/>
      <w:bookmarkEnd w:id="0"/>
      <w:r>
        <w:rPr>
          <w:rFonts w:asciiTheme="minorEastAsia" w:eastAsiaTheme="minorEastAsia" w:hAnsiTheme="minorEastAsia" w:hint="eastAsia"/>
          <w:b/>
          <w:bCs/>
          <w:sz w:val="28"/>
          <w:szCs w:val="28"/>
        </w:rPr>
        <w:t>日</w:t>
      </w:r>
    </w:p>
    <w:p w:rsidR="006F0665" w:rsidRPr="003D21AE" w:rsidRDefault="006F0665" w:rsidP="006F0665">
      <w:pPr>
        <w:ind w:firstLineChars="600" w:firstLine="1687"/>
        <w:jc w:val="left"/>
        <w:rPr>
          <w:rFonts w:asciiTheme="minorEastAsia" w:eastAsiaTheme="minorEastAsia" w:hAnsiTheme="minorEastAsia"/>
          <w:b/>
          <w:bCs/>
          <w:sz w:val="28"/>
          <w:szCs w:val="28"/>
        </w:rPr>
      </w:pPr>
    </w:p>
    <w:p w:rsidR="006F0665" w:rsidRPr="001E3899"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t>一、</w:t>
      </w:r>
      <w:r w:rsidRPr="003D21AE">
        <w:rPr>
          <w:rFonts w:asciiTheme="minorEastAsia" w:eastAsiaTheme="minorEastAsia" w:hAnsiTheme="minorEastAsia"/>
          <w:b/>
          <w:szCs w:val="21"/>
        </w:rPr>
        <w:t>重要提示</w:t>
      </w:r>
    </w:p>
    <w:p w:rsidR="00333AF0" w:rsidRPr="003D21AE" w:rsidRDefault="00C55ACE" w:rsidP="00903A6D">
      <w:pPr>
        <w:spacing w:line="360" w:lineRule="auto"/>
        <w:ind w:firstLineChars="200" w:firstLine="420"/>
        <w:rPr>
          <w:rFonts w:asciiTheme="minorEastAsia" w:eastAsiaTheme="minorEastAsia" w:hAnsiTheme="minorEastAsia"/>
          <w:szCs w:val="21"/>
        </w:rPr>
      </w:pPr>
      <w:r w:rsidRPr="00C55ACE">
        <w:rPr>
          <w:rFonts w:asciiTheme="minorEastAsia" w:eastAsiaTheme="minorEastAsia" w:hAnsiTheme="minorEastAsia" w:hint="eastAsia"/>
          <w:szCs w:val="24"/>
        </w:rPr>
        <w:t>大成景穗灵活配置混合型证券投资基金(以下简称“本基金”)经中国证券监督管理委员会(以下简称“中国证监会”)证监许可[2015]第681号《关于核准大成景穗灵活配置混合型证券投资基金募集的批复》核准，由大成基金管理有限公司依照《中华人民共和国证券投资基金法》和《大成景穗灵活配置混合型证券投资基金基金合同》负责公开募集。</w:t>
      </w:r>
      <w:r w:rsidR="00D00E15" w:rsidRPr="003D21AE">
        <w:rPr>
          <w:rFonts w:asciiTheme="minorEastAsia" w:eastAsiaTheme="minorEastAsia" w:hAnsiTheme="minorEastAsia"/>
          <w:szCs w:val="24"/>
        </w:rPr>
        <w:t>于2015年</w:t>
      </w:r>
      <w:r>
        <w:rPr>
          <w:rFonts w:asciiTheme="minorEastAsia" w:eastAsiaTheme="minorEastAsia" w:hAnsiTheme="minorEastAsia" w:hint="eastAsia"/>
          <w:szCs w:val="24"/>
        </w:rPr>
        <w:t>5</w:t>
      </w:r>
      <w:r w:rsidR="00D00E15" w:rsidRPr="003D21AE">
        <w:rPr>
          <w:rFonts w:asciiTheme="minorEastAsia" w:eastAsiaTheme="minorEastAsia" w:hAnsiTheme="minorEastAsia"/>
          <w:szCs w:val="24"/>
        </w:rPr>
        <w:t>月</w:t>
      </w:r>
      <w:r>
        <w:rPr>
          <w:rFonts w:asciiTheme="minorEastAsia" w:eastAsiaTheme="minorEastAsia" w:hAnsiTheme="minorEastAsia" w:hint="eastAsia"/>
          <w:szCs w:val="24"/>
        </w:rPr>
        <w:t>4</w:t>
      </w:r>
      <w:r w:rsidR="00D00E15" w:rsidRPr="003D21AE">
        <w:rPr>
          <w:rFonts w:asciiTheme="minorEastAsia" w:eastAsiaTheme="minorEastAsia" w:hAnsiTheme="minorEastAsia"/>
          <w:szCs w:val="24"/>
        </w:rPr>
        <w:t>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00D00E15" w:rsidRPr="003D21AE">
        <w:rPr>
          <w:rFonts w:asciiTheme="minorEastAsia" w:eastAsiaTheme="minorEastAsia" w:hAnsiTheme="minorEastAsia"/>
          <w:szCs w:val="24"/>
        </w:rPr>
        <w:t>中国</w:t>
      </w:r>
      <w:r>
        <w:rPr>
          <w:rFonts w:asciiTheme="minorEastAsia" w:eastAsiaTheme="minorEastAsia" w:hAnsiTheme="minorEastAsia" w:hint="eastAsia"/>
          <w:szCs w:val="24"/>
        </w:rPr>
        <w:t>农业</w:t>
      </w:r>
      <w:r w:rsidR="00D00E15" w:rsidRPr="003D21AE">
        <w:rPr>
          <w:rFonts w:asciiTheme="minorEastAsia" w:eastAsiaTheme="minorEastAsia" w:hAnsiTheme="minorEastAsia"/>
          <w:szCs w:val="24"/>
        </w:rPr>
        <w:t>银行股份有限公司</w:t>
      </w:r>
      <w:r w:rsidR="00FD166D" w:rsidRPr="003D21AE">
        <w:rPr>
          <w:rFonts w:asciiTheme="minorEastAsia" w:eastAsiaTheme="minorEastAsia" w:hAnsiTheme="minorEastAsia" w:hint="eastAsia"/>
          <w:szCs w:val="21"/>
        </w:rPr>
        <w:t>（以下简称“基金托管人”）。</w:t>
      </w:r>
    </w:p>
    <w:p w:rsidR="00171D4A" w:rsidRPr="003D21AE" w:rsidRDefault="00FD166D" w:rsidP="00BC2987">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根据《基金合同》</w:t>
      </w:r>
      <w:r w:rsidR="005611FE" w:rsidRPr="003D21AE">
        <w:rPr>
          <w:rFonts w:asciiTheme="minorEastAsia" w:eastAsiaTheme="minorEastAsia" w:hAnsiTheme="minorEastAsia" w:hint="eastAsia"/>
        </w:rPr>
        <w:t>“第十九部分 基金合同的变更、终止与基金财产的清算”中第二条“《基金合同》的终止事由”的约定：“基金资产净值连续六十个工作日低于五千万元，基金合同自动终止（不需召开基金份额持有人大会审议）”。截至2018年</w:t>
      </w:r>
      <w:r w:rsidR="00C55ACE">
        <w:rPr>
          <w:rFonts w:asciiTheme="minorEastAsia" w:eastAsiaTheme="minorEastAsia" w:hAnsiTheme="minorEastAsia" w:hint="eastAsia"/>
        </w:rPr>
        <w:t>8</w:t>
      </w:r>
      <w:r w:rsidR="005611FE" w:rsidRPr="003D21AE">
        <w:rPr>
          <w:rFonts w:asciiTheme="minorEastAsia" w:eastAsiaTheme="minorEastAsia" w:hAnsiTheme="minorEastAsia" w:hint="eastAsia"/>
        </w:rPr>
        <w:t>月</w:t>
      </w:r>
      <w:r w:rsidR="00C55ACE">
        <w:rPr>
          <w:rFonts w:asciiTheme="minorEastAsia" w:eastAsiaTheme="minorEastAsia" w:hAnsiTheme="minorEastAsia" w:hint="eastAsia"/>
        </w:rPr>
        <w:t>22</w:t>
      </w:r>
      <w:r w:rsidR="005611FE" w:rsidRPr="003D21AE">
        <w:rPr>
          <w:rFonts w:asciiTheme="minorEastAsia" w:eastAsiaTheme="minorEastAsia" w:hAnsiTheme="minorEastAsia" w:hint="eastAsia"/>
        </w:rPr>
        <w:t>日，本基金已出现基金资产净值连续六十个工作日低于五千万元的情形，已触发基金合同终止条款。本基金将根据《基金合同》的约定进入基金财产清算程序并终止，无须召开基金份额</w:t>
      </w:r>
      <w:r w:rsidR="0064363A" w:rsidRPr="003D21AE">
        <w:rPr>
          <w:rFonts w:asciiTheme="minorEastAsia" w:eastAsiaTheme="minorEastAsia" w:hAnsiTheme="minorEastAsia" w:hint="eastAsia"/>
        </w:rPr>
        <w:t>持有人大会审议</w:t>
      </w:r>
      <w:r w:rsidR="00203EEF" w:rsidRPr="003D21AE">
        <w:rPr>
          <w:rFonts w:asciiTheme="minorEastAsia" w:eastAsiaTheme="minorEastAsia" w:hAnsiTheme="minorEastAsia" w:hint="eastAsia"/>
        </w:rPr>
        <w:t>。</w:t>
      </w:r>
      <w:r w:rsidR="00590B4D" w:rsidRPr="003D21AE">
        <w:rPr>
          <w:rFonts w:asciiTheme="minorEastAsia" w:eastAsiaTheme="minorEastAsia" w:hAnsiTheme="minorEastAsia" w:hint="eastAsia"/>
          <w:szCs w:val="21"/>
        </w:rPr>
        <w:t>本基金</w:t>
      </w:r>
      <w:r w:rsidR="00203EEF" w:rsidRPr="003D21AE">
        <w:rPr>
          <w:rFonts w:asciiTheme="minorEastAsia" w:eastAsiaTheme="minorEastAsia" w:hAnsiTheme="minorEastAsia" w:hint="eastAsia"/>
          <w:szCs w:val="21"/>
        </w:rPr>
        <w:t>管理人</w:t>
      </w:r>
      <w:r w:rsidR="00171D4A" w:rsidRPr="003D21AE">
        <w:rPr>
          <w:rFonts w:asciiTheme="minorEastAsia" w:eastAsiaTheme="minorEastAsia" w:hAnsiTheme="minorEastAsia" w:hint="eastAsia"/>
          <w:szCs w:val="21"/>
        </w:rPr>
        <w:t>于</w:t>
      </w:r>
      <w:r w:rsidR="00203EEF" w:rsidRPr="003D21AE">
        <w:rPr>
          <w:rFonts w:asciiTheme="minorEastAsia" w:eastAsiaTheme="minorEastAsia" w:hAnsiTheme="minorEastAsia" w:hint="eastAsia"/>
          <w:szCs w:val="21"/>
        </w:rPr>
        <w:t>2018</w:t>
      </w:r>
      <w:r w:rsidR="00171D4A" w:rsidRPr="003D21AE">
        <w:rPr>
          <w:rFonts w:asciiTheme="minorEastAsia" w:eastAsiaTheme="minorEastAsia" w:hAnsiTheme="minorEastAsia" w:hint="eastAsia"/>
          <w:szCs w:val="21"/>
        </w:rPr>
        <w:t>年</w:t>
      </w:r>
      <w:r w:rsidR="00C55ACE">
        <w:rPr>
          <w:rFonts w:asciiTheme="minorEastAsia" w:eastAsiaTheme="minorEastAsia" w:hAnsiTheme="minorEastAsia" w:hint="eastAsia"/>
          <w:szCs w:val="21"/>
        </w:rPr>
        <w:t>8</w:t>
      </w:r>
      <w:r w:rsidR="00171D4A" w:rsidRPr="003D21AE">
        <w:rPr>
          <w:rFonts w:asciiTheme="minorEastAsia" w:eastAsiaTheme="minorEastAsia" w:hAnsiTheme="minorEastAsia" w:hint="eastAsia"/>
          <w:szCs w:val="21"/>
        </w:rPr>
        <w:t>月</w:t>
      </w:r>
      <w:r w:rsidR="00C55ACE">
        <w:rPr>
          <w:rFonts w:asciiTheme="minorEastAsia" w:eastAsiaTheme="minorEastAsia" w:hAnsiTheme="minorEastAsia" w:hint="eastAsia"/>
          <w:szCs w:val="21"/>
        </w:rPr>
        <w:t>23</w:t>
      </w:r>
      <w:r w:rsidR="00171D4A" w:rsidRPr="003D21AE">
        <w:rPr>
          <w:rFonts w:asciiTheme="minorEastAsia" w:eastAsiaTheme="minorEastAsia" w:hAnsiTheme="minorEastAsia" w:hint="eastAsia"/>
          <w:szCs w:val="21"/>
        </w:rPr>
        <w:t>日在《中国证券报》、《上海证券报》、《证券时报》及公司网站（www.dcfund.com.cn）发布了《</w:t>
      </w:r>
      <w:r w:rsidR="00C738DD" w:rsidRPr="003D21AE">
        <w:rPr>
          <w:rFonts w:asciiTheme="minorEastAsia" w:eastAsiaTheme="minorEastAsia" w:hAnsiTheme="minorEastAsia" w:hint="eastAsia"/>
        </w:rPr>
        <w:t>大成基金管理有限公司</w:t>
      </w:r>
      <w:r w:rsidR="00171D4A" w:rsidRPr="003D21AE">
        <w:rPr>
          <w:rFonts w:asciiTheme="minorEastAsia" w:eastAsiaTheme="minorEastAsia" w:hAnsiTheme="minorEastAsia" w:hint="eastAsia"/>
          <w:szCs w:val="21"/>
        </w:rPr>
        <w:t>关于</w:t>
      </w:r>
      <w:r w:rsidR="00C738DD" w:rsidRPr="003D21AE">
        <w:rPr>
          <w:rFonts w:asciiTheme="minorEastAsia" w:eastAsiaTheme="minorEastAsia" w:hAnsiTheme="minorEastAsia" w:hint="eastAsia"/>
          <w:szCs w:val="21"/>
        </w:rPr>
        <w:t>大成</w:t>
      </w:r>
      <w:r w:rsidR="00C55ACE">
        <w:rPr>
          <w:rFonts w:asciiTheme="minorEastAsia" w:eastAsiaTheme="minorEastAsia" w:hAnsiTheme="minorEastAsia" w:hint="eastAsia"/>
          <w:szCs w:val="21"/>
        </w:rPr>
        <w:t>景穗</w:t>
      </w:r>
      <w:r w:rsidR="00C738DD" w:rsidRPr="003D21AE">
        <w:rPr>
          <w:rFonts w:asciiTheme="minorEastAsia" w:eastAsiaTheme="minorEastAsia" w:hAnsiTheme="minorEastAsia" w:hint="eastAsia"/>
          <w:szCs w:val="21"/>
        </w:rPr>
        <w:t>灵活配置混合型证券投资基金基金合同终止及基金财产清算</w:t>
      </w:r>
      <w:r w:rsidR="00171D4A" w:rsidRPr="003D21AE">
        <w:rPr>
          <w:rFonts w:asciiTheme="minorEastAsia" w:eastAsiaTheme="minorEastAsia" w:hAnsiTheme="minorEastAsia" w:hint="eastAsia"/>
          <w:szCs w:val="21"/>
        </w:rPr>
        <w:t>的公告》</w:t>
      </w:r>
      <w:r w:rsidR="00BC3EB9" w:rsidRPr="003D21AE">
        <w:rPr>
          <w:rFonts w:asciiTheme="minorEastAsia" w:eastAsiaTheme="minorEastAsia" w:hAnsiTheme="minorEastAsia" w:hint="eastAsia"/>
          <w:szCs w:val="21"/>
        </w:rPr>
        <w:t>。</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203EEF"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C55ACE">
        <w:rPr>
          <w:rFonts w:asciiTheme="minorEastAsia" w:eastAsiaTheme="minorEastAsia" w:hAnsiTheme="minorEastAsia" w:hint="eastAsia"/>
        </w:rPr>
        <w:t>8</w:t>
      </w:r>
      <w:r w:rsidRPr="003D21AE">
        <w:rPr>
          <w:rFonts w:asciiTheme="minorEastAsia" w:eastAsiaTheme="minorEastAsia" w:hAnsiTheme="minorEastAsia" w:hint="eastAsia"/>
        </w:rPr>
        <w:t>月</w:t>
      </w:r>
      <w:r w:rsidR="00C55ACE">
        <w:rPr>
          <w:rFonts w:asciiTheme="minorEastAsia" w:eastAsiaTheme="minorEastAsia" w:hAnsiTheme="minorEastAsia" w:hint="eastAsia"/>
        </w:rPr>
        <w:t>23</w:t>
      </w:r>
      <w:r w:rsidRPr="003D21AE">
        <w:rPr>
          <w:rFonts w:asciiTheme="minorEastAsia" w:eastAsiaTheme="minorEastAsia" w:hAnsiTheme="minorEastAsia" w:hint="eastAsia"/>
        </w:rPr>
        <w:t>日起进入清算期，</w:t>
      </w:r>
      <w:r w:rsidR="00C55ACE">
        <w:rPr>
          <w:rFonts w:asciiTheme="minorEastAsia" w:eastAsiaTheme="minorEastAsia" w:hAnsiTheme="minorEastAsia" w:hint="eastAsia"/>
        </w:rPr>
        <w:t>由基金管理人大成基金管理有限公司、基金托管人中国农业</w:t>
      </w:r>
      <w:r w:rsidR="00203EEF" w:rsidRPr="003D21AE">
        <w:rPr>
          <w:rFonts w:asciiTheme="minorEastAsia" w:eastAsiaTheme="minorEastAsia" w:hAnsiTheme="minorEastAsia" w:hint="eastAsia"/>
        </w:rPr>
        <w:t>银行股份有限公司、</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203EEF" w:rsidRPr="003D21AE">
        <w:rPr>
          <w:rFonts w:asciiTheme="minorEastAsia" w:eastAsiaTheme="minorEastAsia" w:hAnsiTheme="minorEastAsia" w:hint="eastAsia"/>
        </w:rPr>
        <w:t>2018年</w:t>
      </w:r>
      <w:r w:rsidR="00C96ADE">
        <w:rPr>
          <w:rFonts w:asciiTheme="minorEastAsia" w:eastAsiaTheme="minorEastAsia" w:hAnsiTheme="minorEastAsia" w:hint="eastAsia"/>
        </w:rPr>
        <w:t>8</w:t>
      </w:r>
      <w:r w:rsidR="00203EEF" w:rsidRPr="003D21AE">
        <w:rPr>
          <w:rFonts w:asciiTheme="minorEastAsia" w:eastAsiaTheme="minorEastAsia" w:hAnsiTheme="minorEastAsia" w:hint="eastAsia"/>
        </w:rPr>
        <w:t>月</w:t>
      </w:r>
      <w:r w:rsidR="00C96ADE">
        <w:rPr>
          <w:rFonts w:asciiTheme="minorEastAsia" w:eastAsiaTheme="minorEastAsia" w:hAnsiTheme="minorEastAsia" w:hint="eastAsia"/>
        </w:rPr>
        <w:t>27</w:t>
      </w:r>
      <w:r w:rsidR="00203EEF" w:rsidRPr="003D21AE">
        <w:rPr>
          <w:rFonts w:asciiTheme="minorEastAsia" w:eastAsiaTheme="minorEastAsia" w:hAnsiTheme="minorEastAsia" w:hint="eastAsia"/>
        </w:rPr>
        <w:t>日成立基金财产清算小组履行基金财产清算程序，并由</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2468"/>
        <w:gridCol w:w="2393"/>
      </w:tblGrid>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bookmarkStart w:id="1" w:name="m02_01_tab"/>
            <w:r w:rsidRPr="003D21AE">
              <w:rPr>
                <w:rFonts w:asciiTheme="minorEastAsia" w:eastAsiaTheme="minorEastAsia" w:hAnsiTheme="minorEastAsia" w:hint="eastAsia"/>
              </w:rPr>
              <w:t>基金名称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C55ACE">
              <w:rPr>
                <w:rFonts w:asciiTheme="minorEastAsia" w:eastAsiaTheme="minorEastAsia" w:hAnsiTheme="minorEastAsia" w:hint="eastAsia"/>
                <w:kern w:val="0"/>
              </w:rPr>
              <w:t>景穗</w:t>
            </w:r>
            <w:r w:rsidRPr="003D21AE">
              <w:rPr>
                <w:rFonts w:asciiTheme="minorEastAsia" w:eastAsiaTheme="minorEastAsia" w:hAnsiTheme="minorEastAsia" w:hint="eastAsia"/>
                <w:kern w:val="0"/>
              </w:rPr>
              <w:t>灵活配置混合型证券投资基金</w:t>
            </w:r>
          </w:p>
        </w:tc>
      </w:tr>
      <w:tr w:rsidR="00E96708" w:rsidRPr="003D21AE" w:rsidTr="00E96708">
        <w:trPr>
          <w:trHeight w:val="163"/>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C55ACE">
              <w:rPr>
                <w:rFonts w:asciiTheme="minorEastAsia" w:eastAsiaTheme="minorEastAsia" w:hAnsiTheme="minorEastAsia" w:hint="eastAsia"/>
                <w:kern w:val="0"/>
              </w:rPr>
              <w:t>景穗</w:t>
            </w:r>
            <w:r w:rsidRPr="003D21AE">
              <w:rPr>
                <w:rFonts w:asciiTheme="minorEastAsia" w:eastAsiaTheme="minorEastAsia" w:hAnsiTheme="minorEastAsia" w:hint="eastAsia"/>
                <w:kern w:val="0"/>
              </w:rPr>
              <w:t>灵活配置混合</w:t>
            </w:r>
          </w:p>
        </w:tc>
      </w:tr>
      <w:tr w:rsidR="00E96708" w:rsidRPr="003D21AE" w:rsidTr="00E96708">
        <w:trPr>
          <w:trHeight w:val="324"/>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861" w:type="dxa"/>
            <w:gridSpan w:val="2"/>
            <w:vAlign w:val="center"/>
          </w:tcPr>
          <w:p w:rsidR="00E96708" w:rsidRPr="003D21AE" w:rsidRDefault="00E96708" w:rsidP="00C55ACE">
            <w:pPr>
              <w:rPr>
                <w:rFonts w:asciiTheme="minorEastAsia" w:eastAsiaTheme="minorEastAsia" w:hAnsiTheme="minorEastAsia"/>
                <w:kern w:val="0"/>
              </w:rPr>
            </w:pPr>
            <w:r w:rsidRPr="003D21AE">
              <w:rPr>
                <w:rFonts w:asciiTheme="minorEastAsia" w:eastAsiaTheme="minorEastAsia" w:hAnsiTheme="minorEastAsia"/>
                <w:kern w:val="0"/>
              </w:rPr>
              <w:t>00</w:t>
            </w:r>
            <w:r w:rsidR="00C55ACE">
              <w:rPr>
                <w:rFonts w:asciiTheme="minorEastAsia" w:eastAsiaTheme="minorEastAsia" w:hAnsiTheme="minorEastAsia" w:hint="eastAsia"/>
                <w:kern w:val="0"/>
              </w:rPr>
              <w:t>1263</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861" w:type="dxa"/>
            <w:gridSpan w:val="2"/>
            <w:vAlign w:val="center"/>
          </w:tcPr>
          <w:p w:rsidR="00E96708" w:rsidRPr="003D21AE" w:rsidRDefault="00E96708" w:rsidP="00C55ACE">
            <w:pPr>
              <w:rPr>
                <w:rFonts w:asciiTheme="minorEastAsia" w:eastAsiaTheme="minorEastAsia" w:hAnsiTheme="minorEastAsia"/>
                <w:kern w:val="0"/>
              </w:rPr>
            </w:pPr>
            <w:r w:rsidRPr="003D21AE">
              <w:rPr>
                <w:rFonts w:asciiTheme="minorEastAsia" w:eastAsiaTheme="minorEastAsia" w:hAnsiTheme="minorEastAsia"/>
                <w:kern w:val="0"/>
              </w:rPr>
              <w:t>2015年</w:t>
            </w:r>
            <w:r w:rsidR="00C55ACE">
              <w:rPr>
                <w:rFonts w:asciiTheme="minorEastAsia" w:eastAsiaTheme="minorEastAsia" w:hAnsiTheme="minorEastAsia" w:hint="eastAsia"/>
                <w:kern w:val="0"/>
              </w:rPr>
              <w:t>5</w:t>
            </w:r>
            <w:r w:rsidRPr="003D21AE">
              <w:rPr>
                <w:rFonts w:asciiTheme="minorEastAsia" w:eastAsiaTheme="minorEastAsia" w:hAnsiTheme="minorEastAsia"/>
                <w:kern w:val="0"/>
              </w:rPr>
              <w:t>月</w:t>
            </w:r>
            <w:r w:rsidR="00C55ACE">
              <w:rPr>
                <w:rFonts w:asciiTheme="minorEastAsia" w:eastAsiaTheme="minorEastAsia" w:hAnsiTheme="minorEastAsia" w:hint="eastAsia"/>
                <w:kern w:val="0"/>
              </w:rPr>
              <w:t>4</w:t>
            </w:r>
            <w:r w:rsidRPr="003D21AE">
              <w:rPr>
                <w:rFonts w:asciiTheme="minorEastAsia" w:eastAsiaTheme="minorEastAsia" w:hAnsiTheme="minorEastAsia"/>
                <w:kern w:val="0"/>
              </w:rPr>
              <w:t>日</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861"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861" w:type="dxa"/>
            <w:gridSpan w:val="2"/>
            <w:vAlign w:val="center"/>
          </w:tcPr>
          <w:p w:rsidR="00E96708" w:rsidRPr="003D21AE" w:rsidRDefault="00C55ACE" w:rsidP="00E91BC2">
            <w:pPr>
              <w:rPr>
                <w:rFonts w:asciiTheme="minorEastAsia" w:eastAsiaTheme="minorEastAsia" w:hAnsiTheme="minorEastAsia"/>
                <w:szCs w:val="24"/>
              </w:rPr>
            </w:pPr>
            <w:r>
              <w:rPr>
                <w:rFonts w:asciiTheme="minorEastAsia" w:eastAsiaTheme="minorEastAsia" w:hAnsiTheme="minorEastAsia" w:hint="eastAsia"/>
                <w:szCs w:val="24"/>
              </w:rPr>
              <w:t>中国农业</w:t>
            </w:r>
            <w:r w:rsidR="00E96708" w:rsidRPr="003D21AE">
              <w:rPr>
                <w:rFonts w:asciiTheme="minorEastAsia" w:eastAsiaTheme="minorEastAsia" w:hAnsiTheme="minorEastAsia" w:hint="eastAsia"/>
                <w:szCs w:val="24"/>
              </w:rPr>
              <w:t>银行股份有限公司</w:t>
            </w:r>
          </w:p>
        </w:tc>
      </w:tr>
      <w:tr w:rsidR="00E96708" w:rsidRPr="003D21AE" w:rsidTr="00E96708">
        <w:trPr>
          <w:trHeight w:val="327"/>
        </w:trPr>
        <w:tc>
          <w:tcPr>
            <w:tcW w:w="3553"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w:t>
            </w:r>
            <w:r w:rsidR="00C55ACE">
              <w:rPr>
                <w:rFonts w:asciiTheme="minorEastAsia" w:eastAsiaTheme="minorEastAsia" w:hAnsiTheme="minorEastAsia" w:hint="eastAsia"/>
              </w:rPr>
              <w:t>8</w:t>
            </w:r>
            <w:r w:rsidR="00E96708" w:rsidRPr="003D21AE">
              <w:rPr>
                <w:rFonts w:asciiTheme="minorEastAsia" w:eastAsiaTheme="minorEastAsia" w:hAnsiTheme="minorEastAsia" w:hint="eastAsia"/>
              </w:rPr>
              <w:t>月</w:t>
            </w:r>
            <w:r w:rsidR="00C55ACE">
              <w:rPr>
                <w:rFonts w:asciiTheme="minorEastAsia" w:eastAsiaTheme="minorEastAsia" w:hAnsiTheme="minorEastAsia" w:hint="eastAsia"/>
              </w:rPr>
              <w:t>22</w:t>
            </w:r>
            <w:r w:rsidR="00E96708" w:rsidRPr="003D21AE">
              <w:rPr>
                <w:rFonts w:asciiTheme="minorEastAsia" w:eastAsiaTheme="minorEastAsia" w:hAnsiTheme="minorEastAsia" w:hint="eastAsia"/>
              </w:rPr>
              <w:t>日）基金份额总额</w:t>
            </w:r>
          </w:p>
        </w:tc>
        <w:tc>
          <w:tcPr>
            <w:tcW w:w="4861" w:type="dxa"/>
            <w:gridSpan w:val="2"/>
            <w:vAlign w:val="center"/>
          </w:tcPr>
          <w:p w:rsidR="00E96708" w:rsidRPr="003D21AE" w:rsidRDefault="00C55ACE" w:rsidP="00E91BC2">
            <w:pPr>
              <w:ind w:right="90"/>
              <w:rPr>
                <w:rFonts w:asciiTheme="minorEastAsia" w:eastAsiaTheme="minorEastAsia" w:hAnsiTheme="minorEastAsia"/>
                <w:kern w:val="0"/>
              </w:rPr>
            </w:pPr>
            <w:r w:rsidRPr="00C55ACE">
              <w:rPr>
                <w:rFonts w:asciiTheme="minorEastAsia" w:eastAsiaTheme="minorEastAsia" w:hAnsiTheme="minorEastAsia"/>
                <w:kern w:val="0"/>
              </w:rPr>
              <w:t>1,322,887.20</w:t>
            </w:r>
            <w:r w:rsidR="00E96708" w:rsidRPr="003D21AE">
              <w:rPr>
                <w:rFonts w:asciiTheme="minorEastAsia" w:eastAsiaTheme="minorEastAsia" w:hAnsiTheme="minorEastAsia"/>
                <w:kern w:val="0"/>
              </w:rPr>
              <w:t>份</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下属分级基金的基金简称：</w:t>
            </w:r>
          </w:p>
        </w:tc>
        <w:tc>
          <w:tcPr>
            <w:tcW w:w="2468"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C55ACE">
              <w:rPr>
                <w:rFonts w:asciiTheme="minorEastAsia" w:eastAsiaTheme="minorEastAsia" w:hAnsiTheme="minorEastAsia" w:hint="eastAsia"/>
                <w:kern w:val="0"/>
              </w:rPr>
              <w:t>景穗</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A</w:t>
            </w:r>
          </w:p>
        </w:tc>
        <w:tc>
          <w:tcPr>
            <w:tcW w:w="239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C55ACE">
              <w:rPr>
                <w:rFonts w:asciiTheme="minorEastAsia" w:eastAsiaTheme="minorEastAsia" w:hAnsiTheme="minorEastAsia" w:hint="eastAsia"/>
                <w:kern w:val="0"/>
              </w:rPr>
              <w:t>景穗</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C</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下属分级基金的交易代码：</w:t>
            </w:r>
          </w:p>
        </w:tc>
        <w:tc>
          <w:tcPr>
            <w:tcW w:w="2468" w:type="dxa"/>
            <w:vAlign w:val="center"/>
          </w:tcPr>
          <w:p w:rsidR="00E96708" w:rsidRPr="003D21AE" w:rsidRDefault="00C55ACE" w:rsidP="00E91BC2">
            <w:pPr>
              <w:rPr>
                <w:rFonts w:asciiTheme="minorEastAsia" w:eastAsiaTheme="minorEastAsia" w:hAnsiTheme="minorEastAsia"/>
                <w:kern w:val="0"/>
              </w:rPr>
            </w:pPr>
            <w:r>
              <w:rPr>
                <w:rFonts w:asciiTheme="minorEastAsia" w:eastAsiaTheme="minorEastAsia" w:hAnsiTheme="minorEastAsia" w:hint="eastAsia"/>
                <w:kern w:val="0"/>
              </w:rPr>
              <w:t>001263</w:t>
            </w:r>
          </w:p>
        </w:tc>
        <w:tc>
          <w:tcPr>
            <w:tcW w:w="2393" w:type="dxa"/>
            <w:vAlign w:val="center"/>
          </w:tcPr>
          <w:p w:rsidR="00E96708" w:rsidRPr="003D21AE" w:rsidRDefault="00C55ACE" w:rsidP="00E91BC2">
            <w:pPr>
              <w:rPr>
                <w:rFonts w:asciiTheme="minorEastAsia" w:eastAsiaTheme="minorEastAsia" w:hAnsiTheme="minorEastAsia"/>
                <w:kern w:val="0"/>
              </w:rPr>
            </w:pPr>
            <w:r>
              <w:rPr>
                <w:rFonts w:asciiTheme="minorEastAsia" w:eastAsiaTheme="minorEastAsia" w:hAnsiTheme="minorEastAsia" w:hint="eastAsia"/>
                <w:kern w:val="0"/>
              </w:rPr>
              <w:t>002372</w:t>
            </w:r>
          </w:p>
        </w:tc>
      </w:tr>
      <w:tr w:rsidR="00E96708" w:rsidRPr="003D21AE" w:rsidTr="00E96708">
        <w:trPr>
          <w:trHeight w:val="327"/>
        </w:trPr>
        <w:tc>
          <w:tcPr>
            <w:tcW w:w="3553"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w:t>
            </w:r>
            <w:r w:rsidR="001E3899">
              <w:rPr>
                <w:rFonts w:asciiTheme="minorEastAsia" w:eastAsiaTheme="minorEastAsia" w:hAnsiTheme="minorEastAsia" w:hint="eastAsia"/>
              </w:rPr>
              <w:t>8</w:t>
            </w:r>
            <w:r w:rsidR="00E96708" w:rsidRPr="003D21AE">
              <w:rPr>
                <w:rFonts w:asciiTheme="minorEastAsia" w:eastAsiaTheme="minorEastAsia" w:hAnsiTheme="minorEastAsia" w:hint="eastAsia"/>
              </w:rPr>
              <w:t>月</w:t>
            </w:r>
            <w:r w:rsidR="001E3899">
              <w:rPr>
                <w:rFonts w:asciiTheme="minorEastAsia" w:eastAsiaTheme="minorEastAsia" w:hAnsiTheme="minorEastAsia" w:hint="eastAsia"/>
              </w:rPr>
              <w:t>22</w:t>
            </w:r>
            <w:r w:rsidR="00E96708" w:rsidRPr="003D21AE">
              <w:rPr>
                <w:rFonts w:asciiTheme="minorEastAsia" w:eastAsiaTheme="minorEastAsia" w:hAnsiTheme="minorEastAsia" w:hint="eastAsia"/>
              </w:rPr>
              <w:t>日）下属分级基金的份额总额</w:t>
            </w:r>
          </w:p>
        </w:tc>
        <w:tc>
          <w:tcPr>
            <w:tcW w:w="2468" w:type="dxa"/>
            <w:vAlign w:val="center"/>
          </w:tcPr>
          <w:p w:rsidR="00E96708" w:rsidRPr="003D21AE" w:rsidRDefault="00C55ACE" w:rsidP="00E91BC2">
            <w:pPr>
              <w:rPr>
                <w:rFonts w:asciiTheme="minorEastAsia" w:eastAsiaTheme="minorEastAsia" w:hAnsiTheme="minorEastAsia"/>
                <w:kern w:val="0"/>
              </w:rPr>
            </w:pPr>
            <w:r w:rsidRPr="00C55ACE">
              <w:rPr>
                <w:rFonts w:asciiTheme="minorEastAsia" w:eastAsiaTheme="minorEastAsia" w:hAnsiTheme="minorEastAsia"/>
                <w:kern w:val="0"/>
              </w:rPr>
              <w:t>1,240,498.04</w:t>
            </w:r>
            <w:r w:rsidR="00E96708" w:rsidRPr="003D21AE">
              <w:rPr>
                <w:rFonts w:asciiTheme="minorEastAsia" w:eastAsiaTheme="minorEastAsia" w:hAnsiTheme="minorEastAsia"/>
                <w:kern w:val="0"/>
              </w:rPr>
              <w:t>份</w:t>
            </w:r>
          </w:p>
        </w:tc>
        <w:tc>
          <w:tcPr>
            <w:tcW w:w="2393" w:type="dxa"/>
            <w:vAlign w:val="center"/>
          </w:tcPr>
          <w:p w:rsidR="00E96708" w:rsidRPr="003D21AE" w:rsidRDefault="00C55ACE" w:rsidP="00E91BC2">
            <w:pPr>
              <w:rPr>
                <w:rFonts w:asciiTheme="minorEastAsia" w:eastAsiaTheme="minorEastAsia" w:hAnsiTheme="minorEastAsia"/>
                <w:kern w:val="0"/>
              </w:rPr>
            </w:pPr>
            <w:r w:rsidRPr="00C55ACE">
              <w:rPr>
                <w:rFonts w:asciiTheme="minorEastAsia" w:eastAsiaTheme="minorEastAsia" w:hAnsiTheme="minorEastAsia"/>
                <w:kern w:val="0"/>
              </w:rPr>
              <w:t>82,389.16</w:t>
            </w:r>
            <w:r>
              <w:rPr>
                <w:rFonts w:asciiTheme="minorEastAsia" w:eastAsiaTheme="minorEastAsia" w:hAnsiTheme="minorEastAsia" w:hint="eastAsia"/>
                <w:kern w:val="0"/>
              </w:rPr>
              <w:t>份</w:t>
            </w:r>
          </w:p>
        </w:tc>
      </w:tr>
      <w:bookmarkEnd w:id="1"/>
    </w:tbl>
    <w:p w:rsidR="001F292B" w:rsidRPr="003D21AE" w:rsidRDefault="001F292B"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2" w:name="m02_02_tab"/>
            <w:r w:rsidRPr="003D21AE">
              <w:rPr>
                <w:rFonts w:asciiTheme="minorEastAsia" w:eastAsiaTheme="minorEastAsia" w:hAnsiTheme="minorEastAsia" w:hint="eastAsia"/>
              </w:rPr>
              <w:t>投资目标</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在严格控制风险的前提下，追求基金资产稳定增值。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C55ACE" w:rsidP="00E91BC2">
            <w:pPr>
              <w:rPr>
                <w:rFonts w:asciiTheme="minorEastAsia" w:eastAsiaTheme="minorEastAsia" w:hAnsiTheme="minorEastAsia"/>
                <w:kern w:val="0"/>
              </w:rPr>
            </w:pPr>
            <w:r>
              <w:rPr>
                <w:rFonts w:ascii="宋体" w:hAnsi="宋体" w:hint="eastAsia"/>
                <w:kern w:val="0"/>
              </w:rPr>
              <w:t>本基金将采用“自上而下”的资产配置策略，在综合判断宏观经济基本面、证券市场走势等宏观因素的基础上，通过动态调整资产配置比例以控制基金资产整体风险。在个券投资方面采用“自下而上”精选策略，通过严谨个股选择、信用分析以及对券种收益水平、流动性的客观判断，综合运用多种投资策略，精选个券构建投资组合。</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C55ACE" w:rsidP="00E91BC2">
            <w:pPr>
              <w:rPr>
                <w:rFonts w:asciiTheme="minorEastAsia" w:eastAsiaTheme="minorEastAsia" w:hAnsiTheme="minorEastAsia"/>
                <w:kern w:val="0"/>
              </w:rPr>
            </w:pPr>
            <w:r>
              <w:rPr>
                <w:rFonts w:ascii="宋体" w:hAnsi="宋体" w:hint="eastAsia"/>
                <w:kern w:val="0"/>
              </w:rPr>
              <w:t>三年期定期存款税后利率+2%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C55ACE" w:rsidP="00E91BC2">
            <w:pPr>
              <w:rPr>
                <w:rFonts w:asciiTheme="minorEastAsia" w:eastAsiaTheme="minorEastAsia" w:hAnsiTheme="minorEastAsia"/>
                <w:kern w:val="0"/>
              </w:rPr>
            </w:pPr>
            <w:r>
              <w:rPr>
                <w:rFonts w:ascii="宋体" w:hAnsi="宋体" w:hint="eastAsia"/>
                <w:kern w:val="0"/>
              </w:rPr>
              <w:t>本基金为混合型基金，基金的风险与预期收益高于债券型基金和货币市场基金低于股票型基金，属于证券投资基金中的中高风险投资品种。</w:t>
            </w:r>
          </w:p>
        </w:tc>
      </w:tr>
      <w:bookmarkEnd w:id="2"/>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w:t>
      </w:r>
      <w:r w:rsidR="00C55ACE">
        <w:rPr>
          <w:rFonts w:asciiTheme="minorEastAsia" w:eastAsiaTheme="minorEastAsia" w:hAnsiTheme="minorEastAsia" w:hint="eastAsia"/>
          <w:kern w:val="0"/>
          <w:szCs w:val="21"/>
        </w:rPr>
        <w:t>景穗</w:t>
      </w:r>
      <w:r w:rsidR="00C70722" w:rsidRPr="00395575">
        <w:rPr>
          <w:rFonts w:asciiTheme="minorEastAsia" w:eastAsiaTheme="minorEastAsia" w:hAnsiTheme="minorEastAsia" w:hint="eastAsia"/>
          <w:kern w:val="0"/>
          <w:szCs w:val="21"/>
        </w:rPr>
        <w:t>灵活配置混合型证券投资基金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C70722" w:rsidRPr="00395575">
        <w:rPr>
          <w:rFonts w:asciiTheme="minorEastAsia" w:eastAsiaTheme="minorEastAsia" w:hAnsiTheme="minorEastAsia" w:hint="eastAsia"/>
        </w:rPr>
        <w:t xml:space="preserve"> 2018</w:t>
      </w:r>
      <w:r w:rsidRPr="00395575">
        <w:rPr>
          <w:rFonts w:asciiTheme="minorEastAsia" w:eastAsiaTheme="minorEastAsia" w:hAnsiTheme="minorEastAsia" w:hint="eastAsia"/>
        </w:rPr>
        <w:t>年</w:t>
      </w:r>
      <w:r w:rsidR="00C55ACE">
        <w:rPr>
          <w:rFonts w:asciiTheme="minorEastAsia" w:eastAsiaTheme="minorEastAsia" w:hAnsiTheme="minorEastAsia" w:hint="eastAsia"/>
        </w:rPr>
        <w:t>8</w:t>
      </w:r>
      <w:r w:rsidRPr="00395575">
        <w:rPr>
          <w:rFonts w:asciiTheme="minorEastAsia" w:eastAsiaTheme="minorEastAsia" w:hAnsiTheme="minorEastAsia" w:hint="eastAsia"/>
        </w:rPr>
        <w:t>月</w:t>
      </w:r>
      <w:r w:rsidR="00C55ACE">
        <w:rPr>
          <w:rFonts w:asciiTheme="minorEastAsia" w:eastAsiaTheme="minorEastAsia" w:hAnsiTheme="minorEastAsia" w:hint="eastAsia"/>
        </w:rPr>
        <w:t xml:space="preserve"> 22</w:t>
      </w:r>
      <w:r w:rsidRPr="00395575">
        <w:rPr>
          <w:rFonts w:asciiTheme="minorEastAsia" w:eastAsiaTheme="minorEastAsia" w:hAnsiTheme="minorEastAsia" w:hint="eastAsia"/>
        </w:rPr>
        <w:t xml:space="preserve"> 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126"/>
        <w:gridCol w:w="2410"/>
        <w:gridCol w:w="1843"/>
      </w:tblGrid>
      <w:tr w:rsidR="00CB2D30" w:rsidRPr="003D21AE" w:rsidTr="00CB2D30">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c>
          <w:tcPr>
            <w:tcW w:w="2410" w:type="dxa"/>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负债和所有者权益</w:t>
            </w:r>
          </w:p>
        </w:tc>
        <w:tc>
          <w:tcPr>
            <w:tcW w:w="1843" w:type="dxa"/>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pStyle w:val="a4"/>
              <w:jc w:val="right"/>
              <w:rPr>
                <w:rFonts w:asciiTheme="minorEastAsia" w:eastAsiaTheme="minorEastAsia" w:hAnsiTheme="minorEastAsia"/>
                <w:kern w:val="2"/>
                <w:sz w:val="21"/>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 债：</w:t>
            </w:r>
          </w:p>
        </w:tc>
        <w:tc>
          <w:tcPr>
            <w:tcW w:w="1843" w:type="dxa"/>
          </w:tcPr>
          <w:p w:rsidR="00CB2D30" w:rsidRPr="003D21AE" w:rsidRDefault="00CB2D30" w:rsidP="003260A3">
            <w:pPr>
              <w:pStyle w:val="a4"/>
              <w:jc w:val="right"/>
              <w:rPr>
                <w:rFonts w:asciiTheme="minorEastAsia" w:eastAsiaTheme="minorEastAsia" w:hAnsiTheme="minorEastAsia"/>
                <w:kern w:val="2"/>
                <w:sz w:val="21"/>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1</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777</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869.94</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短期借款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34</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564.8</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卖出回购金融资产款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应付证券清算款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应付赎回款</w:t>
            </w:r>
          </w:p>
        </w:tc>
        <w:tc>
          <w:tcPr>
            <w:tcW w:w="1843" w:type="dxa"/>
            <w:vAlign w:val="bottom"/>
          </w:tcPr>
          <w:p w:rsidR="00C70722"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29</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995.38</w:t>
            </w:r>
          </w:p>
        </w:tc>
      </w:tr>
      <w:tr w:rsidR="00C70722" w:rsidRPr="003D21AE" w:rsidTr="00E91BC2">
        <w:trPr>
          <w:trHeight w:val="288"/>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应付管理人报酬</w:t>
            </w:r>
          </w:p>
        </w:tc>
        <w:tc>
          <w:tcPr>
            <w:tcW w:w="1843" w:type="dxa"/>
          </w:tcPr>
          <w:p w:rsidR="00C70722" w:rsidRPr="003D21AE" w:rsidRDefault="0070455B" w:rsidP="005A011A">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824.45</w:t>
            </w: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应付托管费</w:t>
            </w:r>
          </w:p>
        </w:tc>
        <w:tc>
          <w:tcPr>
            <w:tcW w:w="1843" w:type="dxa"/>
          </w:tcPr>
          <w:p w:rsidR="00C70722"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164.88</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应付销售服务费</w:t>
            </w:r>
          </w:p>
        </w:tc>
        <w:tc>
          <w:tcPr>
            <w:tcW w:w="1843" w:type="dxa"/>
          </w:tcPr>
          <w:p w:rsidR="00C70722"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30.85</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应付交易费用</w:t>
            </w:r>
          </w:p>
        </w:tc>
        <w:tc>
          <w:tcPr>
            <w:tcW w:w="1843" w:type="dxa"/>
          </w:tcPr>
          <w:p w:rsidR="00C70722"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1</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721.77</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应付税费</w:t>
            </w:r>
          </w:p>
        </w:tc>
        <w:tc>
          <w:tcPr>
            <w:tcW w:w="1843" w:type="dxa"/>
          </w:tcPr>
          <w:p w:rsidR="00C70722" w:rsidRPr="003D21AE" w:rsidRDefault="00C70722" w:rsidP="003260A3">
            <w:pPr>
              <w:jc w:val="right"/>
              <w:rPr>
                <w:rFonts w:asciiTheme="minorEastAsia" w:eastAsiaTheme="minorEastAsia" w:hAnsiTheme="minorEastAsia"/>
                <w:kern w:val="0"/>
                <w:szCs w:val="21"/>
              </w:rPr>
            </w:pP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3</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545.46</w:t>
            </w: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应付利息</w:t>
            </w:r>
          </w:p>
        </w:tc>
        <w:tc>
          <w:tcPr>
            <w:tcW w:w="1843" w:type="dxa"/>
            <w:vAlign w:val="bottom"/>
          </w:tcPr>
          <w:p w:rsidR="00EF3B56" w:rsidRPr="003D21AE" w:rsidRDefault="00EF3B56" w:rsidP="003260A3">
            <w:pPr>
              <w:jc w:val="right"/>
              <w:rPr>
                <w:rFonts w:asciiTheme="minorEastAsia" w:eastAsiaTheme="minorEastAsia" w:hAnsiTheme="minorEastAsia"/>
                <w:kern w:val="0"/>
                <w:szCs w:val="21"/>
              </w:rPr>
            </w:pP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应付利润</w:t>
            </w:r>
          </w:p>
        </w:tc>
        <w:tc>
          <w:tcPr>
            <w:tcW w:w="1843" w:type="dxa"/>
            <w:vAlign w:val="bottom"/>
          </w:tcPr>
          <w:p w:rsidR="00EF3B56" w:rsidRPr="003D21AE" w:rsidRDefault="00EF3B56" w:rsidP="003260A3">
            <w:pPr>
              <w:jc w:val="right"/>
              <w:rPr>
                <w:rFonts w:asciiTheme="minorEastAsia" w:eastAsiaTheme="minorEastAsia" w:hAnsiTheme="minorEastAsia"/>
                <w:szCs w:val="21"/>
              </w:rPr>
            </w:pP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其他负债</w:t>
            </w:r>
          </w:p>
        </w:tc>
        <w:tc>
          <w:tcPr>
            <w:tcW w:w="1843" w:type="dxa"/>
            <w:vAlign w:val="bottom"/>
          </w:tcPr>
          <w:p w:rsidR="00EF3B56" w:rsidRPr="003D21AE" w:rsidRDefault="0070455B" w:rsidP="003260A3">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161,</w:t>
            </w:r>
            <w:r w:rsidRPr="0070455B">
              <w:rPr>
                <w:rFonts w:asciiTheme="minorEastAsia" w:eastAsiaTheme="minorEastAsia" w:hAnsiTheme="minorEastAsia"/>
                <w:kern w:val="0"/>
                <w:szCs w:val="21"/>
              </w:rPr>
              <w:t>497.34</w:t>
            </w: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b/>
                <w:bCs/>
                <w:color w:val="000000"/>
                <w:sz w:val="22"/>
                <w:szCs w:val="22"/>
              </w:rPr>
              <w:t>负债合计</w:t>
            </w:r>
          </w:p>
        </w:tc>
        <w:tc>
          <w:tcPr>
            <w:tcW w:w="1843" w:type="dxa"/>
            <w:vAlign w:val="bottom"/>
          </w:tcPr>
          <w:p w:rsidR="00EF3B56" w:rsidRPr="003D21AE" w:rsidRDefault="0070455B" w:rsidP="003260A3">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194,234.67</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jc w:val="right"/>
              <w:rPr>
                <w:rFonts w:asciiTheme="minorEastAsia" w:eastAsiaTheme="minorEastAsia" w:hAnsiTheme="minorEastAsia"/>
                <w:kern w:val="0"/>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所有者权益：</w:t>
            </w:r>
          </w:p>
        </w:tc>
        <w:tc>
          <w:tcPr>
            <w:tcW w:w="1843" w:type="dxa"/>
          </w:tcPr>
          <w:p w:rsidR="00CB2D30" w:rsidRPr="003D21AE" w:rsidRDefault="00CB2D30" w:rsidP="003260A3">
            <w:pPr>
              <w:jc w:val="right"/>
              <w:rPr>
                <w:rFonts w:asciiTheme="minorEastAsia" w:eastAsiaTheme="minorEastAsia" w:hAnsiTheme="minorEastAsia"/>
                <w:kern w:val="0"/>
                <w:szCs w:val="21"/>
              </w:rPr>
            </w:pP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3D21AE" w:rsidRDefault="00EF3B56" w:rsidP="00EF3B56">
            <w:pPr>
              <w:jc w:val="right"/>
              <w:rPr>
                <w:rFonts w:asciiTheme="minorEastAsia" w:eastAsiaTheme="minorEastAsia" w:hAnsiTheme="minorEastAsia" w:cs="宋体"/>
                <w:color w:val="000000"/>
                <w:sz w:val="22"/>
                <w:szCs w:val="22"/>
              </w:rPr>
            </w:pPr>
          </w:p>
        </w:tc>
        <w:tc>
          <w:tcPr>
            <w:tcW w:w="2410"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实收基金</w:t>
            </w:r>
          </w:p>
        </w:tc>
        <w:tc>
          <w:tcPr>
            <w:tcW w:w="1843" w:type="dxa"/>
            <w:vAlign w:val="bottom"/>
          </w:tcPr>
          <w:p w:rsidR="00EF3B56"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1</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322</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887.2</w:t>
            </w: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jc w:val="right"/>
              <w:rPr>
                <w:rFonts w:asciiTheme="minorEastAsia" w:eastAsiaTheme="minorEastAsia" w:hAnsiTheme="minorEastAsia"/>
                <w:kern w:val="0"/>
                <w:szCs w:val="21"/>
              </w:rPr>
            </w:pPr>
          </w:p>
        </w:tc>
        <w:tc>
          <w:tcPr>
            <w:tcW w:w="2410"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未分配利润</w:t>
            </w:r>
          </w:p>
        </w:tc>
        <w:tc>
          <w:tcPr>
            <w:tcW w:w="1843" w:type="dxa"/>
            <w:vAlign w:val="bottom"/>
          </w:tcPr>
          <w:p w:rsidR="00EF3B56" w:rsidRPr="003D21AE" w:rsidRDefault="0070455B" w:rsidP="003260A3">
            <w:pPr>
              <w:jc w:val="right"/>
              <w:rPr>
                <w:rFonts w:asciiTheme="minorEastAsia" w:eastAsiaTheme="minorEastAsia" w:hAnsiTheme="minorEastAsia"/>
                <w:kern w:val="0"/>
                <w:szCs w:val="21"/>
              </w:rPr>
            </w:pPr>
            <w:r w:rsidRPr="0070455B">
              <w:rPr>
                <w:rFonts w:asciiTheme="minorEastAsia" w:eastAsiaTheme="minorEastAsia" w:hAnsiTheme="minorEastAsia"/>
                <w:kern w:val="0"/>
                <w:szCs w:val="21"/>
              </w:rPr>
              <w:t>298</w:t>
            </w:r>
            <w:r>
              <w:rPr>
                <w:rFonts w:asciiTheme="minorEastAsia" w:eastAsiaTheme="minorEastAsia" w:hAnsiTheme="minorEastAsia" w:hint="eastAsia"/>
                <w:kern w:val="0"/>
                <w:szCs w:val="21"/>
              </w:rPr>
              <w:t>,</w:t>
            </w:r>
            <w:r w:rsidRPr="0070455B">
              <w:rPr>
                <w:rFonts w:asciiTheme="minorEastAsia" w:eastAsiaTheme="minorEastAsia" w:hAnsiTheme="minorEastAsia"/>
                <w:kern w:val="0"/>
                <w:szCs w:val="21"/>
              </w:rPr>
              <w:t>858.33</w:t>
            </w:r>
          </w:p>
        </w:tc>
      </w:tr>
      <w:tr w:rsidR="00CB2D30"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jc w:val="right"/>
              <w:rPr>
                <w:rFonts w:asciiTheme="minorEastAsia" w:eastAsiaTheme="minorEastAsia" w:hAnsiTheme="minorEastAsia"/>
                <w:kern w:val="0"/>
                <w:szCs w:val="21"/>
              </w:rPr>
            </w:pPr>
          </w:p>
        </w:tc>
        <w:tc>
          <w:tcPr>
            <w:tcW w:w="2410" w:type="dxa"/>
            <w:vAlign w:val="center"/>
          </w:tcPr>
          <w:p w:rsidR="00CB2D30" w:rsidRPr="003D21AE" w:rsidRDefault="00CB2D30"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所有者权益合计</w:t>
            </w:r>
          </w:p>
        </w:tc>
        <w:tc>
          <w:tcPr>
            <w:tcW w:w="1843" w:type="dxa"/>
          </w:tcPr>
          <w:p w:rsidR="00CB2D30" w:rsidRPr="003D21AE" w:rsidRDefault="0070455B" w:rsidP="00EF3B56">
            <w:pPr>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1,621,745.53</w:t>
            </w:r>
          </w:p>
        </w:tc>
      </w:tr>
      <w:tr w:rsidR="0094733D"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4733D" w:rsidRPr="003D21AE" w:rsidRDefault="0094733D" w:rsidP="003260A3">
            <w:pPr>
              <w:pStyle w:val="a5"/>
              <w:rPr>
                <w:rFonts w:asciiTheme="minorEastAsia" w:eastAsiaTheme="minorEastAsia" w:hAnsiTheme="minorEastAsia"/>
                <w:szCs w:val="21"/>
              </w:rPr>
            </w:pPr>
            <w:r w:rsidRPr="003D21AE">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3D21AE" w:rsidRDefault="0070455B" w:rsidP="003260A3">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1,815,980.20</w:t>
            </w:r>
          </w:p>
        </w:tc>
        <w:tc>
          <w:tcPr>
            <w:tcW w:w="2410" w:type="dxa"/>
            <w:vAlign w:val="center"/>
          </w:tcPr>
          <w:p w:rsidR="0094733D" w:rsidRPr="003D21AE" w:rsidRDefault="0094733D"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负债和所有者权益总计</w:t>
            </w:r>
          </w:p>
        </w:tc>
        <w:tc>
          <w:tcPr>
            <w:tcW w:w="1843" w:type="dxa"/>
          </w:tcPr>
          <w:p w:rsidR="0094733D" w:rsidRPr="003D21AE" w:rsidRDefault="0070455B" w:rsidP="00EF3B56">
            <w:pPr>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1,815,980.20</w:t>
            </w:r>
          </w:p>
        </w:tc>
      </w:tr>
    </w:tbl>
    <w:p w:rsidR="008905D2" w:rsidRPr="003D21AE" w:rsidRDefault="0094733D" w:rsidP="008905D2">
      <w:pPr>
        <w:pStyle w:val="Default"/>
        <w:spacing w:line="360" w:lineRule="auto"/>
        <w:rPr>
          <w:rFonts w:asciiTheme="minorEastAsia" w:eastAsiaTheme="minorEastAsia" w:hAnsiTheme="minorEastAsia"/>
          <w:sz w:val="23"/>
          <w:szCs w:val="23"/>
        </w:rPr>
      </w:pPr>
      <w:r w:rsidRPr="003D21AE">
        <w:rPr>
          <w:rFonts w:asciiTheme="minorEastAsia" w:eastAsiaTheme="minorEastAsia" w:hAnsiTheme="minorEastAsia" w:hint="eastAsia"/>
          <w:sz w:val="23"/>
          <w:szCs w:val="23"/>
        </w:rPr>
        <w:t>注：基金最后运作日2018年</w:t>
      </w:r>
      <w:r w:rsidR="0070455B">
        <w:rPr>
          <w:rFonts w:asciiTheme="minorEastAsia" w:eastAsiaTheme="minorEastAsia" w:hAnsiTheme="minorEastAsia" w:hint="eastAsia"/>
          <w:sz w:val="23"/>
          <w:szCs w:val="23"/>
        </w:rPr>
        <w:t>8</w:t>
      </w:r>
      <w:r w:rsidRPr="003D21AE">
        <w:rPr>
          <w:rFonts w:asciiTheme="minorEastAsia" w:eastAsiaTheme="minorEastAsia" w:hAnsiTheme="minorEastAsia" w:hint="eastAsia"/>
          <w:sz w:val="23"/>
          <w:szCs w:val="23"/>
        </w:rPr>
        <w:t>月</w:t>
      </w:r>
      <w:r w:rsidR="00C55ACE">
        <w:rPr>
          <w:rFonts w:asciiTheme="minorEastAsia" w:eastAsiaTheme="minorEastAsia" w:hAnsiTheme="minorEastAsia" w:hint="eastAsia"/>
          <w:sz w:val="23"/>
          <w:szCs w:val="23"/>
        </w:rPr>
        <w:t>22</w:t>
      </w:r>
      <w:r w:rsidRPr="003D21AE">
        <w:rPr>
          <w:rFonts w:asciiTheme="minorEastAsia" w:eastAsiaTheme="minorEastAsia" w:hAnsiTheme="minorEastAsia" w:hint="eastAsia"/>
          <w:sz w:val="23"/>
          <w:szCs w:val="23"/>
        </w:rPr>
        <w:t>日，大成</w:t>
      </w:r>
      <w:r w:rsidR="00C55ACE">
        <w:rPr>
          <w:rFonts w:asciiTheme="minorEastAsia" w:eastAsiaTheme="minorEastAsia" w:hAnsiTheme="minorEastAsia" w:hint="eastAsia"/>
          <w:sz w:val="23"/>
          <w:szCs w:val="23"/>
        </w:rPr>
        <w:t>景穗</w:t>
      </w:r>
      <w:r w:rsidRPr="003D21AE">
        <w:rPr>
          <w:rFonts w:asciiTheme="minorEastAsia" w:eastAsiaTheme="minorEastAsia" w:hAnsiTheme="minorEastAsia" w:hint="eastAsia"/>
          <w:sz w:val="23"/>
          <w:szCs w:val="23"/>
        </w:rPr>
        <w:t>灵活配置混合A单位净值为</w:t>
      </w:r>
      <w:r w:rsidRPr="003D21AE">
        <w:rPr>
          <w:rFonts w:asciiTheme="minorEastAsia" w:eastAsiaTheme="minorEastAsia" w:hAnsiTheme="minorEastAsia"/>
          <w:sz w:val="23"/>
          <w:szCs w:val="23"/>
        </w:rPr>
        <w:t>1.</w:t>
      </w:r>
      <w:r w:rsidR="00C55ACE">
        <w:rPr>
          <w:rFonts w:asciiTheme="minorEastAsia" w:eastAsiaTheme="minorEastAsia" w:hAnsiTheme="minorEastAsia" w:hint="eastAsia"/>
          <w:sz w:val="23"/>
          <w:szCs w:val="23"/>
        </w:rPr>
        <w:t>226</w:t>
      </w:r>
      <w:r w:rsidRPr="003D21AE">
        <w:rPr>
          <w:rFonts w:asciiTheme="minorEastAsia" w:eastAsiaTheme="minorEastAsia" w:hAnsiTheme="minorEastAsia" w:hint="eastAsia"/>
          <w:sz w:val="23"/>
          <w:szCs w:val="23"/>
        </w:rPr>
        <w:t>元，份额为</w:t>
      </w:r>
      <w:r w:rsidR="00C55ACE" w:rsidRPr="00C55ACE">
        <w:rPr>
          <w:rFonts w:asciiTheme="minorEastAsia" w:eastAsiaTheme="minorEastAsia" w:hAnsiTheme="minorEastAsia"/>
          <w:sz w:val="23"/>
          <w:szCs w:val="23"/>
        </w:rPr>
        <w:t>1,240,498.04</w:t>
      </w:r>
      <w:r w:rsidRPr="003D21AE">
        <w:rPr>
          <w:rFonts w:asciiTheme="minorEastAsia" w:eastAsiaTheme="minorEastAsia" w:hAnsiTheme="minorEastAsia" w:hint="eastAsia"/>
          <w:sz w:val="23"/>
          <w:szCs w:val="23"/>
        </w:rPr>
        <w:t>份，资产净值为</w:t>
      </w:r>
      <w:r w:rsidR="0070455B" w:rsidRPr="0070455B">
        <w:rPr>
          <w:rFonts w:asciiTheme="minorEastAsia" w:eastAsiaTheme="minorEastAsia" w:hAnsiTheme="minorEastAsia"/>
          <w:sz w:val="23"/>
          <w:szCs w:val="23"/>
        </w:rPr>
        <w:t>1</w:t>
      </w:r>
      <w:r w:rsidR="0070455B">
        <w:rPr>
          <w:rFonts w:asciiTheme="minorEastAsia" w:eastAsiaTheme="minorEastAsia" w:hAnsiTheme="minorEastAsia" w:hint="eastAsia"/>
          <w:sz w:val="23"/>
          <w:szCs w:val="23"/>
        </w:rPr>
        <w:t>,</w:t>
      </w:r>
      <w:r w:rsidR="0070455B" w:rsidRPr="0070455B">
        <w:rPr>
          <w:rFonts w:asciiTheme="minorEastAsia" w:eastAsiaTheme="minorEastAsia" w:hAnsiTheme="minorEastAsia"/>
          <w:sz w:val="23"/>
          <w:szCs w:val="23"/>
        </w:rPr>
        <w:t>520</w:t>
      </w:r>
      <w:r w:rsidR="0070455B">
        <w:rPr>
          <w:rFonts w:asciiTheme="minorEastAsia" w:eastAsiaTheme="minorEastAsia" w:hAnsiTheme="minorEastAsia" w:hint="eastAsia"/>
          <w:sz w:val="23"/>
          <w:szCs w:val="23"/>
        </w:rPr>
        <w:t>,</w:t>
      </w:r>
      <w:r w:rsidR="0070455B" w:rsidRPr="0070455B">
        <w:rPr>
          <w:rFonts w:asciiTheme="minorEastAsia" w:eastAsiaTheme="minorEastAsia" w:hAnsiTheme="minorEastAsia"/>
          <w:sz w:val="23"/>
          <w:szCs w:val="23"/>
        </w:rPr>
        <w:t>860.16</w:t>
      </w:r>
      <w:r w:rsidRPr="003D21AE">
        <w:rPr>
          <w:rFonts w:asciiTheme="minorEastAsia" w:eastAsiaTheme="minorEastAsia" w:hAnsiTheme="minorEastAsia" w:hint="eastAsia"/>
          <w:sz w:val="23"/>
          <w:szCs w:val="23"/>
        </w:rPr>
        <w:t>元；大成</w:t>
      </w:r>
      <w:r w:rsidR="00C55ACE">
        <w:rPr>
          <w:rFonts w:asciiTheme="minorEastAsia" w:eastAsiaTheme="minorEastAsia" w:hAnsiTheme="minorEastAsia" w:hint="eastAsia"/>
          <w:sz w:val="23"/>
          <w:szCs w:val="23"/>
        </w:rPr>
        <w:t>景穗</w:t>
      </w:r>
      <w:r w:rsidRPr="003D21AE">
        <w:rPr>
          <w:rFonts w:asciiTheme="minorEastAsia" w:eastAsiaTheme="minorEastAsia" w:hAnsiTheme="minorEastAsia" w:hint="eastAsia"/>
          <w:sz w:val="23"/>
          <w:szCs w:val="23"/>
        </w:rPr>
        <w:t>灵活配置混合C单位净值为</w:t>
      </w:r>
      <w:r w:rsidRPr="003D21AE">
        <w:rPr>
          <w:rFonts w:asciiTheme="minorEastAsia" w:eastAsiaTheme="minorEastAsia" w:hAnsiTheme="minorEastAsia"/>
          <w:sz w:val="23"/>
          <w:szCs w:val="23"/>
        </w:rPr>
        <w:t>1.</w:t>
      </w:r>
      <w:r w:rsidR="00C55ACE">
        <w:rPr>
          <w:rFonts w:asciiTheme="minorEastAsia" w:eastAsiaTheme="minorEastAsia" w:hAnsiTheme="minorEastAsia" w:hint="eastAsia"/>
          <w:sz w:val="23"/>
          <w:szCs w:val="23"/>
        </w:rPr>
        <w:t>224</w:t>
      </w:r>
      <w:r w:rsidRPr="003D21AE">
        <w:rPr>
          <w:rFonts w:asciiTheme="minorEastAsia" w:eastAsiaTheme="minorEastAsia" w:hAnsiTheme="minorEastAsia" w:hint="eastAsia"/>
          <w:sz w:val="23"/>
          <w:szCs w:val="23"/>
        </w:rPr>
        <w:t>元, 份额为</w:t>
      </w:r>
      <w:r w:rsidR="00C55ACE" w:rsidRPr="00C55ACE">
        <w:rPr>
          <w:rFonts w:asciiTheme="minorEastAsia" w:eastAsiaTheme="minorEastAsia" w:hAnsiTheme="minorEastAsia"/>
          <w:sz w:val="23"/>
          <w:szCs w:val="23"/>
        </w:rPr>
        <w:t>82,389.16</w:t>
      </w:r>
      <w:r w:rsidRPr="003D21AE">
        <w:rPr>
          <w:rFonts w:asciiTheme="minorEastAsia" w:eastAsiaTheme="minorEastAsia" w:hAnsiTheme="minorEastAsia" w:hint="eastAsia"/>
          <w:sz w:val="23"/>
          <w:szCs w:val="23"/>
        </w:rPr>
        <w:t>份，资产净值为</w:t>
      </w:r>
      <w:r w:rsidR="0070455B" w:rsidRPr="0070455B">
        <w:rPr>
          <w:rFonts w:asciiTheme="minorEastAsia" w:eastAsiaTheme="minorEastAsia" w:hAnsiTheme="minorEastAsia"/>
          <w:sz w:val="23"/>
          <w:szCs w:val="23"/>
        </w:rPr>
        <w:t>100</w:t>
      </w:r>
      <w:r w:rsidR="0070455B">
        <w:rPr>
          <w:rFonts w:asciiTheme="minorEastAsia" w:eastAsiaTheme="minorEastAsia" w:hAnsiTheme="minorEastAsia" w:hint="eastAsia"/>
          <w:sz w:val="23"/>
          <w:szCs w:val="23"/>
        </w:rPr>
        <w:t>,</w:t>
      </w:r>
      <w:r w:rsidR="0070455B" w:rsidRPr="0070455B">
        <w:rPr>
          <w:rFonts w:asciiTheme="minorEastAsia" w:eastAsiaTheme="minorEastAsia" w:hAnsiTheme="minorEastAsia"/>
          <w:sz w:val="23"/>
          <w:szCs w:val="23"/>
        </w:rPr>
        <w:t>885.37</w:t>
      </w:r>
      <w:r w:rsidRPr="003D21AE">
        <w:rPr>
          <w:rFonts w:asciiTheme="minorEastAsia" w:eastAsiaTheme="minorEastAsia" w:hAnsiTheme="minorEastAsia" w:hint="eastAsia"/>
          <w:sz w:val="23"/>
          <w:szCs w:val="23"/>
        </w:rPr>
        <w:t>元。</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自2018年</w:t>
      </w:r>
      <w:r w:rsidR="00C55ACE">
        <w:rPr>
          <w:rFonts w:asciiTheme="minorEastAsia" w:eastAsiaTheme="minorEastAsia" w:hAnsiTheme="minorEastAsia" w:hint="eastAsia"/>
        </w:rPr>
        <w:t>8</w:t>
      </w:r>
      <w:r w:rsidRPr="003D21AE">
        <w:rPr>
          <w:rFonts w:asciiTheme="minorEastAsia" w:eastAsiaTheme="minorEastAsia" w:hAnsiTheme="minorEastAsia" w:hint="eastAsia"/>
        </w:rPr>
        <w:t>月</w:t>
      </w:r>
      <w:r w:rsidR="00C55ACE">
        <w:rPr>
          <w:rFonts w:asciiTheme="minorEastAsia" w:eastAsiaTheme="minorEastAsia" w:hAnsiTheme="minorEastAsia" w:hint="eastAsia"/>
        </w:rPr>
        <w:t>23</w:t>
      </w:r>
      <w:r w:rsidRPr="003D21AE">
        <w:rPr>
          <w:rFonts w:asciiTheme="minorEastAsia" w:eastAsiaTheme="minorEastAsia" w:hAnsiTheme="minorEastAsia" w:hint="eastAsia"/>
        </w:rPr>
        <w:t>日至2018年</w:t>
      </w:r>
      <w:r w:rsidR="00894ADC">
        <w:rPr>
          <w:rFonts w:asciiTheme="minorEastAsia" w:eastAsiaTheme="minorEastAsia" w:hAnsiTheme="minorEastAsia" w:hint="eastAsia"/>
        </w:rPr>
        <w:t>9</w:t>
      </w:r>
      <w:r w:rsidRPr="003D21AE">
        <w:rPr>
          <w:rFonts w:asciiTheme="minorEastAsia" w:eastAsiaTheme="minorEastAsia" w:hAnsiTheme="minorEastAsia" w:hint="eastAsia"/>
        </w:rPr>
        <w:t>月</w:t>
      </w:r>
      <w:r w:rsidR="00894ADC">
        <w:rPr>
          <w:rFonts w:asciiTheme="minorEastAsia" w:eastAsiaTheme="minorEastAsia" w:hAnsiTheme="minorEastAsia" w:hint="eastAsia"/>
        </w:rPr>
        <w:t>5</w:t>
      </w:r>
      <w:r w:rsidRPr="003D21AE">
        <w:rPr>
          <w:rFonts w:asciiTheme="minorEastAsia" w:eastAsiaTheme="minorEastAsia" w:hAnsiTheme="minorEastAsia" w:hint="eastAsia"/>
        </w:rPr>
        <w:t>日止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BC58F2"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C55ACE" w:rsidRPr="00C55ACE">
        <w:rPr>
          <w:rFonts w:asciiTheme="minorEastAsia" w:eastAsiaTheme="minorEastAsia" w:hAnsiTheme="minorEastAsia"/>
        </w:rPr>
        <w:t>1</w:t>
      </w:r>
      <w:r w:rsidR="00C55ACE">
        <w:rPr>
          <w:rFonts w:asciiTheme="minorEastAsia" w:eastAsiaTheme="minorEastAsia" w:hAnsiTheme="minorEastAsia" w:hint="eastAsia"/>
        </w:rPr>
        <w:t>,</w:t>
      </w:r>
      <w:r w:rsidR="00C55ACE" w:rsidRPr="00C55ACE">
        <w:rPr>
          <w:rFonts w:asciiTheme="minorEastAsia" w:eastAsiaTheme="minorEastAsia" w:hAnsiTheme="minorEastAsia"/>
        </w:rPr>
        <w:t>777</w:t>
      </w:r>
      <w:r w:rsidR="00C55ACE">
        <w:rPr>
          <w:rFonts w:asciiTheme="minorEastAsia" w:eastAsiaTheme="minorEastAsia" w:hAnsiTheme="minorEastAsia" w:hint="eastAsia"/>
        </w:rPr>
        <w:t>,</w:t>
      </w:r>
      <w:r w:rsidR="00C55ACE" w:rsidRPr="00C55ACE">
        <w:rPr>
          <w:rFonts w:asciiTheme="minorEastAsia" w:eastAsiaTheme="minorEastAsia" w:hAnsiTheme="minorEastAsia"/>
        </w:rPr>
        <w:t>869.94</w:t>
      </w:r>
      <w:r w:rsidRPr="003D21AE">
        <w:rPr>
          <w:rFonts w:asciiTheme="minorEastAsia" w:eastAsiaTheme="minorEastAsia" w:hAnsiTheme="minorEastAsia" w:hint="eastAsia"/>
        </w:rPr>
        <w:t>元。</w:t>
      </w:r>
    </w:p>
    <w:p w:rsidR="00BC58F2"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(2</w:t>
      </w:r>
      <w:r w:rsidR="00BC58F2"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BC58F2" w:rsidRPr="003D21AE">
        <w:rPr>
          <w:rFonts w:asciiTheme="minorEastAsia" w:eastAsiaTheme="minorEastAsia" w:hAnsiTheme="minorEastAsia" w:hint="eastAsia"/>
        </w:rPr>
        <w:t>结算保证金为人民币</w:t>
      </w:r>
      <w:r w:rsidRPr="00C55ACE">
        <w:rPr>
          <w:rFonts w:asciiTheme="minorEastAsia" w:eastAsiaTheme="minorEastAsia" w:hAnsiTheme="minorEastAsia"/>
        </w:rPr>
        <w:t>34</w:t>
      </w:r>
      <w:r>
        <w:rPr>
          <w:rFonts w:asciiTheme="minorEastAsia" w:eastAsiaTheme="minorEastAsia" w:hAnsiTheme="minorEastAsia" w:hint="eastAsia"/>
        </w:rPr>
        <w:t>,</w:t>
      </w:r>
      <w:r w:rsidRPr="00C55ACE">
        <w:rPr>
          <w:rFonts w:asciiTheme="minorEastAsia" w:eastAsiaTheme="minorEastAsia" w:hAnsiTheme="minorEastAsia"/>
        </w:rPr>
        <w:t>564.8</w:t>
      </w:r>
      <w:r w:rsidR="00BC58F2"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BC58F2" w:rsidRPr="003D21AE">
        <w:rPr>
          <w:rFonts w:asciiTheme="minorEastAsia" w:eastAsiaTheme="minorEastAsia" w:hAnsiTheme="minorEastAsia" w:hint="eastAsia"/>
        </w:rPr>
        <w:t>。</w:t>
      </w:r>
    </w:p>
    <w:p w:rsidR="005B7BB7"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应收利息为人民币</w:t>
      </w:r>
      <w:r w:rsidRPr="00C55ACE">
        <w:rPr>
          <w:rFonts w:asciiTheme="minorEastAsia" w:eastAsiaTheme="minorEastAsia" w:hAnsiTheme="minorEastAsia"/>
          <w:color w:val="000000"/>
          <w:sz w:val="22"/>
          <w:szCs w:val="22"/>
        </w:rPr>
        <w:t>3</w:t>
      </w:r>
      <w:r>
        <w:rPr>
          <w:rFonts w:asciiTheme="minorEastAsia" w:eastAsiaTheme="minorEastAsia" w:hAnsiTheme="minorEastAsia" w:hint="eastAsia"/>
          <w:color w:val="000000"/>
          <w:sz w:val="22"/>
          <w:szCs w:val="22"/>
        </w:rPr>
        <w:t>,</w:t>
      </w:r>
      <w:r w:rsidRPr="00C55ACE">
        <w:rPr>
          <w:rFonts w:asciiTheme="minorEastAsia" w:eastAsiaTheme="minorEastAsia" w:hAnsiTheme="minorEastAsia"/>
          <w:color w:val="000000"/>
          <w:sz w:val="22"/>
          <w:szCs w:val="22"/>
        </w:rPr>
        <w:t>545.46</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5B7BB7" w:rsidRPr="003D21AE">
        <w:rPr>
          <w:rFonts w:asciiTheme="minorEastAsia" w:eastAsiaTheme="minorEastAsia" w:hAnsiTheme="minorEastAsia" w:hint="eastAsia"/>
        </w:rPr>
        <w:t xml:space="preserve">。 </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C55ACE" w:rsidRPr="00C55ACE">
        <w:rPr>
          <w:rFonts w:asciiTheme="minorEastAsia" w:eastAsiaTheme="minorEastAsia" w:hAnsiTheme="minorEastAsia"/>
        </w:rPr>
        <w:t>824.45</w:t>
      </w:r>
      <w:r w:rsidR="003505D8" w:rsidRPr="003D21AE">
        <w:rPr>
          <w:rFonts w:asciiTheme="minorEastAsia" w:eastAsiaTheme="minorEastAsia" w:hAnsiTheme="minorEastAsia" w:hint="eastAsia"/>
        </w:rPr>
        <w:t>元</w:t>
      </w:r>
      <w:r w:rsidR="000C76E4">
        <w:rPr>
          <w:rFonts w:asciiTheme="minorEastAsia" w:eastAsiaTheme="minorEastAsia" w:hAnsiTheme="minorEastAsia" w:hint="eastAsia"/>
        </w:rPr>
        <w:t>，该款项已于2018年</w:t>
      </w:r>
      <w:r w:rsidR="00894ADC">
        <w:rPr>
          <w:rFonts w:asciiTheme="minorEastAsia" w:eastAsiaTheme="minorEastAsia" w:hAnsiTheme="minorEastAsia" w:hint="eastAsia"/>
        </w:rPr>
        <w:t>9</w:t>
      </w:r>
      <w:r w:rsidR="000C76E4">
        <w:rPr>
          <w:rFonts w:asciiTheme="minorEastAsia" w:eastAsiaTheme="minorEastAsia" w:hAnsiTheme="minorEastAsia" w:hint="eastAsia"/>
        </w:rPr>
        <w:t>月</w:t>
      </w:r>
      <w:r w:rsidR="00894ADC">
        <w:rPr>
          <w:rFonts w:asciiTheme="minorEastAsia" w:eastAsiaTheme="minorEastAsia" w:hAnsiTheme="minorEastAsia" w:hint="eastAsia"/>
        </w:rPr>
        <w:t>4</w:t>
      </w:r>
      <w:r w:rsidR="000C76E4">
        <w:rPr>
          <w:rFonts w:asciiTheme="minorEastAsia" w:eastAsiaTheme="minorEastAsia" w:hAnsiTheme="minorEastAsia" w:hint="eastAsia"/>
        </w:rPr>
        <w:t>日支付</w:t>
      </w:r>
      <w:r w:rsidRPr="003D21AE">
        <w:rPr>
          <w:rFonts w:asciiTheme="minorEastAsia" w:eastAsiaTheme="minorEastAsia" w:hAnsiTheme="minorEastAsia" w:hint="eastAsia"/>
        </w:rPr>
        <w:t>。</w:t>
      </w:r>
    </w:p>
    <w:p w:rsidR="000C76E4"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C55ACE" w:rsidRPr="00C55ACE">
        <w:rPr>
          <w:rFonts w:asciiTheme="minorEastAsia" w:eastAsiaTheme="minorEastAsia" w:hAnsiTheme="minorEastAsia"/>
        </w:rPr>
        <w:t>164.88</w:t>
      </w:r>
      <w:r w:rsidRPr="003D21AE">
        <w:rPr>
          <w:rFonts w:asciiTheme="minorEastAsia" w:eastAsiaTheme="minorEastAsia" w:hAnsiTheme="minorEastAsia" w:hint="eastAsia"/>
        </w:rPr>
        <w:t>元</w:t>
      </w:r>
      <w:r w:rsidR="000C76E4">
        <w:rPr>
          <w:rFonts w:asciiTheme="minorEastAsia" w:eastAsiaTheme="minorEastAsia" w:hAnsiTheme="minorEastAsia" w:hint="eastAsia"/>
        </w:rPr>
        <w:t>，该款项已于2018年</w:t>
      </w:r>
      <w:r w:rsidR="00894ADC">
        <w:rPr>
          <w:rFonts w:asciiTheme="minorEastAsia" w:eastAsiaTheme="minorEastAsia" w:hAnsiTheme="minorEastAsia" w:hint="eastAsia"/>
        </w:rPr>
        <w:t>9</w:t>
      </w:r>
      <w:r w:rsidR="000C76E4">
        <w:rPr>
          <w:rFonts w:asciiTheme="minorEastAsia" w:eastAsiaTheme="minorEastAsia" w:hAnsiTheme="minorEastAsia" w:hint="eastAsia"/>
        </w:rPr>
        <w:t>月</w:t>
      </w:r>
      <w:r w:rsidR="00894ADC">
        <w:rPr>
          <w:rFonts w:asciiTheme="minorEastAsia" w:eastAsiaTheme="minorEastAsia" w:hAnsiTheme="minorEastAsia" w:hint="eastAsia"/>
        </w:rPr>
        <w:t>4</w:t>
      </w:r>
      <w:r w:rsidR="000C76E4">
        <w:rPr>
          <w:rFonts w:asciiTheme="minorEastAsia" w:eastAsiaTheme="minorEastAsia" w:hAnsiTheme="minorEastAsia" w:hint="eastAsia"/>
        </w:rPr>
        <w:t>日支付</w:t>
      </w:r>
      <w:r w:rsidR="000C76E4" w:rsidRPr="003D21AE">
        <w:rPr>
          <w:rFonts w:asciiTheme="minorEastAsia" w:eastAsiaTheme="minorEastAsia" w:hAnsiTheme="minorEastAsia" w:hint="eastAsia"/>
        </w:rPr>
        <w:t>。</w:t>
      </w:r>
    </w:p>
    <w:p w:rsidR="00C55ACE" w:rsidRDefault="00C55ACE" w:rsidP="002F59F5">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Pr="003D21AE">
        <w:rPr>
          <w:rFonts w:asciiTheme="minorEastAsia" w:eastAsiaTheme="minorEastAsia" w:hAnsiTheme="minorEastAsia" w:hint="eastAsia"/>
        </w:rPr>
        <w:t>) 本基金最后运作日</w:t>
      </w:r>
      <w:r>
        <w:rPr>
          <w:rFonts w:asciiTheme="minorEastAsia" w:eastAsiaTheme="minorEastAsia" w:hAnsiTheme="minorEastAsia" w:hint="eastAsia"/>
        </w:rPr>
        <w:t>应付销售服务费</w:t>
      </w:r>
      <w:r w:rsidRPr="003D21AE">
        <w:rPr>
          <w:rFonts w:asciiTheme="minorEastAsia" w:eastAsiaTheme="minorEastAsia" w:hAnsiTheme="minorEastAsia" w:hint="eastAsia"/>
        </w:rPr>
        <w:t>为人民币</w:t>
      </w:r>
      <w:r>
        <w:rPr>
          <w:rFonts w:asciiTheme="minorEastAsia" w:eastAsiaTheme="minorEastAsia" w:hAnsiTheme="minorEastAsia" w:hint="eastAsia"/>
        </w:rPr>
        <w:t>30.85</w:t>
      </w:r>
      <w:r w:rsidRPr="003D21AE">
        <w:rPr>
          <w:rFonts w:asciiTheme="minorEastAsia" w:eastAsiaTheme="minorEastAsia" w:hAnsiTheme="minorEastAsia" w:hint="eastAsia"/>
        </w:rPr>
        <w:t>元</w:t>
      </w:r>
      <w:r>
        <w:rPr>
          <w:rFonts w:asciiTheme="minorEastAsia" w:eastAsiaTheme="minorEastAsia" w:hAnsiTheme="minorEastAsia" w:hint="eastAsia"/>
        </w:rPr>
        <w:t>，该款项已于2018年</w:t>
      </w:r>
      <w:r w:rsidR="00894ADC">
        <w:rPr>
          <w:rFonts w:asciiTheme="minorEastAsia" w:eastAsiaTheme="minorEastAsia" w:hAnsiTheme="minorEastAsia" w:hint="eastAsia"/>
        </w:rPr>
        <w:t>9</w:t>
      </w:r>
      <w:r>
        <w:rPr>
          <w:rFonts w:asciiTheme="minorEastAsia" w:eastAsiaTheme="minorEastAsia" w:hAnsiTheme="minorEastAsia" w:hint="eastAsia"/>
        </w:rPr>
        <w:t>月</w:t>
      </w:r>
      <w:r w:rsidR="00894ADC">
        <w:rPr>
          <w:rFonts w:asciiTheme="minorEastAsia" w:eastAsiaTheme="minorEastAsia" w:hAnsiTheme="minorEastAsia" w:hint="eastAsia"/>
        </w:rPr>
        <w:t>4</w:t>
      </w:r>
      <w:r>
        <w:rPr>
          <w:rFonts w:asciiTheme="minorEastAsia" w:eastAsiaTheme="minorEastAsia" w:hAnsiTheme="minorEastAsia" w:hint="eastAsia"/>
        </w:rPr>
        <w:t>日支付</w:t>
      </w:r>
      <w:r w:rsidRPr="003D21AE">
        <w:rPr>
          <w:rFonts w:asciiTheme="minorEastAsia" w:eastAsiaTheme="minorEastAsia" w:hAnsiTheme="minorEastAsia" w:hint="eastAsia"/>
        </w:rPr>
        <w:t>。</w:t>
      </w:r>
    </w:p>
    <w:p w:rsidR="00B8074D" w:rsidRPr="00C55ACE" w:rsidRDefault="00B8074D" w:rsidP="002F59F5">
      <w:pPr>
        <w:spacing w:line="360" w:lineRule="auto"/>
        <w:jc w:val="left"/>
        <w:rPr>
          <w:rFonts w:asciiTheme="minorEastAsia" w:eastAsiaTheme="minorEastAsia" w:hAnsiTheme="minorEastAsia"/>
        </w:rPr>
      </w:pPr>
      <w:r>
        <w:rPr>
          <w:rFonts w:asciiTheme="minorEastAsia" w:eastAsiaTheme="minorEastAsia" w:hAnsiTheme="minorEastAsia" w:hint="eastAsia"/>
        </w:rPr>
        <w:t>(4</w:t>
      </w:r>
      <w:r w:rsidRPr="00B8074D">
        <w:rPr>
          <w:rFonts w:asciiTheme="minorEastAsia" w:eastAsiaTheme="minorEastAsia" w:hAnsiTheme="minorEastAsia" w:hint="eastAsia"/>
        </w:rPr>
        <w:t xml:space="preserve">) </w:t>
      </w:r>
      <w:r>
        <w:rPr>
          <w:rFonts w:asciiTheme="minorEastAsia" w:eastAsiaTheme="minorEastAsia" w:hAnsiTheme="minorEastAsia" w:hint="eastAsia"/>
        </w:rPr>
        <w:t>本基金最后运作日应付赎回款</w:t>
      </w:r>
      <w:r w:rsidRPr="00B8074D">
        <w:rPr>
          <w:rFonts w:asciiTheme="minorEastAsia" w:eastAsiaTheme="minorEastAsia" w:hAnsiTheme="minorEastAsia" w:hint="eastAsia"/>
        </w:rPr>
        <w:t>为人民币</w:t>
      </w:r>
      <w:r w:rsidRPr="00B8074D">
        <w:rPr>
          <w:rFonts w:asciiTheme="minorEastAsia" w:eastAsiaTheme="minorEastAsia" w:hAnsiTheme="minorEastAsia"/>
        </w:rPr>
        <w:t>29</w:t>
      </w:r>
      <w:r>
        <w:rPr>
          <w:rFonts w:asciiTheme="minorEastAsia" w:eastAsiaTheme="minorEastAsia" w:hAnsiTheme="minorEastAsia" w:hint="eastAsia"/>
        </w:rPr>
        <w:t>,</w:t>
      </w:r>
      <w:r w:rsidRPr="00B8074D">
        <w:rPr>
          <w:rFonts w:asciiTheme="minorEastAsia" w:eastAsiaTheme="minorEastAsia" w:hAnsiTheme="minorEastAsia"/>
        </w:rPr>
        <w:t>995.38</w:t>
      </w:r>
      <w:r w:rsidRPr="00B8074D">
        <w:rPr>
          <w:rFonts w:asciiTheme="minorEastAsia" w:eastAsiaTheme="minorEastAsia" w:hAnsiTheme="minorEastAsia" w:hint="eastAsia"/>
        </w:rPr>
        <w:t>元，该款项已于2018年</w:t>
      </w:r>
      <w:r w:rsidR="000F4BC7">
        <w:rPr>
          <w:rFonts w:asciiTheme="minorEastAsia" w:eastAsiaTheme="minorEastAsia" w:hAnsiTheme="minorEastAsia" w:hint="eastAsia"/>
        </w:rPr>
        <w:t>8</w:t>
      </w:r>
      <w:r w:rsidRPr="00B8074D">
        <w:rPr>
          <w:rFonts w:asciiTheme="minorEastAsia" w:eastAsiaTheme="minorEastAsia" w:hAnsiTheme="minorEastAsia" w:hint="eastAsia"/>
        </w:rPr>
        <w:t>月</w:t>
      </w:r>
      <w:r w:rsidR="000F4BC7">
        <w:rPr>
          <w:rFonts w:asciiTheme="minorEastAsia" w:eastAsiaTheme="minorEastAsia" w:hAnsiTheme="minorEastAsia" w:hint="eastAsia"/>
        </w:rPr>
        <w:t>23</w:t>
      </w:r>
      <w:r w:rsidRPr="00B8074D">
        <w:rPr>
          <w:rFonts w:asciiTheme="minorEastAsia" w:eastAsiaTheme="minorEastAsia" w:hAnsiTheme="minorEastAsia" w:hint="eastAsia"/>
        </w:rPr>
        <w:t>日支付。</w:t>
      </w:r>
    </w:p>
    <w:p w:rsidR="005B7BB7" w:rsidRPr="003D21AE" w:rsidRDefault="00270BD2"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(5</w:t>
      </w:r>
      <w:r w:rsidR="005B7BB7"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应付交易费用为人民币</w:t>
      </w:r>
      <w:r w:rsidR="00C55ACE" w:rsidRPr="00C55ACE">
        <w:rPr>
          <w:rFonts w:asciiTheme="minorEastAsia" w:eastAsiaTheme="minorEastAsia" w:hAnsiTheme="minorEastAsia"/>
        </w:rPr>
        <w:t>1721.77</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p>
    <w:p w:rsidR="0083459B" w:rsidRPr="003D21AE" w:rsidRDefault="00270BD2"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(6</w:t>
      </w:r>
      <w:r w:rsidR="007374CC"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其他负债为人民币</w:t>
      </w:r>
      <w:r w:rsidR="00C55ACE">
        <w:rPr>
          <w:rFonts w:asciiTheme="minorEastAsia" w:eastAsiaTheme="minorEastAsia" w:hAnsiTheme="minorEastAsia" w:hint="eastAsia"/>
        </w:rPr>
        <w:t>161,497.34</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E91BC2" w:rsidRPr="003D21AE">
        <w:rPr>
          <w:rFonts w:asciiTheme="minorEastAsia" w:eastAsiaTheme="minorEastAsia" w:hAnsiTheme="minorEastAsia" w:hint="eastAsia"/>
        </w:rPr>
        <w:t>该款项包含截至合同终止日本基金应付的银行汇划费</w:t>
      </w:r>
      <w:r w:rsidR="00C55ACE">
        <w:rPr>
          <w:rFonts w:asciiTheme="minorEastAsia" w:eastAsiaTheme="minorEastAsia" w:hAnsiTheme="minorEastAsia" w:hint="eastAsia"/>
        </w:rPr>
        <w:t>197.34</w:t>
      </w:r>
      <w:r w:rsidR="00E91BC2" w:rsidRPr="003D21AE">
        <w:rPr>
          <w:rFonts w:asciiTheme="minorEastAsia" w:eastAsiaTheme="minorEastAsia" w:hAnsiTheme="minorEastAsia" w:hint="eastAsia"/>
        </w:rPr>
        <w:t>元，预提审计费</w:t>
      </w:r>
      <w:r w:rsidR="00E91BC2" w:rsidRPr="003D21AE">
        <w:rPr>
          <w:rFonts w:asciiTheme="minorEastAsia" w:eastAsiaTheme="minorEastAsia" w:hAnsiTheme="minorEastAsia"/>
        </w:rPr>
        <w:t>3</w:t>
      </w:r>
      <w:r w:rsidR="00C55ACE">
        <w:rPr>
          <w:rFonts w:asciiTheme="minorEastAsia" w:eastAsiaTheme="minorEastAsia" w:hAnsiTheme="minorEastAsia" w:hint="eastAsia"/>
        </w:rPr>
        <w:t>2</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.00元，预提信息披露费</w:t>
      </w:r>
      <w:r w:rsidR="00E91BC2" w:rsidRPr="003D21AE">
        <w:rPr>
          <w:rFonts w:asciiTheme="minorEastAsia" w:eastAsiaTheme="minorEastAsia" w:hAnsiTheme="minorEastAsia"/>
        </w:rPr>
        <w:t>120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.00元，预提上清所、中债登账户维护费9,300.00元。</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E62580">
        <w:trPr>
          <w:trHeight w:val="454"/>
        </w:trPr>
        <w:tc>
          <w:tcPr>
            <w:tcW w:w="4410" w:type="dxa"/>
          </w:tcPr>
          <w:p w:rsidR="003D21AE" w:rsidRPr="003D21AE" w:rsidRDefault="003D21AE"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3D21AE" w:rsidRDefault="004365AE" w:rsidP="00053526">
            <w:pPr>
              <w:jc w:val="right"/>
              <w:rPr>
                <w:rFonts w:asciiTheme="minorEastAsia" w:eastAsiaTheme="minorEastAsia" w:hAnsiTheme="minorEastAsia"/>
                <w:highlight w:val="yellow"/>
              </w:rPr>
            </w:pPr>
            <w:r>
              <w:rPr>
                <w:rFonts w:asciiTheme="minorEastAsia" w:eastAsiaTheme="minorEastAsia" w:hAnsiTheme="minorEastAsia" w:hint="eastAsia"/>
              </w:rPr>
              <w:t>508.18</w:t>
            </w:r>
          </w:p>
        </w:tc>
      </w:tr>
      <w:tr w:rsidR="005A643C" w:rsidRPr="003D21AE" w:rsidTr="005A643C">
        <w:trPr>
          <w:trHeight w:val="454"/>
        </w:trPr>
        <w:tc>
          <w:tcPr>
            <w:tcW w:w="4410" w:type="dxa"/>
          </w:tcPr>
          <w:p w:rsidR="005A643C" w:rsidRPr="003D21AE" w:rsidRDefault="005A643C"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债券利息收入</w:t>
            </w:r>
          </w:p>
        </w:tc>
        <w:tc>
          <w:tcPr>
            <w:tcW w:w="4112" w:type="dxa"/>
          </w:tcPr>
          <w:p w:rsidR="005A643C" w:rsidRPr="003D21AE" w:rsidRDefault="000F4BC7" w:rsidP="00ED0DDA">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385BB7" w:rsidRPr="003D21AE" w:rsidTr="0044179C">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投资收益</w:t>
            </w:r>
          </w:p>
        </w:tc>
        <w:tc>
          <w:tcPr>
            <w:tcW w:w="4112" w:type="dxa"/>
            <w:vAlign w:val="center"/>
          </w:tcPr>
          <w:p w:rsidR="00385BB7" w:rsidRPr="003D21AE" w:rsidRDefault="000F4BC7"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F746D0" w:rsidRPr="003D21AE" w:rsidTr="004462D2">
        <w:trPr>
          <w:trHeight w:val="454"/>
        </w:trPr>
        <w:tc>
          <w:tcPr>
            <w:tcW w:w="4410" w:type="dxa"/>
          </w:tcPr>
          <w:p w:rsidR="00F746D0" w:rsidRPr="003D21AE" w:rsidRDefault="00F746D0" w:rsidP="00BD5A1E">
            <w:pPr>
              <w:spacing w:line="276" w:lineRule="auto"/>
              <w:jc w:val="left"/>
              <w:rPr>
                <w:rFonts w:asciiTheme="minorEastAsia" w:eastAsiaTheme="minorEastAsia" w:hAnsiTheme="minorEastAsia"/>
              </w:rPr>
            </w:pPr>
            <w:r>
              <w:rPr>
                <w:rFonts w:asciiTheme="minorEastAsia" w:eastAsiaTheme="minorEastAsia" w:hAnsiTheme="minorEastAsia" w:hint="eastAsia"/>
              </w:rPr>
              <w:t>其他收入</w:t>
            </w:r>
          </w:p>
        </w:tc>
        <w:tc>
          <w:tcPr>
            <w:tcW w:w="4112" w:type="dxa"/>
            <w:vAlign w:val="center"/>
          </w:tcPr>
          <w:p w:rsidR="00F746D0" w:rsidRPr="00894ADC" w:rsidRDefault="00F746D0" w:rsidP="0070455B">
            <w:pPr>
              <w:jc w:val="right"/>
              <w:rPr>
                <w:rFonts w:asciiTheme="minorEastAsia" w:eastAsiaTheme="minorEastAsia" w:hAnsiTheme="minorEastAsia"/>
              </w:rPr>
            </w:pPr>
            <w:r>
              <w:rPr>
                <w:rFonts w:asciiTheme="minorEastAsia" w:eastAsiaTheme="minorEastAsia" w:hAnsiTheme="minorEastAsia" w:hint="eastAsia"/>
              </w:rPr>
              <w:t>87.53</w:t>
            </w:r>
          </w:p>
        </w:tc>
      </w:tr>
      <w:tr w:rsidR="00385BB7" w:rsidRPr="003D21AE" w:rsidTr="004462D2">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3D21AE" w:rsidRDefault="004365AE" w:rsidP="00053526">
            <w:pPr>
              <w:jc w:val="right"/>
              <w:rPr>
                <w:rFonts w:asciiTheme="minorEastAsia" w:eastAsiaTheme="minorEastAsia" w:hAnsiTheme="minorEastAsia"/>
                <w:highlight w:val="yellow"/>
              </w:rPr>
            </w:pPr>
            <w:r>
              <w:rPr>
                <w:rFonts w:asciiTheme="minorEastAsia" w:eastAsiaTheme="minorEastAsia" w:hAnsiTheme="minorEastAsia" w:hint="eastAsia"/>
              </w:rPr>
              <w:t>595.71</w:t>
            </w:r>
          </w:p>
        </w:tc>
      </w:tr>
      <w:tr w:rsidR="00950E81" w:rsidRPr="003D21AE" w:rsidTr="005A643C">
        <w:trPr>
          <w:trHeight w:val="454"/>
        </w:trPr>
        <w:tc>
          <w:tcPr>
            <w:tcW w:w="4410" w:type="dxa"/>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tcPr>
          <w:p w:rsidR="00950E81" w:rsidRPr="003D21AE" w:rsidRDefault="00950E81" w:rsidP="00BD5A1E">
            <w:pPr>
              <w:spacing w:line="276" w:lineRule="auto"/>
              <w:jc w:val="left"/>
              <w:rPr>
                <w:rFonts w:asciiTheme="minorEastAsia" w:eastAsiaTheme="minorEastAsia" w:hAnsiTheme="minorEastAsia" w:cs="Arial"/>
                <w:szCs w:val="21"/>
              </w:rPr>
            </w:pPr>
          </w:p>
        </w:tc>
      </w:tr>
      <w:tr w:rsidR="00385BB7" w:rsidRPr="003D21AE" w:rsidTr="00CE00D8">
        <w:trPr>
          <w:trHeight w:val="454"/>
        </w:trPr>
        <w:tc>
          <w:tcPr>
            <w:tcW w:w="4410" w:type="dxa"/>
            <w:tcBorders>
              <w:bottom w:val="single" w:sz="4" w:space="0" w:color="auto"/>
            </w:tcBorders>
          </w:tcPr>
          <w:p w:rsidR="00385BB7" w:rsidRPr="003D21AE" w:rsidRDefault="00385BB7"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交易费用</w:t>
            </w:r>
          </w:p>
        </w:tc>
        <w:tc>
          <w:tcPr>
            <w:tcW w:w="4112" w:type="dxa"/>
            <w:tcBorders>
              <w:bottom w:val="single" w:sz="4" w:space="0" w:color="auto"/>
            </w:tcBorders>
            <w:vAlign w:val="center"/>
          </w:tcPr>
          <w:p w:rsidR="00385BB7" w:rsidRPr="003D21AE" w:rsidRDefault="00894ADC"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5A643C"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银行手续费（注2）</w:t>
            </w:r>
          </w:p>
        </w:tc>
        <w:tc>
          <w:tcPr>
            <w:tcW w:w="4112" w:type="dxa"/>
            <w:tcBorders>
              <w:top w:val="single" w:sz="4" w:space="0" w:color="auto"/>
              <w:bottom w:val="single" w:sz="4" w:space="0" w:color="auto"/>
            </w:tcBorders>
          </w:tcPr>
          <w:p w:rsidR="005A643C" w:rsidRPr="003D21AE" w:rsidRDefault="00EA2B60" w:rsidP="00D20C95">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120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2233A2"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增值税附加</w:t>
            </w:r>
            <w:r w:rsidR="005A643C" w:rsidRPr="003D21AE">
              <w:rPr>
                <w:rFonts w:asciiTheme="minorEastAsia" w:eastAsiaTheme="minorEastAsia" w:hAnsiTheme="minorEastAsia" w:hint="eastAsia"/>
              </w:rPr>
              <w:t>税费</w:t>
            </w:r>
          </w:p>
        </w:tc>
        <w:tc>
          <w:tcPr>
            <w:tcW w:w="4112" w:type="dxa"/>
            <w:tcBorders>
              <w:top w:val="single" w:sz="4" w:space="0" w:color="auto"/>
              <w:bottom w:val="single" w:sz="4" w:space="0" w:color="auto"/>
            </w:tcBorders>
          </w:tcPr>
          <w:p w:rsidR="005A643C" w:rsidRPr="003D21AE" w:rsidRDefault="00894ADC" w:rsidP="00287F5A">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4A15FB" w:rsidRPr="003D21AE" w:rsidTr="005A643C">
        <w:trPr>
          <w:trHeight w:val="454"/>
        </w:trPr>
        <w:tc>
          <w:tcPr>
            <w:tcW w:w="4410" w:type="dxa"/>
            <w:tcBorders>
              <w:top w:val="single" w:sz="4" w:space="0" w:color="auto"/>
              <w:bottom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tcPr>
          <w:p w:rsidR="004A15FB" w:rsidRPr="003D21AE" w:rsidRDefault="00EA2B60"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12</w:t>
            </w:r>
            <w:r w:rsidR="0070455B">
              <w:rPr>
                <w:rFonts w:asciiTheme="minorEastAsia" w:eastAsiaTheme="minorEastAsia" w:hAnsiTheme="minorEastAsia" w:hint="eastAsia"/>
                <w:color w:val="000000"/>
                <w:sz w:val="22"/>
                <w:szCs w:val="22"/>
              </w:rPr>
              <w:t>0</w:t>
            </w:r>
          </w:p>
        </w:tc>
      </w:tr>
      <w:tr w:rsidR="004A15FB" w:rsidRPr="003D21AE" w:rsidTr="005A643C">
        <w:trPr>
          <w:trHeight w:val="454"/>
        </w:trPr>
        <w:tc>
          <w:tcPr>
            <w:tcW w:w="4410" w:type="dxa"/>
            <w:tcBorders>
              <w:top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tcPr>
          <w:p w:rsidR="004A15FB" w:rsidRPr="003D21AE" w:rsidRDefault="004365AE" w:rsidP="0070455B">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475.71</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C55ACE">
        <w:rPr>
          <w:rFonts w:asciiTheme="minorEastAsia" w:eastAsiaTheme="minorEastAsia" w:hAnsiTheme="minorEastAsia" w:hint="eastAsia"/>
        </w:rPr>
        <w:t>8</w:t>
      </w:r>
      <w:r w:rsidRPr="003D21AE">
        <w:rPr>
          <w:rFonts w:asciiTheme="minorEastAsia" w:eastAsiaTheme="minorEastAsia" w:hAnsiTheme="minorEastAsia" w:hint="eastAsia"/>
        </w:rPr>
        <w:t>月</w:t>
      </w:r>
      <w:r w:rsidR="00C55ACE">
        <w:rPr>
          <w:rFonts w:asciiTheme="minorEastAsia" w:eastAsiaTheme="minorEastAsia" w:hAnsiTheme="minorEastAsia" w:hint="eastAsia"/>
        </w:rPr>
        <w:t>23</w:t>
      </w:r>
      <w:r w:rsidRPr="003D21AE">
        <w:rPr>
          <w:rFonts w:asciiTheme="minorEastAsia" w:eastAsiaTheme="minorEastAsia" w:hAnsiTheme="minorEastAsia" w:hint="eastAsia"/>
        </w:rPr>
        <w:t>日至</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894ADC">
        <w:rPr>
          <w:rFonts w:asciiTheme="minorEastAsia" w:eastAsiaTheme="minorEastAsia" w:hAnsiTheme="minorEastAsia" w:hint="eastAsia"/>
        </w:rPr>
        <w:t>9</w:t>
      </w:r>
      <w:r w:rsidRPr="003D21AE">
        <w:rPr>
          <w:rFonts w:asciiTheme="minorEastAsia" w:eastAsiaTheme="minorEastAsia" w:hAnsiTheme="minorEastAsia" w:hint="eastAsia"/>
        </w:rPr>
        <w:t>月</w:t>
      </w:r>
      <w:r w:rsidR="00894ADC">
        <w:rPr>
          <w:rFonts w:asciiTheme="minorEastAsia" w:eastAsiaTheme="minorEastAsia" w:hAnsiTheme="minorEastAsia" w:hint="eastAsia"/>
        </w:rPr>
        <w:t>5</w:t>
      </w:r>
      <w:r w:rsidRPr="003D21AE">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2F6A7E" w:rsidRPr="002F6A7E">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E05487" w:rsidRPr="003D21AE" w:rsidRDefault="00E0548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注2</w:t>
      </w:r>
      <w:r w:rsidR="005B3270" w:rsidRPr="003D21AE">
        <w:rPr>
          <w:rFonts w:asciiTheme="minorEastAsia" w:eastAsiaTheme="minorEastAsia" w:hAnsiTheme="minorEastAsia" w:hint="eastAsia"/>
        </w:rPr>
        <w:t>：</w:t>
      </w:r>
      <w:r w:rsidR="00D37B58" w:rsidRPr="003D21AE">
        <w:rPr>
          <w:rFonts w:asciiTheme="minorEastAsia" w:eastAsiaTheme="minorEastAsia" w:hAnsiTheme="minorEastAsia" w:hint="eastAsia"/>
        </w:rPr>
        <w:t>银行手续费为</w:t>
      </w:r>
      <w:r w:rsidR="005B3270" w:rsidRPr="003D21AE">
        <w:rPr>
          <w:rFonts w:asciiTheme="minorEastAsia" w:eastAsiaTheme="minorEastAsia" w:hAnsiTheme="minorEastAsia" w:hint="eastAsia"/>
        </w:rPr>
        <w:t>清算期间</w:t>
      </w:r>
      <w:r w:rsidR="00D37B58" w:rsidRPr="003D21AE">
        <w:rPr>
          <w:rFonts w:asciiTheme="minorEastAsia" w:eastAsiaTheme="minorEastAsia" w:hAnsiTheme="minorEastAsia" w:hint="eastAsia"/>
        </w:rPr>
        <w:t>本基金托管账户的</w:t>
      </w:r>
      <w:r w:rsidR="005B3270" w:rsidRPr="003D21AE">
        <w:rPr>
          <w:rFonts w:asciiTheme="minorEastAsia" w:eastAsiaTheme="minorEastAsia" w:hAnsiTheme="minorEastAsia" w:hint="eastAsia"/>
        </w:rPr>
        <w:t>银行</w:t>
      </w:r>
      <w:r w:rsidR="008A25BB" w:rsidRPr="003D21AE">
        <w:rPr>
          <w:rFonts w:asciiTheme="minorEastAsia" w:eastAsiaTheme="minorEastAsia" w:hAnsiTheme="minorEastAsia" w:hint="eastAsia"/>
        </w:rPr>
        <w:t>汇划费</w:t>
      </w:r>
      <w:r w:rsidR="005B3270" w:rsidRPr="003D21AE">
        <w:rPr>
          <w:rFonts w:asciiTheme="minorEastAsia" w:eastAsiaTheme="minorEastAsia" w:hAnsiTheme="minorEastAsia" w:hint="eastAsia"/>
        </w:rPr>
        <w:t>。</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436" w:type="pct"/>
        <w:tblInd w:w="-318" w:type="dxa"/>
        <w:tblLook w:val="04A0"/>
      </w:tblPr>
      <w:tblGrid>
        <w:gridCol w:w="5529"/>
        <w:gridCol w:w="1842"/>
        <w:gridCol w:w="1894"/>
      </w:tblGrid>
      <w:tr w:rsidR="00DA59C3" w:rsidRPr="003D21AE" w:rsidTr="00270BD2">
        <w:trPr>
          <w:trHeight w:val="315"/>
        </w:trPr>
        <w:tc>
          <w:tcPr>
            <w:tcW w:w="29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DA59C3" w:rsidP="00270BD2">
            <w:pPr>
              <w:widowControl/>
              <w:spacing w:line="276" w:lineRule="auto"/>
              <w:ind w:left="599" w:hangingChars="284" w:hanging="599"/>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994"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b/>
                <w:color w:val="000000"/>
                <w:kern w:val="0"/>
                <w:szCs w:val="21"/>
              </w:rPr>
              <w:t>A</w:t>
            </w:r>
            <w:r w:rsidRPr="003D21AE">
              <w:rPr>
                <w:rFonts w:asciiTheme="minorEastAsia" w:eastAsiaTheme="minorEastAsia" w:hAnsiTheme="minorEastAsia" w:hint="eastAsia"/>
                <w:b/>
                <w:color w:val="000000"/>
                <w:kern w:val="0"/>
                <w:szCs w:val="21"/>
              </w:rPr>
              <w:t>类份额</w:t>
            </w:r>
          </w:p>
        </w:tc>
        <w:tc>
          <w:tcPr>
            <w:tcW w:w="1022"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451B6C"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C</w:t>
            </w:r>
            <w:r w:rsidR="00DA59C3" w:rsidRPr="003D21AE">
              <w:rPr>
                <w:rFonts w:asciiTheme="minorEastAsia" w:eastAsiaTheme="minorEastAsia" w:hAnsiTheme="minorEastAsia" w:hint="eastAsia"/>
                <w:b/>
                <w:color w:val="000000"/>
                <w:kern w:val="0"/>
                <w:szCs w:val="21"/>
              </w:rPr>
              <w:t>类份额</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FF4539" w:rsidP="00451B6C">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w:t>
            </w:r>
            <w:r w:rsidR="00451B6C" w:rsidRPr="003D21AE">
              <w:rPr>
                <w:rFonts w:asciiTheme="minorEastAsia" w:eastAsiaTheme="minorEastAsia" w:hAnsiTheme="minorEastAsia" w:hint="eastAsia"/>
                <w:color w:val="000000"/>
                <w:kern w:val="0"/>
                <w:szCs w:val="21"/>
              </w:rPr>
              <w:t>最后运作日</w:t>
            </w:r>
            <w:r w:rsidR="00451B6C" w:rsidRPr="003D21AE">
              <w:rPr>
                <w:rFonts w:asciiTheme="minorEastAsia" w:eastAsiaTheme="minorEastAsia" w:hAnsiTheme="minorEastAsia"/>
                <w:color w:val="000000"/>
                <w:kern w:val="0"/>
                <w:szCs w:val="21"/>
              </w:rPr>
              <w:t>201</w:t>
            </w:r>
            <w:r w:rsidR="00451B6C" w:rsidRPr="003D21AE">
              <w:rPr>
                <w:rFonts w:asciiTheme="minorEastAsia" w:eastAsiaTheme="minorEastAsia" w:hAnsiTheme="minorEastAsia" w:hint="eastAsia"/>
                <w:color w:val="000000"/>
                <w:kern w:val="0"/>
                <w:szCs w:val="21"/>
              </w:rPr>
              <w:t>8</w:t>
            </w:r>
            <w:r w:rsidRPr="003D21AE">
              <w:rPr>
                <w:rFonts w:asciiTheme="minorEastAsia" w:eastAsiaTheme="minorEastAsia" w:hAnsiTheme="minorEastAsia" w:hint="eastAsia"/>
                <w:color w:val="000000"/>
                <w:kern w:val="0"/>
                <w:szCs w:val="21"/>
              </w:rPr>
              <w:t>年</w:t>
            </w:r>
            <w:r w:rsidR="0070455B">
              <w:rPr>
                <w:rFonts w:asciiTheme="minorEastAsia" w:eastAsiaTheme="minorEastAsia" w:hAnsiTheme="minorEastAsia" w:hint="eastAsia"/>
                <w:color w:val="000000"/>
                <w:kern w:val="0"/>
                <w:szCs w:val="21"/>
              </w:rPr>
              <w:t>8</w:t>
            </w:r>
            <w:r w:rsidRPr="003D21AE">
              <w:rPr>
                <w:rFonts w:asciiTheme="minorEastAsia" w:eastAsiaTheme="minorEastAsia" w:hAnsiTheme="minorEastAsia" w:hint="eastAsia"/>
                <w:color w:val="000000"/>
                <w:kern w:val="0"/>
                <w:szCs w:val="21"/>
              </w:rPr>
              <w:t>月</w:t>
            </w:r>
            <w:r w:rsidR="0070455B">
              <w:rPr>
                <w:rFonts w:asciiTheme="minorEastAsia" w:eastAsiaTheme="minorEastAsia" w:hAnsiTheme="minorEastAsia" w:hint="eastAsia"/>
                <w:color w:val="000000"/>
                <w:kern w:val="0"/>
                <w:szCs w:val="21"/>
              </w:rPr>
              <w:t>22</w:t>
            </w:r>
            <w:r w:rsidRPr="003D21AE">
              <w:rPr>
                <w:rFonts w:asciiTheme="minorEastAsia" w:eastAsiaTheme="minorEastAsia" w:hAnsiTheme="minorEastAsia" w:hint="eastAsia"/>
                <w:color w:val="000000"/>
                <w:kern w:val="0"/>
                <w:szCs w:val="21"/>
              </w:rPr>
              <w:t>日基金净资产</w:t>
            </w:r>
          </w:p>
        </w:tc>
        <w:tc>
          <w:tcPr>
            <w:tcW w:w="994" w:type="pct"/>
            <w:tcBorders>
              <w:top w:val="nil"/>
              <w:left w:val="nil"/>
              <w:bottom w:val="single" w:sz="8" w:space="0" w:color="auto"/>
              <w:right w:val="single" w:sz="8" w:space="0" w:color="auto"/>
            </w:tcBorders>
            <w:shd w:val="clear" w:color="auto" w:fill="auto"/>
          </w:tcPr>
          <w:p w:rsidR="00FF4539" w:rsidRPr="003D21AE" w:rsidRDefault="00F746D0" w:rsidP="00D37B58">
            <w:pPr>
              <w:widowControl/>
              <w:spacing w:line="276" w:lineRule="auto"/>
              <w:jc w:val="right"/>
              <w:rPr>
                <w:rFonts w:asciiTheme="minorEastAsia" w:eastAsiaTheme="minorEastAsia" w:hAnsiTheme="minorEastAsia"/>
                <w:color w:val="000000"/>
                <w:kern w:val="0"/>
                <w:szCs w:val="21"/>
              </w:rPr>
            </w:pPr>
            <w:r w:rsidRPr="00F746D0">
              <w:rPr>
                <w:rFonts w:asciiTheme="minorEastAsia" w:eastAsiaTheme="minorEastAsia" w:hAnsiTheme="minorEastAsia"/>
                <w:color w:val="000000"/>
                <w:kern w:val="0"/>
                <w:szCs w:val="21"/>
              </w:rPr>
              <w:t>1,520,860.16</w:t>
            </w:r>
          </w:p>
        </w:tc>
        <w:tc>
          <w:tcPr>
            <w:tcW w:w="1022" w:type="pct"/>
            <w:tcBorders>
              <w:top w:val="nil"/>
              <w:left w:val="nil"/>
              <w:bottom w:val="single" w:sz="8" w:space="0" w:color="auto"/>
              <w:right w:val="single" w:sz="8" w:space="0" w:color="auto"/>
            </w:tcBorders>
            <w:shd w:val="clear" w:color="auto" w:fill="auto"/>
          </w:tcPr>
          <w:p w:rsidR="00FF4539" w:rsidRPr="003D21AE" w:rsidRDefault="00F746D0" w:rsidP="00BD5A1E">
            <w:pPr>
              <w:widowControl/>
              <w:spacing w:line="276" w:lineRule="auto"/>
              <w:jc w:val="right"/>
              <w:rPr>
                <w:rFonts w:asciiTheme="minorEastAsia" w:eastAsiaTheme="minorEastAsia" w:hAnsiTheme="minorEastAsia"/>
                <w:color w:val="000000"/>
                <w:kern w:val="0"/>
                <w:szCs w:val="21"/>
              </w:rPr>
            </w:pPr>
            <w:r w:rsidRPr="0070455B">
              <w:rPr>
                <w:rFonts w:asciiTheme="minorEastAsia" w:eastAsiaTheme="minorEastAsia" w:hAnsiTheme="minorEastAsia"/>
                <w:sz w:val="23"/>
                <w:szCs w:val="23"/>
              </w:rPr>
              <w:t>100</w:t>
            </w:r>
            <w:r>
              <w:rPr>
                <w:rFonts w:asciiTheme="minorEastAsia" w:eastAsiaTheme="minorEastAsia" w:hAnsiTheme="minorEastAsia" w:hint="eastAsia"/>
                <w:sz w:val="23"/>
                <w:szCs w:val="23"/>
              </w:rPr>
              <w:t>,</w:t>
            </w:r>
            <w:r w:rsidRPr="0070455B">
              <w:rPr>
                <w:rFonts w:asciiTheme="minorEastAsia" w:eastAsiaTheme="minorEastAsia" w:hAnsiTheme="minorEastAsia"/>
                <w:sz w:val="23"/>
                <w:szCs w:val="23"/>
              </w:rPr>
              <w:t>885.37</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7A6FFF"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994" w:type="pct"/>
            <w:tcBorders>
              <w:top w:val="nil"/>
              <w:left w:val="nil"/>
              <w:bottom w:val="single" w:sz="8" w:space="0" w:color="auto"/>
              <w:right w:val="single" w:sz="8" w:space="0" w:color="auto"/>
            </w:tcBorders>
            <w:shd w:val="clear" w:color="auto" w:fill="auto"/>
          </w:tcPr>
          <w:p w:rsidR="00FF4539" w:rsidRPr="003D21AE" w:rsidRDefault="00053526" w:rsidP="004365AE">
            <w:pPr>
              <w:widowControl/>
              <w:spacing w:line="276" w:lineRule="auto"/>
              <w:jc w:val="right"/>
              <w:rPr>
                <w:rFonts w:asciiTheme="minorEastAsia" w:eastAsiaTheme="minorEastAsia" w:hAnsiTheme="minorEastAsia"/>
                <w:color w:val="000000"/>
                <w:kern w:val="0"/>
                <w:szCs w:val="21"/>
                <w:highlight w:val="yellow"/>
              </w:rPr>
            </w:pPr>
            <w:r>
              <w:rPr>
                <w:rFonts w:asciiTheme="minorEastAsia" w:eastAsiaTheme="minorEastAsia" w:hAnsiTheme="minorEastAsia" w:hint="eastAsia"/>
                <w:color w:val="000000"/>
                <w:kern w:val="0"/>
                <w:szCs w:val="21"/>
              </w:rPr>
              <w:t>44</w:t>
            </w:r>
            <w:r w:rsidR="004365AE">
              <w:rPr>
                <w:rFonts w:asciiTheme="minorEastAsia" w:eastAsiaTheme="minorEastAsia" w:hAnsiTheme="minorEastAsia" w:hint="eastAsia"/>
                <w:color w:val="000000"/>
                <w:kern w:val="0"/>
                <w:szCs w:val="21"/>
              </w:rPr>
              <w:t>5.94</w:t>
            </w:r>
          </w:p>
        </w:tc>
        <w:tc>
          <w:tcPr>
            <w:tcW w:w="1022" w:type="pct"/>
            <w:tcBorders>
              <w:top w:val="nil"/>
              <w:left w:val="nil"/>
              <w:bottom w:val="single" w:sz="8" w:space="0" w:color="auto"/>
              <w:right w:val="single" w:sz="8" w:space="0" w:color="auto"/>
            </w:tcBorders>
            <w:shd w:val="clear" w:color="auto" w:fill="auto"/>
          </w:tcPr>
          <w:p w:rsidR="00FF4539" w:rsidRPr="003D21AE" w:rsidRDefault="00EA2B60" w:rsidP="004365AE">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29.</w:t>
            </w:r>
            <w:r w:rsidR="004365AE">
              <w:rPr>
                <w:rFonts w:asciiTheme="minorEastAsia" w:eastAsiaTheme="minorEastAsia" w:hAnsiTheme="minorEastAsia" w:hint="eastAsia"/>
                <w:color w:val="000000"/>
                <w:kern w:val="0"/>
                <w:szCs w:val="21"/>
              </w:rPr>
              <w:t>77</w:t>
            </w:r>
          </w:p>
        </w:tc>
      </w:tr>
      <w:tr w:rsidR="00F746D0"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tcPr>
          <w:p w:rsidR="00F746D0" w:rsidRDefault="00F746D0" w:rsidP="00BD5A1E">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减：基金申购赎回净额</w:t>
            </w:r>
          </w:p>
          <w:p w:rsidR="00F746D0" w:rsidRPr="003D21AE" w:rsidRDefault="00F746D0" w:rsidP="00BD5A1E">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（于2018年8月23日确认的投资者申购赎回申请）</w:t>
            </w:r>
          </w:p>
        </w:tc>
        <w:tc>
          <w:tcPr>
            <w:tcW w:w="994" w:type="pct"/>
            <w:tcBorders>
              <w:top w:val="nil"/>
              <w:left w:val="nil"/>
              <w:bottom w:val="single" w:sz="8" w:space="0" w:color="auto"/>
              <w:right w:val="single" w:sz="8" w:space="0" w:color="auto"/>
            </w:tcBorders>
            <w:shd w:val="clear" w:color="auto" w:fill="auto"/>
          </w:tcPr>
          <w:p w:rsidR="00F746D0" w:rsidRPr="003D21AE" w:rsidRDefault="009171BE" w:rsidP="00385BB7">
            <w:pPr>
              <w:widowControl/>
              <w:spacing w:line="276" w:lineRule="auto"/>
              <w:jc w:val="right"/>
              <w:rPr>
                <w:rFonts w:asciiTheme="minorEastAsia" w:eastAsiaTheme="minorEastAsia" w:hAnsiTheme="minorEastAsia"/>
                <w:color w:val="000000"/>
                <w:kern w:val="0"/>
                <w:szCs w:val="21"/>
                <w:highlight w:val="yellow"/>
              </w:rPr>
            </w:pPr>
            <w:r>
              <w:rPr>
                <w:rFonts w:asciiTheme="minorEastAsia" w:eastAsiaTheme="minorEastAsia" w:hAnsiTheme="minorEastAsia" w:hint="eastAsia"/>
                <w:color w:val="000000"/>
                <w:kern w:val="0"/>
                <w:szCs w:val="21"/>
              </w:rPr>
              <w:t>11,670.24</w:t>
            </w:r>
          </w:p>
        </w:tc>
        <w:tc>
          <w:tcPr>
            <w:tcW w:w="1022" w:type="pct"/>
            <w:tcBorders>
              <w:top w:val="nil"/>
              <w:left w:val="nil"/>
              <w:bottom w:val="single" w:sz="8" w:space="0" w:color="auto"/>
              <w:right w:val="single" w:sz="8" w:space="0" w:color="auto"/>
            </w:tcBorders>
            <w:shd w:val="clear" w:color="auto" w:fill="auto"/>
          </w:tcPr>
          <w:p w:rsidR="00F746D0" w:rsidRPr="003D21AE" w:rsidRDefault="00F746D0" w:rsidP="00BD5A1E">
            <w:pPr>
              <w:widowControl/>
              <w:spacing w:line="276" w:lineRule="auto"/>
              <w:jc w:val="right"/>
              <w:rPr>
                <w:rFonts w:asciiTheme="minorEastAsia" w:eastAsiaTheme="minorEastAsia" w:hAnsiTheme="minorEastAsia"/>
                <w:color w:val="000000"/>
                <w:kern w:val="0"/>
                <w:szCs w:val="21"/>
              </w:rPr>
            </w:pPr>
          </w:p>
        </w:tc>
      </w:tr>
      <w:tr w:rsidR="00DA59C3"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DA59C3" w:rsidRPr="003D21AE" w:rsidRDefault="00451B6C" w:rsidP="003D21A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二、清算期结束日2018年</w:t>
            </w:r>
            <w:r w:rsidR="0070455B">
              <w:rPr>
                <w:rFonts w:asciiTheme="minorEastAsia" w:eastAsiaTheme="minorEastAsia" w:hAnsiTheme="minorEastAsia" w:hint="eastAsia"/>
                <w:color w:val="000000"/>
                <w:kern w:val="0"/>
                <w:szCs w:val="21"/>
              </w:rPr>
              <w:t>9</w:t>
            </w:r>
            <w:r w:rsidRPr="003D21AE">
              <w:rPr>
                <w:rFonts w:asciiTheme="minorEastAsia" w:eastAsiaTheme="minorEastAsia" w:hAnsiTheme="minorEastAsia" w:hint="eastAsia"/>
                <w:color w:val="000000"/>
                <w:kern w:val="0"/>
                <w:szCs w:val="21"/>
              </w:rPr>
              <w:t>月</w:t>
            </w:r>
            <w:r w:rsidR="0070455B">
              <w:rPr>
                <w:rFonts w:asciiTheme="minorEastAsia" w:eastAsiaTheme="minorEastAsia" w:hAnsiTheme="minorEastAsia" w:hint="eastAsia"/>
                <w:color w:val="000000"/>
                <w:kern w:val="0"/>
                <w:szCs w:val="21"/>
              </w:rPr>
              <w:t>5</w:t>
            </w:r>
            <w:r w:rsidRPr="003D21AE">
              <w:rPr>
                <w:rFonts w:asciiTheme="minorEastAsia" w:eastAsiaTheme="minorEastAsia" w:hAnsiTheme="minorEastAsia" w:hint="eastAsia"/>
                <w:color w:val="000000"/>
                <w:kern w:val="0"/>
                <w:szCs w:val="21"/>
              </w:rPr>
              <w:t>日基金净资产</w:t>
            </w:r>
          </w:p>
        </w:tc>
        <w:tc>
          <w:tcPr>
            <w:tcW w:w="994" w:type="pct"/>
            <w:tcBorders>
              <w:top w:val="nil"/>
              <w:left w:val="nil"/>
              <w:bottom w:val="single" w:sz="8" w:space="0" w:color="auto"/>
              <w:right w:val="single" w:sz="8" w:space="0" w:color="auto"/>
            </w:tcBorders>
            <w:shd w:val="clear" w:color="auto" w:fill="auto"/>
            <w:vAlign w:val="center"/>
          </w:tcPr>
          <w:p w:rsidR="00DA59C3" w:rsidRPr="003D21AE" w:rsidRDefault="00053526" w:rsidP="004365AE">
            <w:pPr>
              <w:jc w:val="right"/>
              <w:rPr>
                <w:rFonts w:asciiTheme="minorEastAsia" w:eastAsiaTheme="minorEastAsia" w:hAnsiTheme="minorEastAsia"/>
                <w:color w:val="000000"/>
                <w:kern w:val="0"/>
                <w:szCs w:val="21"/>
                <w:highlight w:val="yellow"/>
              </w:rPr>
            </w:pPr>
            <w:r w:rsidRPr="00053526">
              <w:rPr>
                <w:rFonts w:asciiTheme="minorEastAsia" w:eastAsiaTheme="minorEastAsia" w:hAnsiTheme="minorEastAsia"/>
                <w:color w:val="000000"/>
                <w:kern w:val="0"/>
                <w:szCs w:val="21"/>
              </w:rPr>
              <w:t>1</w:t>
            </w:r>
            <w:r>
              <w:rPr>
                <w:rFonts w:asciiTheme="minorEastAsia" w:eastAsiaTheme="minorEastAsia" w:hAnsiTheme="minorEastAsia" w:hint="eastAsia"/>
                <w:color w:val="000000"/>
                <w:kern w:val="0"/>
                <w:szCs w:val="21"/>
              </w:rPr>
              <w:t>,</w:t>
            </w:r>
            <w:r w:rsidRPr="00053526">
              <w:rPr>
                <w:rFonts w:asciiTheme="minorEastAsia" w:eastAsiaTheme="minorEastAsia" w:hAnsiTheme="minorEastAsia"/>
                <w:color w:val="000000"/>
                <w:kern w:val="0"/>
                <w:szCs w:val="21"/>
              </w:rPr>
              <w:t>509</w:t>
            </w:r>
            <w:r>
              <w:rPr>
                <w:rFonts w:asciiTheme="minorEastAsia" w:eastAsiaTheme="minorEastAsia" w:hAnsiTheme="minorEastAsia" w:hint="eastAsia"/>
                <w:color w:val="000000"/>
                <w:kern w:val="0"/>
                <w:szCs w:val="21"/>
              </w:rPr>
              <w:t>,</w:t>
            </w:r>
            <w:r w:rsidRPr="00053526">
              <w:rPr>
                <w:rFonts w:asciiTheme="minorEastAsia" w:eastAsiaTheme="minorEastAsia" w:hAnsiTheme="minorEastAsia"/>
                <w:color w:val="000000"/>
                <w:kern w:val="0"/>
                <w:szCs w:val="21"/>
              </w:rPr>
              <w:t>63</w:t>
            </w:r>
            <w:r w:rsidR="004365AE">
              <w:rPr>
                <w:rFonts w:asciiTheme="minorEastAsia" w:eastAsiaTheme="minorEastAsia" w:hAnsiTheme="minorEastAsia" w:hint="eastAsia"/>
                <w:color w:val="000000"/>
                <w:kern w:val="0"/>
                <w:szCs w:val="21"/>
              </w:rPr>
              <w:t>5.86</w:t>
            </w:r>
          </w:p>
        </w:tc>
        <w:tc>
          <w:tcPr>
            <w:tcW w:w="1022" w:type="pct"/>
            <w:tcBorders>
              <w:top w:val="nil"/>
              <w:left w:val="nil"/>
              <w:bottom w:val="single" w:sz="8" w:space="0" w:color="auto"/>
              <w:right w:val="single" w:sz="8" w:space="0" w:color="auto"/>
            </w:tcBorders>
            <w:shd w:val="clear" w:color="auto" w:fill="auto"/>
            <w:vAlign w:val="center"/>
            <w:hideMark/>
          </w:tcPr>
          <w:p w:rsidR="00DA59C3" w:rsidRPr="003D21AE" w:rsidRDefault="00054EEA" w:rsidP="004365AE">
            <w:pPr>
              <w:widowControl/>
              <w:spacing w:line="276" w:lineRule="auto"/>
              <w:jc w:val="right"/>
              <w:rPr>
                <w:rFonts w:asciiTheme="minorEastAsia" w:eastAsiaTheme="minorEastAsia" w:hAnsiTheme="minorEastAsia"/>
                <w:color w:val="000000"/>
                <w:kern w:val="0"/>
                <w:szCs w:val="21"/>
              </w:rPr>
            </w:pPr>
            <w:r w:rsidRPr="00054EEA">
              <w:rPr>
                <w:rFonts w:asciiTheme="minorEastAsia" w:eastAsiaTheme="minorEastAsia" w:hAnsiTheme="minorEastAsia"/>
                <w:color w:val="000000"/>
                <w:kern w:val="0"/>
                <w:szCs w:val="21"/>
              </w:rPr>
              <w:t>100</w:t>
            </w:r>
            <w:r>
              <w:rPr>
                <w:rFonts w:asciiTheme="minorEastAsia" w:eastAsiaTheme="minorEastAsia" w:hAnsiTheme="minorEastAsia" w:hint="eastAsia"/>
                <w:color w:val="000000"/>
                <w:kern w:val="0"/>
                <w:szCs w:val="21"/>
              </w:rPr>
              <w:t>,</w:t>
            </w:r>
            <w:r w:rsidRPr="00054EEA">
              <w:rPr>
                <w:rFonts w:asciiTheme="minorEastAsia" w:eastAsiaTheme="minorEastAsia" w:hAnsiTheme="minorEastAsia"/>
                <w:color w:val="000000"/>
                <w:kern w:val="0"/>
                <w:szCs w:val="21"/>
              </w:rPr>
              <w:t>91</w:t>
            </w:r>
            <w:r w:rsidR="00EA2B60">
              <w:rPr>
                <w:rFonts w:asciiTheme="minorEastAsia" w:eastAsiaTheme="minorEastAsia" w:hAnsiTheme="minorEastAsia" w:hint="eastAsia"/>
                <w:color w:val="000000"/>
                <w:kern w:val="0"/>
                <w:szCs w:val="21"/>
              </w:rPr>
              <w:t>5</w:t>
            </w:r>
            <w:r w:rsidRPr="00054EEA">
              <w:rPr>
                <w:rFonts w:asciiTheme="minorEastAsia" w:eastAsiaTheme="minorEastAsia" w:hAnsiTheme="minorEastAsia"/>
                <w:color w:val="000000"/>
                <w:kern w:val="0"/>
                <w:szCs w:val="21"/>
              </w:rPr>
              <w:t>.</w:t>
            </w:r>
            <w:r w:rsidR="004365AE">
              <w:rPr>
                <w:rFonts w:asciiTheme="minorEastAsia" w:eastAsiaTheme="minorEastAsia" w:hAnsiTheme="minorEastAsia" w:hint="eastAsia"/>
                <w:color w:val="000000"/>
                <w:kern w:val="0"/>
                <w:szCs w:val="21"/>
              </w:rPr>
              <w:t>14</w:t>
            </w:r>
          </w:p>
        </w:tc>
      </w:tr>
    </w:tbl>
    <w:p w:rsidR="00BE6ED0" w:rsidRPr="008765CB" w:rsidRDefault="00267534" w:rsidP="00B722AC">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7A6FFF" w:rsidRPr="008765CB">
        <w:rPr>
          <w:rFonts w:asciiTheme="minorEastAsia" w:eastAsiaTheme="minorEastAsia" w:hAnsiTheme="minorEastAsia" w:hint="eastAsia"/>
        </w:rPr>
        <w:t>2018年</w:t>
      </w:r>
      <w:r w:rsidR="00C96ADE">
        <w:rPr>
          <w:rFonts w:asciiTheme="minorEastAsia" w:eastAsiaTheme="minorEastAsia" w:hAnsiTheme="minorEastAsia" w:hint="eastAsia"/>
        </w:rPr>
        <w:t>9</w:t>
      </w:r>
      <w:r w:rsidR="007A6FFF" w:rsidRPr="008765CB">
        <w:rPr>
          <w:rFonts w:asciiTheme="minorEastAsia" w:eastAsiaTheme="minorEastAsia" w:hAnsiTheme="minorEastAsia" w:hint="eastAsia"/>
        </w:rPr>
        <w:t>月</w:t>
      </w:r>
      <w:r w:rsidR="00C96ADE">
        <w:rPr>
          <w:rFonts w:asciiTheme="minorEastAsia" w:eastAsiaTheme="minorEastAsia" w:hAnsiTheme="minorEastAsia" w:hint="eastAsia"/>
        </w:rPr>
        <w:t>5</w:t>
      </w:r>
      <w:r w:rsidR="007A6FFF" w:rsidRPr="008765CB">
        <w:rPr>
          <w:rFonts w:asciiTheme="minorEastAsia" w:eastAsiaTheme="minorEastAsia" w:hAnsiTheme="minorEastAsia" w:hint="eastAsia"/>
        </w:rPr>
        <w:t>日本基金剩余财产为</w:t>
      </w:r>
      <w:r w:rsidR="007A6FFF" w:rsidRPr="00D238BC">
        <w:rPr>
          <w:rFonts w:asciiTheme="minorEastAsia" w:eastAsiaTheme="minorEastAsia" w:hAnsiTheme="minorEastAsia" w:hint="eastAsia"/>
        </w:rPr>
        <w:t>人民币</w:t>
      </w:r>
      <w:r w:rsidR="00D238BC" w:rsidRPr="00D238BC">
        <w:rPr>
          <w:rFonts w:asciiTheme="minorEastAsia" w:eastAsiaTheme="minorEastAsia" w:hAnsiTheme="minorEastAsia"/>
        </w:rPr>
        <w:t>1</w:t>
      </w:r>
      <w:r w:rsidR="00D238BC" w:rsidRPr="00D238BC">
        <w:rPr>
          <w:rFonts w:asciiTheme="minorEastAsia" w:eastAsiaTheme="minorEastAsia" w:hAnsiTheme="minorEastAsia" w:hint="eastAsia"/>
        </w:rPr>
        <w:t>,</w:t>
      </w:r>
      <w:r w:rsidR="00D238BC" w:rsidRPr="00D238BC">
        <w:rPr>
          <w:rFonts w:asciiTheme="minorEastAsia" w:eastAsiaTheme="minorEastAsia" w:hAnsiTheme="minorEastAsia"/>
        </w:rPr>
        <w:t>610</w:t>
      </w:r>
      <w:r w:rsidR="00D238BC" w:rsidRPr="00D238BC">
        <w:rPr>
          <w:rFonts w:asciiTheme="minorEastAsia" w:eastAsiaTheme="minorEastAsia" w:hAnsiTheme="minorEastAsia" w:hint="eastAsia"/>
        </w:rPr>
        <w:t>,</w:t>
      </w:r>
      <w:r w:rsidR="00D238BC" w:rsidRPr="00D238BC">
        <w:rPr>
          <w:rFonts w:asciiTheme="minorEastAsia" w:eastAsiaTheme="minorEastAsia" w:hAnsiTheme="minorEastAsia"/>
        </w:rPr>
        <w:t>551.</w:t>
      </w:r>
      <w:r w:rsidR="003E3056">
        <w:rPr>
          <w:rFonts w:asciiTheme="minorEastAsia" w:eastAsiaTheme="minorEastAsia" w:hAnsiTheme="minorEastAsia" w:hint="eastAsia"/>
        </w:rPr>
        <w:t>00</w:t>
      </w:r>
      <w:r w:rsidR="007A6FFF" w:rsidRPr="00D238BC">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EA37C7" w:rsidP="005A6382">
      <w:pPr>
        <w:spacing w:line="360" w:lineRule="auto"/>
        <w:ind w:firstLine="435"/>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2018年</w:t>
      </w:r>
      <w:r w:rsidR="00C96ADE">
        <w:rPr>
          <w:rFonts w:asciiTheme="minorEastAsia" w:eastAsiaTheme="minorEastAsia" w:hAnsiTheme="minorEastAsia" w:hint="eastAsia"/>
          <w:color w:val="000000"/>
          <w:kern w:val="0"/>
          <w:szCs w:val="21"/>
        </w:rPr>
        <w:t>9</w:t>
      </w:r>
      <w:r w:rsidRPr="003D21AE">
        <w:rPr>
          <w:rFonts w:asciiTheme="minorEastAsia" w:eastAsiaTheme="minorEastAsia" w:hAnsiTheme="minorEastAsia" w:hint="eastAsia"/>
          <w:color w:val="000000"/>
          <w:kern w:val="0"/>
          <w:szCs w:val="21"/>
        </w:rPr>
        <w:t>月</w:t>
      </w:r>
      <w:r w:rsidR="00C96ADE">
        <w:rPr>
          <w:rFonts w:asciiTheme="minorEastAsia" w:eastAsiaTheme="minorEastAsia" w:hAnsiTheme="minorEastAsia" w:hint="eastAsia"/>
          <w:color w:val="000000"/>
          <w:kern w:val="0"/>
          <w:szCs w:val="21"/>
        </w:rPr>
        <w:t>5</w:t>
      </w:r>
      <w:r w:rsidR="005A6382">
        <w:rPr>
          <w:rFonts w:asciiTheme="minorEastAsia" w:eastAsiaTheme="minorEastAsia" w:hAnsiTheme="minorEastAsia" w:hint="eastAsia"/>
          <w:color w:val="000000"/>
          <w:kern w:val="0"/>
          <w:szCs w:val="21"/>
        </w:rPr>
        <w:t>日至清算款划出日前一日的银行存款孳生的利息归基金份额持有人所有，以上利息均按实际适用的利率计算。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六、备查文件目录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w:t>
      </w:r>
      <w:r w:rsidR="00C55ACE">
        <w:rPr>
          <w:rFonts w:asciiTheme="minorEastAsia" w:eastAsiaTheme="minorEastAsia" w:hAnsiTheme="minorEastAsia" w:hint="eastAsia"/>
        </w:rPr>
        <w:t>景穗</w:t>
      </w:r>
      <w:r w:rsidR="00085D0D" w:rsidRPr="000330E5">
        <w:rPr>
          <w:rFonts w:asciiTheme="minorEastAsia" w:eastAsiaTheme="minorEastAsia" w:hAnsiTheme="minorEastAsia" w:hint="eastAsia"/>
        </w:rPr>
        <w:t>灵活配置混合型证券投资基金清算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w:t>
      </w:r>
      <w:r w:rsidR="00C55ACE">
        <w:rPr>
          <w:rFonts w:asciiTheme="minorEastAsia" w:eastAsiaTheme="minorEastAsia" w:hAnsiTheme="minorEastAsia" w:hint="eastAsia"/>
          <w:szCs w:val="21"/>
        </w:rPr>
        <w:t>景穗</w:t>
      </w:r>
      <w:r w:rsidR="00085D0D" w:rsidRPr="000330E5">
        <w:rPr>
          <w:rFonts w:asciiTheme="minorEastAsia" w:eastAsiaTheme="minorEastAsia" w:hAnsiTheme="minorEastAsia" w:hint="eastAsia"/>
          <w:szCs w:val="21"/>
        </w:rPr>
        <w:t>灵活配置混合型证券投资基金清算事宜之法律意见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w:t>
      </w:r>
      <w:r w:rsidR="00C55ACE">
        <w:rPr>
          <w:rFonts w:asciiTheme="minorEastAsia" w:eastAsiaTheme="minorEastAsia" w:hAnsiTheme="minorEastAsia" w:hint="eastAsia"/>
          <w:szCs w:val="24"/>
        </w:rPr>
        <w:t>景穗</w:t>
      </w:r>
      <w:r w:rsidRPr="003D21AE">
        <w:rPr>
          <w:rFonts w:asciiTheme="minorEastAsia" w:eastAsiaTheme="minorEastAsia" w:hAnsiTheme="minorEastAsia" w:hint="eastAsia"/>
          <w:szCs w:val="24"/>
        </w:rPr>
        <w:t>灵活配置混合型证券投资基金</w:t>
      </w:r>
      <w:r w:rsidRPr="003D21AE">
        <w:rPr>
          <w:rFonts w:asciiTheme="minorEastAsia" w:eastAsiaTheme="minorEastAsia" w:hAnsiTheme="minorEastAsia" w:hint="eastAsia"/>
        </w:rPr>
        <w:t>财产清算小组</w:t>
      </w:r>
    </w:p>
    <w:p w:rsidR="00151936" w:rsidRPr="003D21AE" w:rsidRDefault="00C10BF9"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2</w:t>
      </w:r>
      <w:r w:rsidRPr="006D55D6">
        <w:rPr>
          <w:rFonts w:asciiTheme="minorEastAsia" w:eastAsiaTheme="minorEastAsia" w:hAnsiTheme="minorEastAsia" w:hint="eastAsia"/>
        </w:rPr>
        <w:t>018</w:t>
      </w:r>
      <w:r w:rsidR="00151936" w:rsidRPr="006D55D6">
        <w:rPr>
          <w:rFonts w:asciiTheme="minorEastAsia" w:eastAsiaTheme="minorEastAsia" w:hAnsiTheme="minorEastAsia" w:hint="eastAsia"/>
        </w:rPr>
        <w:t>年</w:t>
      </w:r>
      <w:r w:rsidR="006D55D6" w:rsidRPr="006D55D6">
        <w:rPr>
          <w:rFonts w:asciiTheme="minorEastAsia" w:eastAsiaTheme="minorEastAsia" w:hAnsiTheme="minorEastAsia" w:hint="eastAsia"/>
        </w:rPr>
        <w:t>9</w:t>
      </w:r>
      <w:r w:rsidR="00151936" w:rsidRPr="006D55D6">
        <w:rPr>
          <w:rFonts w:asciiTheme="minorEastAsia" w:eastAsiaTheme="minorEastAsia" w:hAnsiTheme="minorEastAsia" w:hint="eastAsia"/>
        </w:rPr>
        <w:t>月</w:t>
      </w:r>
      <w:r w:rsidR="006D55D6" w:rsidRPr="006D55D6">
        <w:rPr>
          <w:rFonts w:asciiTheme="minorEastAsia" w:eastAsiaTheme="minorEastAsia" w:hAnsiTheme="minorEastAsia" w:hint="eastAsia"/>
        </w:rPr>
        <w:t>5</w:t>
      </w:r>
      <w:r w:rsidR="00151936" w:rsidRPr="006D55D6">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959AE" w15:done="0"/>
  <w15:commentEx w15:paraId="5DD1412E" w15:done="0"/>
  <w15:commentEx w15:paraId="0A1C10C1" w15:done="0"/>
  <w15:commentEx w15:paraId="7ABE3717" w15:done="0"/>
  <w15:commentEx w15:paraId="6A5A0979" w15:done="0"/>
  <w15:commentEx w15:paraId="7BFA75AB" w15:done="0"/>
  <w15:commentEx w15:paraId="31CCB42B" w15:done="0"/>
  <w15:commentEx w15:paraId="1528A3A0" w15:done="0"/>
  <w15:commentEx w15:paraId="5319E7F9" w15:done="0"/>
  <w15:commentEx w15:paraId="5027CAA2" w15:done="0"/>
  <w15:commentEx w15:paraId="263558DF" w15:done="0"/>
  <w15:commentEx w15:paraId="679F1BBB" w15:done="0"/>
  <w15:commentEx w15:paraId="5DF7C207" w15:done="0"/>
  <w15:commentEx w15:paraId="6980C0B3" w15:done="0"/>
  <w15:commentEx w15:paraId="3B836A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8D" w:rsidRDefault="00150B8D" w:rsidP="005B7BB7">
      <w:r>
        <w:separator/>
      </w:r>
    </w:p>
  </w:endnote>
  <w:endnote w:type="continuationSeparator" w:id="1">
    <w:p w:rsidR="00150B8D" w:rsidRDefault="00150B8D"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21517E">
        <w:pPr>
          <w:pStyle w:val="a7"/>
          <w:jc w:val="center"/>
        </w:pPr>
        <w:r>
          <w:fldChar w:fldCharType="begin"/>
        </w:r>
        <w:r w:rsidR="007167E2">
          <w:instrText>PAGE   \* MERGEFORMAT</w:instrText>
        </w:r>
        <w:r>
          <w:fldChar w:fldCharType="separate"/>
        </w:r>
        <w:r w:rsidR="00B722AC" w:rsidRPr="00B722AC">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8D" w:rsidRDefault="00150B8D" w:rsidP="005B7BB7">
      <w:r>
        <w:separator/>
      </w:r>
    </w:p>
  </w:footnote>
  <w:footnote w:type="continuationSeparator" w:id="1">
    <w:p w:rsidR="00150B8D" w:rsidRDefault="00150B8D"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w:t>
    </w:r>
    <w:r w:rsidR="00C55ACE">
      <w:rPr>
        <w:rFonts w:ascii="宋体" w:hAnsi="宋体" w:hint="eastAsia"/>
        <w:szCs w:val="24"/>
      </w:rPr>
      <w:t>景穗</w:t>
    </w:r>
    <w:r>
      <w:rPr>
        <w:rFonts w:ascii="宋体" w:hAnsi="宋体" w:hint="eastAsia"/>
        <w:szCs w:val="24"/>
      </w:rPr>
      <w:t>灵活配置混合型证券投资基金清算</w:t>
    </w:r>
    <w:r>
      <w:rPr>
        <w:rFonts w:hint="eastAsia"/>
      </w:rPr>
      <w:t>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ie Tao">
    <w15:presenceInfo w15:providerId="None" w15:userId="Kaylie Tao"/>
  </w15:person>
  <w15:person w15:author="Weimin Yu">
    <w15:presenceInfo w15:providerId="None" w15:userId="Weimin 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330E5"/>
    <w:rsid w:val="00053526"/>
    <w:rsid w:val="00054EEA"/>
    <w:rsid w:val="00055A29"/>
    <w:rsid w:val="000644E5"/>
    <w:rsid w:val="00064B54"/>
    <w:rsid w:val="000765E4"/>
    <w:rsid w:val="00081F8A"/>
    <w:rsid w:val="00082949"/>
    <w:rsid w:val="00085D0D"/>
    <w:rsid w:val="00087078"/>
    <w:rsid w:val="0009177E"/>
    <w:rsid w:val="000A27BA"/>
    <w:rsid w:val="000A5BAB"/>
    <w:rsid w:val="000C76E4"/>
    <w:rsid w:val="000D0A84"/>
    <w:rsid w:val="000D615E"/>
    <w:rsid w:val="000F4BC7"/>
    <w:rsid w:val="000F738E"/>
    <w:rsid w:val="00103570"/>
    <w:rsid w:val="00112B3F"/>
    <w:rsid w:val="001133A2"/>
    <w:rsid w:val="00150B8D"/>
    <w:rsid w:val="00151936"/>
    <w:rsid w:val="00152688"/>
    <w:rsid w:val="00165DE8"/>
    <w:rsid w:val="001662E8"/>
    <w:rsid w:val="001679D7"/>
    <w:rsid w:val="00171D4A"/>
    <w:rsid w:val="001970FF"/>
    <w:rsid w:val="00197A7D"/>
    <w:rsid w:val="001B0A23"/>
    <w:rsid w:val="001B7A5F"/>
    <w:rsid w:val="001C33AC"/>
    <w:rsid w:val="001D7A7E"/>
    <w:rsid w:val="001E3899"/>
    <w:rsid w:val="001E3FE3"/>
    <w:rsid w:val="001E40B4"/>
    <w:rsid w:val="001F292B"/>
    <w:rsid w:val="001F3D39"/>
    <w:rsid w:val="001F7395"/>
    <w:rsid w:val="0020039F"/>
    <w:rsid w:val="00200BC9"/>
    <w:rsid w:val="002011B9"/>
    <w:rsid w:val="00203EEF"/>
    <w:rsid w:val="0021517E"/>
    <w:rsid w:val="00216A13"/>
    <w:rsid w:val="002233A2"/>
    <w:rsid w:val="00241BEC"/>
    <w:rsid w:val="00241DE5"/>
    <w:rsid w:val="00243905"/>
    <w:rsid w:val="002465AA"/>
    <w:rsid w:val="00246634"/>
    <w:rsid w:val="002527DF"/>
    <w:rsid w:val="00267534"/>
    <w:rsid w:val="00270BD2"/>
    <w:rsid w:val="00283C3D"/>
    <w:rsid w:val="00287F5A"/>
    <w:rsid w:val="00295B3A"/>
    <w:rsid w:val="002B218A"/>
    <w:rsid w:val="002B729A"/>
    <w:rsid w:val="002F2FD9"/>
    <w:rsid w:val="002F59F5"/>
    <w:rsid w:val="002F6839"/>
    <w:rsid w:val="002F6A7E"/>
    <w:rsid w:val="00301575"/>
    <w:rsid w:val="0030205E"/>
    <w:rsid w:val="00304A72"/>
    <w:rsid w:val="003059F0"/>
    <w:rsid w:val="003260A3"/>
    <w:rsid w:val="00333AF0"/>
    <w:rsid w:val="0033487F"/>
    <w:rsid w:val="00337182"/>
    <w:rsid w:val="003505D8"/>
    <w:rsid w:val="00360D29"/>
    <w:rsid w:val="00363F8D"/>
    <w:rsid w:val="00384FB8"/>
    <w:rsid w:val="00385BB7"/>
    <w:rsid w:val="00395575"/>
    <w:rsid w:val="003A2BF2"/>
    <w:rsid w:val="003A43D0"/>
    <w:rsid w:val="003D1212"/>
    <w:rsid w:val="003D21AE"/>
    <w:rsid w:val="003D2E9E"/>
    <w:rsid w:val="003D5070"/>
    <w:rsid w:val="003D6877"/>
    <w:rsid w:val="003E2104"/>
    <w:rsid w:val="003E3056"/>
    <w:rsid w:val="0040039A"/>
    <w:rsid w:val="00402CDE"/>
    <w:rsid w:val="004219A6"/>
    <w:rsid w:val="00427A88"/>
    <w:rsid w:val="004365AE"/>
    <w:rsid w:val="00451B6C"/>
    <w:rsid w:val="0046346C"/>
    <w:rsid w:val="004634B8"/>
    <w:rsid w:val="00481761"/>
    <w:rsid w:val="004864A5"/>
    <w:rsid w:val="00486F59"/>
    <w:rsid w:val="004A15FB"/>
    <w:rsid w:val="004B4579"/>
    <w:rsid w:val="004C5D87"/>
    <w:rsid w:val="004D1F36"/>
    <w:rsid w:val="004D24AB"/>
    <w:rsid w:val="004D3A99"/>
    <w:rsid w:val="004E7623"/>
    <w:rsid w:val="004E7F2C"/>
    <w:rsid w:val="004F20EC"/>
    <w:rsid w:val="00500A0E"/>
    <w:rsid w:val="0051529E"/>
    <w:rsid w:val="0051640D"/>
    <w:rsid w:val="00524082"/>
    <w:rsid w:val="005611FE"/>
    <w:rsid w:val="00577C79"/>
    <w:rsid w:val="00590B4D"/>
    <w:rsid w:val="00594BD3"/>
    <w:rsid w:val="005A011A"/>
    <w:rsid w:val="005A6382"/>
    <w:rsid w:val="005A643C"/>
    <w:rsid w:val="005B3270"/>
    <w:rsid w:val="005B7BB7"/>
    <w:rsid w:val="005D468C"/>
    <w:rsid w:val="005E0C7A"/>
    <w:rsid w:val="005E3FAC"/>
    <w:rsid w:val="005E7101"/>
    <w:rsid w:val="005E7E47"/>
    <w:rsid w:val="00600A27"/>
    <w:rsid w:val="00604D52"/>
    <w:rsid w:val="00605CB0"/>
    <w:rsid w:val="0061256F"/>
    <w:rsid w:val="0062758A"/>
    <w:rsid w:val="0064052B"/>
    <w:rsid w:val="0064363A"/>
    <w:rsid w:val="00662C9B"/>
    <w:rsid w:val="00665B05"/>
    <w:rsid w:val="006A306D"/>
    <w:rsid w:val="006A7C1F"/>
    <w:rsid w:val="006D113D"/>
    <w:rsid w:val="006D55D6"/>
    <w:rsid w:val="006E0C35"/>
    <w:rsid w:val="006F0665"/>
    <w:rsid w:val="006F5474"/>
    <w:rsid w:val="00700598"/>
    <w:rsid w:val="0070455B"/>
    <w:rsid w:val="007074E0"/>
    <w:rsid w:val="007167E2"/>
    <w:rsid w:val="007374CC"/>
    <w:rsid w:val="007A6FFF"/>
    <w:rsid w:val="007B2155"/>
    <w:rsid w:val="007B4A8E"/>
    <w:rsid w:val="007B58C2"/>
    <w:rsid w:val="007E1ADB"/>
    <w:rsid w:val="007F6F9F"/>
    <w:rsid w:val="007F7FA7"/>
    <w:rsid w:val="0080054A"/>
    <w:rsid w:val="00806CEC"/>
    <w:rsid w:val="00820ADB"/>
    <w:rsid w:val="00821E6F"/>
    <w:rsid w:val="0083459B"/>
    <w:rsid w:val="0085420D"/>
    <w:rsid w:val="0086464B"/>
    <w:rsid w:val="008765CB"/>
    <w:rsid w:val="00876E65"/>
    <w:rsid w:val="008905D2"/>
    <w:rsid w:val="00894ADC"/>
    <w:rsid w:val="00895F6F"/>
    <w:rsid w:val="00897331"/>
    <w:rsid w:val="0089773F"/>
    <w:rsid w:val="008A1CA6"/>
    <w:rsid w:val="008A1E14"/>
    <w:rsid w:val="008A25BB"/>
    <w:rsid w:val="008A26BA"/>
    <w:rsid w:val="008C54C4"/>
    <w:rsid w:val="008E7098"/>
    <w:rsid w:val="008F168C"/>
    <w:rsid w:val="008F2E11"/>
    <w:rsid w:val="00903A6D"/>
    <w:rsid w:val="00912AA6"/>
    <w:rsid w:val="009171BE"/>
    <w:rsid w:val="009251C7"/>
    <w:rsid w:val="009267F2"/>
    <w:rsid w:val="0092773F"/>
    <w:rsid w:val="00930979"/>
    <w:rsid w:val="00934485"/>
    <w:rsid w:val="00943BE3"/>
    <w:rsid w:val="0094733D"/>
    <w:rsid w:val="00950E81"/>
    <w:rsid w:val="009544F3"/>
    <w:rsid w:val="00962482"/>
    <w:rsid w:val="00963A23"/>
    <w:rsid w:val="009847C6"/>
    <w:rsid w:val="009C232F"/>
    <w:rsid w:val="009C28B8"/>
    <w:rsid w:val="009C36B9"/>
    <w:rsid w:val="009C6355"/>
    <w:rsid w:val="009C684F"/>
    <w:rsid w:val="009F197E"/>
    <w:rsid w:val="00A108FD"/>
    <w:rsid w:val="00A11DE3"/>
    <w:rsid w:val="00A15172"/>
    <w:rsid w:val="00A17542"/>
    <w:rsid w:val="00A21020"/>
    <w:rsid w:val="00A246A4"/>
    <w:rsid w:val="00A249EA"/>
    <w:rsid w:val="00A401F5"/>
    <w:rsid w:val="00A4329B"/>
    <w:rsid w:val="00A5105F"/>
    <w:rsid w:val="00A541C8"/>
    <w:rsid w:val="00A77AD6"/>
    <w:rsid w:val="00A86686"/>
    <w:rsid w:val="00A92BB0"/>
    <w:rsid w:val="00A92F7C"/>
    <w:rsid w:val="00AB3419"/>
    <w:rsid w:val="00AC313C"/>
    <w:rsid w:val="00AC5B3B"/>
    <w:rsid w:val="00AE4062"/>
    <w:rsid w:val="00B114AF"/>
    <w:rsid w:val="00B154CA"/>
    <w:rsid w:val="00B46405"/>
    <w:rsid w:val="00B50B5B"/>
    <w:rsid w:val="00B52F42"/>
    <w:rsid w:val="00B64836"/>
    <w:rsid w:val="00B722AC"/>
    <w:rsid w:val="00B8074D"/>
    <w:rsid w:val="00B877FC"/>
    <w:rsid w:val="00B90339"/>
    <w:rsid w:val="00BB37CE"/>
    <w:rsid w:val="00BC0B7A"/>
    <w:rsid w:val="00BC2987"/>
    <w:rsid w:val="00BC33D4"/>
    <w:rsid w:val="00BC3EB9"/>
    <w:rsid w:val="00BC58F2"/>
    <w:rsid w:val="00BD5A1E"/>
    <w:rsid w:val="00BD6839"/>
    <w:rsid w:val="00BE6ED0"/>
    <w:rsid w:val="00BF0048"/>
    <w:rsid w:val="00C10BF9"/>
    <w:rsid w:val="00C16D68"/>
    <w:rsid w:val="00C30912"/>
    <w:rsid w:val="00C36983"/>
    <w:rsid w:val="00C40FCA"/>
    <w:rsid w:val="00C47511"/>
    <w:rsid w:val="00C479DE"/>
    <w:rsid w:val="00C55ACE"/>
    <w:rsid w:val="00C57E2F"/>
    <w:rsid w:val="00C61630"/>
    <w:rsid w:val="00C70585"/>
    <w:rsid w:val="00C70722"/>
    <w:rsid w:val="00C738DD"/>
    <w:rsid w:val="00C74B30"/>
    <w:rsid w:val="00C75E5B"/>
    <w:rsid w:val="00C96ADE"/>
    <w:rsid w:val="00CA5C59"/>
    <w:rsid w:val="00CA7A77"/>
    <w:rsid w:val="00CB2D30"/>
    <w:rsid w:val="00CB30A9"/>
    <w:rsid w:val="00CB7AD2"/>
    <w:rsid w:val="00CF7C0E"/>
    <w:rsid w:val="00D00E15"/>
    <w:rsid w:val="00D03C44"/>
    <w:rsid w:val="00D0627B"/>
    <w:rsid w:val="00D07F0B"/>
    <w:rsid w:val="00D20C95"/>
    <w:rsid w:val="00D238BC"/>
    <w:rsid w:val="00D321D7"/>
    <w:rsid w:val="00D32EEA"/>
    <w:rsid w:val="00D37B58"/>
    <w:rsid w:val="00D56281"/>
    <w:rsid w:val="00D71B55"/>
    <w:rsid w:val="00D72ADF"/>
    <w:rsid w:val="00D907A6"/>
    <w:rsid w:val="00DA59C3"/>
    <w:rsid w:val="00DA6E7A"/>
    <w:rsid w:val="00DB7F3C"/>
    <w:rsid w:val="00DC2BA0"/>
    <w:rsid w:val="00DD2CF5"/>
    <w:rsid w:val="00E05487"/>
    <w:rsid w:val="00E12E0F"/>
    <w:rsid w:val="00E14AD9"/>
    <w:rsid w:val="00E40FD8"/>
    <w:rsid w:val="00E442C8"/>
    <w:rsid w:val="00E502E5"/>
    <w:rsid w:val="00E5544F"/>
    <w:rsid w:val="00E6695B"/>
    <w:rsid w:val="00E71AFD"/>
    <w:rsid w:val="00E723A8"/>
    <w:rsid w:val="00E8174F"/>
    <w:rsid w:val="00E91BC2"/>
    <w:rsid w:val="00E96708"/>
    <w:rsid w:val="00EA2B60"/>
    <w:rsid w:val="00EA3772"/>
    <w:rsid w:val="00EA37C7"/>
    <w:rsid w:val="00EC7E94"/>
    <w:rsid w:val="00ED0DDA"/>
    <w:rsid w:val="00ED5375"/>
    <w:rsid w:val="00EE5F59"/>
    <w:rsid w:val="00EF3B56"/>
    <w:rsid w:val="00EF7C68"/>
    <w:rsid w:val="00F058BC"/>
    <w:rsid w:val="00F1013B"/>
    <w:rsid w:val="00F13A80"/>
    <w:rsid w:val="00F25CA6"/>
    <w:rsid w:val="00F26B90"/>
    <w:rsid w:val="00F37A44"/>
    <w:rsid w:val="00F641CF"/>
    <w:rsid w:val="00F65DCD"/>
    <w:rsid w:val="00F672A3"/>
    <w:rsid w:val="00F7217C"/>
    <w:rsid w:val="00F746D0"/>
    <w:rsid w:val="00F92032"/>
    <w:rsid w:val="00FB3E07"/>
    <w:rsid w:val="00FB41D2"/>
    <w:rsid w:val="00FB7C03"/>
    <w:rsid w:val="00FD166D"/>
    <w:rsid w:val="00FF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AC50-A0E6-4240-90CA-9AEA79C3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2018-10-19T16:30:00Z</dcterms:created>
  <dcterms:modified xsi:type="dcterms:W3CDTF">2018-10-19T16:30:00Z</dcterms:modified>
</cp:coreProperties>
</file>