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6D" w:rsidRPr="00F05CF8" w:rsidRDefault="008B6B6D" w:rsidP="003A42CB">
      <w:pPr>
        <w:jc w:val="center"/>
        <w:rPr>
          <w:rFonts w:ascii="Times New Roman" w:eastAsia="楷体_GB2312" w:hAnsi="Times New Roman" w:cs="Times New Roman"/>
          <w:b/>
          <w:sz w:val="30"/>
          <w:szCs w:val="30"/>
        </w:rPr>
      </w:pPr>
    </w:p>
    <w:p w:rsidR="00C44100" w:rsidRPr="00F05CF8" w:rsidRDefault="003A42CB" w:rsidP="003A42CB">
      <w:pPr>
        <w:jc w:val="center"/>
        <w:rPr>
          <w:rFonts w:ascii="Times New Roman" w:eastAsia="楷体_GB2312" w:hAnsi="Times New Roman" w:cs="Times New Roman"/>
          <w:b/>
          <w:sz w:val="30"/>
          <w:szCs w:val="30"/>
        </w:rPr>
      </w:pPr>
      <w:r w:rsidRPr="00F05CF8">
        <w:rPr>
          <w:rFonts w:ascii="Times New Roman" w:eastAsia="楷体_GB2312" w:hAnsi="Times New Roman" w:cs="Times New Roman"/>
          <w:b/>
          <w:sz w:val="30"/>
          <w:szCs w:val="30"/>
        </w:rPr>
        <w:t>中金基金管理有限公司</w:t>
      </w:r>
    </w:p>
    <w:p w:rsidR="002B30AE" w:rsidRPr="00F05CF8" w:rsidRDefault="003A42CB" w:rsidP="003A42CB">
      <w:pPr>
        <w:jc w:val="center"/>
        <w:rPr>
          <w:rFonts w:ascii="Times New Roman" w:eastAsia="楷体_GB2312" w:hAnsi="Times New Roman" w:cs="Times New Roman"/>
          <w:b/>
          <w:sz w:val="30"/>
          <w:szCs w:val="30"/>
        </w:rPr>
      </w:pPr>
      <w:r w:rsidRPr="00F05CF8">
        <w:rPr>
          <w:rFonts w:ascii="Times New Roman" w:eastAsia="楷体_GB2312" w:hAnsi="Times New Roman" w:cs="Times New Roman"/>
          <w:b/>
          <w:sz w:val="30"/>
          <w:szCs w:val="30"/>
        </w:rPr>
        <w:t>关于调整</w:t>
      </w:r>
      <w:r w:rsidR="00C44100" w:rsidRPr="00F05CF8">
        <w:rPr>
          <w:rFonts w:ascii="Times New Roman" w:eastAsia="楷体_GB2312" w:hAnsi="Times New Roman" w:cs="Times New Roman"/>
          <w:b/>
          <w:sz w:val="30"/>
          <w:szCs w:val="30"/>
        </w:rPr>
        <w:t>旗下基金</w:t>
      </w:r>
      <w:r w:rsidR="002114D7">
        <w:rPr>
          <w:rFonts w:ascii="Times New Roman" w:eastAsia="楷体_GB2312" w:hAnsi="Times New Roman" w:cs="Times New Roman" w:hint="eastAsia"/>
          <w:b/>
          <w:sz w:val="30"/>
          <w:szCs w:val="30"/>
        </w:rPr>
        <w:t>所持</w:t>
      </w:r>
      <w:r w:rsidRPr="00F05CF8">
        <w:rPr>
          <w:rFonts w:ascii="Times New Roman" w:eastAsia="楷体_GB2312" w:hAnsi="Times New Roman" w:cs="Times New Roman"/>
          <w:b/>
          <w:sz w:val="30"/>
          <w:szCs w:val="30"/>
        </w:rPr>
        <w:t>长期停牌股票估值方法的公告</w:t>
      </w:r>
    </w:p>
    <w:p w:rsidR="003A42CB" w:rsidRPr="00F05CF8" w:rsidRDefault="003A42CB" w:rsidP="003A42CB">
      <w:pPr>
        <w:pStyle w:val="Default"/>
        <w:rPr>
          <w:rFonts w:ascii="Times New Roman" w:eastAsia="楷体_GB2312" w:hAnsi="Times New Roman" w:cs="Times New Roman"/>
        </w:rPr>
      </w:pPr>
    </w:p>
    <w:p w:rsidR="00802BA0" w:rsidRPr="00F05CF8" w:rsidRDefault="00B477CA" w:rsidP="00DC04C8">
      <w:pPr>
        <w:pStyle w:val="Default"/>
        <w:spacing w:line="360" w:lineRule="auto"/>
        <w:rPr>
          <w:rFonts w:ascii="Times New Roman" w:eastAsia="楷体_GB2312" w:hAnsi="Times New Roman" w:cs="Times New Roman"/>
          <w:sz w:val="23"/>
          <w:szCs w:val="23"/>
        </w:rPr>
      </w:pPr>
      <w:r w:rsidRPr="00F05CF8">
        <w:rPr>
          <w:rFonts w:ascii="Times New Roman" w:eastAsia="楷体_GB2312" w:hAnsi="Times New Roman" w:cs="Times New Roman"/>
          <w:sz w:val="23"/>
          <w:szCs w:val="23"/>
        </w:rPr>
        <w:t>为保护投资者利益，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根据</w:t>
      </w:r>
      <w:r w:rsidRPr="00F05CF8">
        <w:rPr>
          <w:rFonts w:ascii="Times New Roman" w:eastAsia="楷体_GB2312" w:hAnsi="Times New Roman" w:cs="Times New Roman"/>
          <w:sz w:val="23"/>
          <w:szCs w:val="23"/>
        </w:rPr>
        <w:t>中国证监会《关于证券投资基金估值业务的指导意见》（中国证监会</w:t>
      </w:r>
      <w:r w:rsidR="00B811CF">
        <w:rPr>
          <w:rFonts w:ascii="Times New Roman" w:eastAsia="楷体_GB2312" w:hAnsi="Times New Roman" w:cs="Times New Roman" w:hint="eastAsia"/>
          <w:sz w:val="23"/>
          <w:szCs w:val="23"/>
        </w:rPr>
        <w:t>公告</w:t>
      </w:r>
      <w:r w:rsidRPr="00F05CF8">
        <w:rPr>
          <w:rFonts w:ascii="Times New Roman" w:eastAsia="楷体_GB2312" w:hAnsi="Times New Roman" w:cs="Times New Roman"/>
          <w:sz w:val="23"/>
          <w:szCs w:val="23"/>
        </w:rPr>
        <w:t>[2017]</w:t>
      </w:r>
      <w:r w:rsidRPr="00F05CF8">
        <w:rPr>
          <w:rFonts w:ascii="Times New Roman" w:eastAsia="楷体_GB2312" w:hAnsi="Times New Roman" w:cs="Times New Roman"/>
          <w:sz w:val="23"/>
          <w:szCs w:val="23"/>
        </w:rPr>
        <w:t>第</w:t>
      </w:r>
      <w:r w:rsidRPr="00F05CF8">
        <w:rPr>
          <w:rFonts w:ascii="Times New Roman" w:eastAsia="楷体_GB2312" w:hAnsi="Times New Roman" w:cs="Times New Roman"/>
          <w:sz w:val="23"/>
          <w:szCs w:val="23"/>
        </w:rPr>
        <w:t>13</w:t>
      </w:r>
      <w:r w:rsidRPr="00F05CF8">
        <w:rPr>
          <w:rFonts w:ascii="Times New Roman" w:eastAsia="楷体_GB2312" w:hAnsi="Times New Roman" w:cs="Times New Roman"/>
          <w:sz w:val="23"/>
          <w:szCs w:val="23"/>
        </w:rPr>
        <w:t>号）</w:t>
      </w:r>
      <w:r w:rsidR="00DC04C8" w:rsidRPr="00F05CF8">
        <w:rPr>
          <w:rFonts w:ascii="Times New Roman" w:eastAsia="楷体_GB2312" w:hAnsi="Times New Roman" w:cs="Times New Roman"/>
          <w:sz w:val="23"/>
          <w:szCs w:val="23"/>
        </w:rPr>
        <w:t>等</w:t>
      </w:r>
      <w:r w:rsidR="00CA00C2" w:rsidRPr="00F05CF8">
        <w:rPr>
          <w:rFonts w:ascii="Times New Roman" w:eastAsia="楷体_GB2312" w:hAnsi="Times New Roman" w:cs="Times New Roman"/>
          <w:sz w:val="23"/>
          <w:szCs w:val="23"/>
        </w:rPr>
        <w:t>相关规定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，</w:t>
      </w:r>
      <w:r w:rsidR="00CA00C2" w:rsidRPr="00F05CF8">
        <w:rPr>
          <w:rFonts w:ascii="Times New Roman" w:eastAsia="楷体_GB2312" w:hAnsi="Times New Roman" w:cs="Times New Roman"/>
          <w:sz w:val="23"/>
          <w:szCs w:val="23"/>
        </w:rPr>
        <w:t>经与基金托管人协商一致，</w:t>
      </w:r>
      <w:r w:rsidR="00FC2480" w:rsidRPr="00F05CF8">
        <w:rPr>
          <w:rFonts w:ascii="Times New Roman" w:eastAsia="楷体_GB2312" w:hAnsi="Times New Roman" w:cs="Times New Roman"/>
          <w:sz w:val="23"/>
          <w:szCs w:val="23"/>
        </w:rPr>
        <w:t>中金基金管理有限公司</w:t>
      </w:r>
      <w:r w:rsidR="00CA00C2" w:rsidRPr="00F05CF8">
        <w:rPr>
          <w:rFonts w:ascii="Times New Roman" w:eastAsia="楷体_GB2312" w:hAnsi="Times New Roman" w:cs="Times New Roman"/>
          <w:sz w:val="23"/>
          <w:szCs w:val="23"/>
        </w:rPr>
        <w:t>决定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自</w:t>
      </w:r>
      <w:r w:rsidR="00005F91" w:rsidRPr="00F05CF8">
        <w:rPr>
          <w:rFonts w:ascii="Times New Roman" w:eastAsia="楷体_GB2312" w:hAnsi="Times New Roman" w:cs="Times New Roman"/>
          <w:sz w:val="23"/>
          <w:szCs w:val="23"/>
        </w:rPr>
        <w:t>2018</w:t>
      </w:r>
      <w:r w:rsidR="00005F91" w:rsidRPr="00F05CF8">
        <w:rPr>
          <w:rFonts w:ascii="Times New Roman" w:eastAsia="楷体_GB2312" w:hAnsi="Times New Roman" w:cs="Times New Roman"/>
          <w:sz w:val="23"/>
          <w:szCs w:val="23"/>
        </w:rPr>
        <w:t>年</w:t>
      </w:r>
      <w:r w:rsidR="00A2640C">
        <w:rPr>
          <w:rFonts w:ascii="Times New Roman" w:eastAsia="楷体_GB2312" w:hAnsi="Times New Roman" w:cs="Times New Roman" w:hint="eastAsia"/>
          <w:sz w:val="23"/>
          <w:szCs w:val="23"/>
        </w:rPr>
        <w:t>10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月</w:t>
      </w:r>
      <w:r w:rsidR="009A4665">
        <w:rPr>
          <w:rFonts w:ascii="Times New Roman" w:eastAsia="楷体_GB2312" w:hAnsi="Times New Roman" w:cs="Times New Roman" w:hint="eastAsia"/>
          <w:sz w:val="23"/>
          <w:szCs w:val="23"/>
        </w:rPr>
        <w:t>11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日起采用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“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指数收益法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”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对</w:t>
      </w:r>
      <w:r w:rsidR="00CE0F23" w:rsidRPr="00F05CF8">
        <w:rPr>
          <w:rFonts w:ascii="Times New Roman" w:eastAsia="楷体_GB2312" w:hAnsi="Times New Roman" w:cs="Times New Roman"/>
          <w:sz w:val="23"/>
          <w:szCs w:val="23"/>
        </w:rPr>
        <w:t>旗下证券投资基金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持有的停牌股票</w:t>
      </w:r>
      <w:r w:rsidR="00005F91">
        <w:rPr>
          <w:rFonts w:ascii="Times New Roman" w:eastAsia="楷体_GB2312" w:hAnsi="Times New Roman" w:cs="Times New Roman" w:hint="eastAsia"/>
          <w:sz w:val="23"/>
          <w:szCs w:val="23"/>
        </w:rPr>
        <w:t>美的集团</w:t>
      </w:r>
      <w:r w:rsidR="00802BA0" w:rsidRPr="00F05CF8">
        <w:rPr>
          <w:rFonts w:ascii="Times New Roman" w:eastAsia="楷体_GB2312" w:hAnsi="Times New Roman" w:cs="Times New Roman"/>
          <w:sz w:val="23"/>
          <w:szCs w:val="23"/>
        </w:rPr>
        <w:t>（</w:t>
      </w:r>
      <w:r w:rsidR="00FC2480">
        <w:rPr>
          <w:rFonts w:ascii="Times New Roman" w:eastAsia="楷体_GB2312" w:hAnsi="Times New Roman" w:cs="Times New Roman" w:hint="eastAsia"/>
          <w:sz w:val="23"/>
          <w:szCs w:val="23"/>
        </w:rPr>
        <w:t>代码：</w:t>
      </w:r>
      <w:r w:rsidR="00005F91">
        <w:rPr>
          <w:rFonts w:ascii="Times New Roman" w:eastAsia="楷体_GB2312" w:hAnsi="Times New Roman" w:cs="Times New Roman" w:hint="eastAsia"/>
          <w:sz w:val="23"/>
          <w:szCs w:val="23"/>
        </w:rPr>
        <w:t>000333</w:t>
      </w:r>
      <w:r w:rsidR="00802BA0" w:rsidRPr="00F05CF8">
        <w:rPr>
          <w:rFonts w:ascii="Times New Roman" w:eastAsia="楷体_GB2312" w:hAnsi="Times New Roman" w:cs="Times New Roman"/>
          <w:sz w:val="23"/>
          <w:szCs w:val="23"/>
        </w:rPr>
        <w:t>）</w:t>
      </w:r>
      <w:r w:rsidR="00A2640C">
        <w:rPr>
          <w:rFonts w:ascii="Times New Roman" w:eastAsia="楷体_GB2312" w:hAnsi="Times New Roman" w:cs="Times New Roman" w:hint="eastAsia"/>
          <w:sz w:val="23"/>
          <w:szCs w:val="23"/>
        </w:rPr>
        <w:t>、必康股份</w:t>
      </w:r>
      <w:r w:rsidR="00A2640C" w:rsidRPr="00F05CF8">
        <w:rPr>
          <w:rFonts w:ascii="Times New Roman" w:eastAsia="楷体_GB2312" w:hAnsi="Times New Roman" w:cs="Times New Roman"/>
          <w:sz w:val="23"/>
          <w:szCs w:val="23"/>
        </w:rPr>
        <w:t>（</w:t>
      </w:r>
      <w:r w:rsidR="00A2640C">
        <w:rPr>
          <w:rFonts w:ascii="Times New Roman" w:eastAsia="楷体_GB2312" w:hAnsi="Times New Roman" w:cs="Times New Roman" w:hint="eastAsia"/>
          <w:sz w:val="23"/>
          <w:szCs w:val="23"/>
        </w:rPr>
        <w:t>代码：</w:t>
      </w:r>
      <w:r w:rsidR="00A2640C">
        <w:rPr>
          <w:rFonts w:ascii="Times New Roman" w:eastAsia="楷体_GB2312" w:hAnsi="Times New Roman" w:cs="Times New Roman" w:hint="eastAsia"/>
          <w:sz w:val="23"/>
          <w:szCs w:val="23"/>
        </w:rPr>
        <w:t>002411</w:t>
      </w:r>
      <w:r w:rsidR="00A2640C" w:rsidRPr="00F05CF8">
        <w:rPr>
          <w:rFonts w:ascii="Times New Roman" w:eastAsia="楷体_GB2312" w:hAnsi="Times New Roman" w:cs="Times New Roman"/>
          <w:sz w:val="23"/>
          <w:szCs w:val="23"/>
        </w:rPr>
        <w:t>）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进行估值，</w:t>
      </w:r>
      <w:r w:rsidR="00DC04C8" w:rsidRPr="00F05CF8">
        <w:rPr>
          <w:rFonts w:ascii="Times New Roman" w:eastAsia="楷体_GB2312" w:hAnsi="Times New Roman" w:cs="Times New Roman"/>
          <w:sz w:val="23"/>
          <w:szCs w:val="23"/>
        </w:rPr>
        <w:t>待上述股票复牌且其交易体现活跃市场交易特征后，将恢复采用按市场价格进行估值，</w:t>
      </w:r>
      <w:r w:rsidR="00907815" w:rsidRPr="00F05CF8">
        <w:rPr>
          <w:rFonts w:ascii="Times New Roman" w:eastAsia="楷体_GB2312" w:hAnsi="Times New Roman" w:cs="Times New Roman"/>
          <w:sz w:val="23"/>
          <w:szCs w:val="23"/>
        </w:rPr>
        <w:t>届时不再另行公告</w:t>
      </w:r>
      <w:r w:rsidR="003A42CB" w:rsidRPr="00F05CF8">
        <w:rPr>
          <w:rFonts w:ascii="Times New Roman" w:eastAsia="楷体_GB2312" w:hAnsi="Times New Roman" w:cs="Times New Roman"/>
          <w:sz w:val="23"/>
          <w:szCs w:val="23"/>
        </w:rPr>
        <w:t>。敬请投资者予以关注。</w:t>
      </w:r>
    </w:p>
    <w:p w:rsidR="003A42CB" w:rsidRPr="00F05CF8" w:rsidRDefault="008B6B6D" w:rsidP="00FC6C6E">
      <w:pPr>
        <w:spacing w:line="360" w:lineRule="auto"/>
        <w:ind w:firstLineChars="200" w:firstLine="460"/>
        <w:rPr>
          <w:rFonts w:ascii="Times New Roman" w:eastAsia="楷体_GB2312" w:hAnsi="Times New Roman" w:cs="Times New Roman"/>
          <w:sz w:val="23"/>
          <w:szCs w:val="23"/>
        </w:rPr>
      </w:pPr>
      <w:r w:rsidRPr="00F05CF8">
        <w:rPr>
          <w:rFonts w:ascii="Times New Roman" w:eastAsia="楷体_GB2312" w:hAnsi="Times New Roman" w:cs="Times New Roman"/>
          <w:sz w:val="23"/>
          <w:szCs w:val="23"/>
        </w:rPr>
        <w:t>特此公告。</w:t>
      </w:r>
    </w:p>
    <w:p w:rsidR="008B6B6D" w:rsidRPr="00F05CF8" w:rsidRDefault="008B6B6D" w:rsidP="00FC6C6E">
      <w:pPr>
        <w:spacing w:line="360" w:lineRule="auto"/>
        <w:rPr>
          <w:rFonts w:ascii="Times New Roman" w:eastAsia="楷体_GB2312" w:hAnsi="Times New Roman" w:cs="Times New Roman"/>
          <w:sz w:val="23"/>
          <w:szCs w:val="23"/>
        </w:rPr>
      </w:pPr>
    </w:p>
    <w:p w:rsidR="008B6B6D" w:rsidRPr="00F05CF8" w:rsidRDefault="008B6B6D" w:rsidP="00FC6C6E">
      <w:pPr>
        <w:spacing w:line="360" w:lineRule="auto"/>
        <w:rPr>
          <w:rFonts w:ascii="Times New Roman" w:eastAsia="楷体_GB2312" w:hAnsi="Times New Roman" w:cs="Times New Roman"/>
          <w:sz w:val="23"/>
          <w:szCs w:val="23"/>
        </w:rPr>
      </w:pPr>
      <w:bookmarkStart w:id="0" w:name="_GoBack"/>
      <w:bookmarkEnd w:id="0"/>
    </w:p>
    <w:p w:rsidR="008B6B6D" w:rsidRPr="00F05CF8" w:rsidRDefault="008B6B6D" w:rsidP="00FC6C6E">
      <w:pPr>
        <w:spacing w:line="360" w:lineRule="auto"/>
        <w:rPr>
          <w:rFonts w:ascii="Times New Roman" w:eastAsia="楷体_GB2312" w:hAnsi="Times New Roman" w:cs="Times New Roman"/>
          <w:sz w:val="23"/>
          <w:szCs w:val="23"/>
        </w:rPr>
      </w:pPr>
    </w:p>
    <w:p w:rsidR="008B6B6D" w:rsidRPr="00F05CF8" w:rsidRDefault="008B6B6D" w:rsidP="00FC6C6E">
      <w:pPr>
        <w:spacing w:line="360" w:lineRule="auto"/>
        <w:ind w:firstLineChars="2400" w:firstLine="5520"/>
        <w:rPr>
          <w:rFonts w:ascii="Times New Roman" w:eastAsia="楷体_GB2312" w:hAnsi="Times New Roman" w:cs="Times New Roman"/>
          <w:sz w:val="23"/>
          <w:szCs w:val="23"/>
        </w:rPr>
      </w:pPr>
      <w:r w:rsidRPr="00F05CF8">
        <w:rPr>
          <w:rFonts w:ascii="Times New Roman" w:eastAsia="楷体_GB2312" w:hAnsi="Times New Roman" w:cs="Times New Roman"/>
          <w:sz w:val="23"/>
          <w:szCs w:val="23"/>
        </w:rPr>
        <w:t>中金基金管理有限公司</w:t>
      </w:r>
    </w:p>
    <w:p w:rsidR="008B6B6D" w:rsidRPr="00821928" w:rsidRDefault="00005F91" w:rsidP="00FC6C6E">
      <w:pPr>
        <w:spacing w:line="360" w:lineRule="auto"/>
        <w:rPr>
          <w:rFonts w:ascii="Times New Roman" w:eastAsia="楷体_GB2312" w:hAnsi="Times New Roman" w:cs="Times New Roman"/>
          <w:sz w:val="30"/>
          <w:szCs w:val="30"/>
        </w:rPr>
      </w:pPr>
      <w:r w:rsidRPr="00F05CF8">
        <w:rPr>
          <w:rFonts w:ascii="Times New Roman" w:eastAsia="楷体_GB2312" w:hAnsi="Times New Roman" w:cs="Times New Roman"/>
          <w:sz w:val="23"/>
          <w:szCs w:val="23"/>
        </w:rPr>
        <w:t>2018</w:t>
      </w:r>
      <w:r w:rsidRPr="00F05CF8">
        <w:rPr>
          <w:rFonts w:ascii="Times New Roman" w:eastAsia="楷体_GB2312" w:hAnsi="Times New Roman" w:cs="Times New Roman"/>
          <w:sz w:val="23"/>
          <w:szCs w:val="23"/>
        </w:rPr>
        <w:t>年</w:t>
      </w:r>
      <w:r w:rsidR="00A2640C">
        <w:rPr>
          <w:rFonts w:ascii="Times New Roman" w:eastAsia="楷体_GB2312" w:hAnsi="Times New Roman" w:cs="Times New Roman" w:hint="eastAsia"/>
          <w:sz w:val="23"/>
          <w:szCs w:val="23"/>
        </w:rPr>
        <w:t>10</w:t>
      </w:r>
      <w:r w:rsidR="009742B1" w:rsidRPr="00F05CF8">
        <w:rPr>
          <w:rFonts w:ascii="Times New Roman" w:eastAsia="楷体_GB2312" w:hAnsi="Times New Roman" w:cs="Times New Roman"/>
          <w:sz w:val="23"/>
          <w:szCs w:val="23"/>
        </w:rPr>
        <w:t>月</w:t>
      </w:r>
      <w:r w:rsidR="00823861">
        <w:rPr>
          <w:rFonts w:ascii="Times New Roman" w:eastAsia="楷体_GB2312" w:hAnsi="Times New Roman" w:cs="Times New Roman" w:hint="eastAsia"/>
          <w:sz w:val="23"/>
          <w:szCs w:val="23"/>
        </w:rPr>
        <w:t>12</w:t>
      </w:r>
      <w:r w:rsidR="008B6B6D" w:rsidRPr="00F05CF8">
        <w:rPr>
          <w:rFonts w:ascii="Times New Roman" w:eastAsia="楷体_GB2312" w:hAnsi="Times New Roman" w:cs="Times New Roman"/>
          <w:sz w:val="23"/>
          <w:szCs w:val="23"/>
        </w:rPr>
        <w:t>日</w:t>
      </w:r>
    </w:p>
    <w:sectPr w:rsidR="008B6B6D" w:rsidRPr="00821928" w:rsidSect="00FC5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1C9" w:rsidRDefault="00E461C9" w:rsidP="00CB4648">
      <w:r>
        <w:separator/>
      </w:r>
    </w:p>
  </w:endnote>
  <w:endnote w:type="continuationSeparator" w:id="1">
    <w:p w:rsidR="00E461C9" w:rsidRDefault="00E461C9" w:rsidP="00CB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1C9" w:rsidRDefault="00E461C9" w:rsidP="00CB4648">
      <w:r>
        <w:separator/>
      </w:r>
    </w:p>
  </w:footnote>
  <w:footnote w:type="continuationSeparator" w:id="1">
    <w:p w:rsidR="00E461C9" w:rsidRDefault="00E461C9" w:rsidP="00CB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C2944"/>
    <w:multiLevelType w:val="hybridMultilevel"/>
    <w:tmpl w:val="F97EE98C"/>
    <w:lvl w:ilvl="0" w:tplc="8566175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2CB"/>
    <w:rsid w:val="00005F91"/>
    <w:rsid w:val="000D6E17"/>
    <w:rsid w:val="000F6AB7"/>
    <w:rsid w:val="000F6D3C"/>
    <w:rsid w:val="001910BA"/>
    <w:rsid w:val="00193B3E"/>
    <w:rsid w:val="001A65F9"/>
    <w:rsid w:val="001B0BCF"/>
    <w:rsid w:val="001B6A90"/>
    <w:rsid w:val="001C1807"/>
    <w:rsid w:val="001F1A12"/>
    <w:rsid w:val="00202A33"/>
    <w:rsid w:val="002114D7"/>
    <w:rsid w:val="00257706"/>
    <w:rsid w:val="002A0920"/>
    <w:rsid w:val="002B30AE"/>
    <w:rsid w:val="002F3D2A"/>
    <w:rsid w:val="003A42CB"/>
    <w:rsid w:val="00455778"/>
    <w:rsid w:val="00490E06"/>
    <w:rsid w:val="004B649F"/>
    <w:rsid w:val="005B3FDE"/>
    <w:rsid w:val="005B448C"/>
    <w:rsid w:val="00622EF3"/>
    <w:rsid w:val="00642BF4"/>
    <w:rsid w:val="0065477B"/>
    <w:rsid w:val="006562BC"/>
    <w:rsid w:val="006969EA"/>
    <w:rsid w:val="006A2AB0"/>
    <w:rsid w:val="006B3687"/>
    <w:rsid w:val="006B66F2"/>
    <w:rsid w:val="007205BA"/>
    <w:rsid w:val="007C07B6"/>
    <w:rsid w:val="00802BA0"/>
    <w:rsid w:val="00821928"/>
    <w:rsid w:val="00823861"/>
    <w:rsid w:val="0089072E"/>
    <w:rsid w:val="008B6B6D"/>
    <w:rsid w:val="008C323D"/>
    <w:rsid w:val="00907815"/>
    <w:rsid w:val="00914397"/>
    <w:rsid w:val="00923009"/>
    <w:rsid w:val="0094348D"/>
    <w:rsid w:val="009742B1"/>
    <w:rsid w:val="009912E3"/>
    <w:rsid w:val="009A4665"/>
    <w:rsid w:val="009D1228"/>
    <w:rsid w:val="00A2640C"/>
    <w:rsid w:val="00A368CC"/>
    <w:rsid w:val="00A4498B"/>
    <w:rsid w:val="00AD17EB"/>
    <w:rsid w:val="00AF34A7"/>
    <w:rsid w:val="00B136C1"/>
    <w:rsid w:val="00B477CA"/>
    <w:rsid w:val="00B811CF"/>
    <w:rsid w:val="00BA3584"/>
    <w:rsid w:val="00BB65AE"/>
    <w:rsid w:val="00BC265A"/>
    <w:rsid w:val="00C12E65"/>
    <w:rsid w:val="00C44100"/>
    <w:rsid w:val="00CA00C2"/>
    <w:rsid w:val="00CB4648"/>
    <w:rsid w:val="00CE0F23"/>
    <w:rsid w:val="00D71C48"/>
    <w:rsid w:val="00D96CFF"/>
    <w:rsid w:val="00DA61A5"/>
    <w:rsid w:val="00DB0A3B"/>
    <w:rsid w:val="00DC04C8"/>
    <w:rsid w:val="00DC0792"/>
    <w:rsid w:val="00DD1F58"/>
    <w:rsid w:val="00E278AF"/>
    <w:rsid w:val="00E461C9"/>
    <w:rsid w:val="00E67E11"/>
    <w:rsid w:val="00EE5727"/>
    <w:rsid w:val="00EF015C"/>
    <w:rsid w:val="00F05CF8"/>
    <w:rsid w:val="00F22B92"/>
    <w:rsid w:val="00F242D7"/>
    <w:rsid w:val="00F47B17"/>
    <w:rsid w:val="00F774A7"/>
    <w:rsid w:val="00FC2480"/>
    <w:rsid w:val="00FC58F4"/>
    <w:rsid w:val="00FC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42C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3A4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6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64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D6E1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D6E1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D6E1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D6E1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D6E17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0D6E1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D6E17"/>
    <w:rPr>
      <w:sz w:val="18"/>
      <w:szCs w:val="18"/>
    </w:rPr>
  </w:style>
  <w:style w:type="character" w:styleId="aa">
    <w:name w:val="Hyperlink"/>
    <w:basedOn w:val="a0"/>
    <w:uiPriority w:val="99"/>
    <w:unhideWhenUsed/>
    <w:rsid w:val="00CA0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42C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3A4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6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64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D6E1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D6E1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D6E1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D6E1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D6E17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0D6E1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D6E17"/>
    <w:rPr>
      <w:sz w:val="18"/>
      <w:szCs w:val="18"/>
    </w:rPr>
  </w:style>
  <w:style w:type="character" w:styleId="aa">
    <w:name w:val="Hyperlink"/>
    <w:basedOn w:val="a0"/>
    <w:uiPriority w:val="99"/>
    <w:unhideWhenUsed/>
    <w:rsid w:val="00CA0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4</DocSecurity>
  <Lines>2</Lines>
  <Paragraphs>1</Paragraphs>
  <ScaleCrop>false</ScaleCrop>
  <Company>Hewlett-Packard Company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Yu</dc:creator>
  <cp:lastModifiedBy>ZHONGM</cp:lastModifiedBy>
  <cp:revision>2</cp:revision>
  <cp:lastPrinted>2018-10-11T10:53:00Z</cp:lastPrinted>
  <dcterms:created xsi:type="dcterms:W3CDTF">2018-10-11T16:48:00Z</dcterms:created>
  <dcterms:modified xsi:type="dcterms:W3CDTF">2018-10-11T16:48:00Z</dcterms:modified>
</cp:coreProperties>
</file>