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2A" w:rsidRPr="00E538C0" w:rsidRDefault="00C964A8" w:rsidP="00FE3BFB">
      <w:pPr>
        <w:adjustRightInd w:val="0"/>
        <w:snapToGrid w:val="0"/>
        <w:jc w:val="center"/>
        <w:rPr>
          <w:rFonts w:asciiTheme="minorEastAsia" w:hAnsiTheme="minorEastAsia" w:cs="Times New Roman"/>
          <w:b/>
          <w:sz w:val="28"/>
          <w:szCs w:val="28"/>
        </w:rPr>
      </w:pPr>
      <w:r w:rsidRPr="00C964A8">
        <w:rPr>
          <w:rFonts w:asciiTheme="minorEastAsia" w:hAnsiTheme="minorEastAsia" w:cs="Times New Roman" w:hint="eastAsia"/>
          <w:b/>
          <w:sz w:val="28"/>
          <w:szCs w:val="28"/>
        </w:rPr>
        <w:t>信诚惠泽债券型证券投资基金（LOF）</w:t>
      </w:r>
      <w:r>
        <w:rPr>
          <w:rFonts w:asciiTheme="minorEastAsia" w:hAnsiTheme="minorEastAsia" w:cs="Times New Roman" w:hint="eastAsia"/>
          <w:b/>
          <w:sz w:val="28"/>
          <w:szCs w:val="28"/>
        </w:rPr>
        <w:t>实施转型及基金名称变更</w:t>
      </w:r>
      <w:r w:rsidR="00324C2A" w:rsidRPr="00E538C0">
        <w:rPr>
          <w:rFonts w:asciiTheme="minorEastAsia" w:hAnsiTheme="minorEastAsia" w:cs="Times New Roman" w:hint="eastAsia"/>
          <w:b/>
          <w:sz w:val="28"/>
          <w:szCs w:val="28"/>
        </w:rPr>
        <w:t xml:space="preserve">公告 </w:t>
      </w:r>
    </w:p>
    <w:p w:rsidR="00324C2A" w:rsidRPr="00E538C0" w:rsidRDefault="00324C2A" w:rsidP="00E538C0">
      <w:pPr>
        <w:adjustRightInd w:val="0"/>
        <w:snapToGrid w:val="0"/>
        <w:jc w:val="center"/>
        <w:rPr>
          <w:rFonts w:asciiTheme="minorEastAsia" w:hAnsiTheme="minorEastAsia" w:cs="Times New Roman"/>
          <w:b/>
          <w:sz w:val="28"/>
          <w:szCs w:val="28"/>
        </w:rPr>
      </w:pPr>
    </w:p>
    <w:p w:rsidR="00DD6AF3" w:rsidRDefault="00471C91" w:rsidP="00365559">
      <w:pPr>
        <w:spacing w:line="360" w:lineRule="auto"/>
        <w:ind w:firstLineChars="200" w:firstLine="420"/>
        <w:rPr>
          <w:rFonts w:ascii="宋体" w:hAnsi="宋体"/>
          <w:szCs w:val="21"/>
        </w:rPr>
      </w:pPr>
      <w:r w:rsidRPr="00405CF3">
        <w:rPr>
          <w:rFonts w:asciiTheme="minorEastAsia" w:hAnsiTheme="minorEastAsia" w:hint="eastAsia"/>
          <w:szCs w:val="21"/>
        </w:rPr>
        <w:t>根据</w:t>
      </w:r>
      <w:r w:rsidR="00405CF3" w:rsidRPr="00405CF3">
        <w:rPr>
          <w:rFonts w:asciiTheme="minorEastAsia" w:hAnsiTheme="minorEastAsia" w:hint="eastAsia"/>
          <w:szCs w:val="21"/>
        </w:rPr>
        <w:t>《</w:t>
      </w:r>
      <w:r w:rsidR="00C964A8">
        <w:rPr>
          <w:rFonts w:asciiTheme="minorEastAsia" w:hAnsiTheme="minorEastAsia" w:hint="eastAsia"/>
          <w:szCs w:val="21"/>
        </w:rPr>
        <w:t>中信保诚基金</w:t>
      </w:r>
      <w:r w:rsidR="00BD335C" w:rsidRPr="00BD335C">
        <w:rPr>
          <w:rFonts w:asciiTheme="minorEastAsia" w:hAnsiTheme="minorEastAsia" w:hint="eastAsia"/>
          <w:szCs w:val="21"/>
        </w:rPr>
        <w:t>管理有限公司关于以通讯方式召开</w:t>
      </w:r>
      <w:r w:rsidR="00C964A8">
        <w:rPr>
          <w:rFonts w:asciiTheme="minorEastAsia" w:hAnsiTheme="minorEastAsia" w:hint="eastAsia"/>
          <w:szCs w:val="21"/>
        </w:rPr>
        <w:t>信诚惠泽债券型证券投资基金（LOF）</w:t>
      </w:r>
      <w:r w:rsidR="00BD335C" w:rsidRPr="00BD335C">
        <w:rPr>
          <w:rFonts w:asciiTheme="minorEastAsia" w:hAnsiTheme="minorEastAsia" w:hint="eastAsia"/>
          <w:szCs w:val="21"/>
        </w:rPr>
        <w:t>基金份额持有人大会的公告</w:t>
      </w:r>
      <w:r w:rsidR="00405CF3" w:rsidRPr="00405CF3">
        <w:rPr>
          <w:rFonts w:asciiTheme="minorEastAsia" w:hAnsiTheme="minorEastAsia" w:hint="eastAsia"/>
          <w:szCs w:val="21"/>
        </w:rPr>
        <w:t>》、《</w:t>
      </w:r>
      <w:r w:rsidR="00BD335C" w:rsidRPr="00122F36">
        <w:rPr>
          <w:rFonts w:hAnsi="宋体" w:hint="eastAsia"/>
          <w:szCs w:val="21"/>
        </w:rPr>
        <w:t>关于</w:t>
      </w:r>
      <w:r w:rsidR="00C964A8">
        <w:rPr>
          <w:rFonts w:hAnsi="宋体" w:hint="eastAsia"/>
          <w:szCs w:val="21"/>
        </w:rPr>
        <w:t>信诚惠泽债券型证券投资基金（</w:t>
      </w:r>
      <w:r w:rsidR="00C964A8">
        <w:rPr>
          <w:rFonts w:hAnsi="宋体" w:hint="eastAsia"/>
          <w:szCs w:val="21"/>
        </w:rPr>
        <w:t>LOF</w:t>
      </w:r>
      <w:r w:rsidR="00C964A8">
        <w:rPr>
          <w:rFonts w:hAnsi="宋体" w:hint="eastAsia"/>
          <w:szCs w:val="21"/>
        </w:rPr>
        <w:t>）</w:t>
      </w:r>
      <w:r w:rsidR="00BD335C" w:rsidRPr="00122F36">
        <w:rPr>
          <w:rFonts w:hAnsi="宋体" w:hint="eastAsia"/>
          <w:szCs w:val="21"/>
        </w:rPr>
        <w:t>转型有关事项的议案</w:t>
      </w:r>
      <w:r w:rsidR="00405CF3" w:rsidRPr="00405CF3">
        <w:rPr>
          <w:rFonts w:asciiTheme="minorEastAsia" w:hAnsiTheme="minorEastAsia" w:hint="eastAsia"/>
          <w:szCs w:val="21"/>
        </w:rPr>
        <w:t>》、</w:t>
      </w:r>
      <w:r w:rsidRPr="00405CF3">
        <w:rPr>
          <w:rFonts w:asciiTheme="minorEastAsia" w:hAnsiTheme="minorEastAsia" w:hint="eastAsia"/>
          <w:szCs w:val="21"/>
        </w:rPr>
        <w:t>《</w:t>
      </w:r>
      <w:r w:rsidR="00C964A8">
        <w:rPr>
          <w:rFonts w:asciiTheme="minorEastAsia" w:hAnsiTheme="minorEastAsia" w:hint="eastAsia"/>
          <w:szCs w:val="21"/>
        </w:rPr>
        <w:t>中信保诚基金</w:t>
      </w:r>
      <w:r w:rsidR="0095779A" w:rsidRPr="0095779A">
        <w:rPr>
          <w:rFonts w:asciiTheme="minorEastAsia" w:hAnsiTheme="minorEastAsia" w:hint="eastAsia"/>
          <w:szCs w:val="21"/>
        </w:rPr>
        <w:t>管理有限公司关于</w:t>
      </w:r>
      <w:r w:rsidR="00C964A8">
        <w:rPr>
          <w:rFonts w:asciiTheme="minorEastAsia" w:hAnsiTheme="minorEastAsia" w:hint="eastAsia"/>
          <w:szCs w:val="21"/>
        </w:rPr>
        <w:t>信诚惠泽债券型证券投资基金（LOF）</w:t>
      </w:r>
      <w:r w:rsidR="0095779A" w:rsidRPr="0095779A">
        <w:rPr>
          <w:rFonts w:asciiTheme="minorEastAsia" w:hAnsiTheme="minorEastAsia" w:hint="eastAsia"/>
          <w:szCs w:val="21"/>
        </w:rPr>
        <w:t>基金份额持有人大会表决结果暨决议生效的公告</w:t>
      </w:r>
      <w:r w:rsidRPr="00405CF3">
        <w:rPr>
          <w:rFonts w:asciiTheme="minorEastAsia" w:hAnsiTheme="minorEastAsia" w:hint="eastAsia"/>
          <w:szCs w:val="21"/>
        </w:rPr>
        <w:t>》，</w:t>
      </w:r>
      <w:r w:rsidR="00C964A8" w:rsidRPr="00C964A8">
        <w:rPr>
          <w:rFonts w:hint="eastAsia"/>
          <w:color w:val="000000"/>
        </w:rPr>
        <w:t>自</w:t>
      </w:r>
      <w:r w:rsidR="00C964A8" w:rsidRPr="00C964A8">
        <w:rPr>
          <w:rFonts w:hint="eastAsia"/>
          <w:color w:val="000000"/>
        </w:rPr>
        <w:t>2018</w:t>
      </w:r>
      <w:r w:rsidR="00C964A8" w:rsidRPr="00C964A8">
        <w:rPr>
          <w:rFonts w:hint="eastAsia"/>
          <w:color w:val="000000"/>
        </w:rPr>
        <w:t>年</w:t>
      </w:r>
      <w:r w:rsidR="00C964A8" w:rsidRPr="00C964A8">
        <w:rPr>
          <w:rFonts w:hint="eastAsia"/>
          <w:color w:val="000000"/>
        </w:rPr>
        <w:t>9</w:t>
      </w:r>
      <w:r w:rsidR="00C964A8" w:rsidRPr="00C964A8">
        <w:rPr>
          <w:rFonts w:hint="eastAsia"/>
          <w:color w:val="000000"/>
        </w:rPr>
        <w:t>月</w:t>
      </w:r>
      <w:r w:rsidR="00C964A8" w:rsidRPr="00C964A8">
        <w:rPr>
          <w:rFonts w:hint="eastAsia"/>
          <w:color w:val="000000"/>
        </w:rPr>
        <w:t>5</w:t>
      </w:r>
      <w:r w:rsidR="00C964A8" w:rsidRPr="00C964A8">
        <w:rPr>
          <w:rFonts w:hint="eastAsia"/>
          <w:color w:val="000000"/>
        </w:rPr>
        <w:t>日起至</w:t>
      </w:r>
      <w:r w:rsidR="00C964A8" w:rsidRPr="00C964A8">
        <w:rPr>
          <w:rFonts w:hint="eastAsia"/>
          <w:color w:val="000000"/>
        </w:rPr>
        <w:t>2018</w:t>
      </w:r>
      <w:r w:rsidR="00C964A8" w:rsidRPr="00C964A8">
        <w:rPr>
          <w:rFonts w:hint="eastAsia"/>
          <w:color w:val="000000"/>
        </w:rPr>
        <w:t>年</w:t>
      </w:r>
      <w:r w:rsidR="00C964A8" w:rsidRPr="00C964A8">
        <w:rPr>
          <w:rFonts w:hint="eastAsia"/>
          <w:color w:val="000000"/>
        </w:rPr>
        <w:t>10</w:t>
      </w:r>
      <w:r w:rsidR="00C964A8" w:rsidRPr="00C964A8">
        <w:rPr>
          <w:rFonts w:hint="eastAsia"/>
          <w:color w:val="000000"/>
        </w:rPr>
        <w:t>月</w:t>
      </w:r>
      <w:r w:rsidR="00C964A8" w:rsidRPr="00C964A8">
        <w:rPr>
          <w:rFonts w:hint="eastAsia"/>
          <w:color w:val="000000"/>
        </w:rPr>
        <w:t>11</w:t>
      </w:r>
      <w:r w:rsidR="00C964A8" w:rsidRPr="00C964A8">
        <w:rPr>
          <w:rFonts w:hint="eastAsia"/>
          <w:color w:val="000000"/>
        </w:rPr>
        <w:t>日止</w:t>
      </w:r>
      <w:r w:rsidR="00405CF3" w:rsidRPr="00405CF3">
        <w:rPr>
          <w:rFonts w:asciiTheme="minorEastAsia" w:hAnsiTheme="minorEastAsia" w:hint="eastAsia"/>
          <w:szCs w:val="21"/>
        </w:rPr>
        <w:t>为</w:t>
      </w:r>
      <w:r w:rsidR="00C964A8">
        <w:rPr>
          <w:rFonts w:asciiTheme="minorEastAsia" w:hAnsiTheme="minorEastAsia" w:hint="eastAsia"/>
          <w:szCs w:val="21"/>
        </w:rPr>
        <w:t>信诚惠泽债券型证券投资基金（LOF）</w:t>
      </w:r>
      <w:r w:rsidR="00405CF3" w:rsidRPr="00405CF3">
        <w:rPr>
          <w:rFonts w:asciiTheme="minorEastAsia" w:hAnsiTheme="minorEastAsia" w:hint="eastAsia"/>
          <w:szCs w:val="21"/>
        </w:rPr>
        <w:t>（以下简称“本基金”）的集中赎回选择期，在集中赎回选择期间，</w:t>
      </w:r>
      <w:r w:rsidR="0095779A">
        <w:rPr>
          <w:rFonts w:hint="eastAsia"/>
          <w:color w:val="000000"/>
        </w:rPr>
        <w:t>投资人仅可以办理赎回，不可以办理申购</w:t>
      </w:r>
      <w:r w:rsidR="008D479D">
        <w:rPr>
          <w:rFonts w:asciiTheme="minorEastAsia" w:hAnsiTheme="minorEastAsia" w:hint="eastAsia"/>
          <w:szCs w:val="21"/>
        </w:rPr>
        <w:t>。</w:t>
      </w:r>
      <w:r w:rsidR="00405CF3" w:rsidRPr="00405CF3">
        <w:rPr>
          <w:rFonts w:asciiTheme="minorEastAsia" w:hAnsiTheme="minorEastAsia" w:hint="eastAsia"/>
          <w:szCs w:val="21"/>
        </w:rPr>
        <w:t>本基金集中赎回选择期结束</w:t>
      </w:r>
      <w:r w:rsidR="00CC55DC">
        <w:rPr>
          <w:rFonts w:asciiTheme="minorEastAsia" w:hAnsiTheme="minorEastAsia" w:hint="eastAsia"/>
          <w:szCs w:val="21"/>
        </w:rPr>
        <w:t>后</w:t>
      </w:r>
      <w:r w:rsidR="00405CF3" w:rsidRPr="00405CF3">
        <w:rPr>
          <w:rFonts w:asciiTheme="minorEastAsia" w:hAnsiTheme="minorEastAsia" w:hint="eastAsia"/>
          <w:szCs w:val="21"/>
        </w:rPr>
        <w:t>，</w:t>
      </w:r>
      <w:r w:rsidR="00CC55DC" w:rsidRPr="0066373C">
        <w:rPr>
          <w:rFonts w:ascii="宋体" w:hAnsi="宋体" w:hint="eastAsia"/>
          <w:szCs w:val="21"/>
        </w:rPr>
        <w:t>本基金管理人将根据持有人大会决议执行基金的正式转型，将原</w:t>
      </w:r>
      <w:r w:rsidR="00C964A8">
        <w:rPr>
          <w:rFonts w:ascii="宋体" w:hAnsi="宋体" w:hint="eastAsia"/>
          <w:szCs w:val="21"/>
        </w:rPr>
        <w:t>信诚惠泽债券型证券投资基金（LOF）</w:t>
      </w:r>
      <w:r w:rsidR="00CC55DC" w:rsidRPr="0066373C">
        <w:rPr>
          <w:rFonts w:ascii="宋体" w:hAnsi="宋体" w:hint="eastAsia"/>
          <w:szCs w:val="21"/>
        </w:rPr>
        <w:t>的基金份额结转为</w:t>
      </w:r>
      <w:r w:rsidR="007C1DAB" w:rsidRPr="007C1DAB">
        <w:rPr>
          <w:rFonts w:ascii="宋体" w:hAnsi="宋体" w:hint="eastAsia"/>
          <w:szCs w:val="21"/>
        </w:rPr>
        <w:t>中信保诚惠泽18个月定期开放债券型证券投资基金</w:t>
      </w:r>
      <w:r w:rsidR="00CC55DC" w:rsidRPr="0066373C">
        <w:rPr>
          <w:rFonts w:ascii="宋体" w:hAnsi="宋体" w:hint="eastAsia"/>
          <w:szCs w:val="21"/>
        </w:rPr>
        <w:t>的基金份额。</w:t>
      </w:r>
    </w:p>
    <w:p w:rsidR="00DD6AF3" w:rsidRDefault="00EA2E25" w:rsidP="00365559">
      <w:pPr>
        <w:spacing w:line="360" w:lineRule="auto"/>
        <w:ind w:firstLineChars="200" w:firstLine="420"/>
        <w:rPr>
          <w:rFonts w:asciiTheme="minorEastAsia" w:hAnsiTheme="minorEastAsia"/>
          <w:szCs w:val="21"/>
        </w:rPr>
      </w:pPr>
      <w:r w:rsidRPr="00405CF3">
        <w:rPr>
          <w:rFonts w:asciiTheme="minorEastAsia" w:hAnsiTheme="minorEastAsia" w:hint="eastAsia"/>
          <w:szCs w:val="21"/>
        </w:rPr>
        <w:t>自</w:t>
      </w:r>
      <w:r w:rsidR="00CC55DC">
        <w:rPr>
          <w:rFonts w:asciiTheme="minorEastAsia" w:hAnsiTheme="minorEastAsia"/>
          <w:szCs w:val="21"/>
        </w:rPr>
        <w:t>201</w:t>
      </w:r>
      <w:r w:rsidR="00CC55DC">
        <w:rPr>
          <w:rFonts w:asciiTheme="minorEastAsia" w:hAnsiTheme="minorEastAsia" w:hint="eastAsia"/>
          <w:szCs w:val="21"/>
        </w:rPr>
        <w:t>8</w:t>
      </w:r>
      <w:r w:rsidRPr="00405CF3">
        <w:rPr>
          <w:rFonts w:asciiTheme="minorEastAsia" w:hAnsiTheme="minorEastAsia" w:hint="eastAsia"/>
          <w:szCs w:val="21"/>
        </w:rPr>
        <w:t>年</w:t>
      </w:r>
      <w:r w:rsidR="0095779A">
        <w:rPr>
          <w:rFonts w:asciiTheme="minorEastAsia" w:hAnsiTheme="minorEastAsia" w:hint="eastAsia"/>
          <w:szCs w:val="21"/>
        </w:rPr>
        <w:t>1</w:t>
      </w:r>
      <w:r w:rsidR="007C1DAB">
        <w:rPr>
          <w:rFonts w:asciiTheme="minorEastAsia" w:hAnsiTheme="minorEastAsia" w:hint="eastAsia"/>
          <w:szCs w:val="21"/>
        </w:rPr>
        <w:t>0</w:t>
      </w:r>
      <w:r w:rsidRPr="00405CF3">
        <w:rPr>
          <w:rFonts w:asciiTheme="minorEastAsia" w:hAnsiTheme="minorEastAsia" w:hint="eastAsia"/>
          <w:szCs w:val="21"/>
        </w:rPr>
        <w:t>月</w:t>
      </w:r>
      <w:r w:rsidR="00CC55DC">
        <w:rPr>
          <w:rFonts w:asciiTheme="minorEastAsia" w:hAnsiTheme="minorEastAsia" w:hint="eastAsia"/>
          <w:szCs w:val="21"/>
        </w:rPr>
        <w:t>1</w:t>
      </w:r>
      <w:r w:rsidR="007C1DAB">
        <w:rPr>
          <w:rFonts w:asciiTheme="minorEastAsia" w:hAnsiTheme="minorEastAsia" w:hint="eastAsia"/>
          <w:szCs w:val="21"/>
        </w:rPr>
        <w:t>2</w:t>
      </w:r>
      <w:r w:rsidRPr="00405CF3">
        <w:rPr>
          <w:rFonts w:asciiTheme="minorEastAsia" w:hAnsiTheme="minorEastAsia" w:hint="eastAsia"/>
          <w:szCs w:val="21"/>
        </w:rPr>
        <w:t>日起，本基金的基金名称</w:t>
      </w:r>
      <w:r w:rsidR="00E53C30" w:rsidRPr="00405CF3">
        <w:rPr>
          <w:rFonts w:asciiTheme="minorEastAsia" w:hAnsiTheme="minorEastAsia" w:hint="eastAsia"/>
          <w:szCs w:val="21"/>
        </w:rPr>
        <w:t>将</w:t>
      </w:r>
      <w:r w:rsidRPr="00405CF3">
        <w:rPr>
          <w:rFonts w:asciiTheme="minorEastAsia" w:hAnsiTheme="minorEastAsia" w:hint="eastAsia"/>
          <w:szCs w:val="21"/>
        </w:rPr>
        <w:t>由</w:t>
      </w:r>
      <w:r w:rsidRPr="00405CF3">
        <w:rPr>
          <w:rFonts w:asciiTheme="minorEastAsia" w:hAnsiTheme="minorEastAsia"/>
          <w:szCs w:val="21"/>
        </w:rPr>
        <w:t>“</w:t>
      </w:r>
      <w:r w:rsidR="00C964A8">
        <w:rPr>
          <w:rFonts w:ascii="宋体" w:hAnsi="宋体" w:hint="eastAsia"/>
          <w:szCs w:val="21"/>
        </w:rPr>
        <w:t>信诚惠泽债券型证券投资基金（LOF）</w:t>
      </w:r>
      <w:r w:rsidRPr="00405CF3">
        <w:rPr>
          <w:rFonts w:asciiTheme="minorEastAsia" w:hAnsiTheme="minorEastAsia"/>
          <w:szCs w:val="21"/>
        </w:rPr>
        <w:t>”</w:t>
      </w:r>
      <w:r w:rsidRPr="00405CF3">
        <w:rPr>
          <w:rFonts w:asciiTheme="minorEastAsia" w:hAnsiTheme="minorEastAsia" w:hint="eastAsia"/>
          <w:szCs w:val="21"/>
        </w:rPr>
        <w:t>变更为</w:t>
      </w:r>
      <w:r w:rsidRPr="00405CF3">
        <w:rPr>
          <w:rFonts w:asciiTheme="minorEastAsia" w:hAnsiTheme="minorEastAsia"/>
          <w:szCs w:val="21"/>
        </w:rPr>
        <w:t>“</w:t>
      </w:r>
      <w:r w:rsidR="007C1DAB" w:rsidRPr="007C1DAB">
        <w:rPr>
          <w:rFonts w:ascii="宋体" w:hAnsi="宋体" w:hint="eastAsia"/>
          <w:szCs w:val="21"/>
        </w:rPr>
        <w:t>中信保诚惠泽18个月定期开放债券型证券投资基金</w:t>
      </w:r>
      <w:r w:rsidRPr="00405CF3">
        <w:rPr>
          <w:rFonts w:asciiTheme="minorEastAsia" w:hAnsiTheme="minorEastAsia"/>
          <w:szCs w:val="21"/>
        </w:rPr>
        <w:t>”</w:t>
      </w:r>
      <w:r w:rsidR="00DD6AF3" w:rsidRPr="00DD6AF3">
        <w:rPr>
          <w:rFonts w:asciiTheme="minorEastAsia" w:hAnsiTheme="minorEastAsia" w:hint="eastAsia"/>
          <w:szCs w:val="21"/>
        </w:rPr>
        <w:t>，本基金的英文名称</w:t>
      </w:r>
      <w:r w:rsidR="00DD6AF3">
        <w:rPr>
          <w:rFonts w:asciiTheme="minorEastAsia" w:hAnsiTheme="minorEastAsia" w:hint="eastAsia"/>
          <w:szCs w:val="21"/>
        </w:rPr>
        <w:t>将</w:t>
      </w:r>
      <w:r w:rsidR="00DD6AF3" w:rsidRPr="00DD6AF3">
        <w:rPr>
          <w:rFonts w:asciiTheme="minorEastAsia" w:hAnsiTheme="minorEastAsia" w:hint="eastAsia"/>
          <w:szCs w:val="21"/>
        </w:rPr>
        <w:t>由“CITIC-Pru Hui</w:t>
      </w:r>
      <w:r w:rsidR="00A30285">
        <w:rPr>
          <w:rFonts w:asciiTheme="minorEastAsia" w:hAnsiTheme="minorEastAsia" w:hint="eastAsia"/>
          <w:szCs w:val="21"/>
        </w:rPr>
        <w:t>Z</w:t>
      </w:r>
      <w:r w:rsidR="00DD6AF3" w:rsidRPr="00DD6AF3">
        <w:rPr>
          <w:rFonts w:asciiTheme="minorEastAsia" w:hAnsiTheme="minorEastAsia" w:hint="eastAsia"/>
          <w:szCs w:val="21"/>
        </w:rPr>
        <w:t>e Bond Fund”变更为“CITIC-Pru Huize 18 months opening Bond Fund”</w:t>
      </w:r>
      <w:r w:rsidR="00E059DD" w:rsidRPr="00405CF3">
        <w:rPr>
          <w:rFonts w:asciiTheme="minorEastAsia" w:hAnsiTheme="minorEastAsia" w:hint="eastAsia"/>
          <w:szCs w:val="21"/>
        </w:rPr>
        <w:t>。</w:t>
      </w:r>
      <w:r w:rsidR="00DD6AF3" w:rsidRPr="00DD6AF3">
        <w:rPr>
          <w:rFonts w:asciiTheme="minorEastAsia" w:hAnsiTheme="minorEastAsia" w:hint="eastAsia"/>
          <w:szCs w:val="21"/>
        </w:rPr>
        <w:t>本基金场内中文简称、基金代码及场内英文简称保持不变。</w:t>
      </w:r>
    </w:p>
    <w:p w:rsidR="00E059DD" w:rsidRPr="00405CF3" w:rsidRDefault="00405CF3" w:rsidP="00365559">
      <w:pPr>
        <w:spacing w:line="360" w:lineRule="auto"/>
        <w:ind w:firstLineChars="200" w:firstLine="420"/>
        <w:rPr>
          <w:rFonts w:asciiTheme="minorEastAsia" w:hAnsiTheme="minorEastAsia"/>
          <w:szCs w:val="21"/>
        </w:rPr>
      </w:pPr>
      <w:r w:rsidRPr="00405CF3">
        <w:rPr>
          <w:rFonts w:asciiTheme="minorEastAsia" w:hAnsiTheme="minorEastAsia" w:hint="eastAsia"/>
          <w:szCs w:val="21"/>
        </w:rPr>
        <w:t>现将相关事宜作提示性公告如下：</w:t>
      </w:r>
    </w:p>
    <w:p w:rsidR="0013533A" w:rsidRPr="0013533A" w:rsidRDefault="00FB446F" w:rsidP="0013533A">
      <w:pPr>
        <w:widowControl/>
        <w:numPr>
          <w:ilvl w:val="0"/>
          <w:numId w:val="2"/>
        </w:numPr>
        <w:spacing w:before="100" w:beforeAutospacing="1" w:after="100" w:afterAutospacing="1" w:line="360" w:lineRule="auto"/>
        <w:ind w:left="0" w:firstLineChars="200" w:firstLine="482"/>
        <w:rPr>
          <w:rFonts w:ascii="宋体" w:eastAsia="宋体" w:hAnsi="宋体" w:cs="Times New Roman"/>
          <w:b/>
          <w:bCs/>
          <w:kern w:val="0"/>
          <w:sz w:val="24"/>
          <w:szCs w:val="24"/>
        </w:rPr>
      </w:pPr>
      <w:r w:rsidRPr="00973807">
        <w:rPr>
          <w:rFonts w:ascii="宋体" w:eastAsia="宋体" w:hAnsi="宋体" w:cs="Times New Roman" w:hint="eastAsia"/>
          <w:b/>
          <w:bCs/>
          <w:kern w:val="0"/>
          <w:sz w:val="24"/>
          <w:szCs w:val="24"/>
        </w:rPr>
        <w:t>基金</w:t>
      </w:r>
      <w:r w:rsidR="00DD6AF3" w:rsidRPr="00973807">
        <w:rPr>
          <w:rFonts w:ascii="宋体" w:eastAsia="宋体" w:hAnsi="宋体" w:cs="Times New Roman" w:hint="eastAsia"/>
          <w:b/>
          <w:bCs/>
          <w:kern w:val="0"/>
          <w:sz w:val="24"/>
          <w:szCs w:val="24"/>
        </w:rPr>
        <w:t>转型及</w:t>
      </w:r>
      <w:r w:rsidRPr="00973807">
        <w:rPr>
          <w:rFonts w:ascii="宋体" w:eastAsia="宋体" w:hAnsi="宋体" w:cs="Times New Roman" w:hint="eastAsia"/>
          <w:b/>
          <w:bCs/>
          <w:kern w:val="0"/>
          <w:sz w:val="24"/>
          <w:szCs w:val="24"/>
        </w:rPr>
        <w:t>名称变更事宜</w:t>
      </w:r>
    </w:p>
    <w:p w:rsidR="007C1DAB" w:rsidRPr="00471C91" w:rsidRDefault="00E53C30" w:rsidP="007C1DAB">
      <w:pPr>
        <w:spacing w:line="360" w:lineRule="auto"/>
        <w:ind w:firstLineChars="200" w:firstLine="420"/>
        <w:rPr>
          <w:rFonts w:asciiTheme="minorEastAsia" w:hAnsiTheme="minorEastAsia"/>
          <w:szCs w:val="21"/>
        </w:rPr>
      </w:pPr>
      <w:r w:rsidRPr="0013533A">
        <w:rPr>
          <w:rFonts w:asciiTheme="minorEastAsia" w:hAnsiTheme="minorEastAsia" w:hint="eastAsia"/>
          <w:szCs w:val="21"/>
        </w:rPr>
        <w:t>根据</w:t>
      </w:r>
      <w:r w:rsidR="00FD6294" w:rsidRPr="0013533A">
        <w:rPr>
          <w:rFonts w:asciiTheme="minorEastAsia" w:hAnsiTheme="minorEastAsia" w:hint="eastAsia"/>
          <w:szCs w:val="21"/>
        </w:rPr>
        <w:t>本基金</w:t>
      </w:r>
      <w:r w:rsidRPr="0013533A">
        <w:rPr>
          <w:rFonts w:asciiTheme="minorEastAsia" w:hAnsiTheme="minorEastAsia" w:hint="eastAsia"/>
          <w:szCs w:val="21"/>
        </w:rPr>
        <w:t>基金份额持有人大会表决通过的</w:t>
      </w:r>
      <w:r w:rsidR="00A43D35" w:rsidRPr="00CE4AEE">
        <w:rPr>
          <w:rFonts w:asciiTheme="minorEastAsia" w:hAnsiTheme="minorEastAsia"/>
          <w:szCs w:val="21"/>
        </w:rPr>
        <w:t>《</w:t>
      </w:r>
      <w:r w:rsidR="00A43D35" w:rsidRPr="00CE4AEE">
        <w:rPr>
          <w:rFonts w:asciiTheme="minorEastAsia" w:hAnsiTheme="minorEastAsia" w:hint="eastAsia"/>
          <w:szCs w:val="21"/>
        </w:rPr>
        <w:t>关于</w:t>
      </w:r>
      <w:r w:rsidR="00C964A8">
        <w:rPr>
          <w:rFonts w:hAnsi="宋体" w:hint="eastAsia"/>
          <w:szCs w:val="21"/>
        </w:rPr>
        <w:t>信诚惠泽债券型证券投资基金（</w:t>
      </w:r>
      <w:r w:rsidR="00C964A8">
        <w:rPr>
          <w:rFonts w:hAnsi="宋体" w:hint="eastAsia"/>
          <w:szCs w:val="21"/>
        </w:rPr>
        <w:t>LOF</w:t>
      </w:r>
      <w:r w:rsidR="00C964A8">
        <w:rPr>
          <w:rFonts w:hAnsi="宋体" w:hint="eastAsia"/>
          <w:szCs w:val="21"/>
        </w:rPr>
        <w:t>）</w:t>
      </w:r>
      <w:r w:rsidR="00A43D35" w:rsidRPr="00CE4AEE">
        <w:rPr>
          <w:rFonts w:asciiTheme="minorEastAsia" w:hAnsiTheme="minorEastAsia" w:hint="eastAsia"/>
          <w:szCs w:val="21"/>
        </w:rPr>
        <w:t>转型有关事项的议案</w:t>
      </w:r>
      <w:r w:rsidRPr="0013533A">
        <w:rPr>
          <w:rFonts w:asciiTheme="minorEastAsia" w:hAnsiTheme="minorEastAsia" w:hint="eastAsia"/>
          <w:szCs w:val="21"/>
        </w:rPr>
        <w:t>》，</w:t>
      </w:r>
      <w:r w:rsidR="00EA2E25" w:rsidRPr="0013533A">
        <w:rPr>
          <w:rFonts w:asciiTheme="minorEastAsia" w:hAnsiTheme="minorEastAsia" w:hint="eastAsia"/>
          <w:szCs w:val="21"/>
        </w:rPr>
        <w:t>自</w:t>
      </w:r>
      <w:r w:rsidR="00EA2E25" w:rsidRPr="0013533A">
        <w:rPr>
          <w:rFonts w:asciiTheme="minorEastAsia" w:hAnsiTheme="minorEastAsia"/>
          <w:szCs w:val="21"/>
        </w:rPr>
        <w:t>201</w:t>
      </w:r>
      <w:r w:rsidR="00CC55DC">
        <w:rPr>
          <w:rFonts w:asciiTheme="minorEastAsia" w:hAnsiTheme="minorEastAsia" w:hint="eastAsia"/>
          <w:szCs w:val="21"/>
        </w:rPr>
        <w:t>8</w:t>
      </w:r>
      <w:r w:rsidR="00EA2E25" w:rsidRPr="0013533A">
        <w:rPr>
          <w:rFonts w:asciiTheme="minorEastAsia" w:hAnsiTheme="minorEastAsia" w:hint="eastAsia"/>
          <w:szCs w:val="21"/>
        </w:rPr>
        <w:t>年</w:t>
      </w:r>
      <w:r w:rsidR="00A43D35">
        <w:rPr>
          <w:rFonts w:asciiTheme="minorEastAsia" w:hAnsiTheme="minorEastAsia" w:hint="eastAsia"/>
          <w:szCs w:val="21"/>
        </w:rPr>
        <w:t>1</w:t>
      </w:r>
      <w:r w:rsidR="007C1DAB">
        <w:rPr>
          <w:rFonts w:asciiTheme="minorEastAsia" w:hAnsiTheme="minorEastAsia" w:hint="eastAsia"/>
          <w:szCs w:val="21"/>
        </w:rPr>
        <w:t>0</w:t>
      </w:r>
      <w:r w:rsidR="00EA2E25" w:rsidRPr="0013533A">
        <w:rPr>
          <w:rFonts w:asciiTheme="minorEastAsia" w:hAnsiTheme="minorEastAsia" w:hint="eastAsia"/>
          <w:szCs w:val="21"/>
        </w:rPr>
        <w:t>月</w:t>
      </w:r>
      <w:r w:rsidR="00CC55DC">
        <w:rPr>
          <w:rFonts w:asciiTheme="minorEastAsia" w:hAnsiTheme="minorEastAsia" w:hint="eastAsia"/>
          <w:szCs w:val="21"/>
        </w:rPr>
        <w:t>1</w:t>
      </w:r>
      <w:r w:rsidR="007C1DAB">
        <w:rPr>
          <w:rFonts w:asciiTheme="minorEastAsia" w:hAnsiTheme="minorEastAsia" w:hint="eastAsia"/>
          <w:szCs w:val="21"/>
        </w:rPr>
        <w:t>2</w:t>
      </w:r>
      <w:r w:rsidR="00EA2E25" w:rsidRPr="0013533A">
        <w:rPr>
          <w:rFonts w:asciiTheme="minorEastAsia" w:hAnsiTheme="minorEastAsia" w:hint="eastAsia"/>
          <w:szCs w:val="21"/>
        </w:rPr>
        <w:t>日起，本基金的基金名称</w:t>
      </w:r>
      <w:r w:rsidR="00CC55DC" w:rsidRPr="00405CF3">
        <w:rPr>
          <w:rFonts w:asciiTheme="minorEastAsia" w:hAnsiTheme="minorEastAsia" w:hint="eastAsia"/>
          <w:szCs w:val="21"/>
        </w:rPr>
        <w:t>由</w:t>
      </w:r>
      <w:r w:rsidR="00CC55DC" w:rsidRPr="00405CF3">
        <w:rPr>
          <w:rFonts w:asciiTheme="minorEastAsia" w:hAnsiTheme="minorEastAsia"/>
          <w:szCs w:val="21"/>
        </w:rPr>
        <w:t>“</w:t>
      </w:r>
      <w:r w:rsidR="00C964A8">
        <w:rPr>
          <w:rFonts w:ascii="宋体" w:hAnsi="宋体" w:hint="eastAsia"/>
          <w:szCs w:val="21"/>
        </w:rPr>
        <w:t>信诚惠泽债券型证券投资基金（LOF）</w:t>
      </w:r>
      <w:r w:rsidR="00CC55DC" w:rsidRPr="00405CF3">
        <w:rPr>
          <w:rFonts w:asciiTheme="minorEastAsia" w:hAnsiTheme="minorEastAsia"/>
          <w:szCs w:val="21"/>
        </w:rPr>
        <w:t>”</w:t>
      </w:r>
      <w:r w:rsidR="00CC55DC" w:rsidRPr="00405CF3">
        <w:rPr>
          <w:rFonts w:asciiTheme="minorEastAsia" w:hAnsiTheme="minorEastAsia" w:hint="eastAsia"/>
          <w:szCs w:val="21"/>
        </w:rPr>
        <w:t>变更为</w:t>
      </w:r>
      <w:r w:rsidR="00CC55DC" w:rsidRPr="00405CF3">
        <w:rPr>
          <w:rFonts w:asciiTheme="minorEastAsia" w:hAnsiTheme="minorEastAsia"/>
          <w:szCs w:val="21"/>
        </w:rPr>
        <w:t>“</w:t>
      </w:r>
      <w:r w:rsidR="007C1DAB" w:rsidRPr="007C1DAB">
        <w:rPr>
          <w:rFonts w:ascii="宋体" w:hAnsi="宋体" w:hint="eastAsia"/>
          <w:szCs w:val="21"/>
        </w:rPr>
        <w:t>中信保诚惠泽18个月定期开放债券型证券投资基金</w:t>
      </w:r>
      <w:r w:rsidR="00CC55DC" w:rsidRPr="00405CF3">
        <w:rPr>
          <w:rFonts w:asciiTheme="minorEastAsia" w:hAnsiTheme="minorEastAsia"/>
          <w:szCs w:val="21"/>
        </w:rPr>
        <w:t>”</w:t>
      </w:r>
      <w:r w:rsidR="007B6DBD" w:rsidRPr="007941D8">
        <w:rPr>
          <w:rFonts w:asciiTheme="minorEastAsia" w:hAnsiTheme="minorEastAsia" w:hint="eastAsia"/>
          <w:szCs w:val="21"/>
        </w:rPr>
        <w:t>（基金简称：</w:t>
      </w:r>
      <w:r w:rsidR="007B6DBD">
        <w:rPr>
          <w:rFonts w:asciiTheme="minorEastAsia" w:hAnsiTheme="minorEastAsia" w:hint="eastAsia"/>
          <w:szCs w:val="21"/>
        </w:rPr>
        <w:t>信诚惠泽</w:t>
      </w:r>
      <w:r w:rsidR="007B6DBD" w:rsidRPr="007941D8">
        <w:rPr>
          <w:rFonts w:asciiTheme="minorEastAsia" w:hAnsiTheme="minorEastAsia" w:hint="eastAsia"/>
          <w:szCs w:val="21"/>
        </w:rPr>
        <w:t>，基金代码：16553</w:t>
      </w:r>
      <w:r w:rsidR="007B6DBD">
        <w:rPr>
          <w:rFonts w:asciiTheme="minorEastAsia" w:hAnsiTheme="minorEastAsia" w:hint="eastAsia"/>
          <w:szCs w:val="21"/>
        </w:rPr>
        <w:t>0</w:t>
      </w:r>
      <w:r w:rsidR="007B6DBD" w:rsidRPr="007941D8">
        <w:rPr>
          <w:rFonts w:asciiTheme="minorEastAsia" w:hAnsiTheme="minorEastAsia" w:hint="eastAsia"/>
          <w:szCs w:val="21"/>
        </w:rPr>
        <w:t>）</w:t>
      </w:r>
      <w:r w:rsidR="007C1DAB">
        <w:rPr>
          <w:rFonts w:asciiTheme="minorEastAsia" w:hAnsiTheme="minorEastAsia" w:hint="eastAsia"/>
          <w:szCs w:val="21"/>
        </w:rPr>
        <w:t>，</w:t>
      </w:r>
      <w:r w:rsidRPr="0013533A">
        <w:rPr>
          <w:rFonts w:asciiTheme="minorEastAsia" w:hAnsiTheme="minorEastAsia" w:hint="eastAsia"/>
          <w:szCs w:val="21"/>
        </w:rPr>
        <w:t>本基金正式实施基金转型</w:t>
      </w:r>
      <w:r w:rsidR="00CE4AEE">
        <w:rPr>
          <w:rFonts w:asciiTheme="minorEastAsia" w:hAnsiTheme="minorEastAsia" w:hint="eastAsia"/>
          <w:szCs w:val="21"/>
        </w:rPr>
        <w:t>，</w:t>
      </w:r>
      <w:r w:rsidR="007C1DAB">
        <w:rPr>
          <w:rFonts w:asciiTheme="minorEastAsia" w:hAnsiTheme="minorEastAsia" w:hint="eastAsia"/>
          <w:szCs w:val="21"/>
        </w:rPr>
        <w:t>运作方式</w:t>
      </w:r>
      <w:r w:rsidR="007C1DAB" w:rsidRPr="007C1DAB">
        <w:rPr>
          <w:rFonts w:asciiTheme="minorEastAsia" w:hAnsiTheme="minorEastAsia" w:hint="eastAsia"/>
          <w:szCs w:val="21"/>
        </w:rPr>
        <w:t>由原上市开放式变更为</w:t>
      </w:r>
      <w:r w:rsidR="00441E37" w:rsidRPr="00441E37">
        <w:rPr>
          <w:rFonts w:asciiTheme="minorEastAsia" w:hAnsiTheme="minorEastAsia" w:hint="eastAsia"/>
          <w:szCs w:val="21"/>
        </w:rPr>
        <w:t>契约型定期开放式</w:t>
      </w:r>
      <w:r w:rsidR="007C1DAB" w:rsidRPr="007C1DAB">
        <w:rPr>
          <w:rFonts w:asciiTheme="minorEastAsia" w:hAnsiTheme="minorEastAsia" w:hint="eastAsia"/>
          <w:szCs w:val="21"/>
        </w:rPr>
        <w:t>，不再上市交易</w:t>
      </w:r>
      <w:r w:rsidR="00401089" w:rsidRPr="0013533A">
        <w:rPr>
          <w:rFonts w:asciiTheme="minorEastAsia" w:hAnsiTheme="minorEastAsia" w:hint="eastAsia"/>
          <w:szCs w:val="21"/>
        </w:rPr>
        <w:t>，同时将</w:t>
      </w:r>
      <w:r w:rsidRPr="0013533A">
        <w:rPr>
          <w:rFonts w:asciiTheme="minorEastAsia" w:hAnsiTheme="minorEastAsia" w:hint="eastAsia"/>
          <w:szCs w:val="21"/>
        </w:rPr>
        <w:t>对</w:t>
      </w:r>
      <w:r w:rsidR="00C964A8">
        <w:rPr>
          <w:rFonts w:ascii="宋体" w:hAnsi="宋体" w:hint="eastAsia"/>
          <w:szCs w:val="21"/>
        </w:rPr>
        <w:t>信诚惠泽债券型证券投资基金（LOF）</w:t>
      </w:r>
      <w:r w:rsidRPr="0013533A">
        <w:rPr>
          <w:rFonts w:asciiTheme="minorEastAsia" w:hAnsiTheme="minorEastAsia" w:hint="eastAsia"/>
          <w:szCs w:val="21"/>
        </w:rPr>
        <w:t>原《基金合同》中</w:t>
      </w:r>
      <w:r w:rsidR="007C1DAB" w:rsidRPr="007C1DAB">
        <w:rPr>
          <w:rFonts w:asciiTheme="minorEastAsia" w:hAnsiTheme="minorEastAsia" w:hint="eastAsia"/>
          <w:szCs w:val="21"/>
        </w:rPr>
        <w:t>基金份额的申购与赎回</w:t>
      </w:r>
      <w:r w:rsidR="007C1DAB">
        <w:rPr>
          <w:rFonts w:asciiTheme="minorEastAsia" w:hAnsiTheme="minorEastAsia" w:hint="eastAsia"/>
          <w:szCs w:val="21"/>
        </w:rPr>
        <w:t>、投资范围及投资策略、</w:t>
      </w:r>
      <w:r w:rsidR="007C1DAB" w:rsidRPr="007C1DAB">
        <w:rPr>
          <w:rFonts w:asciiTheme="minorEastAsia" w:hAnsiTheme="minorEastAsia" w:hint="eastAsia"/>
          <w:szCs w:val="21"/>
        </w:rPr>
        <w:t>收益与分配</w:t>
      </w:r>
      <w:r w:rsidR="007C1DAB">
        <w:rPr>
          <w:rFonts w:asciiTheme="minorEastAsia" w:hAnsiTheme="minorEastAsia" w:hint="eastAsia"/>
          <w:szCs w:val="21"/>
        </w:rPr>
        <w:t>等</w:t>
      </w:r>
      <w:r w:rsidR="007C1DAB" w:rsidRPr="007C1DAB">
        <w:rPr>
          <w:rFonts w:asciiTheme="minorEastAsia" w:hAnsiTheme="minorEastAsia" w:hint="eastAsia"/>
          <w:szCs w:val="21"/>
        </w:rPr>
        <w:t>相关条款</w:t>
      </w:r>
      <w:r w:rsidR="007C1DAB">
        <w:rPr>
          <w:rFonts w:asciiTheme="minorEastAsia" w:hAnsiTheme="minorEastAsia" w:hint="eastAsia"/>
          <w:szCs w:val="21"/>
        </w:rPr>
        <w:t>及其他相关事项</w:t>
      </w:r>
      <w:r w:rsidRPr="0013533A">
        <w:rPr>
          <w:rFonts w:asciiTheme="minorEastAsia" w:hAnsiTheme="minorEastAsia" w:hint="eastAsia"/>
          <w:szCs w:val="21"/>
        </w:rPr>
        <w:t>等内容进行</w:t>
      </w:r>
      <w:r w:rsidR="00CE4AEE">
        <w:rPr>
          <w:rFonts w:asciiTheme="minorEastAsia" w:hAnsiTheme="minorEastAsia" w:hint="eastAsia"/>
          <w:szCs w:val="21"/>
        </w:rPr>
        <w:t>修改</w:t>
      </w:r>
      <w:r w:rsidR="007B6DBD">
        <w:rPr>
          <w:rFonts w:asciiTheme="minorEastAsia" w:hAnsiTheme="minorEastAsia" w:hint="eastAsia"/>
          <w:szCs w:val="21"/>
        </w:rPr>
        <w:t>，</w:t>
      </w:r>
      <w:r w:rsidR="007B6DBD" w:rsidRPr="0066373C">
        <w:rPr>
          <w:rFonts w:ascii="宋体" w:hAnsi="宋体" w:hint="eastAsia"/>
          <w:szCs w:val="21"/>
        </w:rPr>
        <w:t>原</w:t>
      </w:r>
      <w:r w:rsidR="007B6DBD">
        <w:rPr>
          <w:rFonts w:ascii="宋体" w:hAnsi="宋体" w:hint="eastAsia"/>
          <w:szCs w:val="21"/>
        </w:rPr>
        <w:t>信诚惠泽债券型证券投资基金（LOF）</w:t>
      </w:r>
      <w:r w:rsidR="007B6DBD" w:rsidRPr="0066373C">
        <w:rPr>
          <w:rFonts w:ascii="宋体" w:hAnsi="宋体" w:hint="eastAsia"/>
          <w:szCs w:val="21"/>
        </w:rPr>
        <w:t>的基金份额</w:t>
      </w:r>
      <w:r w:rsidR="007B6DBD">
        <w:rPr>
          <w:rFonts w:ascii="宋体" w:hAnsi="宋体" w:hint="eastAsia"/>
          <w:szCs w:val="21"/>
        </w:rPr>
        <w:t>统一</w:t>
      </w:r>
      <w:r w:rsidR="007B6DBD" w:rsidRPr="0066373C">
        <w:rPr>
          <w:rFonts w:ascii="宋体" w:hAnsi="宋体" w:hint="eastAsia"/>
          <w:szCs w:val="21"/>
        </w:rPr>
        <w:t>结转为</w:t>
      </w:r>
      <w:r w:rsidR="007B6DBD" w:rsidRPr="007C1DAB">
        <w:rPr>
          <w:rFonts w:ascii="宋体" w:hAnsi="宋体" w:hint="eastAsia"/>
          <w:szCs w:val="21"/>
        </w:rPr>
        <w:t>中信保诚惠泽18个月定期开放债券型证券投资基金</w:t>
      </w:r>
      <w:r w:rsidR="007B6DBD" w:rsidRPr="0066373C">
        <w:rPr>
          <w:rFonts w:ascii="宋体" w:hAnsi="宋体" w:hint="eastAsia"/>
          <w:szCs w:val="21"/>
        </w:rPr>
        <w:t>的基金份额。</w:t>
      </w:r>
    </w:p>
    <w:p w:rsidR="00471C91" w:rsidRPr="00471C91" w:rsidRDefault="00471C91" w:rsidP="00365559">
      <w:pPr>
        <w:spacing w:line="360" w:lineRule="auto"/>
        <w:ind w:firstLineChars="200" w:firstLine="420"/>
        <w:rPr>
          <w:rFonts w:asciiTheme="minorEastAsia" w:hAnsiTheme="minorEastAsia"/>
          <w:szCs w:val="21"/>
        </w:rPr>
      </w:pPr>
      <w:r w:rsidRPr="00471C91">
        <w:rPr>
          <w:rFonts w:asciiTheme="minorEastAsia" w:hAnsiTheme="minorEastAsia"/>
          <w:szCs w:val="21"/>
        </w:rPr>
        <w:t xml:space="preserve">2. </w:t>
      </w:r>
      <w:r w:rsidR="004D4694" w:rsidRPr="0056224D">
        <w:rPr>
          <w:rFonts w:asciiTheme="minorEastAsia" w:hAnsiTheme="minorEastAsia" w:hint="eastAsia"/>
          <w:szCs w:val="21"/>
        </w:rPr>
        <w:t>转换</w:t>
      </w:r>
      <w:r w:rsidRPr="00471C91">
        <w:rPr>
          <w:rFonts w:asciiTheme="minorEastAsia" w:hAnsiTheme="minorEastAsia" w:hint="eastAsia"/>
          <w:szCs w:val="21"/>
        </w:rPr>
        <w:t>对象</w:t>
      </w:r>
    </w:p>
    <w:p w:rsidR="00471C91" w:rsidRPr="00471C91" w:rsidRDefault="007B6DBD" w:rsidP="007B6DBD">
      <w:pPr>
        <w:spacing w:line="360" w:lineRule="auto"/>
        <w:ind w:firstLineChars="200" w:firstLine="420"/>
        <w:rPr>
          <w:rFonts w:asciiTheme="minorEastAsia" w:hAnsiTheme="minorEastAsia"/>
          <w:szCs w:val="21"/>
        </w:rPr>
      </w:pPr>
      <w:r w:rsidRPr="007B6DBD">
        <w:rPr>
          <w:rFonts w:asciiTheme="minorEastAsia" w:hAnsiTheme="minorEastAsia" w:hint="eastAsia"/>
          <w:szCs w:val="21"/>
        </w:rPr>
        <w:t>集中赎回选择期结束后</w:t>
      </w:r>
      <w:r>
        <w:rPr>
          <w:rFonts w:asciiTheme="minorEastAsia" w:hAnsiTheme="minorEastAsia" w:hint="eastAsia"/>
          <w:szCs w:val="21"/>
        </w:rPr>
        <w:t>，即2018年10月11日深圳证券交易所交易时间结束后，</w:t>
      </w:r>
      <w:r>
        <w:rPr>
          <w:rFonts w:hAnsi="宋体" w:hint="eastAsia"/>
          <w:szCs w:val="21"/>
        </w:rPr>
        <w:t>在本基金登记机构登记在册</w:t>
      </w:r>
      <w:r w:rsidR="00471C91" w:rsidRPr="00471C91">
        <w:rPr>
          <w:rFonts w:asciiTheme="minorEastAsia" w:hAnsiTheme="minorEastAsia" w:hint="eastAsia"/>
          <w:szCs w:val="21"/>
        </w:rPr>
        <w:t>的</w:t>
      </w:r>
      <w:r w:rsidR="00C964A8">
        <w:rPr>
          <w:rFonts w:ascii="宋体" w:hAnsi="宋体" w:hint="eastAsia"/>
          <w:szCs w:val="21"/>
        </w:rPr>
        <w:t>信诚惠泽债券型证券投资基金（LOF）</w:t>
      </w:r>
      <w:r w:rsidR="00471C91" w:rsidRPr="00471C91">
        <w:rPr>
          <w:rFonts w:asciiTheme="minorEastAsia" w:hAnsiTheme="minorEastAsia" w:hint="eastAsia"/>
          <w:szCs w:val="21"/>
        </w:rPr>
        <w:t>所有份额。</w:t>
      </w:r>
    </w:p>
    <w:p w:rsidR="00471C91" w:rsidRPr="00471C91" w:rsidRDefault="00471C91" w:rsidP="00365559">
      <w:pPr>
        <w:spacing w:line="360" w:lineRule="auto"/>
        <w:ind w:firstLineChars="200" w:firstLine="420"/>
        <w:rPr>
          <w:rFonts w:asciiTheme="minorEastAsia" w:hAnsiTheme="minorEastAsia"/>
          <w:szCs w:val="21"/>
        </w:rPr>
      </w:pPr>
      <w:r w:rsidRPr="00471C91">
        <w:rPr>
          <w:rFonts w:asciiTheme="minorEastAsia" w:hAnsiTheme="minorEastAsia"/>
          <w:szCs w:val="21"/>
        </w:rPr>
        <w:t xml:space="preserve">3. </w:t>
      </w:r>
      <w:r w:rsidR="00312E0B" w:rsidRPr="0056224D">
        <w:rPr>
          <w:rFonts w:asciiTheme="minorEastAsia" w:hAnsiTheme="minorEastAsia" w:hint="eastAsia"/>
          <w:szCs w:val="21"/>
        </w:rPr>
        <w:t>转换</w:t>
      </w:r>
      <w:r w:rsidRPr="00471C91">
        <w:rPr>
          <w:rFonts w:asciiTheme="minorEastAsia" w:hAnsiTheme="minorEastAsia" w:hint="eastAsia"/>
          <w:szCs w:val="21"/>
        </w:rPr>
        <w:t>方式</w:t>
      </w:r>
    </w:p>
    <w:p w:rsidR="00C97EE5" w:rsidRPr="00BC7B20" w:rsidRDefault="007B6DBD" w:rsidP="007B6DBD">
      <w:pPr>
        <w:spacing w:line="360" w:lineRule="auto"/>
        <w:ind w:firstLineChars="200" w:firstLine="420"/>
        <w:rPr>
          <w:szCs w:val="21"/>
        </w:rPr>
      </w:pPr>
      <w:r w:rsidRPr="007B6DBD">
        <w:rPr>
          <w:rFonts w:asciiTheme="minorEastAsia" w:hAnsiTheme="minorEastAsia" w:hint="eastAsia"/>
          <w:szCs w:val="21"/>
        </w:rPr>
        <w:t>集中赎回选择期结束后，本基金管理人将根据持有人大会决议执行本基金的正式转型，</w:t>
      </w:r>
      <w:r w:rsidRPr="007B6DBD">
        <w:rPr>
          <w:rFonts w:asciiTheme="minorEastAsia" w:hAnsiTheme="minorEastAsia" w:hint="eastAsia"/>
          <w:szCs w:val="21"/>
        </w:rPr>
        <w:lastRenderedPageBreak/>
        <w:t>将原信诚惠泽债券型证券投资基金（LOF）的基金份额</w:t>
      </w:r>
      <w:r>
        <w:rPr>
          <w:rFonts w:asciiTheme="minorEastAsia" w:hAnsiTheme="minorEastAsia" w:hint="eastAsia"/>
          <w:szCs w:val="21"/>
        </w:rPr>
        <w:t>统一</w:t>
      </w:r>
      <w:r w:rsidRPr="007B6DBD">
        <w:rPr>
          <w:rFonts w:asciiTheme="minorEastAsia" w:hAnsiTheme="minorEastAsia" w:hint="eastAsia"/>
          <w:szCs w:val="21"/>
        </w:rPr>
        <w:t>结转为中信保诚惠泽18个月定期开放债券型证券投资基金的基金份额。</w:t>
      </w:r>
      <w:r w:rsidR="00C97EE5" w:rsidRPr="00A90181">
        <w:rPr>
          <w:rFonts w:asciiTheme="minorEastAsia" w:hAnsiTheme="minorEastAsia" w:cs="Times New Roman"/>
          <w:kern w:val="0"/>
          <w:szCs w:val="21"/>
        </w:rPr>
        <w:t>在本基金</w:t>
      </w:r>
      <w:r w:rsidR="00C97EE5" w:rsidRPr="00A90181">
        <w:rPr>
          <w:rFonts w:asciiTheme="minorEastAsia" w:hAnsiTheme="minorEastAsia" w:cs="Times New Roman" w:hint="eastAsia"/>
          <w:kern w:val="0"/>
          <w:szCs w:val="21"/>
        </w:rPr>
        <w:t>完成</w:t>
      </w:r>
      <w:r w:rsidR="00C97EE5">
        <w:rPr>
          <w:rFonts w:asciiTheme="minorEastAsia" w:hAnsiTheme="minorEastAsia" w:cs="Times New Roman" w:hint="eastAsia"/>
          <w:kern w:val="0"/>
          <w:szCs w:val="21"/>
        </w:rPr>
        <w:t>份额转换和变更登记</w:t>
      </w:r>
      <w:r w:rsidR="00C97EE5" w:rsidRPr="00A90181">
        <w:rPr>
          <w:rFonts w:asciiTheme="minorEastAsia" w:hAnsiTheme="minorEastAsia" w:cs="Times New Roman"/>
          <w:kern w:val="0"/>
          <w:szCs w:val="21"/>
        </w:rPr>
        <w:t>后，投资者可通过销售机构查询</w:t>
      </w:r>
      <w:r w:rsidR="00C97EE5">
        <w:rPr>
          <w:rFonts w:asciiTheme="minorEastAsia" w:hAnsiTheme="minorEastAsia" w:cs="Times New Roman" w:hint="eastAsia"/>
          <w:kern w:val="0"/>
          <w:szCs w:val="21"/>
        </w:rPr>
        <w:t>份额转换</w:t>
      </w:r>
      <w:r w:rsidR="00C97EE5" w:rsidRPr="00A90181">
        <w:rPr>
          <w:rFonts w:asciiTheme="minorEastAsia" w:hAnsiTheme="minorEastAsia" w:cs="Times New Roman"/>
          <w:kern w:val="0"/>
          <w:szCs w:val="21"/>
        </w:rPr>
        <w:t>后持有的</w:t>
      </w:r>
      <w:r w:rsidRPr="007B6DBD">
        <w:rPr>
          <w:rFonts w:asciiTheme="minorEastAsia" w:hAnsiTheme="minorEastAsia" w:hint="eastAsia"/>
          <w:szCs w:val="21"/>
        </w:rPr>
        <w:t>中信保诚惠泽18个月定期开放债券型证券投资基金</w:t>
      </w:r>
      <w:r>
        <w:rPr>
          <w:rFonts w:asciiTheme="minorEastAsia" w:hAnsiTheme="minorEastAsia" w:hint="eastAsia"/>
          <w:szCs w:val="21"/>
        </w:rPr>
        <w:t>的</w:t>
      </w:r>
      <w:r w:rsidR="00C97EE5">
        <w:rPr>
          <w:rFonts w:hint="eastAsia"/>
        </w:rPr>
        <w:t>基金</w:t>
      </w:r>
      <w:r w:rsidR="00C97EE5" w:rsidRPr="00A90181">
        <w:rPr>
          <w:rFonts w:asciiTheme="minorEastAsia" w:hAnsiTheme="minorEastAsia" w:cs="Times New Roman"/>
          <w:kern w:val="0"/>
          <w:szCs w:val="21"/>
        </w:rPr>
        <w:t>份额</w:t>
      </w:r>
      <w:r w:rsidR="00C97EE5">
        <w:rPr>
          <w:rFonts w:asciiTheme="minorEastAsia" w:hAnsiTheme="minorEastAsia" w:cs="Times New Roman" w:hint="eastAsia"/>
          <w:kern w:val="0"/>
          <w:szCs w:val="21"/>
        </w:rPr>
        <w:t>。</w:t>
      </w:r>
      <w:r w:rsidR="00C97EE5" w:rsidRPr="00973807">
        <w:rPr>
          <w:rFonts w:asciiTheme="minorEastAsia" w:hAnsiTheme="minorEastAsia" w:cs="Times New Roman"/>
          <w:szCs w:val="21"/>
        </w:rPr>
        <w:t>基金份额</w:t>
      </w:r>
      <w:r w:rsidR="00C97EE5">
        <w:rPr>
          <w:rFonts w:asciiTheme="minorEastAsia" w:hAnsiTheme="minorEastAsia" w:cs="Times New Roman" w:hint="eastAsia"/>
          <w:szCs w:val="21"/>
        </w:rPr>
        <w:t>转换</w:t>
      </w:r>
      <w:r w:rsidR="00C97EE5" w:rsidRPr="00973807">
        <w:rPr>
          <w:rFonts w:asciiTheme="minorEastAsia" w:hAnsiTheme="minorEastAsia" w:cs="Times New Roman"/>
          <w:szCs w:val="21"/>
        </w:rPr>
        <w:t>结果</w:t>
      </w:r>
      <w:r w:rsidR="00C97EE5">
        <w:rPr>
          <w:rFonts w:hint="eastAsia"/>
          <w:szCs w:val="21"/>
        </w:rPr>
        <w:t>详</w:t>
      </w:r>
      <w:r w:rsidR="00C97EE5" w:rsidRPr="0056224D">
        <w:rPr>
          <w:szCs w:val="21"/>
        </w:rPr>
        <w:t>见基金管理人届时发布的相关公告。</w:t>
      </w:r>
    </w:p>
    <w:p w:rsidR="00BC7B20" w:rsidRDefault="00BC7B20" w:rsidP="00BC7B20">
      <w:pPr>
        <w:spacing w:line="360" w:lineRule="auto"/>
        <w:ind w:firstLineChars="200" w:firstLine="420"/>
        <w:rPr>
          <w:rFonts w:asciiTheme="minorEastAsia" w:hAnsiTheme="minorEastAsia" w:cs="Times New Roman"/>
          <w:szCs w:val="21"/>
        </w:rPr>
      </w:pPr>
      <w:r w:rsidRPr="00B346E0">
        <w:rPr>
          <w:rFonts w:asciiTheme="minorEastAsia" w:hAnsiTheme="minorEastAsia" w:cs="Times New Roman" w:hint="eastAsia"/>
          <w:szCs w:val="21"/>
        </w:rPr>
        <w:t>完成</w:t>
      </w:r>
      <w:r>
        <w:rPr>
          <w:rFonts w:asciiTheme="minorEastAsia" w:hAnsiTheme="minorEastAsia" w:cs="Times New Roman" w:hint="eastAsia"/>
          <w:szCs w:val="21"/>
        </w:rPr>
        <w:t>份额转换及</w:t>
      </w:r>
      <w:r w:rsidRPr="00B346E0">
        <w:rPr>
          <w:rFonts w:asciiTheme="minorEastAsia" w:hAnsiTheme="minorEastAsia" w:cs="Times New Roman" w:hint="eastAsia"/>
          <w:szCs w:val="21"/>
        </w:rPr>
        <w:t>变更登记后</w:t>
      </w:r>
      <w:r>
        <w:rPr>
          <w:rFonts w:asciiTheme="minorEastAsia" w:hAnsiTheme="minorEastAsia" w:hint="eastAsia"/>
          <w:kern w:val="0"/>
          <w:szCs w:val="21"/>
        </w:rPr>
        <w:t>，本基金的基金份额将使用变更后的基金名称</w:t>
      </w:r>
      <w:r>
        <w:rPr>
          <w:rFonts w:asciiTheme="minorEastAsia" w:hAnsiTheme="minorEastAsia" w:cs="Times New Roman" w:hint="eastAsia"/>
          <w:kern w:val="0"/>
          <w:szCs w:val="21"/>
        </w:rPr>
        <w:t>，</w:t>
      </w:r>
      <w:r>
        <w:rPr>
          <w:rFonts w:asciiTheme="minorEastAsia" w:hAnsiTheme="minorEastAsia" w:hint="eastAsia"/>
          <w:kern w:val="0"/>
          <w:szCs w:val="21"/>
        </w:rPr>
        <w:t>基金名称将由“</w:t>
      </w:r>
      <w:r w:rsidR="00C964A8">
        <w:rPr>
          <w:rFonts w:ascii="宋体" w:hAnsi="宋体" w:hint="eastAsia"/>
          <w:szCs w:val="21"/>
        </w:rPr>
        <w:t>信诚惠泽债券型证券投资基金（LOF）</w:t>
      </w:r>
      <w:r>
        <w:rPr>
          <w:rFonts w:asciiTheme="minorEastAsia" w:hAnsiTheme="minorEastAsia" w:hint="eastAsia"/>
          <w:kern w:val="0"/>
          <w:szCs w:val="21"/>
        </w:rPr>
        <w:t>”变更为“</w:t>
      </w:r>
      <w:r w:rsidR="007B6DBD" w:rsidRPr="007C1DAB">
        <w:rPr>
          <w:rFonts w:ascii="宋体" w:hAnsi="宋体" w:hint="eastAsia"/>
          <w:szCs w:val="21"/>
        </w:rPr>
        <w:t>中信保诚惠泽18个月定期开放债券型证券投资基金</w:t>
      </w:r>
      <w:r w:rsidR="007B6DBD">
        <w:rPr>
          <w:rFonts w:asciiTheme="minorEastAsia" w:hAnsiTheme="minorEastAsia" w:hint="eastAsia"/>
          <w:kern w:val="0"/>
          <w:szCs w:val="21"/>
        </w:rPr>
        <w:t>”</w:t>
      </w:r>
      <w:r w:rsidR="00DD6AF3">
        <w:rPr>
          <w:rFonts w:asciiTheme="minorEastAsia" w:hAnsiTheme="minorEastAsia" w:hint="eastAsia"/>
          <w:kern w:val="0"/>
          <w:szCs w:val="21"/>
        </w:rPr>
        <w:t>，</w:t>
      </w:r>
      <w:r w:rsidR="00DD6AF3" w:rsidRPr="00DD6AF3">
        <w:rPr>
          <w:rFonts w:asciiTheme="minorEastAsia" w:hAnsiTheme="minorEastAsia" w:hint="eastAsia"/>
          <w:kern w:val="0"/>
          <w:szCs w:val="21"/>
        </w:rPr>
        <w:t>英文名称</w:t>
      </w:r>
      <w:r w:rsidR="00DD6AF3">
        <w:rPr>
          <w:rFonts w:asciiTheme="minorEastAsia" w:hAnsiTheme="minorEastAsia" w:hint="eastAsia"/>
          <w:kern w:val="0"/>
          <w:szCs w:val="21"/>
        </w:rPr>
        <w:t>将</w:t>
      </w:r>
      <w:r w:rsidR="00DD6AF3" w:rsidRPr="00DD6AF3">
        <w:rPr>
          <w:rFonts w:asciiTheme="minorEastAsia" w:hAnsiTheme="minorEastAsia" w:hint="eastAsia"/>
          <w:kern w:val="0"/>
          <w:szCs w:val="21"/>
        </w:rPr>
        <w:t>由“CITIC-Pru Hui</w:t>
      </w:r>
      <w:r w:rsidR="00A30285">
        <w:rPr>
          <w:rFonts w:asciiTheme="minorEastAsia" w:hAnsiTheme="minorEastAsia" w:hint="eastAsia"/>
          <w:kern w:val="0"/>
          <w:szCs w:val="21"/>
        </w:rPr>
        <w:t>Z</w:t>
      </w:r>
      <w:r w:rsidR="00DD6AF3" w:rsidRPr="00DD6AF3">
        <w:rPr>
          <w:rFonts w:asciiTheme="minorEastAsia" w:hAnsiTheme="minorEastAsia" w:hint="eastAsia"/>
          <w:kern w:val="0"/>
          <w:szCs w:val="21"/>
        </w:rPr>
        <w:t>e Bond Fund”变更为“CITIC-Pru Huize 18 months opening Bond Fund”</w:t>
      </w:r>
      <w:r w:rsidR="007B6DBD">
        <w:rPr>
          <w:rFonts w:asciiTheme="minorEastAsia" w:hAnsiTheme="minorEastAsia" w:hint="eastAsia"/>
          <w:kern w:val="0"/>
          <w:szCs w:val="21"/>
        </w:rPr>
        <w:t>。</w:t>
      </w:r>
      <w:r w:rsidRPr="004C7D83">
        <w:rPr>
          <w:rFonts w:asciiTheme="minorEastAsia" w:hAnsiTheme="minorEastAsia" w:cs="Times New Roman" w:hint="eastAsia"/>
          <w:szCs w:val="21"/>
        </w:rPr>
        <w:t>基金场内简称</w:t>
      </w:r>
      <w:r w:rsidR="007B6DBD">
        <w:rPr>
          <w:rFonts w:asciiTheme="minorEastAsia" w:hAnsiTheme="minorEastAsia" w:cs="Times New Roman" w:hint="eastAsia"/>
          <w:szCs w:val="21"/>
        </w:rPr>
        <w:t>仍</w:t>
      </w:r>
      <w:r w:rsidRPr="004C7D83">
        <w:rPr>
          <w:rFonts w:asciiTheme="minorEastAsia" w:hAnsiTheme="minorEastAsia" w:cs="Times New Roman" w:hint="eastAsia"/>
          <w:szCs w:val="21"/>
        </w:rPr>
        <w:t>为“</w:t>
      </w:r>
      <w:r w:rsidR="007B6DBD">
        <w:rPr>
          <w:rFonts w:asciiTheme="minorEastAsia" w:hAnsiTheme="minorEastAsia" w:hint="eastAsia"/>
          <w:szCs w:val="21"/>
        </w:rPr>
        <w:t>信诚惠泽</w:t>
      </w:r>
      <w:r w:rsidR="007B6DBD">
        <w:rPr>
          <w:rFonts w:asciiTheme="minorEastAsia" w:hAnsiTheme="minorEastAsia" w:cs="Times New Roman" w:hint="eastAsia"/>
          <w:szCs w:val="21"/>
        </w:rPr>
        <w:t>”，基金代码仍为“</w:t>
      </w:r>
      <w:r w:rsidRPr="004C7D83">
        <w:rPr>
          <w:rFonts w:asciiTheme="minorEastAsia" w:hAnsiTheme="minorEastAsia" w:cs="Times New Roman" w:hint="eastAsia"/>
          <w:szCs w:val="21"/>
        </w:rPr>
        <w:t>16553</w:t>
      </w:r>
      <w:r w:rsidR="007B6DBD">
        <w:rPr>
          <w:rFonts w:asciiTheme="minorEastAsia" w:hAnsiTheme="minorEastAsia" w:cs="Times New Roman" w:hint="eastAsia"/>
          <w:szCs w:val="21"/>
        </w:rPr>
        <w:t>0”</w:t>
      </w:r>
      <w:r w:rsidRPr="004C7D83">
        <w:rPr>
          <w:rFonts w:asciiTheme="minorEastAsia" w:hAnsiTheme="minorEastAsia" w:cs="Times New Roman"/>
          <w:szCs w:val="21"/>
        </w:rPr>
        <w:t>。</w:t>
      </w:r>
    </w:p>
    <w:p w:rsidR="00973807" w:rsidRPr="00BC7B20" w:rsidRDefault="00973807" w:rsidP="00365559">
      <w:pPr>
        <w:adjustRightInd w:val="0"/>
        <w:snapToGrid w:val="0"/>
        <w:spacing w:line="360" w:lineRule="auto"/>
        <w:ind w:firstLineChars="200" w:firstLine="420"/>
        <w:rPr>
          <w:rFonts w:asciiTheme="minorEastAsia" w:hAnsiTheme="minorEastAsia" w:cs="Times New Roman"/>
          <w:szCs w:val="21"/>
        </w:rPr>
      </w:pPr>
    </w:p>
    <w:p w:rsidR="00973807" w:rsidRPr="00973807" w:rsidRDefault="00E2678A" w:rsidP="00973807">
      <w:pPr>
        <w:widowControl/>
        <w:numPr>
          <w:ilvl w:val="0"/>
          <w:numId w:val="2"/>
        </w:numPr>
        <w:spacing w:before="100" w:beforeAutospacing="1" w:after="100" w:afterAutospacing="1" w:line="360" w:lineRule="auto"/>
        <w:ind w:left="0"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基金</w:t>
      </w:r>
      <w:r w:rsidR="00973807" w:rsidRPr="00973807">
        <w:rPr>
          <w:rFonts w:ascii="Times New Roman" w:eastAsia="宋体" w:hAnsi="Times New Roman" w:cs="Times New Roman"/>
          <w:b/>
          <w:bCs/>
          <w:kern w:val="0"/>
          <w:sz w:val="24"/>
          <w:szCs w:val="24"/>
        </w:rPr>
        <w:t>转型后申购、赎回等业务安排</w:t>
      </w:r>
    </w:p>
    <w:p w:rsidR="007B6DBD" w:rsidRPr="007B6DBD" w:rsidRDefault="007B6DBD" w:rsidP="007B6DBD">
      <w:pPr>
        <w:spacing w:line="360" w:lineRule="auto"/>
        <w:ind w:firstLineChars="200" w:firstLine="420"/>
        <w:rPr>
          <w:szCs w:val="21"/>
        </w:rPr>
      </w:pPr>
      <w:r w:rsidRPr="007B6DBD">
        <w:rPr>
          <w:rFonts w:hint="eastAsia"/>
          <w:szCs w:val="21"/>
        </w:rPr>
        <w:t>为保护基金份额持有人利益，本基金将自转型为中信保诚惠泽</w:t>
      </w:r>
      <w:r w:rsidRPr="007B6DBD">
        <w:rPr>
          <w:rFonts w:hint="eastAsia"/>
          <w:szCs w:val="21"/>
        </w:rPr>
        <w:t>18</w:t>
      </w:r>
      <w:r w:rsidRPr="007B6DBD">
        <w:rPr>
          <w:rFonts w:hint="eastAsia"/>
          <w:szCs w:val="21"/>
        </w:rPr>
        <w:t>个月定期开放债券型证券投资基金之日（即</w:t>
      </w:r>
      <w:r w:rsidRPr="007B6DBD">
        <w:rPr>
          <w:rFonts w:hint="eastAsia"/>
          <w:szCs w:val="21"/>
        </w:rPr>
        <w:t>2018</w:t>
      </w:r>
      <w:r w:rsidRPr="007B6DBD">
        <w:rPr>
          <w:rFonts w:hint="eastAsia"/>
          <w:szCs w:val="21"/>
        </w:rPr>
        <w:t>年</w:t>
      </w:r>
      <w:r w:rsidRPr="007B6DBD">
        <w:rPr>
          <w:rFonts w:hint="eastAsia"/>
          <w:szCs w:val="21"/>
        </w:rPr>
        <w:t>10</w:t>
      </w:r>
      <w:r w:rsidRPr="007B6DBD">
        <w:rPr>
          <w:rFonts w:hint="eastAsia"/>
          <w:szCs w:val="21"/>
        </w:rPr>
        <w:t>月</w:t>
      </w:r>
      <w:r w:rsidRPr="007B6DBD">
        <w:rPr>
          <w:rFonts w:hint="eastAsia"/>
          <w:szCs w:val="21"/>
        </w:rPr>
        <w:t>12</w:t>
      </w:r>
      <w:r w:rsidRPr="007B6DBD">
        <w:rPr>
          <w:rFonts w:hint="eastAsia"/>
          <w:szCs w:val="21"/>
        </w:rPr>
        <w:t>日）起暂停办理赎回业务，同时继续暂停办理申购业务。</w:t>
      </w:r>
    </w:p>
    <w:p w:rsidR="007B6DBD" w:rsidRPr="007B6DBD" w:rsidRDefault="007B6DBD" w:rsidP="007B6DBD">
      <w:pPr>
        <w:spacing w:line="360" w:lineRule="auto"/>
        <w:ind w:firstLineChars="200" w:firstLine="420"/>
        <w:rPr>
          <w:szCs w:val="21"/>
        </w:rPr>
      </w:pPr>
      <w:r w:rsidRPr="007B6DBD">
        <w:rPr>
          <w:rFonts w:hint="eastAsia"/>
          <w:szCs w:val="21"/>
        </w:rPr>
        <w:t>中信保诚惠泽</w:t>
      </w:r>
      <w:r w:rsidRPr="007B6DBD">
        <w:rPr>
          <w:rFonts w:hint="eastAsia"/>
          <w:szCs w:val="21"/>
        </w:rPr>
        <w:t>18</w:t>
      </w:r>
      <w:r w:rsidRPr="007B6DBD">
        <w:rPr>
          <w:rFonts w:hint="eastAsia"/>
          <w:szCs w:val="21"/>
        </w:rPr>
        <w:t>个月定期开放债券型证券投资基金封闭期为自基金合同生效之日起（包括基金合同生效之日）或自每一开放期结束之日次日起（包括该日）</w:t>
      </w:r>
      <w:r w:rsidRPr="007B6DBD">
        <w:rPr>
          <w:rFonts w:hint="eastAsia"/>
          <w:szCs w:val="21"/>
        </w:rPr>
        <w:t>18</w:t>
      </w:r>
      <w:r w:rsidRPr="007B6DBD">
        <w:rPr>
          <w:rFonts w:hint="eastAsia"/>
          <w:szCs w:val="21"/>
        </w:rPr>
        <w:t>个月的期间。基金的首个封闭期为自基金合同生效之日起（包括基金合同生效之日）</w:t>
      </w:r>
      <w:r w:rsidRPr="007B6DBD">
        <w:rPr>
          <w:rFonts w:hint="eastAsia"/>
          <w:szCs w:val="21"/>
        </w:rPr>
        <w:t>18</w:t>
      </w:r>
      <w:r w:rsidRPr="007B6DBD">
        <w:rPr>
          <w:rFonts w:hint="eastAsia"/>
          <w:szCs w:val="21"/>
        </w:rPr>
        <w:t>个月的期间，如果封闭期到期日的次日为非工作日的，封闭期相应顺延。首个封闭期结束之后第一个工作日起（包括该日）进入首个开放期，第二个封闭期为首个开放期结束之日次日起（包括该日）</w:t>
      </w:r>
      <w:r w:rsidRPr="007B6DBD">
        <w:rPr>
          <w:rFonts w:hint="eastAsia"/>
          <w:szCs w:val="21"/>
        </w:rPr>
        <w:t>18</w:t>
      </w:r>
      <w:r w:rsidRPr="007B6DBD">
        <w:rPr>
          <w:rFonts w:hint="eastAsia"/>
          <w:szCs w:val="21"/>
        </w:rPr>
        <w:t>个月的期间，如果封闭期到期日的次日为非工作日的，封闭期相应顺延，以此类推。基金封闭期内不办理申购与赎回业务，也不上市交易。基金自每个封闭期结束之后第一个工作日起（包括该日）进入开放期。投资人办理基金份额的申购和赎回等业务的开放日为本基金开放期的每个工作日。基金每个开放期不少于</w:t>
      </w:r>
      <w:r w:rsidRPr="007B6DBD">
        <w:rPr>
          <w:rFonts w:hint="eastAsia"/>
          <w:szCs w:val="21"/>
        </w:rPr>
        <w:t>5</w:t>
      </w:r>
      <w:r w:rsidRPr="007B6DBD">
        <w:rPr>
          <w:rFonts w:hint="eastAsia"/>
          <w:szCs w:val="21"/>
        </w:rPr>
        <w:t>个工作日且不超过</w:t>
      </w:r>
      <w:r w:rsidRPr="007B6DBD">
        <w:rPr>
          <w:rFonts w:hint="eastAsia"/>
          <w:szCs w:val="21"/>
        </w:rPr>
        <w:t>20</w:t>
      </w:r>
      <w:r w:rsidRPr="007B6DBD">
        <w:rPr>
          <w:rFonts w:hint="eastAsia"/>
          <w:szCs w:val="21"/>
        </w:rPr>
        <w:t>个工作日，开放期的具体时间以基金管理人届时公告为准。</w:t>
      </w:r>
    </w:p>
    <w:p w:rsidR="007B6DBD" w:rsidRPr="007B6DBD" w:rsidRDefault="007B6DBD" w:rsidP="007B6DBD">
      <w:pPr>
        <w:spacing w:line="360" w:lineRule="auto"/>
        <w:ind w:firstLineChars="200" w:firstLine="420"/>
        <w:rPr>
          <w:szCs w:val="21"/>
        </w:rPr>
      </w:pPr>
      <w:r w:rsidRPr="007B6DBD">
        <w:rPr>
          <w:rFonts w:hint="eastAsia"/>
          <w:szCs w:val="21"/>
        </w:rPr>
        <w:t>如封闭期结束后或在开放期内发生不可抗力或其他情形致使基金无法按时开放申购与赎回业务，或依据基金合同需暂停申购或赎回业务的，开放期时间顺延，直至满足开放期的时间要求，具体时间以基金管理人届时公告为准。</w:t>
      </w:r>
    </w:p>
    <w:p w:rsidR="00482D87" w:rsidRPr="00A8720A" w:rsidRDefault="007B6DBD" w:rsidP="007B6DBD">
      <w:pPr>
        <w:spacing w:line="360" w:lineRule="auto"/>
        <w:ind w:firstLineChars="200" w:firstLine="420"/>
        <w:rPr>
          <w:szCs w:val="21"/>
        </w:rPr>
      </w:pPr>
      <w:r w:rsidRPr="007B6DBD">
        <w:rPr>
          <w:rFonts w:hint="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开放期内下一开放日基金份额申购、赎回的价格；但若投资人在开放期最后一日业务办理时间结束之后提出申购、赎回或者转换申请的，视为无效申请。</w:t>
      </w:r>
    </w:p>
    <w:p w:rsidR="00FB446F" w:rsidRPr="00F0367D" w:rsidRDefault="00FB446F" w:rsidP="00973807">
      <w:pPr>
        <w:widowControl/>
        <w:numPr>
          <w:ilvl w:val="0"/>
          <w:numId w:val="2"/>
        </w:numPr>
        <w:spacing w:before="100" w:beforeAutospacing="1" w:after="100" w:afterAutospacing="1" w:line="360" w:lineRule="auto"/>
        <w:ind w:left="0" w:firstLineChars="200" w:firstLine="482"/>
        <w:rPr>
          <w:rFonts w:ascii="Times New Roman" w:eastAsia="宋体" w:hAnsi="Times New Roman" w:cs="Times New Roman"/>
          <w:b/>
          <w:bCs/>
          <w:kern w:val="0"/>
          <w:sz w:val="24"/>
          <w:szCs w:val="24"/>
        </w:rPr>
      </w:pPr>
      <w:r w:rsidRPr="00F0367D">
        <w:rPr>
          <w:rFonts w:ascii="Times New Roman" w:eastAsia="宋体" w:hAnsi="Times New Roman" w:cs="Times New Roman" w:hint="eastAsia"/>
          <w:b/>
          <w:bCs/>
          <w:kern w:val="0"/>
          <w:sz w:val="24"/>
          <w:szCs w:val="24"/>
        </w:rPr>
        <w:t>关于基金合同等法律文件的修订</w:t>
      </w:r>
    </w:p>
    <w:p w:rsidR="005F4525" w:rsidRPr="005F4525" w:rsidRDefault="005F4525" w:rsidP="005F4525">
      <w:pPr>
        <w:spacing w:line="360" w:lineRule="auto"/>
        <w:ind w:firstLineChars="200" w:firstLine="420"/>
        <w:rPr>
          <w:szCs w:val="21"/>
        </w:rPr>
      </w:pPr>
      <w:r w:rsidRPr="005F4525">
        <w:rPr>
          <w:rFonts w:hint="eastAsia"/>
          <w:szCs w:val="21"/>
        </w:rPr>
        <w:t>根据《信诚惠泽债券型证券投资基金（</w:t>
      </w:r>
      <w:r w:rsidRPr="005F4525">
        <w:rPr>
          <w:rFonts w:hint="eastAsia"/>
          <w:szCs w:val="21"/>
        </w:rPr>
        <w:t>LOF</w:t>
      </w:r>
      <w:r w:rsidRPr="005F4525">
        <w:rPr>
          <w:rFonts w:hint="eastAsia"/>
          <w:szCs w:val="21"/>
        </w:rPr>
        <w:t>）转型方案说明书》，经与基金托管人协商一致，基金管理人已就上述审议本基金转型方案及基金合同修改等相关事宜报中国证监会进行变更注册。</w:t>
      </w:r>
    </w:p>
    <w:p w:rsidR="0030105B" w:rsidRPr="00A8720A" w:rsidRDefault="005F4525" w:rsidP="005F4525">
      <w:pPr>
        <w:spacing w:line="360" w:lineRule="auto"/>
        <w:ind w:firstLineChars="200" w:firstLine="420"/>
        <w:rPr>
          <w:szCs w:val="21"/>
        </w:rPr>
      </w:pPr>
      <w:r w:rsidRPr="005F4525">
        <w:rPr>
          <w:rFonts w:hint="eastAsia"/>
          <w:szCs w:val="21"/>
        </w:rPr>
        <w:t>基金管理人已根据基金份额持有人大会决议，对《信诚惠泽债券型证券投资基金（</w:t>
      </w:r>
      <w:r w:rsidRPr="005F4525">
        <w:rPr>
          <w:rFonts w:hint="eastAsia"/>
          <w:szCs w:val="21"/>
        </w:rPr>
        <w:t>LOF</w:t>
      </w:r>
      <w:r w:rsidRPr="005F4525">
        <w:rPr>
          <w:rFonts w:hint="eastAsia"/>
          <w:szCs w:val="21"/>
        </w:rPr>
        <w:t>）基金合同》、《信诚惠泽债券型证券投资基金（</w:t>
      </w:r>
      <w:r w:rsidRPr="005F4525">
        <w:rPr>
          <w:rFonts w:hint="eastAsia"/>
          <w:szCs w:val="21"/>
        </w:rPr>
        <w:t>LOF</w:t>
      </w:r>
      <w:r w:rsidRPr="005F4525">
        <w:rPr>
          <w:rFonts w:hint="eastAsia"/>
          <w:szCs w:val="21"/>
        </w:rPr>
        <w:t>）托管协议》、《信诚惠泽债券型证券投资基金（</w:t>
      </w:r>
      <w:r w:rsidRPr="005F4525">
        <w:rPr>
          <w:rFonts w:hint="eastAsia"/>
          <w:szCs w:val="21"/>
        </w:rPr>
        <w:t>LOF</w:t>
      </w:r>
      <w:r w:rsidRPr="005F4525">
        <w:rPr>
          <w:rFonts w:hint="eastAsia"/>
          <w:szCs w:val="21"/>
        </w:rPr>
        <w:t>）招募说明书》分别修改为《中信保诚惠泽</w:t>
      </w:r>
      <w:r w:rsidRPr="005F4525">
        <w:rPr>
          <w:rFonts w:hint="eastAsia"/>
          <w:szCs w:val="21"/>
        </w:rPr>
        <w:t>18</w:t>
      </w:r>
      <w:r w:rsidRPr="005F4525">
        <w:rPr>
          <w:rFonts w:hint="eastAsia"/>
          <w:szCs w:val="21"/>
        </w:rPr>
        <w:t>个月定期开放债券型证券投资基金基金合同》、《中信保诚惠泽</w:t>
      </w:r>
      <w:r w:rsidRPr="005F4525">
        <w:rPr>
          <w:rFonts w:hint="eastAsia"/>
          <w:szCs w:val="21"/>
        </w:rPr>
        <w:t>18</w:t>
      </w:r>
      <w:r w:rsidRPr="005F4525">
        <w:rPr>
          <w:rFonts w:hint="eastAsia"/>
          <w:szCs w:val="21"/>
        </w:rPr>
        <w:t>个月定期开放债券型证券投资基金托管协议》、《中信保诚惠泽</w:t>
      </w:r>
      <w:r w:rsidRPr="005F4525">
        <w:rPr>
          <w:rFonts w:hint="eastAsia"/>
          <w:szCs w:val="21"/>
        </w:rPr>
        <w:t>18</w:t>
      </w:r>
      <w:r w:rsidRPr="005F4525">
        <w:rPr>
          <w:rFonts w:hint="eastAsia"/>
          <w:szCs w:val="21"/>
        </w:rPr>
        <w:t>个月定期开放债券型证券投资基金招募说明书》，并经中国证监会证监许可</w:t>
      </w:r>
      <w:r w:rsidRPr="005F4525">
        <w:rPr>
          <w:rFonts w:hint="eastAsia"/>
          <w:szCs w:val="21"/>
        </w:rPr>
        <w:t>[2018]1172</w:t>
      </w:r>
      <w:r w:rsidRPr="005F4525">
        <w:rPr>
          <w:rFonts w:hint="eastAsia"/>
          <w:szCs w:val="21"/>
        </w:rPr>
        <w:t>号《关于准予信诚惠泽债券型证券投资基金（</w:t>
      </w:r>
      <w:r w:rsidRPr="005F4525">
        <w:rPr>
          <w:rFonts w:hint="eastAsia"/>
          <w:szCs w:val="21"/>
        </w:rPr>
        <w:t>LOF</w:t>
      </w:r>
      <w:r w:rsidRPr="005F4525">
        <w:rPr>
          <w:rFonts w:hint="eastAsia"/>
          <w:szCs w:val="21"/>
        </w:rPr>
        <w:t>）变更注册的批复》准予变更注册。本基金管理人将在网站上公布经修改后的上述基金的基金合同、托管协议、招募说明书。修订和更新后的文件将于集中选择赎回期结束后的下一个工作日即</w:t>
      </w:r>
      <w:r w:rsidRPr="005F4525">
        <w:rPr>
          <w:rFonts w:hint="eastAsia"/>
          <w:szCs w:val="21"/>
        </w:rPr>
        <w:t>2018</w:t>
      </w:r>
      <w:r w:rsidRPr="005F4525">
        <w:rPr>
          <w:rFonts w:hint="eastAsia"/>
          <w:szCs w:val="21"/>
        </w:rPr>
        <w:t>年</w:t>
      </w:r>
      <w:r w:rsidRPr="005F4525">
        <w:rPr>
          <w:rFonts w:hint="eastAsia"/>
          <w:szCs w:val="21"/>
        </w:rPr>
        <w:t>10</w:t>
      </w:r>
      <w:r w:rsidRPr="005F4525">
        <w:rPr>
          <w:rFonts w:hint="eastAsia"/>
          <w:szCs w:val="21"/>
        </w:rPr>
        <w:t>月</w:t>
      </w:r>
      <w:r w:rsidRPr="005F4525">
        <w:rPr>
          <w:rFonts w:hint="eastAsia"/>
          <w:szCs w:val="21"/>
        </w:rPr>
        <w:t>12</w:t>
      </w:r>
      <w:r w:rsidRPr="005F4525">
        <w:rPr>
          <w:rFonts w:hint="eastAsia"/>
          <w:szCs w:val="21"/>
        </w:rPr>
        <w:t>日生效，本基金即自该日起正式实施转型。自</w:t>
      </w:r>
      <w:r w:rsidRPr="005F4525">
        <w:rPr>
          <w:rFonts w:hint="eastAsia"/>
          <w:szCs w:val="21"/>
        </w:rPr>
        <w:t>2018</w:t>
      </w:r>
      <w:r w:rsidRPr="005F4525">
        <w:rPr>
          <w:rFonts w:hint="eastAsia"/>
          <w:szCs w:val="21"/>
        </w:rPr>
        <w:t>年</w:t>
      </w:r>
      <w:r w:rsidRPr="005F4525">
        <w:rPr>
          <w:rFonts w:hint="eastAsia"/>
          <w:szCs w:val="21"/>
        </w:rPr>
        <w:t>10</w:t>
      </w:r>
      <w:r w:rsidRPr="005F4525">
        <w:rPr>
          <w:rFonts w:hint="eastAsia"/>
          <w:szCs w:val="21"/>
        </w:rPr>
        <w:t>月</w:t>
      </w:r>
      <w:r w:rsidRPr="005F4525">
        <w:rPr>
          <w:rFonts w:hint="eastAsia"/>
          <w:szCs w:val="21"/>
        </w:rPr>
        <w:t>12</w:t>
      </w:r>
      <w:r w:rsidRPr="005F4525">
        <w:rPr>
          <w:rFonts w:hint="eastAsia"/>
          <w:szCs w:val="21"/>
        </w:rPr>
        <w:t>日起，本基金的基金名称由“信诚惠泽债券型证券投资基金（</w:t>
      </w:r>
      <w:r w:rsidRPr="005F4525">
        <w:rPr>
          <w:rFonts w:hint="eastAsia"/>
          <w:szCs w:val="21"/>
        </w:rPr>
        <w:t>LOF</w:t>
      </w:r>
      <w:r w:rsidRPr="005F4525">
        <w:rPr>
          <w:rFonts w:hint="eastAsia"/>
          <w:szCs w:val="21"/>
        </w:rPr>
        <w:t>）”变更为“中信保诚惠泽</w:t>
      </w:r>
      <w:r w:rsidRPr="005F4525">
        <w:rPr>
          <w:rFonts w:hint="eastAsia"/>
          <w:szCs w:val="21"/>
        </w:rPr>
        <w:t>18</w:t>
      </w:r>
      <w:r w:rsidRPr="005F4525">
        <w:rPr>
          <w:rFonts w:hint="eastAsia"/>
          <w:szCs w:val="21"/>
        </w:rPr>
        <w:t>个月定期开放债券型证券投资基金”。自</w:t>
      </w:r>
      <w:r w:rsidRPr="005F4525">
        <w:rPr>
          <w:rFonts w:hint="eastAsia"/>
          <w:szCs w:val="21"/>
        </w:rPr>
        <w:t>2018</w:t>
      </w:r>
      <w:r w:rsidRPr="005F4525">
        <w:rPr>
          <w:rFonts w:hint="eastAsia"/>
          <w:szCs w:val="21"/>
        </w:rPr>
        <w:t>年</w:t>
      </w:r>
      <w:r w:rsidRPr="005F4525">
        <w:rPr>
          <w:rFonts w:hint="eastAsia"/>
          <w:szCs w:val="21"/>
        </w:rPr>
        <w:t>10</w:t>
      </w:r>
      <w:r w:rsidRPr="005F4525">
        <w:rPr>
          <w:rFonts w:hint="eastAsia"/>
          <w:szCs w:val="21"/>
        </w:rPr>
        <w:t>月</w:t>
      </w:r>
      <w:r w:rsidRPr="005F4525">
        <w:rPr>
          <w:rFonts w:hint="eastAsia"/>
          <w:szCs w:val="21"/>
        </w:rPr>
        <w:t>12</w:t>
      </w:r>
      <w:r w:rsidRPr="005F4525">
        <w:rPr>
          <w:rFonts w:hint="eastAsia"/>
          <w:szCs w:val="21"/>
        </w:rPr>
        <w:t>日起，《中信保诚惠泽</w:t>
      </w:r>
      <w:r w:rsidRPr="005F4525">
        <w:rPr>
          <w:rFonts w:hint="eastAsia"/>
          <w:szCs w:val="21"/>
        </w:rPr>
        <w:t>18</w:t>
      </w:r>
      <w:r w:rsidRPr="005F4525">
        <w:rPr>
          <w:rFonts w:hint="eastAsia"/>
          <w:szCs w:val="21"/>
        </w:rPr>
        <w:t>个月定期开放债券型证券投资基金基金合同》、《中信保诚惠泽</w:t>
      </w:r>
      <w:r w:rsidRPr="005F4525">
        <w:rPr>
          <w:rFonts w:hint="eastAsia"/>
          <w:szCs w:val="21"/>
        </w:rPr>
        <w:t>18</w:t>
      </w:r>
      <w:r w:rsidRPr="005F4525">
        <w:rPr>
          <w:rFonts w:hint="eastAsia"/>
          <w:szCs w:val="21"/>
        </w:rPr>
        <w:t>个月定期开放债券型证券投资基金托管协议》、《中信保诚惠泽</w:t>
      </w:r>
      <w:r w:rsidRPr="005F4525">
        <w:rPr>
          <w:rFonts w:hint="eastAsia"/>
          <w:szCs w:val="21"/>
        </w:rPr>
        <w:t>18</w:t>
      </w:r>
      <w:r w:rsidRPr="005F4525">
        <w:rPr>
          <w:rFonts w:hint="eastAsia"/>
          <w:szCs w:val="21"/>
        </w:rPr>
        <w:t>个月定期开放债券型证券投资基金招募说明书》生效，原《信诚惠泽债券型证券投资基金（</w:t>
      </w:r>
      <w:r w:rsidRPr="005F4525">
        <w:rPr>
          <w:rFonts w:hint="eastAsia"/>
          <w:szCs w:val="21"/>
        </w:rPr>
        <w:t>LOF</w:t>
      </w:r>
      <w:r w:rsidRPr="005F4525">
        <w:rPr>
          <w:rFonts w:hint="eastAsia"/>
          <w:szCs w:val="21"/>
        </w:rPr>
        <w:t>）基金合同》、《信诚惠泽债券型证券投资基金（</w:t>
      </w:r>
      <w:r w:rsidRPr="005F4525">
        <w:rPr>
          <w:rFonts w:hint="eastAsia"/>
          <w:szCs w:val="21"/>
        </w:rPr>
        <w:t>LOF</w:t>
      </w:r>
      <w:r w:rsidRPr="005F4525">
        <w:rPr>
          <w:rFonts w:hint="eastAsia"/>
          <w:szCs w:val="21"/>
        </w:rPr>
        <w:t>）托管协议》、《信诚惠泽债券型证券投资基金（</w:t>
      </w:r>
      <w:r w:rsidRPr="005F4525">
        <w:rPr>
          <w:rFonts w:hint="eastAsia"/>
          <w:szCs w:val="21"/>
        </w:rPr>
        <w:t>LOF</w:t>
      </w:r>
      <w:r w:rsidRPr="005F4525">
        <w:rPr>
          <w:rFonts w:hint="eastAsia"/>
          <w:szCs w:val="21"/>
        </w:rPr>
        <w:t>）招募说明书》将自同一日起失效。</w:t>
      </w:r>
      <w:r w:rsidR="0030105B">
        <w:rPr>
          <w:szCs w:val="21"/>
        </w:rPr>
        <w:t>本基金的基金合同当事人将按照《</w:t>
      </w:r>
      <w:r w:rsidRPr="005F4525">
        <w:rPr>
          <w:rFonts w:hint="eastAsia"/>
          <w:szCs w:val="21"/>
        </w:rPr>
        <w:t>中信保诚惠泽</w:t>
      </w:r>
      <w:r w:rsidRPr="005F4525">
        <w:rPr>
          <w:rFonts w:hint="eastAsia"/>
          <w:szCs w:val="21"/>
        </w:rPr>
        <w:t>18</w:t>
      </w:r>
      <w:r w:rsidRPr="005F4525">
        <w:rPr>
          <w:rFonts w:hint="eastAsia"/>
          <w:szCs w:val="21"/>
        </w:rPr>
        <w:t>个月定期开放债券型证券投资基金</w:t>
      </w:r>
      <w:r w:rsidR="0030105B" w:rsidRPr="00A8720A">
        <w:rPr>
          <w:rFonts w:hint="eastAsia"/>
          <w:szCs w:val="21"/>
        </w:rPr>
        <w:t>基金合同</w:t>
      </w:r>
      <w:r w:rsidR="0030105B">
        <w:rPr>
          <w:szCs w:val="21"/>
        </w:rPr>
        <w:t>》享有权利并承担义务。</w:t>
      </w:r>
    </w:p>
    <w:p w:rsidR="009B6D10" w:rsidRPr="00A8720A" w:rsidRDefault="00401089" w:rsidP="00A8720A">
      <w:pPr>
        <w:spacing w:line="360" w:lineRule="auto"/>
        <w:ind w:firstLineChars="200" w:firstLine="420"/>
        <w:rPr>
          <w:szCs w:val="21"/>
        </w:rPr>
      </w:pPr>
      <w:r w:rsidRPr="00A8720A">
        <w:rPr>
          <w:szCs w:val="21"/>
        </w:rPr>
        <w:t>本基金管理人将在网站上公布经修改后的</w:t>
      </w:r>
      <w:r w:rsidRPr="00A8720A">
        <w:rPr>
          <w:rFonts w:hint="eastAsia"/>
          <w:szCs w:val="21"/>
        </w:rPr>
        <w:t>上述</w:t>
      </w:r>
      <w:r w:rsidRPr="00A8720A">
        <w:rPr>
          <w:szCs w:val="21"/>
        </w:rPr>
        <w:t>基金</w:t>
      </w:r>
      <w:r w:rsidRPr="00A8720A">
        <w:rPr>
          <w:rFonts w:hint="eastAsia"/>
          <w:szCs w:val="21"/>
        </w:rPr>
        <w:t>的基金合同、托管协议、招募说明书。</w:t>
      </w:r>
      <w:r w:rsidR="009B6D10" w:rsidRPr="00A8720A">
        <w:rPr>
          <w:szCs w:val="21"/>
        </w:rPr>
        <w:t>敬请投资者详阅</w:t>
      </w:r>
      <w:r w:rsidR="005F4525" w:rsidRPr="005F4525">
        <w:rPr>
          <w:rFonts w:hint="eastAsia"/>
          <w:szCs w:val="21"/>
        </w:rPr>
        <w:t>中信保诚惠泽</w:t>
      </w:r>
      <w:r w:rsidR="005F4525" w:rsidRPr="005F4525">
        <w:rPr>
          <w:rFonts w:hint="eastAsia"/>
          <w:szCs w:val="21"/>
        </w:rPr>
        <w:t>18</w:t>
      </w:r>
      <w:r w:rsidR="005F4525" w:rsidRPr="005F4525">
        <w:rPr>
          <w:rFonts w:hint="eastAsia"/>
          <w:szCs w:val="21"/>
        </w:rPr>
        <w:t>个月定期开放债券型证券投资基金</w:t>
      </w:r>
      <w:r w:rsidR="009B6D10" w:rsidRPr="00A8720A">
        <w:rPr>
          <w:szCs w:val="21"/>
        </w:rPr>
        <w:t>相</w:t>
      </w:r>
      <w:bookmarkStart w:id="0" w:name="_GoBack"/>
      <w:bookmarkEnd w:id="0"/>
      <w:r w:rsidR="009B6D10" w:rsidRPr="00A8720A">
        <w:rPr>
          <w:szCs w:val="21"/>
        </w:rPr>
        <w:t>关法律文件，妥善做出投资安排。</w:t>
      </w:r>
    </w:p>
    <w:p w:rsidR="00FB446F" w:rsidRPr="00A8720A" w:rsidRDefault="00E538C0" w:rsidP="00A8720A">
      <w:pPr>
        <w:spacing w:line="360" w:lineRule="auto"/>
        <w:ind w:firstLineChars="200" w:firstLine="420"/>
        <w:rPr>
          <w:szCs w:val="21"/>
        </w:rPr>
      </w:pPr>
      <w:r w:rsidRPr="00A8720A">
        <w:rPr>
          <w:rFonts w:hint="eastAsia"/>
          <w:szCs w:val="21"/>
        </w:rPr>
        <w:t>投资者欲了解详情，请登录本基金管理人网站：</w:t>
      </w:r>
      <w:hyperlink r:id="rId7" w:history="1">
        <w:r w:rsidR="005F4525" w:rsidRPr="00ED3B09">
          <w:rPr>
            <w:rStyle w:val="a3"/>
            <w:color w:val="auto"/>
            <w:szCs w:val="21"/>
          </w:rPr>
          <w:t>www.citicprufunds.com</w:t>
        </w:r>
      </w:hyperlink>
      <w:r w:rsidR="005F4525" w:rsidRPr="00ED3B09">
        <w:rPr>
          <w:rFonts w:hint="eastAsia"/>
          <w:szCs w:val="21"/>
        </w:rPr>
        <w:t>.c</w:t>
      </w:r>
      <w:r w:rsidR="005F4525">
        <w:rPr>
          <w:rFonts w:hint="eastAsia"/>
          <w:szCs w:val="21"/>
        </w:rPr>
        <w:t>n</w:t>
      </w:r>
      <w:r w:rsidRPr="00A8720A">
        <w:rPr>
          <w:szCs w:val="21"/>
        </w:rPr>
        <w:t>或拨打客服电话：</w:t>
      </w:r>
      <w:r w:rsidRPr="00A8720A">
        <w:rPr>
          <w:szCs w:val="21"/>
        </w:rPr>
        <w:t>400-666-0066</w:t>
      </w:r>
      <w:r w:rsidRPr="00A8720A">
        <w:rPr>
          <w:szCs w:val="21"/>
        </w:rPr>
        <w:t>进行咨询。</w:t>
      </w:r>
    </w:p>
    <w:p w:rsidR="00E538C0" w:rsidRPr="00FB446F" w:rsidRDefault="00E538C0" w:rsidP="00365559">
      <w:pPr>
        <w:pStyle w:val="a8"/>
        <w:adjustRightInd w:val="0"/>
        <w:snapToGrid w:val="0"/>
        <w:spacing w:before="0" w:beforeAutospacing="0" w:after="0" w:afterAutospacing="0" w:line="360" w:lineRule="auto"/>
        <w:ind w:firstLineChars="200" w:firstLine="420"/>
        <w:jc w:val="both"/>
        <w:rPr>
          <w:rFonts w:asciiTheme="minorEastAsia" w:eastAsiaTheme="minorEastAsia" w:hAnsiTheme="minorEastAsia" w:cs="Times New Roman"/>
          <w:sz w:val="21"/>
          <w:szCs w:val="21"/>
        </w:rPr>
      </w:pPr>
    </w:p>
    <w:p w:rsidR="00FB446F" w:rsidRPr="00A8720A" w:rsidRDefault="00FB446F" w:rsidP="00A8720A">
      <w:pPr>
        <w:spacing w:line="360" w:lineRule="auto"/>
        <w:ind w:firstLineChars="200" w:firstLine="422"/>
        <w:rPr>
          <w:b/>
          <w:szCs w:val="21"/>
        </w:rPr>
      </w:pPr>
      <w:r w:rsidRPr="00A8720A">
        <w:rPr>
          <w:rFonts w:hint="eastAsia"/>
          <w:b/>
          <w:szCs w:val="21"/>
        </w:rPr>
        <w:t>风险提示：</w:t>
      </w:r>
    </w:p>
    <w:p w:rsidR="00FB446F" w:rsidRPr="00A8720A" w:rsidRDefault="00FB446F" w:rsidP="00A8720A">
      <w:pPr>
        <w:spacing w:line="360" w:lineRule="auto"/>
        <w:ind w:firstLineChars="200" w:firstLine="420"/>
        <w:rPr>
          <w:szCs w:val="21"/>
        </w:rPr>
      </w:pPr>
      <w:r w:rsidRPr="00A8720A">
        <w:rPr>
          <w:rFonts w:hint="eastAsia"/>
          <w:szCs w:val="21"/>
        </w:rPr>
        <w:t>基金管理人承诺依照诚实信用、勤勉尽职的原则管理和运用基金资产，但不保证基金一定盈利，也不保证最低收益。基金的过往业绩及其净值高低并不预示其未来业绩表现。基金管理人提醒投资者基金投资的</w:t>
      </w:r>
      <w:r w:rsidRPr="00A8720A">
        <w:rPr>
          <w:szCs w:val="21"/>
        </w:rPr>
        <w:t>“</w:t>
      </w:r>
      <w:r w:rsidRPr="00A8720A">
        <w:rPr>
          <w:rFonts w:hint="eastAsia"/>
          <w:szCs w:val="21"/>
        </w:rPr>
        <w:t>买者自负</w:t>
      </w:r>
      <w:r w:rsidRPr="00A8720A">
        <w:rPr>
          <w:szCs w:val="21"/>
        </w:rPr>
        <w:t>”</w:t>
      </w:r>
      <w:r w:rsidRPr="00A8720A">
        <w:rPr>
          <w:rFonts w:hint="eastAsia"/>
          <w:szCs w:val="21"/>
        </w:rPr>
        <w:t>原则，在做出投资决策后，基金运营状况与基金净值变化引致的投资风险，由投资者自行负担。</w:t>
      </w:r>
    </w:p>
    <w:p w:rsidR="00324C2A" w:rsidRPr="00A8720A" w:rsidRDefault="0040152B" w:rsidP="00A8720A">
      <w:pPr>
        <w:spacing w:line="360" w:lineRule="auto"/>
        <w:ind w:firstLineChars="200" w:firstLine="420"/>
        <w:rPr>
          <w:szCs w:val="21"/>
        </w:rPr>
      </w:pPr>
      <w:r>
        <w:rPr>
          <w:rFonts w:hint="eastAsia"/>
          <w:szCs w:val="21"/>
        </w:rPr>
        <w:t>投资者投资基金前应认真阅读</w:t>
      </w:r>
      <w:r w:rsidRPr="00EA33AE">
        <w:rPr>
          <w:rFonts w:hint="eastAsia"/>
          <w:szCs w:val="21"/>
        </w:rPr>
        <w:t>《</w:t>
      </w:r>
      <w:r w:rsidR="005F4525" w:rsidRPr="005F4525">
        <w:rPr>
          <w:rFonts w:hint="eastAsia"/>
          <w:szCs w:val="21"/>
        </w:rPr>
        <w:t>中信保诚惠泽</w:t>
      </w:r>
      <w:r w:rsidR="005F4525" w:rsidRPr="005F4525">
        <w:rPr>
          <w:rFonts w:hint="eastAsia"/>
          <w:szCs w:val="21"/>
        </w:rPr>
        <w:t>18</w:t>
      </w:r>
      <w:r w:rsidR="005F4525" w:rsidRPr="005F4525">
        <w:rPr>
          <w:rFonts w:hint="eastAsia"/>
          <w:szCs w:val="21"/>
        </w:rPr>
        <w:t>个月定期开放债券型证券投资基金</w:t>
      </w:r>
      <w:r w:rsidR="00FB446F" w:rsidRPr="00A8720A">
        <w:rPr>
          <w:rFonts w:hint="eastAsia"/>
          <w:szCs w:val="21"/>
        </w:rPr>
        <w:t>基金合同》、最新的《</w:t>
      </w:r>
      <w:r w:rsidR="005F4525" w:rsidRPr="005F4525">
        <w:rPr>
          <w:rFonts w:hint="eastAsia"/>
          <w:szCs w:val="21"/>
        </w:rPr>
        <w:t>中信保诚惠泽</w:t>
      </w:r>
      <w:r w:rsidR="005F4525" w:rsidRPr="005F4525">
        <w:rPr>
          <w:rFonts w:hint="eastAsia"/>
          <w:szCs w:val="21"/>
        </w:rPr>
        <w:t>18</w:t>
      </w:r>
      <w:r w:rsidR="005F4525" w:rsidRPr="005F4525">
        <w:rPr>
          <w:rFonts w:hint="eastAsia"/>
          <w:szCs w:val="21"/>
        </w:rPr>
        <w:t>个月定期开放债券型证券投资基金</w:t>
      </w:r>
      <w:r w:rsidR="00FB446F" w:rsidRPr="00A8720A">
        <w:rPr>
          <w:rFonts w:hint="eastAsia"/>
          <w:szCs w:val="21"/>
        </w:rPr>
        <w:t>招募说明书》等法律文件以及</w:t>
      </w:r>
      <w:r w:rsidRPr="00405CF3">
        <w:rPr>
          <w:rFonts w:asciiTheme="minorEastAsia" w:hAnsiTheme="minorEastAsia" w:hint="eastAsia"/>
          <w:szCs w:val="21"/>
        </w:rPr>
        <w:t>《</w:t>
      </w:r>
      <w:r w:rsidR="00C964A8">
        <w:rPr>
          <w:rFonts w:asciiTheme="minorEastAsia" w:hAnsiTheme="minorEastAsia" w:hint="eastAsia"/>
          <w:szCs w:val="21"/>
        </w:rPr>
        <w:t>中信保诚基金</w:t>
      </w:r>
      <w:r w:rsidRPr="00BD335C">
        <w:rPr>
          <w:rFonts w:asciiTheme="minorEastAsia" w:hAnsiTheme="minorEastAsia" w:hint="eastAsia"/>
          <w:szCs w:val="21"/>
        </w:rPr>
        <w:t>管理有限公司关于以通讯方式召开</w:t>
      </w:r>
      <w:r w:rsidR="00C964A8">
        <w:rPr>
          <w:rFonts w:asciiTheme="minorEastAsia" w:hAnsiTheme="minorEastAsia" w:hint="eastAsia"/>
          <w:szCs w:val="21"/>
        </w:rPr>
        <w:t>信诚惠泽债券型证券投资基金（LOF）</w:t>
      </w:r>
      <w:r w:rsidRPr="00BD335C">
        <w:rPr>
          <w:rFonts w:asciiTheme="minorEastAsia" w:hAnsiTheme="minorEastAsia" w:hint="eastAsia"/>
          <w:szCs w:val="21"/>
        </w:rPr>
        <w:t>基金份额持有人大会的公告</w:t>
      </w:r>
      <w:r w:rsidRPr="00405CF3">
        <w:rPr>
          <w:rFonts w:asciiTheme="minorEastAsia" w:hAnsiTheme="minorEastAsia" w:hint="eastAsia"/>
          <w:szCs w:val="21"/>
        </w:rPr>
        <w:t>》、《</w:t>
      </w:r>
      <w:r w:rsidRPr="00122F36">
        <w:rPr>
          <w:rFonts w:hAnsi="宋体" w:hint="eastAsia"/>
          <w:szCs w:val="21"/>
        </w:rPr>
        <w:t>关于</w:t>
      </w:r>
      <w:r w:rsidR="00C964A8">
        <w:rPr>
          <w:rFonts w:hAnsi="宋体" w:hint="eastAsia"/>
          <w:szCs w:val="21"/>
        </w:rPr>
        <w:t>信诚惠泽债券型证券投资基金（</w:t>
      </w:r>
      <w:r w:rsidR="00C964A8">
        <w:rPr>
          <w:rFonts w:hAnsi="宋体" w:hint="eastAsia"/>
          <w:szCs w:val="21"/>
        </w:rPr>
        <w:t>LOF</w:t>
      </w:r>
      <w:r w:rsidR="00C964A8">
        <w:rPr>
          <w:rFonts w:hAnsi="宋体" w:hint="eastAsia"/>
          <w:szCs w:val="21"/>
        </w:rPr>
        <w:t>）</w:t>
      </w:r>
      <w:r w:rsidRPr="00122F36">
        <w:rPr>
          <w:rFonts w:hAnsi="宋体" w:hint="eastAsia"/>
          <w:szCs w:val="21"/>
        </w:rPr>
        <w:t>转型有关事项的议案</w:t>
      </w:r>
      <w:r w:rsidRPr="00405CF3">
        <w:rPr>
          <w:rFonts w:asciiTheme="minorEastAsia" w:hAnsiTheme="minorEastAsia" w:hint="eastAsia"/>
          <w:szCs w:val="21"/>
        </w:rPr>
        <w:t>》、《</w:t>
      </w:r>
      <w:r w:rsidR="00C964A8">
        <w:rPr>
          <w:rFonts w:asciiTheme="minorEastAsia" w:hAnsiTheme="minorEastAsia" w:hint="eastAsia"/>
          <w:szCs w:val="21"/>
        </w:rPr>
        <w:t>中信保诚基金</w:t>
      </w:r>
      <w:r w:rsidRPr="0095779A">
        <w:rPr>
          <w:rFonts w:asciiTheme="minorEastAsia" w:hAnsiTheme="minorEastAsia" w:hint="eastAsia"/>
          <w:szCs w:val="21"/>
        </w:rPr>
        <w:t>管理有限公司关于</w:t>
      </w:r>
      <w:r w:rsidR="00C964A8">
        <w:rPr>
          <w:rFonts w:asciiTheme="minorEastAsia" w:hAnsiTheme="minorEastAsia" w:hint="eastAsia"/>
          <w:szCs w:val="21"/>
        </w:rPr>
        <w:t>信诚惠泽债券型证券投资基金（LOF）</w:t>
      </w:r>
      <w:r w:rsidRPr="0095779A">
        <w:rPr>
          <w:rFonts w:asciiTheme="minorEastAsia" w:hAnsiTheme="minorEastAsia" w:hint="eastAsia"/>
          <w:szCs w:val="21"/>
        </w:rPr>
        <w:t>基金份额持有人大会表决结果暨决议生效的公告</w:t>
      </w:r>
      <w:r w:rsidRPr="00405CF3">
        <w:rPr>
          <w:rFonts w:asciiTheme="minorEastAsia" w:hAnsiTheme="minorEastAsia" w:hint="eastAsia"/>
          <w:szCs w:val="21"/>
        </w:rPr>
        <w:t>》</w:t>
      </w:r>
      <w:r w:rsidR="00FB446F" w:rsidRPr="00A8720A">
        <w:rPr>
          <w:rFonts w:hint="eastAsia"/>
          <w:szCs w:val="21"/>
        </w:rPr>
        <w:t>的相关规定，了解拟投资基金的风险收益特征和转型安排，并根据自身投资目的、投资期限、投资经验、资产状况等判断基金是否和投资者的风险承受能力相匹配。</w:t>
      </w:r>
    </w:p>
    <w:p w:rsidR="00324C2A" w:rsidRPr="00A8720A" w:rsidRDefault="00324C2A" w:rsidP="00A8720A">
      <w:pPr>
        <w:spacing w:line="360" w:lineRule="auto"/>
        <w:ind w:firstLineChars="200" w:firstLine="420"/>
        <w:rPr>
          <w:szCs w:val="21"/>
        </w:rPr>
      </w:pPr>
      <w:r w:rsidRPr="00A8720A">
        <w:rPr>
          <w:szCs w:val="21"/>
        </w:rPr>
        <w:t>特此公告。</w:t>
      </w:r>
    </w:p>
    <w:p w:rsidR="00324C2A" w:rsidRDefault="00324C2A" w:rsidP="00FB446F">
      <w:pPr>
        <w:pStyle w:val="a8"/>
        <w:adjustRightInd w:val="0"/>
        <w:snapToGrid w:val="0"/>
        <w:spacing w:before="0" w:beforeAutospacing="0" w:after="0" w:afterAutospacing="0" w:line="360" w:lineRule="auto"/>
        <w:ind w:firstLineChars="200" w:firstLine="420"/>
        <w:jc w:val="both"/>
        <w:rPr>
          <w:rFonts w:asciiTheme="minorEastAsia" w:eastAsiaTheme="minorEastAsia" w:hAnsiTheme="minorEastAsia" w:cs="Times New Roman"/>
          <w:sz w:val="21"/>
          <w:szCs w:val="21"/>
        </w:rPr>
      </w:pPr>
      <w:r w:rsidRPr="00FB446F">
        <w:rPr>
          <w:rFonts w:asciiTheme="minorEastAsia" w:eastAsiaTheme="minorEastAsia" w:hAnsiTheme="minorEastAsia" w:cs="Times New Roman"/>
          <w:sz w:val="21"/>
          <w:szCs w:val="21"/>
        </w:rPr>
        <w:t> </w:t>
      </w:r>
    </w:p>
    <w:p w:rsidR="00973807" w:rsidRPr="00FB446F" w:rsidRDefault="00973807" w:rsidP="00FB446F">
      <w:pPr>
        <w:pStyle w:val="a8"/>
        <w:adjustRightInd w:val="0"/>
        <w:snapToGrid w:val="0"/>
        <w:spacing w:before="0" w:beforeAutospacing="0" w:after="0" w:afterAutospacing="0" w:line="360" w:lineRule="auto"/>
        <w:ind w:firstLineChars="200" w:firstLine="420"/>
        <w:jc w:val="both"/>
        <w:rPr>
          <w:rFonts w:asciiTheme="minorEastAsia" w:eastAsiaTheme="minorEastAsia" w:hAnsiTheme="minorEastAsia" w:cs="Times New Roman"/>
          <w:sz w:val="21"/>
          <w:szCs w:val="21"/>
        </w:rPr>
      </w:pPr>
    </w:p>
    <w:p w:rsidR="00324C2A" w:rsidRPr="00973807" w:rsidRDefault="00324C2A" w:rsidP="00973807">
      <w:pPr>
        <w:pStyle w:val="a8"/>
        <w:adjustRightInd w:val="0"/>
        <w:snapToGrid w:val="0"/>
        <w:spacing w:before="0" w:beforeAutospacing="0" w:after="0" w:afterAutospacing="0" w:line="360" w:lineRule="auto"/>
        <w:ind w:firstLineChars="200" w:firstLine="420"/>
        <w:jc w:val="both"/>
        <w:rPr>
          <w:rFonts w:asciiTheme="minorEastAsia" w:eastAsiaTheme="minorEastAsia" w:hAnsiTheme="minorEastAsia" w:cs="Times New Roman"/>
          <w:sz w:val="21"/>
          <w:szCs w:val="21"/>
        </w:rPr>
      </w:pPr>
      <w:r w:rsidRPr="00973807">
        <w:rPr>
          <w:rFonts w:asciiTheme="minorEastAsia" w:eastAsiaTheme="minorEastAsia" w:hAnsiTheme="minorEastAsia" w:cs="Times New Roman"/>
          <w:sz w:val="21"/>
          <w:szCs w:val="21"/>
        </w:rPr>
        <w:t> </w:t>
      </w:r>
    </w:p>
    <w:p w:rsidR="00E538C0" w:rsidRPr="004D3465" w:rsidRDefault="00D415EF" w:rsidP="00903DB4">
      <w:pPr>
        <w:spacing w:line="440" w:lineRule="exact"/>
        <w:ind w:firstLineChars="200" w:firstLine="420"/>
        <w:jc w:val="right"/>
        <w:rPr>
          <w:rFonts w:ascii="宋体" w:eastAsia="宋体" w:hAnsi="宋体" w:cs="Times New Roman"/>
          <w:kern w:val="0"/>
          <w:szCs w:val="21"/>
        </w:rPr>
      </w:pPr>
      <w:r>
        <w:rPr>
          <w:rFonts w:ascii="宋体" w:eastAsia="宋体" w:hAnsi="宋体" w:cs="Times New Roman" w:hint="eastAsia"/>
          <w:kern w:val="0"/>
          <w:szCs w:val="21"/>
        </w:rPr>
        <w:t>中信保诚</w:t>
      </w:r>
      <w:r w:rsidR="00E538C0" w:rsidRPr="004D3465">
        <w:rPr>
          <w:rFonts w:ascii="宋体" w:eastAsia="宋体" w:hAnsi="宋体" w:cs="Times New Roman"/>
          <w:kern w:val="0"/>
          <w:szCs w:val="21"/>
        </w:rPr>
        <w:t>基金管理有限公司</w:t>
      </w:r>
    </w:p>
    <w:p w:rsidR="00324C2A" w:rsidRPr="00E538C0" w:rsidRDefault="00E538C0" w:rsidP="00903DB4">
      <w:pPr>
        <w:spacing w:line="440" w:lineRule="exact"/>
        <w:ind w:firstLineChars="200" w:firstLine="420"/>
        <w:jc w:val="right"/>
        <w:rPr>
          <w:rFonts w:ascii="宋体" w:eastAsia="宋体" w:hAnsi="宋体" w:cs="Times New Roman"/>
          <w:kern w:val="0"/>
          <w:szCs w:val="21"/>
        </w:rPr>
      </w:pPr>
      <w:r w:rsidRPr="00E538C0">
        <w:rPr>
          <w:rFonts w:ascii="宋体" w:eastAsia="宋体" w:hAnsi="宋体" w:cs="Times New Roman" w:hint="eastAsia"/>
          <w:kern w:val="0"/>
          <w:szCs w:val="21"/>
        </w:rPr>
        <w:t>201</w:t>
      </w:r>
      <w:r w:rsidR="0040152B">
        <w:rPr>
          <w:rFonts w:ascii="宋体" w:eastAsia="宋体" w:hAnsi="宋体" w:cs="Times New Roman" w:hint="eastAsia"/>
          <w:kern w:val="0"/>
          <w:szCs w:val="21"/>
        </w:rPr>
        <w:t>8</w:t>
      </w:r>
      <w:r w:rsidRPr="00E538C0">
        <w:rPr>
          <w:rFonts w:ascii="宋体" w:eastAsia="宋体" w:hAnsi="宋体" w:cs="Times New Roman" w:hint="eastAsia"/>
          <w:kern w:val="0"/>
          <w:szCs w:val="21"/>
        </w:rPr>
        <w:t>年</w:t>
      </w:r>
      <w:r w:rsidR="00F0367D">
        <w:rPr>
          <w:rFonts w:ascii="宋体" w:eastAsia="宋体" w:hAnsi="宋体" w:cs="Times New Roman" w:hint="eastAsia"/>
          <w:kern w:val="0"/>
          <w:szCs w:val="21"/>
        </w:rPr>
        <w:t>1</w:t>
      </w:r>
      <w:r w:rsidR="005F4525">
        <w:rPr>
          <w:rFonts w:ascii="宋体" w:eastAsia="宋体" w:hAnsi="宋体" w:cs="Times New Roman" w:hint="eastAsia"/>
          <w:kern w:val="0"/>
          <w:szCs w:val="21"/>
        </w:rPr>
        <w:t>0</w:t>
      </w:r>
      <w:r w:rsidRPr="00E538C0">
        <w:rPr>
          <w:rFonts w:ascii="宋体" w:eastAsia="宋体" w:hAnsi="宋体" w:cs="Times New Roman" w:hint="eastAsia"/>
          <w:kern w:val="0"/>
          <w:szCs w:val="21"/>
        </w:rPr>
        <w:t>月</w:t>
      </w:r>
      <w:r w:rsidR="00194A16">
        <w:rPr>
          <w:rFonts w:ascii="宋体" w:eastAsia="宋体" w:hAnsi="宋体" w:cs="Times New Roman" w:hint="eastAsia"/>
          <w:kern w:val="0"/>
          <w:szCs w:val="21"/>
        </w:rPr>
        <w:t>10</w:t>
      </w:r>
      <w:r w:rsidRPr="00E538C0">
        <w:rPr>
          <w:rFonts w:ascii="宋体" w:eastAsia="宋体" w:hAnsi="宋体" w:cs="Times New Roman" w:hint="eastAsia"/>
          <w:kern w:val="0"/>
          <w:szCs w:val="21"/>
        </w:rPr>
        <w:t>日</w:t>
      </w:r>
    </w:p>
    <w:sectPr w:rsidR="00324C2A" w:rsidRPr="00E538C0" w:rsidSect="00CF7B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89" w:rsidRDefault="00892289" w:rsidP="002C3A00">
      <w:r>
        <w:separator/>
      </w:r>
    </w:p>
  </w:endnote>
  <w:endnote w:type="continuationSeparator" w:id="1">
    <w:p w:rsidR="00892289" w:rsidRDefault="00892289" w:rsidP="002C3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15357"/>
      <w:docPartObj>
        <w:docPartGallery w:val="Page Numbers (Bottom of Page)"/>
        <w:docPartUnique/>
      </w:docPartObj>
    </w:sdtPr>
    <w:sdtContent>
      <w:p w:rsidR="00F75245" w:rsidRDefault="00CD1B74">
        <w:pPr>
          <w:pStyle w:val="a5"/>
          <w:jc w:val="right"/>
        </w:pPr>
        <w:r>
          <w:fldChar w:fldCharType="begin"/>
        </w:r>
        <w:r w:rsidR="00F75245">
          <w:instrText>PAGE   \* MERGEFORMAT</w:instrText>
        </w:r>
        <w:r>
          <w:fldChar w:fldCharType="separate"/>
        </w:r>
        <w:r w:rsidR="00C32357" w:rsidRPr="00C32357">
          <w:rPr>
            <w:noProof/>
            <w:lang w:val="zh-CN"/>
          </w:rPr>
          <w:t>1</w:t>
        </w:r>
        <w:r>
          <w:fldChar w:fldCharType="end"/>
        </w:r>
      </w:p>
    </w:sdtContent>
  </w:sdt>
  <w:p w:rsidR="00F75245" w:rsidRDefault="00F752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89" w:rsidRDefault="00892289" w:rsidP="002C3A00">
      <w:r>
        <w:separator/>
      </w:r>
    </w:p>
  </w:footnote>
  <w:footnote w:type="continuationSeparator" w:id="1">
    <w:p w:rsidR="00892289" w:rsidRDefault="00892289" w:rsidP="002C3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419"/>
    <w:multiLevelType w:val="hybridMultilevel"/>
    <w:tmpl w:val="C3E0DD64"/>
    <w:lvl w:ilvl="0" w:tplc="C4E89A9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527645C"/>
    <w:multiLevelType w:val="hybridMultilevel"/>
    <w:tmpl w:val="42E0F3F8"/>
    <w:lvl w:ilvl="0" w:tplc="3F12F21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BD6033"/>
    <w:multiLevelType w:val="hybridMultilevel"/>
    <w:tmpl w:val="308A6B3E"/>
    <w:lvl w:ilvl="0" w:tplc="7F58F18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C2A"/>
    <w:rsid w:val="000302BD"/>
    <w:rsid w:val="0013533A"/>
    <w:rsid w:val="0018574B"/>
    <w:rsid w:val="00185A3B"/>
    <w:rsid w:val="00194A16"/>
    <w:rsid w:val="001C7D0C"/>
    <w:rsid w:val="001E1F69"/>
    <w:rsid w:val="00266385"/>
    <w:rsid w:val="00276B97"/>
    <w:rsid w:val="00280188"/>
    <w:rsid w:val="00296189"/>
    <w:rsid w:val="002C3A00"/>
    <w:rsid w:val="002E1052"/>
    <w:rsid w:val="002E1719"/>
    <w:rsid w:val="0030105B"/>
    <w:rsid w:val="00312E0B"/>
    <w:rsid w:val="00324C2A"/>
    <w:rsid w:val="00347973"/>
    <w:rsid w:val="003527A5"/>
    <w:rsid w:val="00365559"/>
    <w:rsid w:val="0038437A"/>
    <w:rsid w:val="003C39D8"/>
    <w:rsid w:val="003F0DCD"/>
    <w:rsid w:val="00401089"/>
    <w:rsid w:val="0040152B"/>
    <w:rsid w:val="00405CF3"/>
    <w:rsid w:val="00441E37"/>
    <w:rsid w:val="00471C91"/>
    <w:rsid w:val="00472A86"/>
    <w:rsid w:val="004737D2"/>
    <w:rsid w:val="00482D87"/>
    <w:rsid w:val="004B66C6"/>
    <w:rsid w:val="004D4694"/>
    <w:rsid w:val="004E1747"/>
    <w:rsid w:val="004E48B8"/>
    <w:rsid w:val="00500C4F"/>
    <w:rsid w:val="005120CD"/>
    <w:rsid w:val="0053768F"/>
    <w:rsid w:val="00547655"/>
    <w:rsid w:val="005541B5"/>
    <w:rsid w:val="00557640"/>
    <w:rsid w:val="0056224D"/>
    <w:rsid w:val="00572A27"/>
    <w:rsid w:val="005D627D"/>
    <w:rsid w:val="005F4525"/>
    <w:rsid w:val="005F75D7"/>
    <w:rsid w:val="00642992"/>
    <w:rsid w:val="00676704"/>
    <w:rsid w:val="006D2BEF"/>
    <w:rsid w:val="006E296B"/>
    <w:rsid w:val="00716F4F"/>
    <w:rsid w:val="0074599E"/>
    <w:rsid w:val="007941D8"/>
    <w:rsid w:val="007B6DBD"/>
    <w:rsid w:val="007C1DAB"/>
    <w:rsid w:val="007E3C26"/>
    <w:rsid w:val="007F775E"/>
    <w:rsid w:val="00806383"/>
    <w:rsid w:val="00806838"/>
    <w:rsid w:val="00832499"/>
    <w:rsid w:val="00874360"/>
    <w:rsid w:val="00892289"/>
    <w:rsid w:val="008B042F"/>
    <w:rsid w:val="008C6CE7"/>
    <w:rsid w:val="008D479D"/>
    <w:rsid w:val="00900FA9"/>
    <w:rsid w:val="00903DB4"/>
    <w:rsid w:val="00916323"/>
    <w:rsid w:val="00943705"/>
    <w:rsid w:val="0095779A"/>
    <w:rsid w:val="009622A8"/>
    <w:rsid w:val="00973807"/>
    <w:rsid w:val="00974B88"/>
    <w:rsid w:val="009B6D10"/>
    <w:rsid w:val="00A03E4C"/>
    <w:rsid w:val="00A23868"/>
    <w:rsid w:val="00A30285"/>
    <w:rsid w:val="00A4033C"/>
    <w:rsid w:val="00A43D35"/>
    <w:rsid w:val="00A53D7E"/>
    <w:rsid w:val="00A8720A"/>
    <w:rsid w:val="00A90181"/>
    <w:rsid w:val="00AC5DED"/>
    <w:rsid w:val="00B626CE"/>
    <w:rsid w:val="00BC7B20"/>
    <w:rsid w:val="00BD335C"/>
    <w:rsid w:val="00BD6C31"/>
    <w:rsid w:val="00C116F4"/>
    <w:rsid w:val="00C119E1"/>
    <w:rsid w:val="00C26500"/>
    <w:rsid w:val="00C32357"/>
    <w:rsid w:val="00C40647"/>
    <w:rsid w:val="00C6579C"/>
    <w:rsid w:val="00C964A8"/>
    <w:rsid w:val="00C97EE5"/>
    <w:rsid w:val="00CC55DC"/>
    <w:rsid w:val="00CD1B74"/>
    <w:rsid w:val="00CD3E77"/>
    <w:rsid w:val="00CE4AEE"/>
    <w:rsid w:val="00CF7B12"/>
    <w:rsid w:val="00D3213C"/>
    <w:rsid w:val="00D415EF"/>
    <w:rsid w:val="00D61BBC"/>
    <w:rsid w:val="00D65F5A"/>
    <w:rsid w:val="00D76316"/>
    <w:rsid w:val="00D80E30"/>
    <w:rsid w:val="00D87E28"/>
    <w:rsid w:val="00DD0125"/>
    <w:rsid w:val="00DD3C2C"/>
    <w:rsid w:val="00DD6AF3"/>
    <w:rsid w:val="00E0555A"/>
    <w:rsid w:val="00E057F1"/>
    <w:rsid w:val="00E059DD"/>
    <w:rsid w:val="00E06C1E"/>
    <w:rsid w:val="00E2678A"/>
    <w:rsid w:val="00E42441"/>
    <w:rsid w:val="00E538C0"/>
    <w:rsid w:val="00E53C30"/>
    <w:rsid w:val="00E86908"/>
    <w:rsid w:val="00EA2E25"/>
    <w:rsid w:val="00EB7CFF"/>
    <w:rsid w:val="00ED3B09"/>
    <w:rsid w:val="00F0367D"/>
    <w:rsid w:val="00F47D51"/>
    <w:rsid w:val="00F60C75"/>
    <w:rsid w:val="00F70506"/>
    <w:rsid w:val="00F75245"/>
    <w:rsid w:val="00FB446F"/>
    <w:rsid w:val="00FD6294"/>
    <w:rsid w:val="00FE3BFB"/>
    <w:rsid w:val="00FE6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74"/>
    <w:pPr>
      <w:widowControl w:val="0"/>
      <w:jc w:val="both"/>
    </w:pPr>
  </w:style>
  <w:style w:type="paragraph" w:styleId="3">
    <w:name w:val="heading 3"/>
    <w:basedOn w:val="a"/>
    <w:next w:val="a"/>
    <w:link w:val="3Char"/>
    <w:uiPriority w:val="9"/>
    <w:semiHidden/>
    <w:unhideWhenUsed/>
    <w:qFormat/>
    <w:rsid w:val="00CE4AE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C2A"/>
    <w:rPr>
      <w:strike w:val="0"/>
      <w:dstrike w:val="0"/>
      <w:color w:val="58595B"/>
      <w:u w:val="none"/>
      <w:effect w:val="none"/>
    </w:rPr>
  </w:style>
  <w:style w:type="paragraph" w:styleId="a4">
    <w:name w:val="header"/>
    <w:basedOn w:val="a"/>
    <w:link w:val="Char"/>
    <w:uiPriority w:val="99"/>
    <w:unhideWhenUsed/>
    <w:rsid w:val="002C3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A00"/>
    <w:rPr>
      <w:sz w:val="18"/>
      <w:szCs w:val="18"/>
    </w:rPr>
  </w:style>
  <w:style w:type="paragraph" w:styleId="a5">
    <w:name w:val="footer"/>
    <w:basedOn w:val="a"/>
    <w:link w:val="Char0"/>
    <w:uiPriority w:val="99"/>
    <w:unhideWhenUsed/>
    <w:rsid w:val="002C3A00"/>
    <w:pPr>
      <w:tabs>
        <w:tab w:val="center" w:pos="4153"/>
        <w:tab w:val="right" w:pos="8306"/>
      </w:tabs>
      <w:snapToGrid w:val="0"/>
      <w:jc w:val="left"/>
    </w:pPr>
    <w:rPr>
      <w:sz w:val="18"/>
      <w:szCs w:val="18"/>
    </w:rPr>
  </w:style>
  <w:style w:type="character" w:customStyle="1" w:styleId="Char0">
    <w:name w:val="页脚 Char"/>
    <w:basedOn w:val="a0"/>
    <w:link w:val="a5"/>
    <w:uiPriority w:val="99"/>
    <w:rsid w:val="002C3A00"/>
    <w:rPr>
      <w:sz w:val="18"/>
      <w:szCs w:val="18"/>
    </w:rPr>
  </w:style>
  <w:style w:type="paragraph" w:styleId="a6">
    <w:name w:val="Balloon Text"/>
    <w:basedOn w:val="a"/>
    <w:link w:val="Char1"/>
    <w:uiPriority w:val="99"/>
    <w:semiHidden/>
    <w:unhideWhenUsed/>
    <w:rsid w:val="002C3A00"/>
    <w:rPr>
      <w:sz w:val="18"/>
      <w:szCs w:val="18"/>
    </w:rPr>
  </w:style>
  <w:style w:type="character" w:customStyle="1" w:styleId="Char1">
    <w:name w:val="批注框文本 Char"/>
    <w:basedOn w:val="a0"/>
    <w:link w:val="a6"/>
    <w:uiPriority w:val="99"/>
    <w:semiHidden/>
    <w:rsid w:val="002C3A00"/>
    <w:rPr>
      <w:sz w:val="18"/>
      <w:szCs w:val="18"/>
    </w:rPr>
  </w:style>
  <w:style w:type="paragraph" w:styleId="a7">
    <w:name w:val="List Paragraph"/>
    <w:basedOn w:val="a"/>
    <w:uiPriority w:val="34"/>
    <w:qFormat/>
    <w:rsid w:val="00EA2E25"/>
    <w:pPr>
      <w:ind w:firstLineChars="200" w:firstLine="420"/>
    </w:pPr>
  </w:style>
  <w:style w:type="paragraph" w:styleId="a8">
    <w:name w:val="Normal (Web)"/>
    <w:basedOn w:val="a"/>
    <w:uiPriority w:val="99"/>
    <w:unhideWhenUsed/>
    <w:rsid w:val="00EA2E25"/>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B446F"/>
    <w:pPr>
      <w:widowControl w:val="0"/>
      <w:autoSpaceDE w:val="0"/>
      <w:autoSpaceDN w:val="0"/>
      <w:adjustRightInd w:val="0"/>
    </w:pPr>
    <w:rPr>
      <w:rFonts w:ascii="宋体" w:eastAsia="宋体" w:cs="宋体"/>
      <w:color w:val="000000"/>
      <w:kern w:val="0"/>
      <w:sz w:val="24"/>
      <w:szCs w:val="24"/>
    </w:rPr>
  </w:style>
  <w:style w:type="character" w:customStyle="1" w:styleId="8Char">
    <w:name w:val="样式8 Char"/>
    <w:basedOn w:val="a0"/>
    <w:link w:val="8"/>
    <w:locked/>
    <w:rsid w:val="00CE4AEE"/>
    <w:rPr>
      <w:rFonts w:ascii="黑体" w:eastAsia="黑体" w:hAnsi="黑体" w:cs="Times New Roman"/>
      <w:bCs/>
      <w:sz w:val="24"/>
      <w:szCs w:val="32"/>
    </w:rPr>
  </w:style>
  <w:style w:type="paragraph" w:customStyle="1" w:styleId="8">
    <w:name w:val="样式8"/>
    <w:basedOn w:val="3"/>
    <w:link w:val="8Char"/>
    <w:qFormat/>
    <w:rsid w:val="00CE4AEE"/>
    <w:pPr>
      <w:spacing w:before="0" w:after="0" w:line="400" w:lineRule="exact"/>
    </w:pPr>
    <w:rPr>
      <w:rFonts w:ascii="黑体" w:eastAsia="黑体" w:hAnsi="黑体" w:cs="Times New Roman"/>
      <w:b w:val="0"/>
      <w:sz w:val="24"/>
    </w:rPr>
  </w:style>
  <w:style w:type="character" w:customStyle="1" w:styleId="3Char">
    <w:name w:val="标题 3 Char"/>
    <w:basedOn w:val="a0"/>
    <w:link w:val="3"/>
    <w:uiPriority w:val="9"/>
    <w:semiHidden/>
    <w:rsid w:val="00CE4AEE"/>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CE4AE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C2A"/>
    <w:rPr>
      <w:strike w:val="0"/>
      <w:dstrike w:val="0"/>
      <w:color w:val="58595B"/>
      <w:u w:val="none"/>
      <w:effect w:val="none"/>
    </w:rPr>
  </w:style>
  <w:style w:type="paragraph" w:styleId="a4">
    <w:name w:val="header"/>
    <w:basedOn w:val="a"/>
    <w:link w:val="Char"/>
    <w:uiPriority w:val="99"/>
    <w:unhideWhenUsed/>
    <w:rsid w:val="002C3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A00"/>
    <w:rPr>
      <w:sz w:val="18"/>
      <w:szCs w:val="18"/>
    </w:rPr>
  </w:style>
  <w:style w:type="paragraph" w:styleId="a5">
    <w:name w:val="footer"/>
    <w:basedOn w:val="a"/>
    <w:link w:val="Char0"/>
    <w:uiPriority w:val="99"/>
    <w:unhideWhenUsed/>
    <w:rsid w:val="002C3A00"/>
    <w:pPr>
      <w:tabs>
        <w:tab w:val="center" w:pos="4153"/>
        <w:tab w:val="right" w:pos="8306"/>
      </w:tabs>
      <w:snapToGrid w:val="0"/>
      <w:jc w:val="left"/>
    </w:pPr>
    <w:rPr>
      <w:sz w:val="18"/>
      <w:szCs w:val="18"/>
    </w:rPr>
  </w:style>
  <w:style w:type="character" w:customStyle="1" w:styleId="Char0">
    <w:name w:val="页脚 Char"/>
    <w:basedOn w:val="a0"/>
    <w:link w:val="a5"/>
    <w:uiPriority w:val="99"/>
    <w:rsid w:val="002C3A00"/>
    <w:rPr>
      <w:sz w:val="18"/>
      <w:szCs w:val="18"/>
    </w:rPr>
  </w:style>
  <w:style w:type="paragraph" w:styleId="a6">
    <w:name w:val="Balloon Text"/>
    <w:basedOn w:val="a"/>
    <w:link w:val="Char1"/>
    <w:uiPriority w:val="99"/>
    <w:semiHidden/>
    <w:unhideWhenUsed/>
    <w:rsid w:val="002C3A00"/>
    <w:rPr>
      <w:sz w:val="18"/>
      <w:szCs w:val="18"/>
    </w:rPr>
  </w:style>
  <w:style w:type="character" w:customStyle="1" w:styleId="Char1">
    <w:name w:val="批注框文本 Char"/>
    <w:basedOn w:val="a0"/>
    <w:link w:val="a6"/>
    <w:uiPriority w:val="99"/>
    <w:semiHidden/>
    <w:rsid w:val="002C3A00"/>
    <w:rPr>
      <w:sz w:val="18"/>
      <w:szCs w:val="18"/>
    </w:rPr>
  </w:style>
  <w:style w:type="paragraph" w:styleId="a7">
    <w:name w:val="List Paragraph"/>
    <w:basedOn w:val="a"/>
    <w:uiPriority w:val="34"/>
    <w:qFormat/>
    <w:rsid w:val="00EA2E25"/>
    <w:pPr>
      <w:ind w:firstLineChars="200" w:firstLine="420"/>
    </w:pPr>
  </w:style>
  <w:style w:type="paragraph" w:styleId="a8">
    <w:name w:val="Normal (Web)"/>
    <w:basedOn w:val="a"/>
    <w:uiPriority w:val="99"/>
    <w:unhideWhenUsed/>
    <w:rsid w:val="00EA2E25"/>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B446F"/>
    <w:pPr>
      <w:widowControl w:val="0"/>
      <w:autoSpaceDE w:val="0"/>
      <w:autoSpaceDN w:val="0"/>
      <w:adjustRightInd w:val="0"/>
    </w:pPr>
    <w:rPr>
      <w:rFonts w:ascii="宋体" w:eastAsia="宋体" w:cs="宋体"/>
      <w:color w:val="000000"/>
      <w:kern w:val="0"/>
      <w:sz w:val="24"/>
      <w:szCs w:val="24"/>
    </w:rPr>
  </w:style>
  <w:style w:type="character" w:customStyle="1" w:styleId="8Char">
    <w:name w:val="样式8 Char"/>
    <w:basedOn w:val="a0"/>
    <w:link w:val="8"/>
    <w:locked/>
    <w:rsid w:val="00CE4AEE"/>
    <w:rPr>
      <w:rFonts w:ascii="黑体" w:eastAsia="黑体" w:hAnsi="黑体" w:cs="Times New Roman"/>
      <w:bCs/>
      <w:sz w:val="24"/>
      <w:szCs w:val="32"/>
    </w:rPr>
  </w:style>
  <w:style w:type="paragraph" w:customStyle="1" w:styleId="8">
    <w:name w:val="样式8"/>
    <w:basedOn w:val="3"/>
    <w:link w:val="8Char"/>
    <w:qFormat/>
    <w:rsid w:val="00CE4AEE"/>
    <w:pPr>
      <w:spacing w:before="0" w:after="0" w:line="400" w:lineRule="exact"/>
    </w:pPr>
    <w:rPr>
      <w:rFonts w:ascii="黑体" w:eastAsia="黑体" w:hAnsi="黑体" w:cs="Times New Roman"/>
      <w:b w:val="0"/>
      <w:sz w:val="24"/>
    </w:rPr>
  </w:style>
  <w:style w:type="character" w:customStyle="1" w:styleId="3Char">
    <w:name w:val="标题 3 Char"/>
    <w:basedOn w:val="a0"/>
    <w:link w:val="3"/>
    <w:uiPriority w:val="9"/>
    <w:semiHidden/>
    <w:rsid w:val="00CE4AEE"/>
    <w:rPr>
      <w:b/>
      <w:bCs/>
      <w:sz w:val="32"/>
      <w:szCs w:val="32"/>
    </w:rPr>
  </w:style>
</w:styles>
</file>

<file path=word/webSettings.xml><?xml version="1.0" encoding="utf-8"?>
<w:webSettings xmlns:r="http://schemas.openxmlformats.org/officeDocument/2006/relationships" xmlns:w="http://schemas.openxmlformats.org/wordprocessingml/2006/main">
  <w:divs>
    <w:div w:id="22945545">
      <w:bodyDiv w:val="1"/>
      <w:marLeft w:val="0"/>
      <w:marRight w:val="0"/>
      <w:marTop w:val="0"/>
      <w:marBottom w:val="0"/>
      <w:divBdr>
        <w:top w:val="none" w:sz="0" w:space="0" w:color="auto"/>
        <w:left w:val="none" w:sz="0" w:space="0" w:color="auto"/>
        <w:bottom w:val="none" w:sz="0" w:space="0" w:color="auto"/>
        <w:right w:val="none" w:sz="0" w:space="0" w:color="auto"/>
      </w:divBdr>
    </w:div>
    <w:div w:id="144517840">
      <w:bodyDiv w:val="1"/>
      <w:marLeft w:val="0"/>
      <w:marRight w:val="0"/>
      <w:marTop w:val="0"/>
      <w:marBottom w:val="0"/>
      <w:divBdr>
        <w:top w:val="none" w:sz="0" w:space="0" w:color="auto"/>
        <w:left w:val="none" w:sz="0" w:space="0" w:color="auto"/>
        <w:bottom w:val="none" w:sz="0" w:space="0" w:color="auto"/>
        <w:right w:val="none" w:sz="0" w:space="0" w:color="auto"/>
      </w:divBdr>
    </w:div>
    <w:div w:id="296301014">
      <w:bodyDiv w:val="1"/>
      <w:marLeft w:val="0"/>
      <w:marRight w:val="0"/>
      <w:marTop w:val="0"/>
      <w:marBottom w:val="0"/>
      <w:divBdr>
        <w:top w:val="none" w:sz="0" w:space="0" w:color="auto"/>
        <w:left w:val="none" w:sz="0" w:space="0" w:color="auto"/>
        <w:bottom w:val="none" w:sz="0" w:space="0" w:color="auto"/>
        <w:right w:val="none" w:sz="0" w:space="0" w:color="auto"/>
      </w:divBdr>
    </w:div>
    <w:div w:id="910312019">
      <w:bodyDiv w:val="1"/>
      <w:marLeft w:val="0"/>
      <w:marRight w:val="0"/>
      <w:marTop w:val="0"/>
      <w:marBottom w:val="0"/>
      <w:divBdr>
        <w:top w:val="none" w:sz="0" w:space="0" w:color="auto"/>
        <w:left w:val="none" w:sz="0" w:space="0" w:color="auto"/>
        <w:bottom w:val="none" w:sz="0" w:space="0" w:color="auto"/>
        <w:right w:val="none" w:sz="0" w:space="0" w:color="auto"/>
      </w:divBdr>
    </w:div>
    <w:div w:id="1694185372">
      <w:bodyDiv w:val="1"/>
      <w:marLeft w:val="0"/>
      <w:marRight w:val="0"/>
      <w:marTop w:val="0"/>
      <w:marBottom w:val="0"/>
      <w:divBdr>
        <w:top w:val="none" w:sz="0" w:space="0" w:color="auto"/>
        <w:left w:val="none" w:sz="0" w:space="0" w:color="auto"/>
        <w:bottom w:val="none" w:sz="0" w:space="0" w:color="auto"/>
        <w:right w:val="none" w:sz="0" w:space="0" w:color="auto"/>
      </w:divBdr>
    </w:div>
    <w:div w:id="1822653339">
      <w:bodyDiv w:val="1"/>
      <w:marLeft w:val="0"/>
      <w:marRight w:val="0"/>
      <w:marTop w:val="0"/>
      <w:marBottom w:val="0"/>
      <w:divBdr>
        <w:top w:val="none" w:sz="0" w:space="0" w:color="auto"/>
        <w:left w:val="none" w:sz="0" w:space="0" w:color="auto"/>
        <w:bottom w:val="none" w:sz="0" w:space="0" w:color="auto"/>
        <w:right w:val="none" w:sz="0" w:space="0" w:color="auto"/>
      </w:divBdr>
      <w:divsChild>
        <w:div w:id="219559909">
          <w:marLeft w:val="150"/>
          <w:marRight w:val="0"/>
          <w:marTop w:val="0"/>
          <w:marBottom w:val="0"/>
          <w:divBdr>
            <w:top w:val="none" w:sz="0" w:space="0" w:color="auto"/>
            <w:left w:val="none" w:sz="0" w:space="0" w:color="auto"/>
            <w:bottom w:val="none" w:sz="0" w:space="0" w:color="auto"/>
            <w:right w:val="none" w:sz="0" w:space="0" w:color="auto"/>
          </w:divBdr>
          <w:divsChild>
            <w:div w:id="1677346194">
              <w:marLeft w:val="0"/>
              <w:marRight w:val="0"/>
              <w:marTop w:val="0"/>
              <w:marBottom w:val="0"/>
              <w:divBdr>
                <w:top w:val="none" w:sz="0" w:space="0" w:color="auto"/>
                <w:left w:val="none" w:sz="0" w:space="0" w:color="auto"/>
                <w:bottom w:val="none" w:sz="0" w:space="0" w:color="auto"/>
                <w:right w:val="none" w:sz="0" w:space="0" w:color="auto"/>
              </w:divBdr>
              <w:divsChild>
                <w:div w:id="796799926">
                  <w:marLeft w:val="0"/>
                  <w:marRight w:val="0"/>
                  <w:marTop w:val="0"/>
                  <w:marBottom w:val="0"/>
                  <w:divBdr>
                    <w:top w:val="none" w:sz="0" w:space="0" w:color="auto"/>
                    <w:left w:val="none" w:sz="0" w:space="0" w:color="auto"/>
                    <w:bottom w:val="none" w:sz="0" w:space="0" w:color="auto"/>
                    <w:right w:val="none" w:sz="0" w:space="0" w:color="auto"/>
                  </w:divBdr>
                  <w:divsChild>
                    <w:div w:id="1152285718">
                      <w:marLeft w:val="0"/>
                      <w:marRight w:val="0"/>
                      <w:marTop w:val="0"/>
                      <w:marBottom w:val="0"/>
                      <w:divBdr>
                        <w:top w:val="none" w:sz="0" w:space="0" w:color="auto"/>
                        <w:left w:val="none" w:sz="0" w:space="0" w:color="auto"/>
                        <w:bottom w:val="double" w:sz="2" w:space="0" w:color="DCDDDE"/>
                        <w:right w:val="none" w:sz="0" w:space="0" w:color="auto"/>
                      </w:divBdr>
                    </w:div>
                    <w:div w:id="967709345">
                      <w:marLeft w:val="0"/>
                      <w:marRight w:val="0"/>
                      <w:marTop w:val="0"/>
                      <w:marBottom w:val="0"/>
                      <w:divBdr>
                        <w:top w:val="none" w:sz="0" w:space="0" w:color="auto"/>
                        <w:left w:val="none" w:sz="0" w:space="0" w:color="auto"/>
                        <w:bottom w:val="single" w:sz="6" w:space="15" w:color="DCDDDE"/>
                        <w:right w:val="none" w:sz="0" w:space="0" w:color="auto"/>
                      </w:divBdr>
                      <w:divsChild>
                        <w:div w:id="2026053063">
                          <w:marLeft w:val="0"/>
                          <w:marRight w:val="0"/>
                          <w:marTop w:val="0"/>
                          <w:marBottom w:val="0"/>
                          <w:divBdr>
                            <w:top w:val="none" w:sz="0" w:space="0" w:color="auto"/>
                            <w:left w:val="none" w:sz="0" w:space="0" w:color="auto"/>
                            <w:bottom w:val="none" w:sz="0" w:space="0" w:color="auto"/>
                            <w:right w:val="none" w:sz="0" w:space="0" w:color="auto"/>
                          </w:divBdr>
                        </w:div>
                        <w:div w:id="1751734988">
                          <w:marLeft w:val="0"/>
                          <w:marRight w:val="0"/>
                          <w:marTop w:val="0"/>
                          <w:marBottom w:val="0"/>
                          <w:divBdr>
                            <w:top w:val="none" w:sz="0" w:space="0" w:color="auto"/>
                            <w:left w:val="none" w:sz="0" w:space="0" w:color="auto"/>
                            <w:bottom w:val="none" w:sz="0" w:space="0" w:color="auto"/>
                            <w:right w:val="none" w:sz="0" w:space="0" w:color="auto"/>
                          </w:divBdr>
                        </w:div>
                        <w:div w:id="1632904298">
                          <w:marLeft w:val="0"/>
                          <w:marRight w:val="0"/>
                          <w:marTop w:val="0"/>
                          <w:marBottom w:val="0"/>
                          <w:divBdr>
                            <w:top w:val="none" w:sz="0" w:space="0" w:color="auto"/>
                            <w:left w:val="none" w:sz="0" w:space="0" w:color="auto"/>
                            <w:bottom w:val="none" w:sz="0" w:space="0" w:color="auto"/>
                            <w:right w:val="none" w:sz="0" w:space="0" w:color="auto"/>
                          </w:divBdr>
                        </w:div>
                        <w:div w:id="2128502425">
                          <w:marLeft w:val="0"/>
                          <w:marRight w:val="0"/>
                          <w:marTop w:val="0"/>
                          <w:marBottom w:val="0"/>
                          <w:divBdr>
                            <w:top w:val="none" w:sz="0" w:space="0" w:color="auto"/>
                            <w:left w:val="none" w:sz="0" w:space="0" w:color="auto"/>
                            <w:bottom w:val="none" w:sz="0" w:space="0" w:color="auto"/>
                            <w:right w:val="none" w:sz="0" w:space="0" w:color="auto"/>
                          </w:divBdr>
                        </w:div>
                        <w:div w:id="744105643">
                          <w:marLeft w:val="0"/>
                          <w:marRight w:val="0"/>
                          <w:marTop w:val="0"/>
                          <w:marBottom w:val="0"/>
                          <w:divBdr>
                            <w:top w:val="none" w:sz="0" w:space="0" w:color="auto"/>
                            <w:left w:val="none" w:sz="0" w:space="0" w:color="auto"/>
                            <w:bottom w:val="none" w:sz="0" w:space="0" w:color="auto"/>
                            <w:right w:val="none" w:sz="0" w:space="0" w:color="auto"/>
                          </w:divBdr>
                        </w:div>
                        <w:div w:id="310137093">
                          <w:marLeft w:val="0"/>
                          <w:marRight w:val="0"/>
                          <w:marTop w:val="0"/>
                          <w:marBottom w:val="0"/>
                          <w:divBdr>
                            <w:top w:val="none" w:sz="0" w:space="0" w:color="auto"/>
                            <w:left w:val="none" w:sz="0" w:space="0" w:color="auto"/>
                            <w:bottom w:val="none" w:sz="0" w:space="0" w:color="auto"/>
                            <w:right w:val="none" w:sz="0" w:space="0" w:color="auto"/>
                          </w:divBdr>
                        </w:div>
                        <w:div w:id="1243491263">
                          <w:marLeft w:val="0"/>
                          <w:marRight w:val="0"/>
                          <w:marTop w:val="0"/>
                          <w:marBottom w:val="0"/>
                          <w:divBdr>
                            <w:top w:val="none" w:sz="0" w:space="0" w:color="auto"/>
                            <w:left w:val="none" w:sz="0" w:space="0" w:color="auto"/>
                            <w:bottom w:val="none" w:sz="0" w:space="0" w:color="auto"/>
                            <w:right w:val="none" w:sz="0" w:space="0" w:color="auto"/>
                          </w:divBdr>
                        </w:div>
                        <w:div w:id="1686518720">
                          <w:marLeft w:val="0"/>
                          <w:marRight w:val="0"/>
                          <w:marTop w:val="0"/>
                          <w:marBottom w:val="0"/>
                          <w:divBdr>
                            <w:top w:val="none" w:sz="0" w:space="0" w:color="auto"/>
                            <w:left w:val="none" w:sz="0" w:space="0" w:color="auto"/>
                            <w:bottom w:val="none" w:sz="0" w:space="0" w:color="auto"/>
                            <w:right w:val="none" w:sz="0" w:space="0" w:color="auto"/>
                          </w:divBdr>
                        </w:div>
                        <w:div w:id="9963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icpru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3044</Characters>
  <Application>Microsoft Office Word</Application>
  <DocSecurity>4</DocSecurity>
  <Lines>25</Lines>
  <Paragraphs>7</Paragraphs>
  <ScaleCrop>false</ScaleCrop>
  <Company>Lenovo</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dcterms:created xsi:type="dcterms:W3CDTF">2018-10-09T16:32:00Z</dcterms:created>
  <dcterms:modified xsi:type="dcterms:W3CDTF">2018-10-09T16:32:00Z</dcterms:modified>
</cp:coreProperties>
</file>