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8F8" w:rsidRPr="0026736B" w:rsidRDefault="00924F9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 w:rsidR="0026736B" w:rsidRPr="0026736B">
        <w:rPr>
          <w:rFonts w:hint="eastAsia"/>
          <w:b/>
          <w:sz w:val="32"/>
          <w:szCs w:val="32"/>
        </w:rPr>
        <w:t>增</w:t>
      </w:r>
      <w:r w:rsidR="0026736B" w:rsidRPr="00E82CF5">
        <w:rPr>
          <w:rFonts w:ascii="宋体" w:hAnsi="宋体" w:hint="eastAsia"/>
          <w:b/>
          <w:sz w:val="32"/>
          <w:szCs w:val="32"/>
        </w:rPr>
        <w:t>加</w:t>
      </w:r>
      <w:bookmarkStart w:id="0" w:name="OLE_LINK23"/>
      <w:r w:rsidR="00E82CF5" w:rsidRPr="00E82CF5">
        <w:rPr>
          <w:rFonts w:ascii="宋体" w:hAnsi="宋体" w:hint="eastAsia"/>
          <w:b/>
          <w:sz w:val="32"/>
          <w:szCs w:val="32"/>
        </w:rPr>
        <w:t>北京蛋卷基金销售有限公司</w:t>
      </w:r>
      <w:bookmarkEnd w:id="0"/>
      <w:r w:rsidR="0026736B" w:rsidRPr="0026736B">
        <w:rPr>
          <w:rFonts w:ascii="宋体" w:hAnsi="宋体" w:hint="eastAsia"/>
          <w:b/>
          <w:sz w:val="32"/>
          <w:szCs w:val="32"/>
        </w:rPr>
        <w:t>为</w:t>
      </w:r>
      <w:r w:rsidR="002F4AAB">
        <w:rPr>
          <w:rFonts w:ascii="宋体" w:hAnsi="宋体" w:hint="eastAsia"/>
          <w:b/>
          <w:sz w:val="32"/>
          <w:szCs w:val="32"/>
        </w:rPr>
        <w:t>中信建投基金管理有限</w:t>
      </w:r>
      <w:r>
        <w:rPr>
          <w:rFonts w:ascii="宋体" w:hAnsi="宋体" w:hint="eastAsia"/>
          <w:b/>
          <w:sz w:val="32"/>
          <w:szCs w:val="32"/>
        </w:rPr>
        <w:t>公司旗下</w:t>
      </w:r>
      <w:r w:rsidR="00E82CF5">
        <w:rPr>
          <w:rFonts w:ascii="宋体" w:hAnsi="宋体" w:hint="eastAsia"/>
          <w:b/>
          <w:sz w:val="32"/>
          <w:szCs w:val="32"/>
        </w:rPr>
        <w:t>部分</w:t>
      </w:r>
      <w:r w:rsidR="0026736B" w:rsidRPr="0026736B">
        <w:rPr>
          <w:rFonts w:ascii="宋体" w:hAnsi="宋体" w:hint="eastAsia"/>
          <w:b/>
          <w:sz w:val="32"/>
          <w:szCs w:val="32"/>
        </w:rPr>
        <w:t>基金</w:t>
      </w:r>
      <w:r>
        <w:rPr>
          <w:rFonts w:ascii="宋体" w:hAnsi="宋体" w:hint="eastAsia"/>
          <w:b/>
          <w:sz w:val="32"/>
          <w:szCs w:val="32"/>
        </w:rPr>
        <w:t>代销机构</w:t>
      </w:r>
      <w:r w:rsidR="002A5A4A">
        <w:rPr>
          <w:rFonts w:ascii="宋体" w:hAnsi="宋体" w:hint="eastAsia"/>
          <w:b/>
          <w:sz w:val="32"/>
          <w:szCs w:val="32"/>
        </w:rPr>
        <w:t>并开展</w:t>
      </w:r>
      <w:r>
        <w:rPr>
          <w:rFonts w:ascii="宋体" w:hAnsi="宋体" w:hint="eastAsia"/>
          <w:b/>
          <w:sz w:val="32"/>
          <w:szCs w:val="32"/>
        </w:rPr>
        <w:t>定投业务及参加</w:t>
      </w:r>
      <w:r w:rsidR="002A5A4A">
        <w:rPr>
          <w:rFonts w:ascii="宋体" w:hAnsi="宋体" w:hint="eastAsia"/>
          <w:b/>
          <w:sz w:val="32"/>
          <w:szCs w:val="32"/>
        </w:rPr>
        <w:t>费率优惠</w:t>
      </w:r>
      <w:r w:rsidR="00691BDA" w:rsidRPr="0026736B">
        <w:rPr>
          <w:rFonts w:ascii="宋体" w:hAnsi="宋体"/>
          <w:b/>
          <w:sz w:val="32"/>
          <w:szCs w:val="32"/>
        </w:rPr>
        <w:t>的公告</w:t>
      </w:r>
    </w:p>
    <w:p w:rsidR="007438F8" w:rsidRPr="0013092C" w:rsidRDefault="007438F8">
      <w:pPr>
        <w:spacing w:line="360" w:lineRule="auto"/>
        <w:jc w:val="center"/>
      </w:pPr>
    </w:p>
    <w:p w:rsidR="007438F8" w:rsidRPr="004F0DDB" w:rsidRDefault="00F3741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根据</w:t>
      </w:r>
      <w:r w:rsidR="0026736B" w:rsidRPr="004F0DDB">
        <w:rPr>
          <w:rFonts w:asciiTheme="minorEastAsia" w:hAnsiTheme="minorEastAsia" w:cs="Times New Roman" w:hint="eastAsia"/>
          <w:sz w:val="24"/>
          <w:szCs w:val="24"/>
        </w:rPr>
        <w:t>中信建投基金管理有限公司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与</w:t>
      </w:r>
      <w:r w:rsidR="00E82CF5" w:rsidRPr="00E82CF5">
        <w:rPr>
          <w:rFonts w:asciiTheme="minorEastAsia" w:hAnsiTheme="minorEastAsia" w:cs="Times New Roman" w:hint="eastAsia"/>
          <w:sz w:val="24"/>
          <w:szCs w:val="24"/>
        </w:rPr>
        <w:t>北京蛋卷基金销售有限公司</w:t>
      </w:r>
      <w:r w:rsidR="00924F94">
        <w:rPr>
          <w:rFonts w:asciiTheme="minorEastAsia" w:hAnsiTheme="minorEastAsia" w:cs="Times New Roman" w:hint="eastAsia"/>
          <w:sz w:val="24"/>
          <w:szCs w:val="24"/>
        </w:rPr>
        <w:t>（以下简称“</w:t>
      </w:r>
      <w:r w:rsidR="00E82CF5"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 w:rsidR="00924F94">
        <w:rPr>
          <w:rFonts w:asciiTheme="minorEastAsia" w:hAnsiTheme="minorEastAsia" w:cs="Times New Roman" w:hint="eastAsia"/>
          <w:sz w:val="24"/>
          <w:szCs w:val="24"/>
        </w:rPr>
        <w:t>”）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签署</w:t>
      </w:r>
      <w:r w:rsidRPr="004F0DDB">
        <w:rPr>
          <w:rFonts w:asciiTheme="minorEastAsia" w:hAnsiTheme="minorEastAsia" w:cs="Times New Roman"/>
          <w:sz w:val="24"/>
          <w:szCs w:val="24"/>
        </w:rPr>
        <w:t>的</w:t>
      </w:r>
      <w:r w:rsidR="00924F94">
        <w:rPr>
          <w:rFonts w:asciiTheme="minorEastAsia" w:hAnsiTheme="minorEastAsia" w:cs="Times New Roman" w:hint="eastAsia"/>
          <w:sz w:val="24"/>
          <w:szCs w:val="24"/>
        </w:rPr>
        <w:t>证券投资基金销售服务协议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，</w:t>
      </w:r>
      <w:r w:rsidR="0026736B" w:rsidRPr="004F0DDB">
        <w:rPr>
          <w:rFonts w:asciiTheme="minorEastAsia" w:hAnsiTheme="minorEastAsia" w:cs="Times New Roman" w:hint="eastAsia"/>
          <w:sz w:val="24"/>
          <w:szCs w:val="24"/>
        </w:rPr>
        <w:t>自</w:t>
      </w:r>
      <w:r w:rsidR="00E82CF5">
        <w:rPr>
          <w:rFonts w:asciiTheme="minorEastAsia" w:hAnsiTheme="minorEastAsia" w:cs="Times New Roman"/>
          <w:sz w:val="24"/>
          <w:szCs w:val="24"/>
        </w:rPr>
        <w:t>2018</w:t>
      </w:r>
      <w:r w:rsidR="0026736B" w:rsidRPr="004F0DDB">
        <w:rPr>
          <w:rFonts w:asciiTheme="minorEastAsia" w:hAnsiTheme="minorEastAsia" w:cs="Times New Roman" w:hint="eastAsia"/>
          <w:sz w:val="24"/>
          <w:szCs w:val="24"/>
        </w:rPr>
        <w:t>年</w:t>
      </w:r>
      <w:r w:rsidR="00360DCE">
        <w:rPr>
          <w:rFonts w:asciiTheme="minorEastAsia" w:hAnsiTheme="minorEastAsia" w:cs="Times New Roman" w:hint="eastAsia"/>
          <w:sz w:val="24"/>
          <w:szCs w:val="24"/>
        </w:rPr>
        <w:t>10</w:t>
      </w:r>
      <w:r w:rsidR="0026736B" w:rsidRPr="004F0DDB">
        <w:rPr>
          <w:rFonts w:asciiTheme="minorEastAsia" w:hAnsiTheme="minorEastAsia" w:cs="Times New Roman" w:hint="eastAsia"/>
          <w:sz w:val="24"/>
          <w:szCs w:val="24"/>
        </w:rPr>
        <w:t>月</w:t>
      </w:r>
      <w:r w:rsidR="00360DCE">
        <w:rPr>
          <w:rFonts w:asciiTheme="minorEastAsia" w:hAnsiTheme="minorEastAsia" w:cs="Times New Roman" w:hint="eastAsia"/>
          <w:sz w:val="24"/>
          <w:szCs w:val="24"/>
        </w:rPr>
        <w:t>09</w:t>
      </w:r>
      <w:r w:rsidR="0026736B" w:rsidRPr="004F0DDB">
        <w:rPr>
          <w:rFonts w:asciiTheme="minorEastAsia" w:hAnsiTheme="minorEastAsia" w:cs="Times New Roman" w:hint="eastAsia"/>
          <w:sz w:val="24"/>
          <w:szCs w:val="24"/>
        </w:rPr>
        <w:t>日起，增加</w:t>
      </w:r>
      <w:r w:rsidR="00E82CF5"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 w:rsidR="00924F94">
        <w:rPr>
          <w:rFonts w:asciiTheme="minorEastAsia" w:hAnsiTheme="minorEastAsia" w:cs="Times New Roman" w:hint="eastAsia"/>
          <w:sz w:val="24"/>
          <w:szCs w:val="24"/>
        </w:rPr>
        <w:t>为</w:t>
      </w:r>
      <w:r w:rsidR="00924F94" w:rsidRPr="004F0DDB">
        <w:rPr>
          <w:rFonts w:asciiTheme="minorEastAsia" w:hAnsiTheme="minorEastAsia" w:cs="Times New Roman" w:hint="eastAsia"/>
          <w:sz w:val="24"/>
          <w:szCs w:val="24"/>
        </w:rPr>
        <w:t>中信建投基金管理有限公司</w:t>
      </w:r>
      <w:r w:rsidR="00924F94">
        <w:rPr>
          <w:rFonts w:asciiTheme="minorEastAsia" w:hAnsiTheme="minorEastAsia" w:cs="Times New Roman" w:hint="eastAsia"/>
          <w:sz w:val="24"/>
          <w:szCs w:val="24"/>
        </w:rPr>
        <w:t>旗下</w:t>
      </w:r>
      <w:r w:rsidR="00E82CF5">
        <w:rPr>
          <w:rFonts w:asciiTheme="minorEastAsia" w:hAnsiTheme="minorEastAsia" w:cs="Times New Roman" w:hint="eastAsia"/>
          <w:sz w:val="24"/>
          <w:szCs w:val="24"/>
        </w:rPr>
        <w:t>部分</w:t>
      </w:r>
      <w:r w:rsidR="00924F94">
        <w:rPr>
          <w:rFonts w:asciiTheme="minorEastAsia" w:hAnsiTheme="minorEastAsia" w:cs="Times New Roman" w:hint="eastAsia"/>
          <w:sz w:val="24"/>
          <w:szCs w:val="24"/>
        </w:rPr>
        <w:t>基金的代销机构</w:t>
      </w:r>
      <w:r w:rsidR="0026736B" w:rsidRPr="004F0DDB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7438F8" w:rsidRPr="004F0DDB" w:rsidRDefault="004F0DDB" w:rsidP="008241F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适用基金</w:t>
      </w:r>
      <w:r w:rsidR="00924F94">
        <w:rPr>
          <w:rFonts w:asciiTheme="minorEastAsia" w:hAnsiTheme="minorEastAsia" w:cs="Times New Roman" w:hint="eastAsia"/>
          <w:sz w:val="24"/>
          <w:szCs w:val="24"/>
        </w:rPr>
        <w:t>范围</w:t>
      </w:r>
    </w:p>
    <w:p w:rsidR="008241F3" w:rsidRDefault="00E82CF5" w:rsidP="008241F3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E82CF5">
        <w:rPr>
          <w:rFonts w:asciiTheme="minorEastAsia" w:hAnsiTheme="minorEastAsia" w:cs="Times New Roman"/>
          <w:sz w:val="24"/>
          <w:szCs w:val="24"/>
        </w:rPr>
        <w:t>中信建投中证北京50交易型开放式指数证券投资基金联接基金</w:t>
      </w:r>
      <w:r w:rsidR="004F0DDB" w:rsidRPr="004F0DDB">
        <w:rPr>
          <w:rFonts w:asciiTheme="minorEastAsia" w:hAnsiTheme="minorEastAsia" w:cs="Times New Roman" w:hint="eastAsia"/>
          <w:sz w:val="24"/>
          <w:szCs w:val="24"/>
        </w:rPr>
        <w:t>（基金代码：</w:t>
      </w:r>
      <w:r w:rsidRPr="00E82CF5">
        <w:rPr>
          <w:rFonts w:asciiTheme="minorEastAsia" w:hAnsiTheme="minorEastAsia" w:cs="Times New Roman"/>
          <w:sz w:val="24"/>
          <w:szCs w:val="24"/>
        </w:rPr>
        <w:t>A类006413，C类006414</w:t>
      </w:r>
      <w:r w:rsidR="004F0DDB" w:rsidRPr="004F0DDB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1D3BB8" w:rsidRDefault="001D3BB8" w:rsidP="008241F3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1D3BB8">
        <w:rPr>
          <w:rFonts w:asciiTheme="minorEastAsia" w:hAnsiTheme="minorEastAsia" w:cs="Times New Roman"/>
          <w:sz w:val="24"/>
          <w:szCs w:val="24"/>
        </w:rPr>
        <w:t>中信建投稳利保本混合型证券投资基金</w:t>
      </w:r>
      <w:r w:rsidRPr="001D3BB8"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1D3BB8">
        <w:rPr>
          <w:rFonts w:asciiTheme="minorEastAsia" w:hAnsiTheme="minorEastAsia" w:cs="Times New Roman"/>
          <w:sz w:val="24"/>
          <w:szCs w:val="24"/>
        </w:rPr>
        <w:t>000804</w:t>
      </w:r>
      <w:r w:rsidRPr="001D3BB8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1D3BB8" w:rsidRPr="001D3BB8" w:rsidRDefault="001D3BB8" w:rsidP="008241F3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1D3BB8">
        <w:rPr>
          <w:rFonts w:asciiTheme="minorEastAsia" w:hAnsiTheme="minorEastAsia" w:cs="Times New Roman"/>
          <w:sz w:val="24"/>
          <w:szCs w:val="24"/>
        </w:rPr>
        <w:t>中信建投医改灵活配置混合型证券投资基金</w:t>
      </w:r>
      <w:r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1D3BB8">
        <w:rPr>
          <w:rFonts w:asciiTheme="minorEastAsia" w:hAnsiTheme="minorEastAsia" w:cs="Times New Roman"/>
          <w:sz w:val="24"/>
          <w:szCs w:val="24"/>
        </w:rPr>
        <w:t>002408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1D3BB8" w:rsidRDefault="001D3BB8" w:rsidP="008241F3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1D3BB8">
        <w:rPr>
          <w:rFonts w:asciiTheme="minorEastAsia" w:hAnsiTheme="minorEastAsia" w:cs="Times New Roman"/>
          <w:sz w:val="24"/>
          <w:szCs w:val="24"/>
        </w:rPr>
        <w:t>中信建投睿溢混合型证券投资基金</w:t>
      </w:r>
      <w:r w:rsidRPr="001D3BB8"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1D3BB8">
        <w:rPr>
          <w:rFonts w:asciiTheme="minorEastAsia" w:hAnsiTheme="minorEastAsia" w:cs="Times New Roman"/>
          <w:sz w:val="24"/>
          <w:szCs w:val="24"/>
        </w:rPr>
        <w:t>002640</w:t>
      </w:r>
      <w:r w:rsidRPr="001D3BB8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7D6275" w:rsidRPr="007D6275" w:rsidRDefault="007D6275" w:rsidP="007D6275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7D6275">
        <w:rPr>
          <w:rFonts w:asciiTheme="minorEastAsia" w:hAnsiTheme="minorEastAsia" w:cs="Times New Roman"/>
          <w:sz w:val="24"/>
          <w:szCs w:val="24"/>
        </w:rPr>
        <w:t>中信建投聚利混合型证券投资基金</w:t>
      </w:r>
      <w:r w:rsidRPr="007D6275"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7D6275">
        <w:rPr>
          <w:rFonts w:asciiTheme="minorEastAsia" w:hAnsiTheme="minorEastAsia" w:cs="Times New Roman"/>
          <w:sz w:val="24"/>
          <w:szCs w:val="24"/>
        </w:rPr>
        <w:t>001914</w:t>
      </w:r>
      <w:r w:rsidRPr="007D6275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1D3BB8" w:rsidRDefault="001D3BB8" w:rsidP="008241F3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7D6275">
        <w:rPr>
          <w:rFonts w:asciiTheme="minorEastAsia" w:hAnsiTheme="minorEastAsia" w:cs="Times New Roman"/>
          <w:sz w:val="24"/>
          <w:szCs w:val="24"/>
        </w:rPr>
        <w:t>中信建投智信物联网灵活配置混合型证券投资基金</w:t>
      </w:r>
      <w:r w:rsidRPr="007D6275"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="007D6275" w:rsidRPr="007D6275">
        <w:rPr>
          <w:rFonts w:asciiTheme="minorEastAsia" w:hAnsiTheme="minorEastAsia" w:cs="Times New Roman"/>
          <w:sz w:val="24"/>
          <w:szCs w:val="24"/>
        </w:rPr>
        <w:t>A类001809,C类004636</w:t>
      </w:r>
      <w:r w:rsidRPr="007D6275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7D6275" w:rsidRDefault="007D6275" w:rsidP="008241F3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7D6275">
        <w:rPr>
          <w:rFonts w:asciiTheme="minorEastAsia" w:hAnsiTheme="minorEastAsia" w:cs="Times New Roman"/>
          <w:sz w:val="24"/>
          <w:szCs w:val="24"/>
        </w:rPr>
        <w:t>中信建投睿利灵活配置混合型发起式证券投资基金</w:t>
      </w:r>
      <w:r w:rsidRPr="007D6275"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7D6275">
        <w:rPr>
          <w:rFonts w:asciiTheme="minorEastAsia" w:hAnsiTheme="minorEastAsia" w:cs="Times New Roman"/>
          <w:sz w:val="24"/>
          <w:szCs w:val="24"/>
        </w:rPr>
        <w:t>A类003308 C类004635</w:t>
      </w:r>
      <w:r w:rsidRPr="007D6275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7D6275" w:rsidRDefault="007D6275" w:rsidP="007D6275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1D3BB8">
        <w:rPr>
          <w:rFonts w:asciiTheme="minorEastAsia" w:hAnsiTheme="minorEastAsia" w:cs="Times New Roman"/>
          <w:sz w:val="24"/>
          <w:szCs w:val="24"/>
        </w:rPr>
        <w:t>中信建投睿信灵活配置混合型证券投资基金</w:t>
      </w:r>
      <w:r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1D3BB8">
        <w:rPr>
          <w:rFonts w:asciiTheme="minorEastAsia" w:hAnsiTheme="minorEastAsia" w:cs="Times New Roman"/>
          <w:sz w:val="24"/>
          <w:szCs w:val="24"/>
        </w:rPr>
        <w:t>A类000926，C类004676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7D6275" w:rsidRPr="007D6275" w:rsidRDefault="007D6275" w:rsidP="008241F3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7D6275">
        <w:rPr>
          <w:rFonts w:asciiTheme="minorEastAsia" w:hAnsiTheme="minorEastAsia" w:cs="Times New Roman"/>
          <w:sz w:val="24"/>
          <w:szCs w:val="24"/>
        </w:rPr>
        <w:t>中信建投稳福定期开放债券型证券投资基金</w:t>
      </w:r>
      <w:r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7D6275">
        <w:rPr>
          <w:rFonts w:asciiTheme="minorEastAsia" w:hAnsiTheme="minorEastAsia" w:cs="Times New Roman"/>
          <w:sz w:val="24"/>
          <w:szCs w:val="24"/>
        </w:rPr>
        <w:t>A类005511，C类005512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7D6275" w:rsidRDefault="007D6275" w:rsidP="008241F3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7D6275">
        <w:rPr>
          <w:rFonts w:asciiTheme="minorEastAsia" w:hAnsiTheme="minorEastAsia" w:cs="Times New Roman"/>
          <w:sz w:val="24"/>
          <w:szCs w:val="24"/>
        </w:rPr>
        <w:t>中信建投山西国有企业债定期开放债券型证券投资基</w:t>
      </w:r>
      <w:r w:rsidR="00B46B60">
        <w:rPr>
          <w:rFonts w:asciiTheme="minorEastAsia" w:hAnsiTheme="minorEastAsia" w:cs="Times New Roman" w:hint="eastAsia"/>
          <w:sz w:val="24"/>
          <w:szCs w:val="24"/>
        </w:rPr>
        <w:t xml:space="preserve">金   </w:t>
      </w:r>
      <w:r w:rsidRPr="007D6275"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7D6275">
        <w:rPr>
          <w:rFonts w:asciiTheme="minorEastAsia" w:hAnsiTheme="minorEastAsia" w:cs="Times New Roman"/>
          <w:sz w:val="24"/>
          <w:szCs w:val="24"/>
        </w:rPr>
        <w:t>A类005527，C类005528</w:t>
      </w:r>
      <w:r w:rsidRPr="007D6275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82CF5" w:rsidRDefault="00315607" w:rsidP="008241F3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315607">
        <w:rPr>
          <w:rFonts w:asciiTheme="minorEastAsia" w:hAnsiTheme="minorEastAsia" w:cs="Times New Roman"/>
          <w:sz w:val="24"/>
          <w:szCs w:val="24"/>
        </w:rPr>
        <w:t>中信建投稳信定期开放债券型证券投资基金</w:t>
      </w:r>
      <w:r w:rsidRPr="00315607"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315607">
        <w:rPr>
          <w:rFonts w:asciiTheme="minorEastAsia" w:hAnsiTheme="minorEastAsia" w:cs="Times New Roman"/>
          <w:sz w:val="24"/>
          <w:szCs w:val="24"/>
        </w:rPr>
        <w:t>A类000503,C类000504</w:t>
      </w:r>
      <w:r w:rsidRPr="00315607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315607" w:rsidRDefault="00315607" w:rsidP="00315607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315607">
        <w:rPr>
          <w:rFonts w:asciiTheme="minorEastAsia" w:hAnsiTheme="minorEastAsia" w:cs="Times New Roman"/>
          <w:sz w:val="24"/>
          <w:szCs w:val="24"/>
        </w:rPr>
        <w:t>中信建投稳裕定期开放债券型证券投资基金</w:t>
      </w:r>
      <w:r w:rsidRPr="00315607"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315607">
        <w:rPr>
          <w:rFonts w:asciiTheme="minorEastAsia" w:hAnsiTheme="minorEastAsia" w:cs="Times New Roman"/>
          <w:sz w:val="24"/>
          <w:szCs w:val="24"/>
        </w:rPr>
        <w:t>003573</w:t>
      </w:r>
      <w:r w:rsidRPr="00315607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315607" w:rsidRPr="00315607" w:rsidRDefault="00315607" w:rsidP="00315607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315607">
        <w:rPr>
          <w:rFonts w:asciiTheme="minorEastAsia" w:hAnsiTheme="minorEastAsia" w:cs="Times New Roman"/>
          <w:sz w:val="24"/>
          <w:szCs w:val="24"/>
        </w:rPr>
        <w:t>中信建投添鑫宝货币市场基金</w:t>
      </w:r>
      <w:r w:rsidRPr="00315607"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315607">
        <w:rPr>
          <w:rFonts w:asciiTheme="minorEastAsia" w:hAnsiTheme="minorEastAsia" w:cs="Times New Roman"/>
          <w:sz w:val="24"/>
          <w:szCs w:val="24"/>
        </w:rPr>
        <w:t>002260</w:t>
      </w:r>
      <w:r w:rsidRPr="00315607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82CF5" w:rsidRPr="00315607" w:rsidRDefault="00315607" w:rsidP="008241F3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315607">
        <w:rPr>
          <w:rFonts w:asciiTheme="minorEastAsia" w:hAnsiTheme="minorEastAsia" w:cs="Times New Roman"/>
          <w:sz w:val="24"/>
          <w:szCs w:val="24"/>
        </w:rPr>
        <w:lastRenderedPageBreak/>
        <w:t>中信建投凤凰货币市场基金</w:t>
      </w:r>
      <w:r w:rsidRPr="00315607"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315607">
        <w:rPr>
          <w:rFonts w:asciiTheme="minorEastAsia" w:hAnsiTheme="minorEastAsia" w:cs="Times New Roman"/>
          <w:sz w:val="24"/>
          <w:szCs w:val="24"/>
        </w:rPr>
        <w:t xml:space="preserve">A </w:t>
      </w:r>
      <w:r w:rsidRPr="00315607">
        <w:rPr>
          <w:rFonts w:asciiTheme="minorEastAsia" w:hAnsiTheme="minorEastAsia" w:cs="Times New Roman" w:hint="eastAsia"/>
          <w:sz w:val="24"/>
          <w:szCs w:val="24"/>
        </w:rPr>
        <w:t>类</w:t>
      </w:r>
      <w:r w:rsidRPr="00315607">
        <w:rPr>
          <w:rFonts w:asciiTheme="minorEastAsia" w:hAnsiTheme="minorEastAsia" w:cs="Times New Roman"/>
          <w:sz w:val="24"/>
          <w:szCs w:val="24"/>
        </w:rPr>
        <w:t>001006,B</w:t>
      </w:r>
      <w:r w:rsidRPr="00315607">
        <w:rPr>
          <w:rFonts w:asciiTheme="minorEastAsia" w:hAnsiTheme="minorEastAsia" w:cs="Times New Roman" w:hint="eastAsia"/>
          <w:sz w:val="24"/>
          <w:szCs w:val="24"/>
        </w:rPr>
        <w:t>类</w:t>
      </w:r>
      <w:r w:rsidRPr="00315607">
        <w:rPr>
          <w:rFonts w:asciiTheme="minorEastAsia" w:hAnsiTheme="minorEastAsia" w:cs="Times New Roman"/>
          <w:sz w:val="24"/>
          <w:szCs w:val="24"/>
        </w:rPr>
        <w:t xml:space="preserve"> 004553</w:t>
      </w:r>
      <w:r w:rsidRPr="00315607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82CF5" w:rsidRPr="00315607" w:rsidRDefault="00315607" w:rsidP="008241F3">
      <w:pPr>
        <w:pStyle w:val="a9"/>
        <w:spacing w:line="360" w:lineRule="auto"/>
        <w:ind w:left="960" w:firstLineChars="0" w:firstLine="0"/>
        <w:rPr>
          <w:rFonts w:asciiTheme="minorEastAsia" w:hAnsiTheme="minorEastAsia" w:cs="Times New Roman"/>
          <w:sz w:val="24"/>
          <w:szCs w:val="24"/>
        </w:rPr>
      </w:pPr>
      <w:r w:rsidRPr="00315607">
        <w:rPr>
          <w:rFonts w:asciiTheme="minorEastAsia" w:hAnsiTheme="minorEastAsia" w:cs="Times New Roman"/>
          <w:sz w:val="24"/>
          <w:szCs w:val="24"/>
        </w:rPr>
        <w:t>中信建投货币市场基金</w:t>
      </w:r>
      <w:r w:rsidRPr="00315607">
        <w:rPr>
          <w:rFonts w:asciiTheme="minorEastAsia" w:hAnsiTheme="minorEastAsia" w:cs="Times New Roman" w:hint="eastAsia"/>
          <w:sz w:val="24"/>
          <w:szCs w:val="24"/>
        </w:rPr>
        <w:t>（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Pr="00315607">
        <w:rPr>
          <w:rFonts w:asciiTheme="minorEastAsia" w:hAnsiTheme="minorEastAsia" w:cs="Times New Roman"/>
          <w:sz w:val="24"/>
          <w:szCs w:val="24"/>
        </w:rPr>
        <w:t>A</w:t>
      </w:r>
      <w:r>
        <w:rPr>
          <w:rFonts w:asciiTheme="minorEastAsia" w:hAnsiTheme="minorEastAsia" w:cs="Times New Roman" w:hint="eastAsia"/>
          <w:sz w:val="24"/>
          <w:szCs w:val="24"/>
        </w:rPr>
        <w:t>类</w:t>
      </w:r>
      <w:r w:rsidRPr="00315607">
        <w:rPr>
          <w:rFonts w:asciiTheme="minorEastAsia" w:hAnsiTheme="minorEastAsia" w:cs="Times New Roman"/>
          <w:sz w:val="24"/>
          <w:szCs w:val="24"/>
        </w:rPr>
        <w:t xml:space="preserve"> 000738,B</w:t>
      </w:r>
      <w:r>
        <w:rPr>
          <w:rFonts w:asciiTheme="minorEastAsia" w:hAnsiTheme="minorEastAsia" w:cs="Times New Roman" w:hint="eastAsia"/>
          <w:sz w:val="24"/>
          <w:szCs w:val="24"/>
        </w:rPr>
        <w:t>类</w:t>
      </w:r>
      <w:r w:rsidRPr="00315607">
        <w:rPr>
          <w:rFonts w:asciiTheme="minorEastAsia" w:hAnsiTheme="minorEastAsia" w:cs="Times New Roman"/>
          <w:sz w:val="24"/>
          <w:szCs w:val="24"/>
        </w:rPr>
        <w:t xml:space="preserve"> 004554</w:t>
      </w:r>
      <w:r w:rsidRPr="00315607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82CF5" w:rsidRPr="00D22C83" w:rsidRDefault="00E82CF5" w:rsidP="00D22C83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924F94" w:rsidRDefault="00924F94" w:rsidP="00924F9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   二、基金开户、认购、申购等业务</w:t>
      </w:r>
    </w:p>
    <w:p w:rsidR="00924F94" w:rsidRDefault="00924F94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自</w:t>
      </w:r>
      <w:r w:rsidR="00F01831">
        <w:rPr>
          <w:rFonts w:asciiTheme="minorEastAsia" w:hAnsiTheme="minorEastAsia" w:cs="Times New Roman"/>
          <w:sz w:val="24"/>
          <w:szCs w:val="24"/>
        </w:rPr>
        <w:t>2018</w:t>
      </w:r>
      <w:r>
        <w:rPr>
          <w:rFonts w:asciiTheme="minorEastAsia" w:hAnsiTheme="minorEastAsia" w:cs="Times New Roman" w:hint="eastAsia"/>
          <w:sz w:val="24"/>
          <w:szCs w:val="24"/>
        </w:rPr>
        <w:t>年</w:t>
      </w:r>
      <w:r w:rsidR="00EE7172">
        <w:rPr>
          <w:rFonts w:asciiTheme="minorEastAsia" w:hAnsiTheme="minorEastAsia" w:cs="Times New Roman" w:hint="eastAsia"/>
          <w:sz w:val="24"/>
          <w:szCs w:val="24"/>
        </w:rPr>
        <w:t>10</w:t>
      </w:r>
      <w:r>
        <w:rPr>
          <w:rFonts w:asciiTheme="minorEastAsia" w:hAnsiTheme="minorEastAsia" w:cs="Times New Roman" w:hint="eastAsia"/>
          <w:sz w:val="24"/>
          <w:szCs w:val="24"/>
        </w:rPr>
        <w:t>月</w:t>
      </w:r>
      <w:r w:rsidR="00EE7172">
        <w:rPr>
          <w:rFonts w:asciiTheme="minorEastAsia" w:hAnsiTheme="minorEastAsia" w:cs="Times New Roman" w:hint="eastAsia"/>
          <w:sz w:val="24"/>
          <w:szCs w:val="24"/>
        </w:rPr>
        <w:t>09</w:t>
      </w:r>
      <w:r>
        <w:rPr>
          <w:rFonts w:asciiTheme="minorEastAsia" w:hAnsiTheme="minorEastAsia" w:cs="Times New Roman" w:hint="eastAsia"/>
          <w:sz w:val="24"/>
          <w:szCs w:val="24"/>
        </w:rPr>
        <w:t>日起，投资者可通过</w:t>
      </w:r>
      <w:r w:rsidR="00F01831"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>
        <w:rPr>
          <w:rFonts w:asciiTheme="minorEastAsia" w:hAnsiTheme="minorEastAsia" w:cs="Times New Roman" w:hint="eastAsia"/>
          <w:sz w:val="24"/>
          <w:szCs w:val="24"/>
        </w:rPr>
        <w:t>办理上述基金的开户、</w:t>
      </w:r>
      <w:r w:rsidR="00B644AB">
        <w:rPr>
          <w:rFonts w:asciiTheme="minorEastAsia" w:hAnsiTheme="minorEastAsia" w:cs="Times New Roman" w:hint="eastAsia"/>
          <w:sz w:val="24"/>
          <w:szCs w:val="24"/>
        </w:rPr>
        <w:t>认</w:t>
      </w:r>
      <w:r>
        <w:rPr>
          <w:rFonts w:asciiTheme="minorEastAsia" w:hAnsiTheme="minorEastAsia" w:cs="Times New Roman" w:hint="eastAsia"/>
          <w:sz w:val="24"/>
          <w:szCs w:val="24"/>
        </w:rPr>
        <w:t>购、</w:t>
      </w:r>
      <w:r w:rsidR="00B644AB">
        <w:rPr>
          <w:rFonts w:asciiTheme="minorEastAsia" w:hAnsiTheme="minorEastAsia" w:cs="Times New Roman" w:hint="eastAsia"/>
          <w:sz w:val="24"/>
          <w:szCs w:val="24"/>
        </w:rPr>
        <w:t>申</w:t>
      </w:r>
      <w:r>
        <w:rPr>
          <w:rFonts w:asciiTheme="minorEastAsia" w:hAnsiTheme="minorEastAsia" w:cs="Times New Roman" w:hint="eastAsia"/>
          <w:sz w:val="24"/>
          <w:szCs w:val="24"/>
        </w:rPr>
        <w:t>购等业务，具体的业务流程、办理时间和办理方式</w:t>
      </w:r>
      <w:r w:rsidR="00FB6735">
        <w:rPr>
          <w:rFonts w:asciiTheme="minorEastAsia" w:hAnsiTheme="minorEastAsia" w:cs="Times New Roman" w:hint="eastAsia"/>
          <w:sz w:val="24"/>
          <w:szCs w:val="24"/>
        </w:rPr>
        <w:t>以</w:t>
      </w:r>
      <w:r w:rsidR="00F01831"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 w:rsidR="00FB6735">
        <w:rPr>
          <w:rFonts w:asciiTheme="minorEastAsia" w:hAnsiTheme="minorEastAsia" w:cs="Times New Roman" w:hint="eastAsia"/>
          <w:sz w:val="24"/>
          <w:szCs w:val="24"/>
        </w:rPr>
        <w:t>的规定为准。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三、定期定额投资业务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自</w:t>
      </w:r>
      <w:r w:rsidR="00F01831">
        <w:rPr>
          <w:rFonts w:asciiTheme="minorEastAsia" w:hAnsiTheme="minorEastAsia" w:cs="Times New Roman"/>
          <w:sz w:val="24"/>
          <w:szCs w:val="24"/>
        </w:rPr>
        <w:t>2018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年</w:t>
      </w:r>
      <w:r w:rsidR="00EE7172">
        <w:rPr>
          <w:rFonts w:asciiTheme="minorEastAsia" w:hAnsiTheme="minorEastAsia" w:cs="Times New Roman" w:hint="eastAsia"/>
          <w:sz w:val="24"/>
          <w:szCs w:val="24"/>
        </w:rPr>
        <w:t>10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月</w:t>
      </w:r>
      <w:r w:rsidR="00EE7172">
        <w:rPr>
          <w:rFonts w:asciiTheme="minorEastAsia" w:hAnsiTheme="minorEastAsia" w:cs="Times New Roman" w:hint="eastAsia"/>
          <w:sz w:val="24"/>
          <w:szCs w:val="24"/>
        </w:rPr>
        <w:t>09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日起，投资者可通过</w:t>
      </w:r>
      <w:r w:rsidR="00F01831"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>
        <w:rPr>
          <w:rFonts w:asciiTheme="minorEastAsia" w:hAnsiTheme="minorEastAsia" w:cs="Times New Roman" w:hint="eastAsia"/>
          <w:sz w:val="24"/>
          <w:szCs w:val="24"/>
        </w:rPr>
        <w:t>办理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上述基金（不包括</w:t>
      </w:r>
      <w:r w:rsidR="00732C2F" w:rsidRPr="007D6275">
        <w:rPr>
          <w:rFonts w:asciiTheme="minorEastAsia" w:hAnsiTheme="minorEastAsia" w:cs="Times New Roman"/>
          <w:sz w:val="24"/>
          <w:szCs w:val="24"/>
        </w:rPr>
        <w:t>中信建投稳福定期开放债券型证券投资基金</w:t>
      </w:r>
      <w:r w:rsidR="00121A56">
        <w:rPr>
          <w:rFonts w:asciiTheme="minorEastAsia" w:hAnsiTheme="minorEastAsia" w:cs="Times New Roman" w:hint="eastAsia"/>
          <w:sz w:val="24"/>
          <w:szCs w:val="24"/>
        </w:rPr>
        <w:t>，</w:t>
      </w:r>
      <w:r w:rsidR="00121A56"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="00121A56" w:rsidRPr="007D6275">
        <w:rPr>
          <w:rFonts w:asciiTheme="minorEastAsia" w:hAnsiTheme="minorEastAsia" w:cs="Times New Roman"/>
          <w:sz w:val="24"/>
          <w:szCs w:val="24"/>
        </w:rPr>
        <w:t>A类005511，C类005512</w:t>
      </w:r>
      <w:r w:rsidR="00121A56">
        <w:rPr>
          <w:rFonts w:asciiTheme="minorEastAsia" w:hAnsiTheme="minorEastAsia" w:cs="Times New Roman" w:hint="eastAsia"/>
          <w:sz w:val="24"/>
          <w:szCs w:val="24"/>
        </w:rPr>
        <w:t>；</w:t>
      </w:r>
      <w:r w:rsidR="00121A56" w:rsidRPr="00315607">
        <w:rPr>
          <w:rFonts w:asciiTheme="minorEastAsia" w:hAnsiTheme="minorEastAsia" w:cs="Times New Roman"/>
          <w:sz w:val="24"/>
          <w:szCs w:val="24"/>
        </w:rPr>
        <w:t>中信建投稳信定期开放债券型证券投资基金</w:t>
      </w:r>
      <w:r w:rsidR="00121A56">
        <w:rPr>
          <w:rFonts w:asciiTheme="minorEastAsia" w:hAnsiTheme="minorEastAsia" w:cs="Times New Roman" w:hint="eastAsia"/>
          <w:sz w:val="24"/>
          <w:szCs w:val="24"/>
        </w:rPr>
        <w:t>，</w:t>
      </w:r>
      <w:r w:rsidR="00121A56"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="00121A56" w:rsidRPr="00315607">
        <w:rPr>
          <w:rFonts w:asciiTheme="minorEastAsia" w:hAnsiTheme="minorEastAsia" w:cs="Times New Roman"/>
          <w:sz w:val="24"/>
          <w:szCs w:val="24"/>
        </w:rPr>
        <w:t>A类000503,C类000504</w:t>
      </w:r>
      <w:r w:rsidR="00121A56">
        <w:rPr>
          <w:rFonts w:asciiTheme="minorEastAsia" w:hAnsiTheme="minorEastAsia" w:cs="Times New Roman" w:hint="eastAsia"/>
          <w:sz w:val="24"/>
          <w:szCs w:val="24"/>
        </w:rPr>
        <w:t>；</w:t>
      </w:r>
      <w:r w:rsidR="00121A56" w:rsidRPr="00315607">
        <w:rPr>
          <w:rFonts w:asciiTheme="minorEastAsia" w:hAnsiTheme="minorEastAsia" w:cs="Times New Roman"/>
          <w:sz w:val="24"/>
          <w:szCs w:val="24"/>
        </w:rPr>
        <w:t>中信建投稳裕定期开放债券型证券投资基金</w:t>
      </w:r>
      <w:r w:rsidR="00121A56">
        <w:rPr>
          <w:rFonts w:asciiTheme="minorEastAsia" w:hAnsiTheme="minorEastAsia" w:cs="Times New Roman" w:hint="eastAsia"/>
          <w:sz w:val="24"/>
          <w:szCs w:val="24"/>
        </w:rPr>
        <w:t>，</w:t>
      </w:r>
      <w:r w:rsidR="00121A56"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="00121A56" w:rsidRPr="00315607">
        <w:rPr>
          <w:rFonts w:asciiTheme="minorEastAsia" w:hAnsiTheme="minorEastAsia" w:cs="Times New Roman"/>
          <w:sz w:val="24"/>
          <w:szCs w:val="24"/>
        </w:rPr>
        <w:t>003573</w:t>
      </w:r>
      <w:r w:rsidR="00121A56">
        <w:rPr>
          <w:rFonts w:asciiTheme="minorEastAsia" w:hAnsiTheme="minorEastAsia" w:cs="Times New Roman" w:hint="eastAsia"/>
          <w:sz w:val="24"/>
          <w:szCs w:val="24"/>
        </w:rPr>
        <w:t>；</w:t>
      </w:r>
      <w:r w:rsidR="00121A56" w:rsidRPr="007D6275">
        <w:rPr>
          <w:rFonts w:asciiTheme="minorEastAsia" w:hAnsiTheme="minorEastAsia" w:cs="Times New Roman"/>
          <w:sz w:val="24"/>
          <w:szCs w:val="24"/>
        </w:rPr>
        <w:t>中信建投山西国有企业债定期开放债券型证券投资基</w:t>
      </w:r>
      <w:r w:rsidR="00121A56">
        <w:rPr>
          <w:rFonts w:asciiTheme="minorEastAsia" w:hAnsiTheme="minorEastAsia" w:cs="Times New Roman" w:hint="eastAsia"/>
          <w:sz w:val="24"/>
          <w:szCs w:val="24"/>
        </w:rPr>
        <w:t>，</w:t>
      </w:r>
      <w:r w:rsidR="00121A56"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="00121A56" w:rsidRPr="007D6275">
        <w:rPr>
          <w:rFonts w:asciiTheme="minorEastAsia" w:hAnsiTheme="minorEastAsia" w:cs="Times New Roman"/>
          <w:sz w:val="24"/>
          <w:szCs w:val="24"/>
        </w:rPr>
        <w:t>A类005527，C类005528</w:t>
      </w:r>
      <w:r w:rsidR="00121A56">
        <w:rPr>
          <w:rFonts w:asciiTheme="minorEastAsia" w:hAnsiTheme="minorEastAsia" w:cs="Times New Roman" w:hint="eastAsia"/>
          <w:sz w:val="24"/>
          <w:szCs w:val="24"/>
        </w:rPr>
        <w:t>；</w:t>
      </w:r>
      <w:r w:rsidR="00121A56" w:rsidRPr="00315607">
        <w:rPr>
          <w:rFonts w:asciiTheme="minorEastAsia" w:hAnsiTheme="minorEastAsia" w:cs="Times New Roman"/>
          <w:sz w:val="24"/>
          <w:szCs w:val="24"/>
        </w:rPr>
        <w:t>中信建投凤凰货币市场基金</w:t>
      </w:r>
      <w:r w:rsidR="00121A56">
        <w:rPr>
          <w:rFonts w:asciiTheme="minorEastAsia" w:hAnsiTheme="minorEastAsia" w:cs="Times New Roman" w:hint="eastAsia"/>
          <w:sz w:val="24"/>
          <w:szCs w:val="24"/>
        </w:rPr>
        <w:t>，</w:t>
      </w:r>
      <w:r w:rsidR="00121A56"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="00121A56" w:rsidRPr="00315607">
        <w:rPr>
          <w:rFonts w:asciiTheme="minorEastAsia" w:hAnsiTheme="minorEastAsia" w:cs="Times New Roman"/>
          <w:sz w:val="24"/>
          <w:szCs w:val="24"/>
        </w:rPr>
        <w:t>B</w:t>
      </w:r>
      <w:r w:rsidR="00121A56" w:rsidRPr="00315607">
        <w:rPr>
          <w:rFonts w:asciiTheme="minorEastAsia" w:hAnsiTheme="minorEastAsia" w:cs="Times New Roman" w:hint="eastAsia"/>
          <w:sz w:val="24"/>
          <w:szCs w:val="24"/>
        </w:rPr>
        <w:t>类</w:t>
      </w:r>
      <w:r w:rsidR="00121A56" w:rsidRPr="00315607">
        <w:rPr>
          <w:rFonts w:asciiTheme="minorEastAsia" w:hAnsiTheme="minorEastAsia" w:cs="Times New Roman"/>
          <w:sz w:val="24"/>
          <w:szCs w:val="24"/>
        </w:rPr>
        <w:t xml:space="preserve"> 004553</w:t>
      </w:r>
      <w:r w:rsidR="00121A56">
        <w:rPr>
          <w:rFonts w:asciiTheme="minorEastAsia" w:hAnsiTheme="minorEastAsia" w:cs="Times New Roman" w:hint="eastAsia"/>
          <w:sz w:val="24"/>
          <w:szCs w:val="24"/>
        </w:rPr>
        <w:t>；</w:t>
      </w:r>
      <w:r w:rsidR="00121A56" w:rsidRPr="00315607">
        <w:rPr>
          <w:rFonts w:asciiTheme="minorEastAsia" w:hAnsiTheme="minorEastAsia" w:cs="Times New Roman"/>
          <w:sz w:val="24"/>
          <w:szCs w:val="24"/>
        </w:rPr>
        <w:t>中信建投货币市场基金</w:t>
      </w:r>
      <w:r w:rsidR="00121A56">
        <w:rPr>
          <w:rFonts w:asciiTheme="minorEastAsia" w:hAnsiTheme="minorEastAsia" w:cs="Times New Roman" w:hint="eastAsia"/>
          <w:sz w:val="24"/>
          <w:szCs w:val="24"/>
        </w:rPr>
        <w:t>，</w:t>
      </w:r>
      <w:r w:rsidR="00121A56" w:rsidRPr="004F0DDB">
        <w:rPr>
          <w:rFonts w:asciiTheme="minorEastAsia" w:hAnsiTheme="minorEastAsia" w:cs="Times New Roman" w:hint="eastAsia"/>
          <w:sz w:val="24"/>
          <w:szCs w:val="24"/>
        </w:rPr>
        <w:t>基金代码：</w:t>
      </w:r>
      <w:r w:rsidR="00121A56" w:rsidRPr="00315607">
        <w:rPr>
          <w:rFonts w:asciiTheme="minorEastAsia" w:hAnsiTheme="minorEastAsia" w:cs="Times New Roman"/>
          <w:sz w:val="24"/>
          <w:szCs w:val="24"/>
        </w:rPr>
        <w:t>B</w:t>
      </w:r>
      <w:r w:rsidR="00121A56">
        <w:rPr>
          <w:rFonts w:asciiTheme="minorEastAsia" w:hAnsiTheme="minorEastAsia" w:cs="Times New Roman" w:hint="eastAsia"/>
          <w:sz w:val="24"/>
          <w:szCs w:val="24"/>
        </w:rPr>
        <w:t>类</w:t>
      </w:r>
      <w:r w:rsidR="00121A56" w:rsidRPr="00315607">
        <w:rPr>
          <w:rFonts w:asciiTheme="minorEastAsia" w:hAnsiTheme="minorEastAsia" w:cs="Times New Roman"/>
          <w:sz w:val="24"/>
          <w:szCs w:val="24"/>
        </w:rPr>
        <w:t xml:space="preserve"> 004554</w:t>
      </w:r>
      <w:r w:rsidR="00A8224C">
        <w:rPr>
          <w:rFonts w:asciiTheme="minorEastAsia" w:hAnsiTheme="minorEastAsia" w:cs="Times New Roman" w:hint="eastAsia"/>
          <w:sz w:val="24"/>
          <w:szCs w:val="24"/>
        </w:rPr>
        <w:t>）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的定期定额投资业务，在办理“定期定额投资业务”的同时，仍然可以进行日常申购、赎回业务。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1、申请方式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（1）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凡申请办理上述基金“定期定额投资业务”的投资者，须先开立</w:t>
      </w:r>
      <w:r>
        <w:rPr>
          <w:rFonts w:asciiTheme="minorEastAsia" w:hAnsiTheme="minorEastAsia" w:cs="Times New Roman" w:hint="eastAsia"/>
          <w:sz w:val="24"/>
          <w:szCs w:val="24"/>
        </w:rPr>
        <w:t>中信建投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基金管理有限公司开放式基金账户（已开户者除外）</w:t>
      </w:r>
      <w:r w:rsidR="00012C27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（2）已开立上述基金账户的投资者，应</w:t>
      </w:r>
      <w:r>
        <w:rPr>
          <w:rFonts w:asciiTheme="minorEastAsia" w:hAnsiTheme="minorEastAsia" w:cs="Times New Roman" w:hint="eastAsia"/>
          <w:sz w:val="24"/>
          <w:szCs w:val="24"/>
        </w:rPr>
        <w:t>按</w:t>
      </w:r>
      <w:r w:rsidR="001F2568"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>
        <w:rPr>
          <w:rFonts w:asciiTheme="minorEastAsia" w:hAnsiTheme="minorEastAsia" w:cs="Times New Roman" w:hint="eastAsia"/>
          <w:sz w:val="24"/>
          <w:szCs w:val="24"/>
        </w:rPr>
        <w:t>规定的办理方式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申请办理此项业务。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2、办理时间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 xml:space="preserve"> “定期定额投资业务”申请办理时间，为开放式基金法定开放日 9：30-15：  00。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3、扣款日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投资者应与</w:t>
      </w:r>
      <w:r w:rsidR="00121A56"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约定固定扣款日期，该扣款日期视为基金合同中约定的申购申请日（T 日）。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4、扣款金额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投资者应与</w:t>
      </w:r>
      <w:r w:rsidR="00121A56"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就上述基金申请开办“定期定额投资业务”约定固定扣款（申购）金额，每只基金扣款金额为人民币</w:t>
      </w:r>
      <w:r w:rsidR="00121A56">
        <w:rPr>
          <w:rFonts w:asciiTheme="minorEastAsia" w:hAnsiTheme="minorEastAsia" w:cs="Times New Roman"/>
          <w:sz w:val="24"/>
          <w:szCs w:val="24"/>
        </w:rPr>
        <w:t>10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元起（含</w:t>
      </w:r>
      <w:r w:rsidR="00121A56">
        <w:rPr>
          <w:rFonts w:asciiTheme="minorEastAsia" w:hAnsiTheme="minorEastAsia" w:cs="Times New Roman"/>
          <w:sz w:val="24"/>
          <w:szCs w:val="24"/>
        </w:rPr>
        <w:t>10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元）。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lastRenderedPageBreak/>
        <w:t>5、扣款方式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（1）将按照投资者申请时所约定的固定扣款日、扣款金额扣款。若遇非基金申购开放日，则顺延至下一基金申购开放日；</w:t>
      </w:r>
    </w:p>
    <w:p w:rsid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（2）投资者须指定一个有效资金账户作为固定扣款账户。</w:t>
      </w:r>
    </w:p>
    <w:p w:rsidR="00012C27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6、交易确认</w:t>
      </w:r>
    </w:p>
    <w:p w:rsidR="00012C27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以实际扣款日（T 日）的基金份额净值为基准计算申购份额。基金份额确认日为 T+1 日，投资者可在 T＋2 日到</w:t>
      </w:r>
      <w:r w:rsidR="00121A56"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查询相应基金的申购确认情况。</w:t>
      </w:r>
    </w:p>
    <w:p w:rsidR="00012C27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7、“定期定额投资业务”的变更和终止</w:t>
      </w:r>
    </w:p>
    <w:p w:rsidR="00012C27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（1）投资者变更扣款金额、扣款日期、扣款帐户等信息，须</w:t>
      </w:r>
      <w:r w:rsidR="00012C27">
        <w:rPr>
          <w:rFonts w:asciiTheme="minorEastAsia" w:hAnsiTheme="minorEastAsia" w:cs="Times New Roman" w:hint="eastAsia"/>
          <w:sz w:val="24"/>
          <w:szCs w:val="24"/>
        </w:rPr>
        <w:t>按</w:t>
      </w:r>
      <w:r w:rsidR="00121A56"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 w:rsidR="00012C27">
        <w:rPr>
          <w:rFonts w:asciiTheme="minorEastAsia" w:hAnsiTheme="minorEastAsia" w:cs="Times New Roman" w:hint="eastAsia"/>
          <w:sz w:val="24"/>
          <w:szCs w:val="24"/>
        </w:rPr>
        <w:t>规定的办理方式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申请办理业务变更手续；</w:t>
      </w:r>
    </w:p>
    <w:p w:rsidR="00012C27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（2）投资者终止“定期定额投资业务”，须</w:t>
      </w:r>
      <w:r w:rsidR="00012C27">
        <w:rPr>
          <w:rFonts w:asciiTheme="minorEastAsia" w:hAnsiTheme="minorEastAsia" w:cs="Times New Roman" w:hint="eastAsia"/>
          <w:sz w:val="24"/>
          <w:szCs w:val="24"/>
        </w:rPr>
        <w:t>按</w:t>
      </w:r>
      <w:r w:rsidR="00121A56"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 w:rsidR="00012C27">
        <w:rPr>
          <w:rFonts w:asciiTheme="minorEastAsia" w:hAnsiTheme="minorEastAsia" w:cs="Times New Roman" w:hint="eastAsia"/>
          <w:sz w:val="24"/>
          <w:szCs w:val="24"/>
        </w:rPr>
        <w:t>规定的办理方式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申请办理业务终止手续；</w:t>
      </w:r>
    </w:p>
    <w:p w:rsidR="00FB6735" w:rsidRPr="00FB6735" w:rsidRDefault="00FB6735" w:rsidP="00FB6735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FB6735">
        <w:rPr>
          <w:rFonts w:asciiTheme="minorEastAsia" w:hAnsiTheme="minorEastAsia" w:cs="Times New Roman" w:hint="eastAsia"/>
          <w:sz w:val="24"/>
          <w:szCs w:val="24"/>
        </w:rPr>
        <w:t>（3）具体办理程序应遵循</w:t>
      </w:r>
      <w:r w:rsidR="009266CB"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 w:rsidRPr="00FB6735">
        <w:rPr>
          <w:rFonts w:asciiTheme="minorEastAsia" w:hAnsiTheme="minorEastAsia" w:cs="Times New Roman" w:hint="eastAsia"/>
          <w:sz w:val="24"/>
          <w:szCs w:val="24"/>
        </w:rPr>
        <w:t>的有关规定。</w:t>
      </w:r>
    </w:p>
    <w:p w:rsidR="004F0DDB" w:rsidRPr="00012C27" w:rsidRDefault="00012C27" w:rsidP="00EA42DD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12C27">
        <w:rPr>
          <w:rFonts w:asciiTheme="minorEastAsia" w:hAnsiTheme="minorEastAsia" w:cs="Times New Roman" w:hint="eastAsia"/>
          <w:sz w:val="24"/>
          <w:szCs w:val="24"/>
        </w:rPr>
        <w:t>四</w:t>
      </w:r>
      <w:r w:rsidR="00F37416" w:rsidRPr="00012C27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4F0DDB" w:rsidRPr="00012C27">
        <w:rPr>
          <w:rFonts w:asciiTheme="minorEastAsia" w:hAnsiTheme="minorEastAsia" w:cs="宋体" w:hint="eastAsia"/>
          <w:kern w:val="0"/>
          <w:sz w:val="24"/>
          <w:szCs w:val="24"/>
        </w:rPr>
        <w:t>费率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优惠</w:t>
      </w:r>
    </w:p>
    <w:p w:rsidR="009266CB" w:rsidRPr="005C1146" w:rsidRDefault="009266CB" w:rsidP="009266C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C1146">
        <w:rPr>
          <w:rFonts w:asciiTheme="minorEastAsia" w:hAnsiTheme="minorEastAsia" w:cs="Times New Roman"/>
          <w:sz w:val="24"/>
          <w:szCs w:val="24"/>
        </w:rPr>
        <w:t>投资者通过</w:t>
      </w:r>
      <w:r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 w:rsidRPr="005C1146">
        <w:rPr>
          <w:rFonts w:asciiTheme="minorEastAsia" w:hAnsiTheme="minorEastAsia" w:cs="Times New Roman"/>
          <w:sz w:val="24"/>
          <w:szCs w:val="24"/>
        </w:rPr>
        <w:t>指定渠道办理上述基金的认购、申购</w:t>
      </w:r>
      <w:r>
        <w:rPr>
          <w:rFonts w:asciiTheme="minorEastAsia" w:hAnsiTheme="minorEastAsia" w:cs="Times New Roman" w:hint="eastAsia"/>
          <w:sz w:val="24"/>
          <w:szCs w:val="24"/>
        </w:rPr>
        <w:t>（含定投）</w:t>
      </w:r>
      <w:r w:rsidRPr="005C1146">
        <w:rPr>
          <w:rFonts w:asciiTheme="minorEastAsia" w:hAnsiTheme="minorEastAsia" w:cs="Times New Roman"/>
          <w:sz w:val="24"/>
          <w:szCs w:val="24"/>
        </w:rPr>
        <w:t>具体折扣率以</w:t>
      </w:r>
      <w:r w:rsidRPr="00E82CF5">
        <w:rPr>
          <w:rFonts w:asciiTheme="minorEastAsia" w:hAnsiTheme="minorEastAsia" w:cs="Times New Roman" w:hint="eastAsia"/>
          <w:sz w:val="24"/>
          <w:szCs w:val="24"/>
        </w:rPr>
        <w:t>蛋卷基金</w:t>
      </w:r>
      <w:r w:rsidRPr="005C1146">
        <w:rPr>
          <w:rFonts w:asciiTheme="minorEastAsia" w:hAnsiTheme="minorEastAsia" w:cs="Times New Roman"/>
          <w:sz w:val="24"/>
          <w:szCs w:val="24"/>
        </w:rPr>
        <w:t>官网公告为准</w:t>
      </w:r>
      <w:r w:rsidR="00B46B60">
        <w:rPr>
          <w:rFonts w:asciiTheme="minorEastAsia" w:hAnsiTheme="minorEastAsia" w:cs="Times New Roman" w:hint="eastAsia"/>
          <w:sz w:val="24"/>
          <w:szCs w:val="24"/>
        </w:rPr>
        <w:t>。</w:t>
      </w:r>
      <w:bookmarkStart w:id="1" w:name="_GoBack"/>
      <w:bookmarkEnd w:id="1"/>
    </w:p>
    <w:p w:rsidR="00012C27" w:rsidRPr="009266CB" w:rsidRDefault="00012C27" w:rsidP="004F0D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F0DDB" w:rsidRPr="004F0DDB" w:rsidRDefault="00012C27" w:rsidP="00012C27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266CB">
        <w:rPr>
          <w:rFonts w:asciiTheme="minorEastAsia" w:hAnsiTheme="minorEastAsia" w:hint="eastAsia"/>
          <w:sz w:val="24"/>
          <w:szCs w:val="24"/>
        </w:rPr>
        <w:t>五</w:t>
      </w:r>
      <w:r w:rsidR="004F0DDB" w:rsidRPr="009266CB">
        <w:rPr>
          <w:rFonts w:asciiTheme="minorEastAsia" w:hAnsiTheme="minorEastAsia" w:hint="eastAsia"/>
          <w:sz w:val="24"/>
          <w:szCs w:val="24"/>
        </w:rPr>
        <w:t>、</w:t>
      </w:r>
      <w:r w:rsidR="00DC23D2" w:rsidRPr="00CD471C">
        <w:rPr>
          <w:rFonts w:asciiTheme="minorEastAsia" w:hAnsiTheme="minorEastAsia" w:hint="eastAsia"/>
          <w:sz w:val="24"/>
          <w:szCs w:val="24"/>
        </w:rPr>
        <w:t>投资者可通过以下途径了解或咨询相关情况</w:t>
      </w:r>
      <w:r w:rsidR="00DC23D2">
        <w:rPr>
          <w:rFonts w:asciiTheme="minorEastAsia" w:hAnsiTheme="minorEastAsia" w:hint="eastAsia"/>
          <w:sz w:val="24"/>
          <w:szCs w:val="24"/>
        </w:rPr>
        <w:t>：</w:t>
      </w:r>
    </w:p>
    <w:p w:rsidR="004F0DDB" w:rsidRPr="004F0DDB" w:rsidRDefault="004F0DDB" w:rsidP="004F0DD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1、</w:t>
      </w:r>
      <w:r w:rsidR="001F2568" w:rsidRPr="00E82CF5">
        <w:rPr>
          <w:rFonts w:asciiTheme="minorEastAsia" w:hAnsiTheme="minorEastAsia" w:cs="Times New Roman" w:hint="eastAsia"/>
          <w:sz w:val="24"/>
          <w:szCs w:val="24"/>
        </w:rPr>
        <w:t>北京蛋卷基金销售有限公司</w:t>
      </w:r>
    </w:p>
    <w:p w:rsidR="004F0DDB" w:rsidRPr="00104F79" w:rsidRDefault="004F0DDB" w:rsidP="00104F79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网址：</w:t>
      </w:r>
      <w:hyperlink r:id="rId9" w:history="1">
        <w:r w:rsidR="00104F79" w:rsidRPr="005E4419">
          <w:rPr>
            <w:rStyle w:val="a7"/>
            <w:rFonts w:asciiTheme="minorEastAsia" w:hAnsiTheme="minorEastAsia" w:cs="Times New Roman"/>
            <w:sz w:val="24"/>
            <w:szCs w:val="24"/>
          </w:rPr>
          <w:t>https://danjuanapp.com/</w:t>
        </w:r>
      </w:hyperlink>
    </w:p>
    <w:p w:rsidR="004F0DDB" w:rsidRPr="004F0DDB" w:rsidRDefault="004F0DDB" w:rsidP="00652A5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联系电话：</w:t>
      </w:r>
      <w:r w:rsidR="00104F79" w:rsidRPr="00104F79">
        <w:rPr>
          <w:rFonts w:asciiTheme="minorEastAsia" w:hAnsiTheme="minorEastAsia" w:cs="Times New Roman"/>
          <w:sz w:val="24"/>
          <w:szCs w:val="24"/>
        </w:rPr>
        <w:t>400-159-9288</w:t>
      </w:r>
    </w:p>
    <w:p w:rsidR="004F0DDB" w:rsidRPr="004F0DDB" w:rsidRDefault="004F0DDB" w:rsidP="004F0DD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2、中信建投基金管理有限公司</w:t>
      </w:r>
    </w:p>
    <w:p w:rsidR="004F0DDB" w:rsidRPr="004F0DDB" w:rsidRDefault="004F0DDB" w:rsidP="004F0DD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网址：www.cfund108.com</w:t>
      </w:r>
    </w:p>
    <w:p w:rsidR="004F0DDB" w:rsidRPr="004F0DDB" w:rsidRDefault="004F0DDB" w:rsidP="004F0DD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联系电话:4009-108-108</w:t>
      </w:r>
    </w:p>
    <w:p w:rsidR="004F0DDB" w:rsidRPr="004F0DDB" w:rsidRDefault="004F0DDB" w:rsidP="004F0DD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7438F8" w:rsidRPr="004F0DDB" w:rsidRDefault="00F37416" w:rsidP="004F0DDB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风险</w:t>
      </w:r>
      <w:r w:rsidRPr="004F0DDB">
        <w:rPr>
          <w:rFonts w:asciiTheme="minorEastAsia" w:hAnsiTheme="minorEastAsia" w:cs="Times New Roman"/>
          <w:sz w:val="24"/>
          <w:szCs w:val="24"/>
        </w:rPr>
        <w:t>提示</w:t>
      </w:r>
      <w:r w:rsidR="004F0DDB" w:rsidRPr="004F0DDB">
        <w:rPr>
          <w:rFonts w:asciiTheme="minorEastAsia" w:hAnsiTheme="minorEastAsia" w:cs="Times New Roman" w:hint="eastAsia"/>
          <w:sz w:val="24"/>
          <w:szCs w:val="24"/>
        </w:rPr>
        <w:t>:基金投资有风险。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基金管理人承诺以诚实信用、勤勉尽责的原则管理和运用基金资产，但不保证基金一定盈利，也不保证最低收益。投资者投资上述基金时</w:t>
      </w:r>
      <w:r w:rsidR="004F0DDB" w:rsidRPr="004F0DDB">
        <w:rPr>
          <w:rFonts w:asciiTheme="minorEastAsia" w:hAnsiTheme="minorEastAsia" w:hint="eastAsia"/>
          <w:sz w:val="24"/>
          <w:szCs w:val="24"/>
        </w:rPr>
        <w:t>应当认真阅读《基金合同》、《招募说明书》等基金法律文件，了解基金的风险收益特征，并根据自身的投资目的、投资期限、投资经验、资产状况等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，投资与自身风险承受能力相适应的基金。</w:t>
      </w:r>
    </w:p>
    <w:p w:rsidR="004F0DDB" w:rsidRDefault="004F0DDB">
      <w:pPr>
        <w:tabs>
          <w:tab w:val="center" w:pos="3686"/>
          <w:tab w:val="center" w:pos="6237"/>
        </w:tabs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7438F8" w:rsidRDefault="00F37416" w:rsidP="004F0DDB">
      <w:pPr>
        <w:tabs>
          <w:tab w:val="center" w:pos="3686"/>
          <w:tab w:val="center" w:pos="6237"/>
        </w:tabs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特此</w:t>
      </w:r>
      <w:r w:rsidRPr="004F0DDB">
        <w:rPr>
          <w:rFonts w:asciiTheme="minorEastAsia" w:hAnsiTheme="minorEastAsia" w:cs="Times New Roman"/>
          <w:sz w:val="24"/>
          <w:szCs w:val="24"/>
        </w:rPr>
        <w:t>公告。</w:t>
      </w:r>
    </w:p>
    <w:p w:rsidR="00012C27" w:rsidRDefault="00012C27" w:rsidP="004F0DDB">
      <w:pPr>
        <w:tabs>
          <w:tab w:val="center" w:pos="3686"/>
          <w:tab w:val="center" w:pos="6237"/>
        </w:tabs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012C27" w:rsidRPr="004F0DDB" w:rsidRDefault="00012C27" w:rsidP="004F0DDB">
      <w:pPr>
        <w:tabs>
          <w:tab w:val="center" w:pos="3686"/>
          <w:tab w:val="center" w:pos="6237"/>
        </w:tabs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7438F8" w:rsidRPr="004F0DDB" w:rsidRDefault="004F0DDB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中信建投</w:t>
      </w:r>
      <w:r w:rsidR="00F37416" w:rsidRPr="004F0DDB">
        <w:rPr>
          <w:rFonts w:asciiTheme="minorEastAsia" w:hAnsiTheme="minorEastAsia" w:cs="Times New Roman"/>
          <w:sz w:val="24"/>
          <w:szCs w:val="24"/>
        </w:rPr>
        <w:t>基金管理有限公司</w:t>
      </w:r>
    </w:p>
    <w:p w:rsidR="007438F8" w:rsidRPr="004F0DDB" w:rsidRDefault="00F37416" w:rsidP="004F0DDB">
      <w:pPr>
        <w:spacing w:line="360" w:lineRule="auto"/>
        <w:ind w:right="240"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4F0DDB">
        <w:rPr>
          <w:rFonts w:asciiTheme="minorEastAsia" w:hAnsiTheme="minorEastAsia" w:cs="Times New Roman" w:hint="eastAsia"/>
          <w:sz w:val="24"/>
          <w:szCs w:val="24"/>
        </w:rPr>
        <w:t>2</w:t>
      </w:r>
      <w:r w:rsidRPr="004F0DDB">
        <w:rPr>
          <w:rFonts w:asciiTheme="minorEastAsia" w:hAnsiTheme="minorEastAsia" w:cs="Times New Roman"/>
          <w:sz w:val="24"/>
          <w:szCs w:val="24"/>
        </w:rPr>
        <w:t>0</w:t>
      </w:r>
      <w:r w:rsidR="001F2568">
        <w:rPr>
          <w:rFonts w:asciiTheme="minorEastAsia" w:hAnsiTheme="minorEastAsia" w:cs="Times New Roman"/>
          <w:sz w:val="24"/>
          <w:szCs w:val="24"/>
        </w:rPr>
        <w:t>18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年</w:t>
      </w:r>
      <w:r w:rsidR="00360DCE">
        <w:rPr>
          <w:rFonts w:asciiTheme="minorEastAsia" w:hAnsiTheme="minorEastAsia" w:cs="Times New Roman" w:hint="eastAsia"/>
          <w:sz w:val="24"/>
          <w:szCs w:val="24"/>
        </w:rPr>
        <w:t>10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月</w:t>
      </w:r>
      <w:r w:rsidR="00360DCE">
        <w:rPr>
          <w:rFonts w:asciiTheme="minorEastAsia" w:hAnsiTheme="minorEastAsia" w:cs="Times New Roman" w:hint="eastAsia"/>
          <w:sz w:val="24"/>
          <w:szCs w:val="24"/>
        </w:rPr>
        <w:t>09</w:t>
      </w:r>
      <w:r w:rsidRPr="004F0DDB">
        <w:rPr>
          <w:rFonts w:asciiTheme="minorEastAsia" w:hAnsiTheme="minorEastAsia" w:cs="Times New Roman" w:hint="eastAsia"/>
          <w:sz w:val="24"/>
          <w:szCs w:val="24"/>
        </w:rPr>
        <w:t>日</w:t>
      </w:r>
    </w:p>
    <w:sectPr w:rsidR="007438F8" w:rsidRPr="004F0DDB" w:rsidSect="00F9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F1" w:rsidRDefault="007849F1" w:rsidP="0013092C">
      <w:r>
        <w:separator/>
      </w:r>
    </w:p>
  </w:endnote>
  <w:endnote w:type="continuationSeparator" w:id="1">
    <w:p w:rsidR="007849F1" w:rsidRDefault="007849F1" w:rsidP="0013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F1" w:rsidRDefault="007849F1" w:rsidP="0013092C">
      <w:r>
        <w:separator/>
      </w:r>
    </w:p>
  </w:footnote>
  <w:footnote w:type="continuationSeparator" w:id="1">
    <w:p w:rsidR="007849F1" w:rsidRDefault="007849F1" w:rsidP="0013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2CAA"/>
    <w:multiLevelType w:val="hybridMultilevel"/>
    <w:tmpl w:val="8F567E64"/>
    <w:lvl w:ilvl="0" w:tplc="EA8801F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2B5E6C"/>
    <w:rsid w:val="00006EBB"/>
    <w:rsid w:val="00012C27"/>
    <w:rsid w:val="00042969"/>
    <w:rsid w:val="00080497"/>
    <w:rsid w:val="000850F3"/>
    <w:rsid w:val="000B0617"/>
    <w:rsid w:val="000B3B24"/>
    <w:rsid w:val="00104F79"/>
    <w:rsid w:val="00121A56"/>
    <w:rsid w:val="0013092C"/>
    <w:rsid w:val="00157D28"/>
    <w:rsid w:val="001744AC"/>
    <w:rsid w:val="001D3BB8"/>
    <w:rsid w:val="001F2568"/>
    <w:rsid w:val="00200CB3"/>
    <w:rsid w:val="00242CA3"/>
    <w:rsid w:val="00257D0E"/>
    <w:rsid w:val="0026736B"/>
    <w:rsid w:val="002A25B5"/>
    <w:rsid w:val="002A5A4A"/>
    <w:rsid w:val="002B5E6C"/>
    <w:rsid w:val="002F4AAB"/>
    <w:rsid w:val="00315607"/>
    <w:rsid w:val="00337A43"/>
    <w:rsid w:val="00360DCE"/>
    <w:rsid w:val="0036146C"/>
    <w:rsid w:val="00472573"/>
    <w:rsid w:val="00474B9C"/>
    <w:rsid w:val="00483F8F"/>
    <w:rsid w:val="004A5E1B"/>
    <w:rsid w:val="004D47BA"/>
    <w:rsid w:val="004E6CB5"/>
    <w:rsid w:val="004F0DDB"/>
    <w:rsid w:val="00504EBC"/>
    <w:rsid w:val="00605E2E"/>
    <w:rsid w:val="00633CAC"/>
    <w:rsid w:val="00652A5E"/>
    <w:rsid w:val="00661837"/>
    <w:rsid w:val="00676579"/>
    <w:rsid w:val="00691BDA"/>
    <w:rsid w:val="006A16C6"/>
    <w:rsid w:val="006D260A"/>
    <w:rsid w:val="006E37FB"/>
    <w:rsid w:val="00732C2F"/>
    <w:rsid w:val="0073502C"/>
    <w:rsid w:val="007438F8"/>
    <w:rsid w:val="007468FB"/>
    <w:rsid w:val="007849F1"/>
    <w:rsid w:val="007D6275"/>
    <w:rsid w:val="008241F3"/>
    <w:rsid w:val="00830DB2"/>
    <w:rsid w:val="008437A0"/>
    <w:rsid w:val="008872D0"/>
    <w:rsid w:val="00924F94"/>
    <w:rsid w:val="009266CB"/>
    <w:rsid w:val="009563AB"/>
    <w:rsid w:val="00990F67"/>
    <w:rsid w:val="009A37D8"/>
    <w:rsid w:val="009B3C12"/>
    <w:rsid w:val="009B49F7"/>
    <w:rsid w:val="009E2C25"/>
    <w:rsid w:val="00A24916"/>
    <w:rsid w:val="00A52838"/>
    <w:rsid w:val="00A8224C"/>
    <w:rsid w:val="00AA00F7"/>
    <w:rsid w:val="00AB4F7E"/>
    <w:rsid w:val="00AC47B8"/>
    <w:rsid w:val="00B4621B"/>
    <w:rsid w:val="00B46B60"/>
    <w:rsid w:val="00B644AB"/>
    <w:rsid w:val="00B727F0"/>
    <w:rsid w:val="00B93119"/>
    <w:rsid w:val="00B966B4"/>
    <w:rsid w:val="00BA2024"/>
    <w:rsid w:val="00BA484A"/>
    <w:rsid w:val="00BB5E42"/>
    <w:rsid w:val="00C519A3"/>
    <w:rsid w:val="00C530A0"/>
    <w:rsid w:val="00CA258C"/>
    <w:rsid w:val="00CC2CE9"/>
    <w:rsid w:val="00CD2060"/>
    <w:rsid w:val="00CF6BDB"/>
    <w:rsid w:val="00D22C83"/>
    <w:rsid w:val="00D35F5A"/>
    <w:rsid w:val="00D41325"/>
    <w:rsid w:val="00D519B7"/>
    <w:rsid w:val="00D8414B"/>
    <w:rsid w:val="00DC23D2"/>
    <w:rsid w:val="00DC30DE"/>
    <w:rsid w:val="00E45804"/>
    <w:rsid w:val="00E45B55"/>
    <w:rsid w:val="00E82CF5"/>
    <w:rsid w:val="00E90E0B"/>
    <w:rsid w:val="00EA42DD"/>
    <w:rsid w:val="00EA69FB"/>
    <w:rsid w:val="00EE7172"/>
    <w:rsid w:val="00F01831"/>
    <w:rsid w:val="00F24F16"/>
    <w:rsid w:val="00F33BD8"/>
    <w:rsid w:val="00F37416"/>
    <w:rsid w:val="00F37914"/>
    <w:rsid w:val="00F54C26"/>
    <w:rsid w:val="00F645CF"/>
    <w:rsid w:val="00F96169"/>
    <w:rsid w:val="00FB6735"/>
    <w:rsid w:val="647B7BF2"/>
    <w:rsid w:val="7206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96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6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sid w:val="00F96169"/>
    <w:rPr>
      <w:color w:val="555555"/>
      <w:u w:val="none"/>
    </w:rPr>
  </w:style>
  <w:style w:type="character" w:styleId="a7">
    <w:name w:val="Hyperlink"/>
    <w:basedOn w:val="a0"/>
    <w:uiPriority w:val="99"/>
    <w:unhideWhenUsed/>
    <w:rsid w:val="00F9616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F9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9616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16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9616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96169"/>
    <w:rPr>
      <w:sz w:val="18"/>
      <w:szCs w:val="18"/>
    </w:rPr>
  </w:style>
  <w:style w:type="character" w:customStyle="1" w:styleId="hover34">
    <w:name w:val="hover34"/>
    <w:basedOn w:val="a0"/>
    <w:qFormat/>
    <w:rsid w:val="00F96169"/>
    <w:rPr>
      <w:shd w:val="clear" w:color="auto" w:fill="F39700"/>
    </w:rPr>
  </w:style>
  <w:style w:type="paragraph" w:styleId="a9">
    <w:name w:val="List Paragraph"/>
    <w:basedOn w:val="a"/>
    <w:uiPriority w:val="99"/>
    <w:rsid w:val="008241F3"/>
    <w:pPr>
      <w:ind w:firstLineChars="200" w:firstLine="420"/>
    </w:pPr>
  </w:style>
  <w:style w:type="paragraph" w:customStyle="1" w:styleId="Default">
    <w:name w:val="Default"/>
    <w:rsid w:val="004F0DD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04F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anjuanapp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B97C5C-8AC6-4295-890F-3808F60BB8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1845</Characters>
  <Application>Microsoft Office Word</Application>
  <DocSecurity>4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李娇</dc:creator>
  <cp:lastModifiedBy>ZHONGM</cp:lastModifiedBy>
  <cp:revision>2</cp:revision>
  <cp:lastPrinted>2015-12-14T07:02:00Z</cp:lastPrinted>
  <dcterms:created xsi:type="dcterms:W3CDTF">2018-10-08T16:35:00Z</dcterms:created>
  <dcterms:modified xsi:type="dcterms:W3CDTF">2018-10-08T16:35:00Z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