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07" w:rsidRDefault="00D95407">
      <w:pPr>
        <w:rPr>
          <w:rFonts w:ascii="微软雅黑" w:eastAsia="微软雅黑" w:hAnsi="微软雅黑"/>
          <w:sz w:val="36"/>
          <w:szCs w:val="36"/>
        </w:rPr>
      </w:pPr>
      <w:r>
        <w:rPr>
          <w:rFonts w:ascii="微软雅黑" w:eastAsia="微软雅黑" w:hAnsi="微软雅黑" w:hint="eastAsia"/>
          <w:sz w:val="36"/>
          <w:szCs w:val="36"/>
        </w:rPr>
        <w:t>国海富兰克林基金管理有限公司关于富兰克林国海</w:t>
      </w:r>
      <w:r w:rsidR="007E791D">
        <w:rPr>
          <w:rFonts w:ascii="微软雅黑" w:eastAsia="微软雅黑" w:hAnsi="微软雅黑" w:hint="eastAsia"/>
          <w:sz w:val="36"/>
          <w:szCs w:val="36"/>
        </w:rPr>
        <w:t>新价值</w:t>
      </w:r>
      <w:r>
        <w:rPr>
          <w:rFonts w:ascii="微软雅黑" w:eastAsia="微软雅黑" w:hAnsi="微软雅黑" w:hint="eastAsia"/>
          <w:sz w:val="36"/>
          <w:szCs w:val="36"/>
        </w:rPr>
        <w:t>灵活配置混合型证券投资基金可能触发基金合同终止情形的</w:t>
      </w:r>
      <w:r w:rsidR="00D2278A">
        <w:rPr>
          <w:rFonts w:ascii="微软雅黑" w:eastAsia="微软雅黑" w:hAnsi="微软雅黑" w:hint="eastAsia"/>
          <w:sz w:val="36"/>
          <w:szCs w:val="36"/>
        </w:rPr>
        <w:t>第二次</w:t>
      </w:r>
      <w:r>
        <w:rPr>
          <w:rFonts w:ascii="微软雅黑" w:eastAsia="微软雅黑" w:hAnsi="微软雅黑" w:hint="eastAsia"/>
          <w:sz w:val="36"/>
          <w:szCs w:val="36"/>
        </w:rPr>
        <w:t>提示性公告</w:t>
      </w:r>
    </w:p>
    <w:p w:rsidR="00D95407" w:rsidRDefault="00D95407">
      <w:pPr>
        <w:rPr>
          <w:rFonts w:ascii="微软雅黑" w:eastAsia="微软雅黑" w:hAnsi="微软雅黑"/>
          <w:sz w:val="36"/>
          <w:szCs w:val="36"/>
        </w:rPr>
      </w:pPr>
    </w:p>
    <w:p w:rsidR="00A71909" w:rsidRDefault="00D95407" w:rsidP="00A71909">
      <w:pPr>
        <w:spacing w:line="360" w:lineRule="auto"/>
        <w:ind w:firstLineChars="200" w:firstLine="420"/>
        <w:rPr>
          <w:rFonts w:ascii="微软雅黑" w:eastAsia="微软雅黑" w:hAnsi="微软雅黑"/>
          <w:color w:val="000000"/>
          <w:szCs w:val="21"/>
        </w:rPr>
      </w:pPr>
      <w:r>
        <w:rPr>
          <w:rFonts w:ascii="微软雅黑" w:eastAsia="微软雅黑" w:hAnsi="微软雅黑" w:hint="eastAsia"/>
          <w:color w:val="000000"/>
          <w:szCs w:val="21"/>
        </w:rPr>
        <w:t>根据《中华人民共和国证券投资基金法》、《公开募集证券投资基金运作管理办法》、《富兰克林国海</w:t>
      </w:r>
      <w:r w:rsidR="007E791D">
        <w:rPr>
          <w:rFonts w:ascii="微软雅黑" w:eastAsia="微软雅黑" w:hAnsi="微软雅黑" w:hint="eastAsia"/>
          <w:color w:val="000000"/>
          <w:szCs w:val="21"/>
        </w:rPr>
        <w:t>新价值</w:t>
      </w:r>
      <w:r>
        <w:rPr>
          <w:rFonts w:ascii="微软雅黑" w:eastAsia="微软雅黑" w:hAnsi="微软雅黑" w:hint="eastAsia"/>
          <w:color w:val="000000"/>
          <w:szCs w:val="21"/>
        </w:rPr>
        <w:t>灵活配置混合型证券投资基金基金合同》（以下简称“《基金合同》”或“基金合同”）的有关规定，富兰克林国海</w:t>
      </w:r>
      <w:r w:rsidR="007E791D">
        <w:rPr>
          <w:rFonts w:ascii="微软雅黑" w:eastAsia="微软雅黑" w:hAnsi="微软雅黑" w:hint="eastAsia"/>
          <w:color w:val="000000"/>
          <w:szCs w:val="21"/>
        </w:rPr>
        <w:t>新价值</w:t>
      </w:r>
      <w:r>
        <w:rPr>
          <w:rFonts w:ascii="微软雅黑" w:eastAsia="微软雅黑" w:hAnsi="微软雅黑" w:hint="eastAsia"/>
          <w:color w:val="000000"/>
          <w:szCs w:val="21"/>
        </w:rPr>
        <w:t>灵活配置混合型证券投资基金（以下简称“本基金”）可能触发基金合同终止情形。</w:t>
      </w:r>
    </w:p>
    <w:p w:rsidR="00A71909" w:rsidRDefault="00A71909" w:rsidP="00A71909">
      <w:pPr>
        <w:spacing w:line="360" w:lineRule="auto"/>
        <w:ind w:firstLineChars="200" w:firstLine="420"/>
        <w:rPr>
          <w:rFonts w:ascii="微软雅黑" w:eastAsia="微软雅黑" w:hAnsi="微软雅黑"/>
        </w:rPr>
      </w:pPr>
      <w:r>
        <w:rPr>
          <w:rFonts w:ascii="微软雅黑" w:eastAsia="微软雅黑" w:hAnsi="微软雅黑" w:hint="eastAsia"/>
        </w:rPr>
        <w:t>国海富兰克林基金管理有限公司（以下简称“本基金管理人”）已</w:t>
      </w:r>
      <w:r>
        <w:rPr>
          <w:rFonts w:ascii="微软雅黑" w:eastAsia="微软雅黑" w:hAnsi="微软雅黑"/>
        </w:rPr>
        <w:t>于</w:t>
      </w:r>
      <w:r>
        <w:rPr>
          <w:rFonts w:ascii="微软雅黑" w:eastAsia="微软雅黑" w:hAnsi="微软雅黑" w:hint="eastAsia"/>
        </w:rPr>
        <w:t>2018年9月29</w:t>
      </w:r>
      <w:r>
        <w:rPr>
          <w:rFonts w:ascii="微软雅黑" w:eastAsia="微软雅黑" w:hAnsi="微软雅黑"/>
        </w:rPr>
        <w:t>日在</w:t>
      </w:r>
      <w:r>
        <w:rPr>
          <w:rFonts w:ascii="微软雅黑" w:eastAsia="微软雅黑" w:hAnsi="微软雅黑" w:hint="eastAsia"/>
        </w:rPr>
        <w:t>《中国证券报》、《上海证券报》及公司官方网站刊登了《国海富兰克林基金管理有限公司关于富兰克林国海新</w:t>
      </w:r>
      <w:r w:rsidR="00B86199">
        <w:rPr>
          <w:rFonts w:ascii="微软雅黑" w:eastAsia="微软雅黑" w:hAnsi="微软雅黑" w:hint="eastAsia"/>
        </w:rPr>
        <w:t>价值</w:t>
      </w:r>
      <w:r>
        <w:rPr>
          <w:rFonts w:ascii="微软雅黑" w:eastAsia="微软雅黑" w:hAnsi="微软雅黑" w:hint="eastAsia"/>
        </w:rPr>
        <w:t>灵活配置混合型证券投资基金可能触发基金合同终止情形的第一次提示性公告》。为保护基金份额持有人利益，本</w:t>
      </w:r>
      <w:r>
        <w:rPr>
          <w:rFonts w:ascii="微软雅黑" w:eastAsia="微软雅黑" w:hAnsi="微软雅黑"/>
        </w:rPr>
        <w:t>基金管理人</w:t>
      </w:r>
      <w:r>
        <w:rPr>
          <w:rFonts w:ascii="微软雅黑" w:eastAsia="微软雅黑" w:hAnsi="微软雅黑" w:hint="eastAsia"/>
        </w:rPr>
        <w:t>特将本基金相关情况及风险提示如下：</w:t>
      </w:r>
    </w:p>
    <w:p w:rsidR="00D95407" w:rsidRDefault="00D95407" w:rsidP="00072843">
      <w:pPr>
        <w:widowControl/>
        <w:spacing w:line="315" w:lineRule="atLeast"/>
        <w:jc w:val="left"/>
        <w:rPr>
          <w:rFonts w:ascii="微软雅黑" w:eastAsia="微软雅黑" w:hAnsi="微软雅黑"/>
          <w:color w:val="000000"/>
          <w:szCs w:val="21"/>
        </w:rPr>
      </w:pPr>
    </w:p>
    <w:p w:rsidR="00D95407" w:rsidRDefault="00D95407">
      <w:pPr>
        <w:widowControl/>
        <w:spacing w:line="315" w:lineRule="atLeast"/>
        <w:ind w:firstLine="420"/>
        <w:jc w:val="left"/>
        <w:rPr>
          <w:rFonts w:ascii="微软雅黑" w:eastAsia="微软雅黑" w:hAnsi="微软雅黑"/>
          <w:b/>
          <w:color w:val="000000"/>
          <w:szCs w:val="21"/>
        </w:rPr>
      </w:pPr>
      <w:r>
        <w:rPr>
          <w:rFonts w:ascii="微软雅黑" w:eastAsia="微软雅黑" w:hAnsi="微软雅黑" w:hint="eastAsia"/>
          <w:b/>
          <w:color w:val="000000"/>
          <w:szCs w:val="21"/>
        </w:rPr>
        <w:t>一、本基金基本信息</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基金名称：富兰克林国海</w:t>
      </w:r>
      <w:r w:rsidR="007E791D">
        <w:rPr>
          <w:rFonts w:ascii="微软雅黑" w:eastAsia="微软雅黑" w:hAnsi="微软雅黑" w:hint="eastAsia"/>
          <w:color w:val="000000"/>
          <w:szCs w:val="21"/>
        </w:rPr>
        <w:t>新价值</w:t>
      </w:r>
      <w:r>
        <w:rPr>
          <w:rFonts w:ascii="微软雅黑" w:eastAsia="微软雅黑" w:hAnsi="微软雅黑" w:hint="eastAsia"/>
          <w:color w:val="000000"/>
          <w:szCs w:val="21"/>
        </w:rPr>
        <w:t>灵活配置混合型证券投资基金</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基金简称：国富</w:t>
      </w:r>
      <w:r w:rsidR="007E791D">
        <w:rPr>
          <w:rFonts w:ascii="微软雅黑" w:eastAsia="微软雅黑" w:hAnsi="微软雅黑" w:hint="eastAsia"/>
          <w:color w:val="000000"/>
          <w:szCs w:val="21"/>
        </w:rPr>
        <w:t>新价值</w:t>
      </w:r>
      <w:r>
        <w:rPr>
          <w:rFonts w:ascii="微软雅黑" w:eastAsia="微软雅黑" w:hAnsi="微软雅黑" w:hint="eastAsia"/>
          <w:color w:val="000000"/>
          <w:szCs w:val="21"/>
        </w:rPr>
        <w:t>混合</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基金代码：国富</w:t>
      </w:r>
      <w:r w:rsidR="007E791D">
        <w:rPr>
          <w:rFonts w:ascii="微软雅黑" w:eastAsia="微软雅黑" w:hAnsi="微软雅黑" w:hint="eastAsia"/>
          <w:color w:val="000000"/>
          <w:szCs w:val="21"/>
        </w:rPr>
        <w:t>新价值</w:t>
      </w:r>
      <w:r>
        <w:rPr>
          <w:rFonts w:ascii="微软雅黑" w:eastAsia="微软雅黑" w:hAnsi="微软雅黑" w:hint="eastAsia"/>
          <w:color w:val="000000"/>
          <w:szCs w:val="21"/>
        </w:rPr>
        <w:t>混合A(002</w:t>
      </w:r>
      <w:r w:rsidR="007E791D">
        <w:rPr>
          <w:rFonts w:ascii="微软雅黑" w:eastAsia="微软雅黑" w:hAnsi="微软雅黑" w:hint="eastAsia"/>
          <w:color w:val="000000"/>
          <w:szCs w:val="21"/>
        </w:rPr>
        <w:t>097</w:t>
      </w:r>
      <w:r>
        <w:rPr>
          <w:rFonts w:ascii="微软雅黑" w:eastAsia="微软雅黑" w:hAnsi="微软雅黑" w:hint="eastAsia"/>
          <w:color w:val="000000"/>
          <w:szCs w:val="21"/>
        </w:rPr>
        <w:t>)、国富</w:t>
      </w:r>
      <w:r w:rsidR="007E791D">
        <w:rPr>
          <w:rFonts w:ascii="微软雅黑" w:eastAsia="微软雅黑" w:hAnsi="微软雅黑" w:hint="eastAsia"/>
          <w:color w:val="000000"/>
          <w:szCs w:val="21"/>
        </w:rPr>
        <w:t>新价值</w:t>
      </w:r>
      <w:r>
        <w:rPr>
          <w:rFonts w:ascii="微软雅黑" w:eastAsia="微软雅黑" w:hAnsi="微软雅黑" w:hint="eastAsia"/>
          <w:color w:val="000000"/>
          <w:szCs w:val="21"/>
        </w:rPr>
        <w:t>混合C(002</w:t>
      </w:r>
      <w:r w:rsidR="007E791D">
        <w:rPr>
          <w:rFonts w:ascii="微软雅黑" w:eastAsia="微软雅黑" w:hAnsi="微软雅黑" w:hint="eastAsia"/>
          <w:color w:val="000000"/>
          <w:szCs w:val="21"/>
        </w:rPr>
        <w:t>098</w:t>
      </w:r>
      <w:r>
        <w:rPr>
          <w:rFonts w:ascii="微软雅黑" w:eastAsia="微软雅黑" w:hAnsi="微软雅黑" w:hint="eastAsia"/>
          <w:color w:val="000000"/>
          <w:szCs w:val="21"/>
        </w:rPr>
        <w:t>)</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基金运作方式：契约型开放式</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基金合同生效日：201</w:t>
      </w:r>
      <w:r w:rsidR="007E791D">
        <w:rPr>
          <w:rFonts w:ascii="微软雅黑" w:eastAsia="微软雅黑" w:hAnsi="微软雅黑" w:hint="eastAsia"/>
          <w:color w:val="000000"/>
          <w:szCs w:val="21"/>
        </w:rPr>
        <w:t>5</w:t>
      </w:r>
      <w:r>
        <w:rPr>
          <w:rFonts w:ascii="微软雅黑" w:eastAsia="微软雅黑" w:hAnsi="微软雅黑" w:hint="eastAsia"/>
          <w:color w:val="000000"/>
          <w:szCs w:val="21"/>
        </w:rPr>
        <w:t>年</w:t>
      </w:r>
      <w:r w:rsidR="007E791D">
        <w:rPr>
          <w:rFonts w:ascii="微软雅黑" w:eastAsia="微软雅黑" w:hAnsi="微软雅黑" w:hint="eastAsia"/>
          <w:color w:val="000000"/>
          <w:szCs w:val="21"/>
        </w:rPr>
        <w:t>12</w:t>
      </w:r>
      <w:r>
        <w:rPr>
          <w:rFonts w:ascii="微软雅黑" w:eastAsia="微软雅黑" w:hAnsi="微软雅黑" w:hint="eastAsia"/>
          <w:color w:val="000000"/>
          <w:szCs w:val="21"/>
        </w:rPr>
        <w:t>月</w:t>
      </w:r>
      <w:r w:rsidR="007E791D">
        <w:rPr>
          <w:rFonts w:ascii="微软雅黑" w:eastAsia="微软雅黑" w:hAnsi="微软雅黑" w:hint="eastAsia"/>
          <w:color w:val="000000"/>
          <w:szCs w:val="21"/>
        </w:rPr>
        <w:t>2</w:t>
      </w:r>
      <w:r>
        <w:rPr>
          <w:rFonts w:ascii="微软雅黑" w:eastAsia="微软雅黑" w:hAnsi="微软雅黑" w:hint="eastAsia"/>
          <w:color w:val="000000"/>
          <w:szCs w:val="21"/>
        </w:rPr>
        <w:t>日</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基金管理人名称：国海富兰克林基金管理有限公司</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基金托管人名称：</w:t>
      </w:r>
      <w:r w:rsidR="007E791D">
        <w:rPr>
          <w:rFonts w:ascii="微软雅黑" w:eastAsia="微软雅黑" w:hAnsi="微软雅黑" w:hint="eastAsia"/>
          <w:color w:val="000000"/>
          <w:szCs w:val="21"/>
        </w:rPr>
        <w:t>招商银行</w:t>
      </w:r>
      <w:r>
        <w:rPr>
          <w:rFonts w:ascii="微软雅黑" w:eastAsia="微软雅黑" w:hAnsi="微软雅黑" w:hint="eastAsia"/>
          <w:color w:val="000000"/>
          <w:szCs w:val="21"/>
        </w:rPr>
        <w:t>股份有限公司</w:t>
      </w:r>
      <w:r>
        <w:rPr>
          <w:rFonts w:ascii="微软雅黑" w:eastAsia="微软雅黑" w:hAnsi="微软雅黑"/>
          <w:color w:val="000000"/>
          <w:szCs w:val="21"/>
        </w:rPr>
        <w:t> </w:t>
      </w:r>
    </w:p>
    <w:p w:rsidR="00D95407" w:rsidRDefault="00D95407">
      <w:pPr>
        <w:widowControl/>
        <w:spacing w:line="315" w:lineRule="atLeast"/>
        <w:ind w:firstLine="420"/>
        <w:jc w:val="left"/>
        <w:rPr>
          <w:rFonts w:ascii="微软雅黑" w:eastAsia="微软雅黑" w:hAnsi="微软雅黑"/>
          <w:b/>
          <w:color w:val="000000"/>
          <w:szCs w:val="21"/>
        </w:rPr>
      </w:pPr>
      <w:r>
        <w:rPr>
          <w:rFonts w:ascii="微软雅黑" w:eastAsia="微软雅黑" w:hAnsi="微软雅黑" w:hint="eastAsia"/>
          <w:b/>
          <w:color w:val="000000"/>
          <w:szCs w:val="21"/>
        </w:rPr>
        <w:lastRenderedPageBreak/>
        <w:t>二、可能触发基金合同终止的情形说明</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根据《基金合同》“第五部分 基金备案”中“三、基金存续期内的基金份额持有人数量和资产规模”的约定：</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w:t>
      </w:r>
      <w:r>
        <w:rPr>
          <w:rFonts w:ascii="微软雅黑" w:eastAsia="微软雅黑" w:hAnsi="微软雅黑"/>
          <w:color w:val="000000"/>
          <w:szCs w:val="21"/>
        </w:rPr>
        <w:t>《基金合同》生效后，连续</w:t>
      </w:r>
      <w:r w:rsidR="002610EB">
        <w:rPr>
          <w:rFonts w:ascii="微软雅黑" w:eastAsia="微软雅黑" w:hAnsi="微软雅黑" w:hint="eastAsia"/>
          <w:color w:val="000000"/>
          <w:szCs w:val="21"/>
        </w:rPr>
        <w:t>20</w:t>
      </w:r>
      <w:r>
        <w:rPr>
          <w:rFonts w:ascii="微软雅黑" w:eastAsia="微软雅黑" w:hAnsi="微软雅黑"/>
          <w:color w:val="000000"/>
          <w:szCs w:val="21"/>
        </w:rPr>
        <w:t>个工作日出现基金份额持有人数量不满</w:t>
      </w:r>
      <w:r w:rsidR="002610EB">
        <w:rPr>
          <w:rFonts w:ascii="微软雅黑" w:eastAsia="微软雅黑" w:hAnsi="微软雅黑" w:hint="eastAsia"/>
          <w:color w:val="000000"/>
          <w:szCs w:val="21"/>
        </w:rPr>
        <w:t>200</w:t>
      </w:r>
      <w:r>
        <w:rPr>
          <w:rFonts w:ascii="微软雅黑" w:eastAsia="微软雅黑" w:hAnsi="微软雅黑"/>
          <w:color w:val="000000"/>
          <w:szCs w:val="21"/>
        </w:rPr>
        <w:t>人或者基金资产净值低于</w:t>
      </w:r>
      <w:r w:rsidR="002610EB">
        <w:rPr>
          <w:rFonts w:ascii="微软雅黑" w:eastAsia="微软雅黑" w:hAnsi="微软雅黑" w:hint="eastAsia"/>
          <w:color w:val="000000"/>
          <w:szCs w:val="21"/>
        </w:rPr>
        <w:t>5000</w:t>
      </w:r>
      <w:r>
        <w:rPr>
          <w:rFonts w:ascii="微软雅黑" w:eastAsia="微软雅黑" w:hAnsi="微软雅黑"/>
          <w:color w:val="000000"/>
          <w:szCs w:val="21"/>
        </w:rPr>
        <w:t>万元情形的</w:t>
      </w:r>
      <w:r>
        <w:rPr>
          <w:rFonts w:ascii="微软雅黑" w:eastAsia="微软雅黑" w:hAnsi="微软雅黑" w:hint="eastAsia"/>
          <w:color w:val="000000"/>
          <w:szCs w:val="21"/>
        </w:rPr>
        <w:t>，</w:t>
      </w:r>
      <w:r>
        <w:rPr>
          <w:rFonts w:ascii="微软雅黑" w:eastAsia="微软雅黑" w:hAnsi="微软雅黑"/>
          <w:color w:val="000000"/>
          <w:szCs w:val="21"/>
        </w:rPr>
        <w:t>基金管理人应当在定期报告中予以披露；连续</w:t>
      </w:r>
      <w:r w:rsidR="002610EB">
        <w:rPr>
          <w:rFonts w:ascii="微软雅黑" w:eastAsia="微软雅黑" w:hAnsi="微软雅黑" w:hint="eastAsia"/>
          <w:color w:val="000000"/>
          <w:szCs w:val="21"/>
        </w:rPr>
        <w:t>60</w:t>
      </w:r>
      <w:r>
        <w:rPr>
          <w:rFonts w:ascii="微软雅黑" w:eastAsia="微软雅黑" w:hAnsi="微软雅黑"/>
          <w:color w:val="000000"/>
          <w:szCs w:val="21"/>
        </w:rPr>
        <w:t>个工作日出现前述情形的，本基金将按照基金合同的约定进入清算程序并终止，无需召开基金份额持有人大会。法律法规或监管部门另有规定时，从其规定。</w:t>
      </w:r>
      <w:r>
        <w:rPr>
          <w:rFonts w:ascii="微软雅黑" w:eastAsia="微软雅黑" w:hAnsi="微软雅黑" w:hint="eastAsia"/>
          <w:color w:val="000000"/>
          <w:szCs w:val="21"/>
        </w:rPr>
        <w:t>“</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若截至2018年</w:t>
      </w:r>
      <w:r w:rsidR="007E791D">
        <w:rPr>
          <w:rFonts w:ascii="微软雅黑" w:eastAsia="微软雅黑" w:hAnsi="微软雅黑" w:hint="eastAsia"/>
          <w:color w:val="000000"/>
          <w:szCs w:val="21"/>
        </w:rPr>
        <w:t>10</w:t>
      </w:r>
      <w:r>
        <w:rPr>
          <w:rFonts w:ascii="微软雅黑" w:eastAsia="微软雅黑" w:hAnsi="微软雅黑" w:hint="eastAsia"/>
          <w:color w:val="000000"/>
          <w:szCs w:val="21"/>
        </w:rPr>
        <w:t>月</w:t>
      </w:r>
      <w:r w:rsidR="007E791D">
        <w:rPr>
          <w:rFonts w:ascii="微软雅黑" w:eastAsia="微软雅黑" w:hAnsi="微软雅黑" w:hint="eastAsia"/>
          <w:color w:val="000000"/>
          <w:szCs w:val="21"/>
        </w:rPr>
        <w:t>9</w:t>
      </w:r>
      <w:r>
        <w:rPr>
          <w:rFonts w:ascii="微软雅黑" w:eastAsia="微软雅黑" w:hAnsi="微软雅黑" w:hint="eastAsia"/>
          <w:color w:val="000000"/>
          <w:szCs w:val="21"/>
        </w:rPr>
        <w:t>日日终，</w:t>
      </w:r>
      <w:r w:rsidR="005D3463">
        <w:rPr>
          <w:rFonts w:ascii="微软雅黑" w:eastAsia="微软雅黑" w:hAnsi="微软雅黑" w:hint="eastAsia"/>
          <w:color w:val="000000"/>
          <w:szCs w:val="21"/>
        </w:rPr>
        <w:t>本基金的</w:t>
      </w:r>
      <w:r>
        <w:rPr>
          <w:rFonts w:ascii="微软雅黑" w:eastAsia="微软雅黑" w:hAnsi="微软雅黑"/>
          <w:color w:val="000000"/>
          <w:szCs w:val="21"/>
        </w:rPr>
        <w:t>基金份额持有人数量不满200人</w:t>
      </w:r>
      <w:r>
        <w:rPr>
          <w:rFonts w:ascii="微软雅黑" w:eastAsia="微软雅黑" w:hAnsi="微软雅黑" w:hint="eastAsia"/>
          <w:color w:val="000000"/>
          <w:szCs w:val="21"/>
        </w:rPr>
        <w:t>，即本基金</w:t>
      </w:r>
      <w:r w:rsidR="005D3463">
        <w:rPr>
          <w:rFonts w:ascii="微软雅黑" w:eastAsia="微软雅黑" w:hAnsi="微软雅黑" w:hint="eastAsia"/>
          <w:color w:val="000000"/>
          <w:szCs w:val="21"/>
        </w:rPr>
        <w:t>出现</w:t>
      </w:r>
      <w:r>
        <w:rPr>
          <w:rFonts w:ascii="微软雅黑" w:eastAsia="微软雅黑" w:hAnsi="微软雅黑" w:hint="eastAsia"/>
          <w:color w:val="000000"/>
          <w:szCs w:val="21"/>
        </w:rPr>
        <w:t>连续60个工作日</w:t>
      </w:r>
      <w:r>
        <w:rPr>
          <w:rFonts w:ascii="微软雅黑" w:eastAsia="微软雅黑" w:hAnsi="微软雅黑"/>
          <w:color w:val="000000"/>
          <w:szCs w:val="21"/>
        </w:rPr>
        <w:t>基金份额持有人数量不满200人</w:t>
      </w:r>
      <w:r w:rsidR="005D3463">
        <w:rPr>
          <w:rFonts w:ascii="微软雅黑" w:eastAsia="微软雅黑" w:hAnsi="微软雅黑" w:hint="eastAsia"/>
          <w:color w:val="000000"/>
          <w:szCs w:val="21"/>
        </w:rPr>
        <w:t>的</w:t>
      </w:r>
      <w:r w:rsidR="005D3463">
        <w:rPr>
          <w:rFonts w:ascii="微软雅黑" w:eastAsia="微软雅黑" w:hAnsi="微软雅黑"/>
          <w:color w:val="000000"/>
          <w:szCs w:val="21"/>
        </w:rPr>
        <w:t>情形</w:t>
      </w:r>
      <w:r w:rsidR="005D3463">
        <w:rPr>
          <w:rFonts w:ascii="微软雅黑" w:eastAsia="微软雅黑" w:hAnsi="微软雅黑" w:hint="eastAsia"/>
          <w:color w:val="000000"/>
          <w:szCs w:val="21"/>
        </w:rPr>
        <w:t>，</w:t>
      </w:r>
      <w:r w:rsidR="005D3463" w:rsidRPr="005D3463">
        <w:rPr>
          <w:rFonts w:ascii="微软雅黑" w:eastAsia="微软雅黑" w:hAnsi="微软雅黑" w:hint="eastAsia"/>
          <w:color w:val="000000"/>
          <w:szCs w:val="21"/>
        </w:rPr>
        <w:t>将触发《基金合同》中约定的本基金终止条款</w:t>
      </w:r>
      <w:r>
        <w:rPr>
          <w:rFonts w:ascii="微软雅黑" w:eastAsia="微软雅黑" w:hAnsi="微软雅黑" w:hint="eastAsia"/>
          <w:color w:val="000000"/>
          <w:szCs w:val="21"/>
        </w:rPr>
        <w:t>。</w:t>
      </w:r>
      <w:r w:rsidRPr="00337AA3">
        <w:rPr>
          <w:rFonts w:ascii="微软雅黑" w:eastAsia="微软雅黑" w:hAnsi="微软雅黑" w:hint="eastAsia"/>
          <w:color w:val="000000"/>
          <w:szCs w:val="21"/>
        </w:rPr>
        <w:t>根据基金合同约定，</w:t>
      </w:r>
      <w:r>
        <w:rPr>
          <w:rFonts w:ascii="微软雅黑" w:eastAsia="微软雅黑" w:hAnsi="微软雅黑" w:hint="eastAsia"/>
          <w:color w:val="000000"/>
          <w:szCs w:val="21"/>
        </w:rPr>
        <w:t>本基金管理人将按照基金合同的约定履行基金财产清算程序后终止基金合同，且无需召开基金份额持有人大会审议。</w:t>
      </w:r>
    </w:p>
    <w:p w:rsidR="00D95407" w:rsidRDefault="00D95407">
      <w:pPr>
        <w:widowControl/>
        <w:spacing w:line="315" w:lineRule="atLeast"/>
        <w:ind w:firstLine="420"/>
        <w:jc w:val="left"/>
        <w:rPr>
          <w:rFonts w:ascii="微软雅黑" w:eastAsia="微软雅黑" w:hAnsi="微软雅黑"/>
          <w:b/>
          <w:color w:val="000000"/>
          <w:szCs w:val="21"/>
        </w:rPr>
      </w:pPr>
      <w:r>
        <w:rPr>
          <w:rFonts w:ascii="微软雅黑" w:eastAsia="微软雅黑" w:hAnsi="微软雅黑" w:hint="eastAsia"/>
          <w:b/>
          <w:color w:val="000000"/>
          <w:szCs w:val="21"/>
        </w:rPr>
        <w:t>三、其他事项</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1、若出现触发基金合同终止的情形，基金管理人将根据相关法律法规、《基金合同》等规定成立基金财产清算小组，履行基金财产清算程序。</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2、</w:t>
      </w:r>
      <w:r w:rsidR="00600C50">
        <w:rPr>
          <w:rFonts w:ascii="微软雅黑" w:eastAsia="微软雅黑" w:hAnsi="微软雅黑" w:hint="eastAsia"/>
          <w:color w:val="000000"/>
          <w:szCs w:val="21"/>
        </w:rPr>
        <w:t>本基金正式进入清算程序后，将停止办理申购、</w:t>
      </w:r>
      <w:r w:rsidR="00600C50" w:rsidRPr="003F4AF0">
        <w:rPr>
          <w:rFonts w:ascii="微软雅黑" w:eastAsia="微软雅黑" w:hAnsi="微软雅黑" w:hint="eastAsia"/>
          <w:color w:val="000000"/>
          <w:szCs w:val="21"/>
        </w:rPr>
        <w:t>定期定额投资</w:t>
      </w:r>
      <w:r w:rsidR="00600C50">
        <w:rPr>
          <w:rFonts w:ascii="微软雅黑" w:eastAsia="微软雅黑" w:hAnsi="微软雅黑" w:hint="eastAsia"/>
          <w:color w:val="000000"/>
          <w:szCs w:val="21"/>
        </w:rPr>
        <w:t>、赎回和转换等业务，并且之后不再恢复</w:t>
      </w:r>
      <w:r>
        <w:rPr>
          <w:rFonts w:ascii="微软雅黑" w:eastAsia="微软雅黑" w:hAnsi="微软雅黑" w:hint="eastAsia"/>
          <w:color w:val="000000"/>
          <w:szCs w:val="21"/>
        </w:rPr>
        <w:t>。若</w:t>
      </w:r>
      <w:r>
        <w:rPr>
          <w:rFonts w:ascii="微软雅黑" w:eastAsia="微软雅黑" w:hAnsi="微软雅黑"/>
          <w:color w:val="000000"/>
          <w:szCs w:val="21"/>
        </w:rPr>
        <w:t>因本基金所持证券的流动性受到限制而不能及时变现，基金财产清算的期限</w:t>
      </w:r>
      <w:r>
        <w:rPr>
          <w:rFonts w:ascii="微软雅黑" w:eastAsia="微软雅黑" w:hAnsi="微软雅黑" w:hint="eastAsia"/>
          <w:color w:val="000000"/>
          <w:szCs w:val="21"/>
        </w:rPr>
        <w:t>可能超过6</w:t>
      </w:r>
      <w:r>
        <w:rPr>
          <w:rFonts w:ascii="微软雅黑" w:eastAsia="微软雅黑" w:hAnsi="微软雅黑"/>
          <w:color w:val="000000"/>
          <w:szCs w:val="21"/>
        </w:rPr>
        <w:t>个月</w:t>
      </w:r>
      <w:r>
        <w:rPr>
          <w:rFonts w:ascii="微软雅黑" w:eastAsia="微软雅黑" w:hAnsi="微软雅黑" w:hint="eastAsia"/>
          <w:color w:val="000000"/>
          <w:szCs w:val="21"/>
        </w:rPr>
        <w:t>。敬请投资者注意投资风险，妥善做好投资安排。</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3、本基金进入清算程序前，基金份额持有人</w:t>
      </w:r>
      <w:r w:rsidR="00600C50">
        <w:rPr>
          <w:rFonts w:ascii="微软雅黑" w:eastAsia="微软雅黑" w:hAnsi="微软雅黑" w:hint="eastAsia"/>
          <w:color w:val="000000"/>
          <w:szCs w:val="21"/>
        </w:rPr>
        <w:t>办理相关业务</w:t>
      </w:r>
      <w:r>
        <w:rPr>
          <w:rFonts w:ascii="微软雅黑" w:eastAsia="微软雅黑" w:hAnsi="微软雅黑" w:hint="eastAsia"/>
          <w:color w:val="000000"/>
          <w:szCs w:val="21"/>
        </w:rPr>
        <w:t>仍按照基金合同、</w:t>
      </w:r>
      <w:r w:rsidR="00211474">
        <w:rPr>
          <w:rFonts w:ascii="微软雅黑" w:eastAsia="微软雅黑" w:hAnsi="微软雅黑" w:hint="eastAsia"/>
          <w:color w:val="000000"/>
          <w:szCs w:val="21"/>
        </w:rPr>
        <w:t>《富兰克林国海新价值灵活配置混合型证券投资基金</w:t>
      </w:r>
      <w:r>
        <w:rPr>
          <w:rFonts w:ascii="微软雅黑" w:eastAsia="微软雅黑" w:hAnsi="微软雅黑" w:hint="eastAsia"/>
          <w:color w:val="000000"/>
          <w:szCs w:val="21"/>
        </w:rPr>
        <w:t>招募说明书</w:t>
      </w:r>
      <w:r w:rsidR="00211474">
        <w:rPr>
          <w:rFonts w:ascii="微软雅黑" w:eastAsia="微软雅黑" w:hAnsi="微软雅黑" w:hint="eastAsia"/>
          <w:color w:val="000000"/>
          <w:szCs w:val="21"/>
        </w:rPr>
        <w:t>》</w:t>
      </w:r>
      <w:r>
        <w:rPr>
          <w:rFonts w:ascii="微软雅黑" w:eastAsia="微软雅黑" w:hAnsi="微软雅黑" w:hint="eastAsia"/>
          <w:color w:val="000000"/>
          <w:szCs w:val="21"/>
        </w:rPr>
        <w:t>的约定进行。但如果发生了巨额赎回等情形，基金管理人可根据上述基金法律文件及实际情况采取全额赎回或部分延期赎回等措施。同时，基金管理人也会提前做好流动性安排，对资产进行变现以应对可能的赎回。</w:t>
      </w:r>
    </w:p>
    <w:p w:rsidR="00D95407" w:rsidRDefault="00914778">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lastRenderedPageBreak/>
        <w:t>4</w:t>
      </w:r>
      <w:r w:rsidR="002E45F4">
        <w:rPr>
          <w:rFonts w:ascii="微软雅黑" w:eastAsia="微软雅黑" w:hAnsi="微软雅黑" w:hint="eastAsia"/>
          <w:color w:val="000000"/>
          <w:szCs w:val="21"/>
        </w:rPr>
        <w:t>、</w:t>
      </w:r>
      <w:r w:rsidR="00D95407">
        <w:rPr>
          <w:rFonts w:ascii="微软雅黑" w:eastAsia="微软雅黑" w:hAnsi="微软雅黑" w:hint="eastAsia"/>
          <w:color w:val="000000"/>
          <w:szCs w:val="21"/>
        </w:rPr>
        <w:t>本公告的解释权归国海富兰克林基金管理有限公司所有。投资者可以登陆国海富兰克林基金管理有限公司网站（www.ftsfund.com）或拨打国海富兰克林基金管理有限公司客户服务热线</w:t>
      </w:r>
      <w:r w:rsidR="00D95407">
        <w:rPr>
          <w:rFonts w:ascii="微软雅黑" w:eastAsia="微软雅黑" w:hAnsi="微软雅黑"/>
          <w:color w:val="000000"/>
          <w:szCs w:val="21"/>
        </w:rPr>
        <w:t>4007004518</w:t>
      </w:r>
      <w:r w:rsidR="00D95407">
        <w:rPr>
          <w:rFonts w:ascii="微软雅黑" w:eastAsia="微软雅黑" w:hAnsi="微软雅黑" w:hint="eastAsia"/>
          <w:color w:val="000000"/>
          <w:szCs w:val="21"/>
        </w:rPr>
        <w:t>或</w:t>
      </w:r>
      <w:r w:rsidR="00D95407">
        <w:rPr>
          <w:rFonts w:ascii="微软雅黑" w:eastAsia="微软雅黑" w:hAnsi="微软雅黑"/>
          <w:color w:val="000000"/>
          <w:szCs w:val="21"/>
        </w:rPr>
        <w:t>95105680</w:t>
      </w:r>
      <w:r w:rsidR="00D95407">
        <w:rPr>
          <w:rFonts w:ascii="微软雅黑" w:eastAsia="微软雅黑" w:hAnsi="微软雅黑" w:hint="eastAsia"/>
          <w:color w:val="000000"/>
          <w:szCs w:val="21"/>
        </w:rPr>
        <w:t>（免长途费）咨询相关情况。</w:t>
      </w:r>
    </w:p>
    <w:p w:rsidR="00D95407" w:rsidRDefault="00D95407">
      <w:pPr>
        <w:widowControl/>
        <w:spacing w:line="315" w:lineRule="atLeast"/>
        <w:ind w:firstLine="420"/>
        <w:jc w:val="left"/>
        <w:rPr>
          <w:rFonts w:ascii="微软雅黑" w:eastAsia="微软雅黑" w:hAnsi="微软雅黑"/>
          <w:b/>
          <w:color w:val="000000"/>
          <w:szCs w:val="21"/>
        </w:rPr>
      </w:pPr>
      <w:r>
        <w:rPr>
          <w:rFonts w:ascii="微软雅黑" w:eastAsia="微软雅黑" w:hAnsi="微软雅黑" w:hint="eastAsia"/>
          <w:b/>
          <w:color w:val="000000"/>
          <w:szCs w:val="21"/>
        </w:rPr>
        <w:t>四、特别提示：</w:t>
      </w:r>
      <w:r>
        <w:rPr>
          <w:rFonts w:ascii="微软雅黑" w:eastAsia="微软雅黑" w:hAnsi="微软雅黑"/>
          <w:b/>
          <w:color w:val="000000"/>
          <w:szCs w:val="21"/>
        </w:rPr>
        <w:t xml:space="preserve"> </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color w:val="000000"/>
          <w:szCs w:val="21"/>
        </w:rPr>
        <w:t>1</w:t>
      </w:r>
      <w:r>
        <w:rPr>
          <w:rFonts w:ascii="微软雅黑" w:eastAsia="微软雅黑" w:hAnsi="微软雅黑" w:hint="eastAsia"/>
          <w:color w:val="000000"/>
          <w:szCs w:val="21"/>
        </w:rPr>
        <w:t>、未于基金进入清算程序前赎回或转换</w:t>
      </w:r>
      <w:r w:rsidR="002E45F4">
        <w:rPr>
          <w:rFonts w:ascii="微软雅黑" w:eastAsia="微软雅黑" w:hAnsi="微软雅黑" w:hint="eastAsia"/>
          <w:color w:val="000000"/>
          <w:szCs w:val="21"/>
        </w:rPr>
        <w:t>转</w:t>
      </w:r>
      <w:r>
        <w:rPr>
          <w:rFonts w:ascii="微软雅黑" w:eastAsia="微软雅黑" w:hAnsi="微软雅黑" w:hint="eastAsia"/>
          <w:color w:val="000000"/>
          <w:szCs w:val="21"/>
        </w:rPr>
        <w:t>出成功的基金份额将全部进入基金清算程序，清算期间无法赎回或转换</w:t>
      </w:r>
      <w:r w:rsidR="002E45F4">
        <w:rPr>
          <w:rFonts w:ascii="微软雅黑" w:eastAsia="微软雅黑" w:hAnsi="微软雅黑" w:hint="eastAsia"/>
          <w:color w:val="000000"/>
          <w:szCs w:val="21"/>
        </w:rPr>
        <w:t>转</w:t>
      </w:r>
      <w:r>
        <w:rPr>
          <w:rFonts w:ascii="微软雅黑" w:eastAsia="微软雅黑" w:hAnsi="微软雅黑" w:hint="eastAsia"/>
          <w:color w:val="000000"/>
          <w:szCs w:val="21"/>
        </w:rPr>
        <w:t>出，基金份额持有人将面临基金份额不能迅速变现的风险。</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2、清算期间，基金清算成本、资产变现等可能导致基金净值的波动，此风险由基金份额持有人承担</w:t>
      </w:r>
      <w:r w:rsidR="002E45F4">
        <w:rPr>
          <w:rFonts w:ascii="微软雅黑" w:eastAsia="微软雅黑" w:hAnsi="微软雅黑" w:hint="eastAsia"/>
          <w:color w:val="000000"/>
          <w:szCs w:val="21"/>
        </w:rPr>
        <w:t>，</w:t>
      </w:r>
      <w:r>
        <w:rPr>
          <w:rFonts w:ascii="微软雅黑" w:eastAsia="微软雅黑" w:hAnsi="微软雅黑" w:hint="eastAsia"/>
          <w:color w:val="000000"/>
          <w:szCs w:val="21"/>
        </w:rPr>
        <w:t>提请基金份额持有人留意。</w:t>
      </w: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3、请基金份额持有人按照《基金合同》的约定进行本基金份额赎回与转换转出的操作，因基金份额持有人未及时赎回或操作不当导致赎回不成功而产生的不能及时变现的风险及可能发生的清算期间基金净值波动的风险，由基金份额持有人承担。</w:t>
      </w:r>
    </w:p>
    <w:p w:rsidR="00D95407" w:rsidRDefault="00D95407">
      <w:pPr>
        <w:widowControl/>
        <w:spacing w:line="315" w:lineRule="atLeast"/>
        <w:ind w:firstLine="420"/>
        <w:jc w:val="left"/>
        <w:rPr>
          <w:rFonts w:ascii="微软雅黑" w:eastAsia="微软雅黑" w:hAnsi="微软雅黑"/>
          <w:color w:val="000000"/>
          <w:szCs w:val="21"/>
        </w:rPr>
      </w:pPr>
    </w:p>
    <w:p w:rsidR="00D95407" w:rsidRDefault="00D95407">
      <w:pPr>
        <w:widowControl/>
        <w:spacing w:line="315" w:lineRule="atLeast"/>
        <w:ind w:firstLine="420"/>
        <w:jc w:val="left"/>
        <w:rPr>
          <w:rFonts w:ascii="微软雅黑" w:eastAsia="微软雅黑" w:hAnsi="微软雅黑"/>
          <w:color w:val="000000"/>
          <w:szCs w:val="21"/>
        </w:rPr>
      </w:pPr>
      <w:r>
        <w:rPr>
          <w:rFonts w:ascii="微软雅黑" w:eastAsia="微软雅黑" w:hAnsi="微软雅黑" w:hint="eastAsia"/>
          <w:color w:val="000000"/>
          <w:szCs w:val="21"/>
        </w:rPr>
        <w:t>特此公告。</w:t>
      </w:r>
    </w:p>
    <w:p w:rsidR="00D95407" w:rsidRDefault="00D95407">
      <w:pPr>
        <w:widowControl/>
        <w:spacing w:line="315" w:lineRule="atLeast"/>
        <w:ind w:firstLine="420"/>
        <w:jc w:val="left"/>
        <w:rPr>
          <w:rFonts w:ascii="微软雅黑" w:eastAsia="微软雅黑" w:hAnsi="微软雅黑"/>
          <w:color w:val="000000"/>
          <w:szCs w:val="21"/>
        </w:rPr>
      </w:pPr>
    </w:p>
    <w:p w:rsidR="00D95407" w:rsidRDefault="00D95407">
      <w:pPr>
        <w:widowControl/>
        <w:spacing w:line="315" w:lineRule="atLeast"/>
        <w:ind w:firstLine="420"/>
        <w:jc w:val="right"/>
        <w:rPr>
          <w:rFonts w:ascii="微软雅黑" w:eastAsia="微软雅黑" w:hAnsi="微软雅黑"/>
          <w:color w:val="000000"/>
          <w:szCs w:val="21"/>
        </w:rPr>
      </w:pPr>
      <w:r>
        <w:rPr>
          <w:rFonts w:ascii="微软雅黑" w:eastAsia="微软雅黑" w:hAnsi="微软雅黑" w:hint="eastAsia"/>
          <w:color w:val="000000"/>
          <w:szCs w:val="21"/>
        </w:rPr>
        <w:t>国海富兰克林基金管理有限公司</w:t>
      </w:r>
    </w:p>
    <w:p w:rsidR="00D95407" w:rsidRDefault="00D95407">
      <w:pPr>
        <w:widowControl/>
        <w:spacing w:line="315" w:lineRule="atLeast"/>
        <w:ind w:firstLine="420"/>
        <w:jc w:val="right"/>
        <w:rPr>
          <w:rFonts w:ascii="微软雅黑" w:eastAsia="微软雅黑" w:hAnsi="微软雅黑"/>
          <w:color w:val="000000"/>
          <w:szCs w:val="21"/>
        </w:rPr>
      </w:pPr>
      <w:r>
        <w:rPr>
          <w:rFonts w:ascii="微软雅黑" w:eastAsia="微软雅黑" w:hAnsi="微软雅黑" w:hint="eastAsia"/>
          <w:color w:val="000000"/>
          <w:szCs w:val="21"/>
        </w:rPr>
        <w:t>二零一八年</w:t>
      </w:r>
      <w:r w:rsidR="007E791D">
        <w:rPr>
          <w:rFonts w:ascii="微软雅黑" w:eastAsia="微软雅黑" w:hAnsi="微软雅黑" w:hint="eastAsia"/>
          <w:color w:val="000000"/>
          <w:szCs w:val="21"/>
        </w:rPr>
        <w:t>十</w:t>
      </w:r>
      <w:r>
        <w:rPr>
          <w:rFonts w:ascii="微软雅黑" w:eastAsia="微软雅黑" w:hAnsi="微软雅黑" w:hint="eastAsia"/>
          <w:color w:val="000000"/>
          <w:szCs w:val="21"/>
        </w:rPr>
        <w:t>月</w:t>
      </w:r>
      <w:r w:rsidR="00940E43">
        <w:rPr>
          <w:rFonts w:ascii="微软雅黑" w:eastAsia="微软雅黑" w:hAnsi="微软雅黑" w:hint="eastAsia"/>
          <w:color w:val="000000"/>
          <w:szCs w:val="21"/>
        </w:rPr>
        <w:t>八</w:t>
      </w:r>
      <w:r>
        <w:rPr>
          <w:rFonts w:ascii="微软雅黑" w:eastAsia="微软雅黑" w:hAnsi="微软雅黑" w:hint="eastAsia"/>
          <w:color w:val="000000"/>
          <w:szCs w:val="21"/>
        </w:rPr>
        <w:t>日</w:t>
      </w:r>
    </w:p>
    <w:p w:rsidR="00D95407" w:rsidRDefault="00D95407">
      <w:pPr>
        <w:rPr>
          <w:rFonts w:ascii="微软雅黑" w:eastAsia="微软雅黑" w:hAnsi="微软雅黑"/>
          <w:sz w:val="36"/>
          <w:szCs w:val="36"/>
        </w:rPr>
      </w:pPr>
    </w:p>
    <w:sectPr w:rsidR="00D95407" w:rsidSect="00293D5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71F" w:rsidRDefault="0046571F" w:rsidP="00940E43">
      <w:r>
        <w:separator/>
      </w:r>
    </w:p>
  </w:endnote>
  <w:endnote w:type="continuationSeparator" w:id="1">
    <w:p w:rsidR="0046571F" w:rsidRDefault="0046571F" w:rsidP="00940E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71F" w:rsidRDefault="0046571F" w:rsidP="00940E43">
      <w:r>
        <w:separator/>
      </w:r>
    </w:p>
  </w:footnote>
  <w:footnote w:type="continuationSeparator" w:id="1">
    <w:p w:rsidR="0046571F" w:rsidRDefault="0046571F" w:rsidP="00940E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21A3"/>
    <w:rsid w:val="000047BF"/>
    <w:rsid w:val="0002554E"/>
    <w:rsid w:val="00060533"/>
    <w:rsid w:val="00072843"/>
    <w:rsid w:val="000A4C59"/>
    <w:rsid w:val="001207B2"/>
    <w:rsid w:val="00186FCE"/>
    <w:rsid w:val="00195FCE"/>
    <w:rsid w:val="001B1F91"/>
    <w:rsid w:val="001C1B8B"/>
    <w:rsid w:val="001F653C"/>
    <w:rsid w:val="001F7AA9"/>
    <w:rsid w:val="002107A4"/>
    <w:rsid w:val="00211474"/>
    <w:rsid w:val="00211B3D"/>
    <w:rsid w:val="00213516"/>
    <w:rsid w:val="0021514D"/>
    <w:rsid w:val="00233AB9"/>
    <w:rsid w:val="00234050"/>
    <w:rsid w:val="00241C0F"/>
    <w:rsid w:val="002610EB"/>
    <w:rsid w:val="00261A0A"/>
    <w:rsid w:val="002815B2"/>
    <w:rsid w:val="00293D59"/>
    <w:rsid w:val="00297887"/>
    <w:rsid w:val="002A2D3D"/>
    <w:rsid w:val="002B3E5E"/>
    <w:rsid w:val="002E45F4"/>
    <w:rsid w:val="002E515B"/>
    <w:rsid w:val="00337AA3"/>
    <w:rsid w:val="003626BC"/>
    <w:rsid w:val="003C2199"/>
    <w:rsid w:val="00452401"/>
    <w:rsid w:val="0046571F"/>
    <w:rsid w:val="004711F6"/>
    <w:rsid w:val="00480398"/>
    <w:rsid w:val="00483DC6"/>
    <w:rsid w:val="00484371"/>
    <w:rsid w:val="004E31FE"/>
    <w:rsid w:val="005428EA"/>
    <w:rsid w:val="0055307F"/>
    <w:rsid w:val="00554DF6"/>
    <w:rsid w:val="00571059"/>
    <w:rsid w:val="00573817"/>
    <w:rsid w:val="0058793F"/>
    <w:rsid w:val="00595904"/>
    <w:rsid w:val="005B0806"/>
    <w:rsid w:val="005C6DE9"/>
    <w:rsid w:val="005D3463"/>
    <w:rsid w:val="005F7EA4"/>
    <w:rsid w:val="00600C50"/>
    <w:rsid w:val="00610BA4"/>
    <w:rsid w:val="006545E4"/>
    <w:rsid w:val="0067482E"/>
    <w:rsid w:val="00681056"/>
    <w:rsid w:val="00692991"/>
    <w:rsid w:val="00702524"/>
    <w:rsid w:val="0071104F"/>
    <w:rsid w:val="0077074B"/>
    <w:rsid w:val="0078374B"/>
    <w:rsid w:val="00795435"/>
    <w:rsid w:val="00797D92"/>
    <w:rsid w:val="007B335A"/>
    <w:rsid w:val="007D54C6"/>
    <w:rsid w:val="007E791D"/>
    <w:rsid w:val="0081710F"/>
    <w:rsid w:val="008A4C26"/>
    <w:rsid w:val="008E2D45"/>
    <w:rsid w:val="00914778"/>
    <w:rsid w:val="0092475A"/>
    <w:rsid w:val="00940E43"/>
    <w:rsid w:val="00955C53"/>
    <w:rsid w:val="009672D1"/>
    <w:rsid w:val="009755E3"/>
    <w:rsid w:val="00A15D1C"/>
    <w:rsid w:val="00A358A6"/>
    <w:rsid w:val="00A71909"/>
    <w:rsid w:val="00A733E6"/>
    <w:rsid w:val="00AA7F23"/>
    <w:rsid w:val="00AB21A3"/>
    <w:rsid w:val="00AC4163"/>
    <w:rsid w:val="00AE39C6"/>
    <w:rsid w:val="00B129AF"/>
    <w:rsid w:val="00B44DDA"/>
    <w:rsid w:val="00B86199"/>
    <w:rsid w:val="00B945DA"/>
    <w:rsid w:val="00BB4BD2"/>
    <w:rsid w:val="00BD59C4"/>
    <w:rsid w:val="00BF4953"/>
    <w:rsid w:val="00C228F2"/>
    <w:rsid w:val="00C842EF"/>
    <w:rsid w:val="00C91028"/>
    <w:rsid w:val="00CB6EB2"/>
    <w:rsid w:val="00CC5C1C"/>
    <w:rsid w:val="00CE15A6"/>
    <w:rsid w:val="00D16593"/>
    <w:rsid w:val="00D2278A"/>
    <w:rsid w:val="00D522F7"/>
    <w:rsid w:val="00D86566"/>
    <w:rsid w:val="00D95407"/>
    <w:rsid w:val="00DC04D5"/>
    <w:rsid w:val="00DF0AC4"/>
    <w:rsid w:val="00E16D94"/>
    <w:rsid w:val="00E539DE"/>
    <w:rsid w:val="00E76967"/>
    <w:rsid w:val="00F11155"/>
    <w:rsid w:val="00F34160"/>
    <w:rsid w:val="00F51A16"/>
    <w:rsid w:val="00FD5FB4"/>
    <w:rsid w:val="00FE7284"/>
    <w:rsid w:val="00FF4C41"/>
    <w:rsid w:val="08D71266"/>
    <w:rsid w:val="1C056F9A"/>
    <w:rsid w:val="2DA44AFF"/>
    <w:rsid w:val="55073BC6"/>
    <w:rsid w:val="72D81E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293D59"/>
    <w:rPr>
      <w:sz w:val="21"/>
      <w:szCs w:val="21"/>
    </w:rPr>
  </w:style>
  <w:style w:type="character" w:customStyle="1" w:styleId="Char">
    <w:name w:val="批注文字 Char"/>
    <w:basedOn w:val="a0"/>
    <w:link w:val="a4"/>
    <w:uiPriority w:val="99"/>
    <w:semiHidden/>
    <w:qFormat/>
    <w:rsid w:val="00293D59"/>
  </w:style>
  <w:style w:type="character" w:customStyle="1" w:styleId="Char0">
    <w:name w:val="页脚 Char"/>
    <w:link w:val="a5"/>
    <w:uiPriority w:val="99"/>
    <w:semiHidden/>
    <w:qFormat/>
    <w:rsid w:val="00293D59"/>
    <w:rPr>
      <w:sz w:val="18"/>
      <w:szCs w:val="18"/>
    </w:rPr>
  </w:style>
  <w:style w:type="character" w:customStyle="1" w:styleId="Char1">
    <w:name w:val="页眉 Char"/>
    <w:link w:val="a6"/>
    <w:uiPriority w:val="99"/>
    <w:semiHidden/>
    <w:qFormat/>
    <w:rsid w:val="00293D59"/>
    <w:rPr>
      <w:sz w:val="18"/>
      <w:szCs w:val="18"/>
    </w:rPr>
  </w:style>
  <w:style w:type="character" w:customStyle="1" w:styleId="Char2">
    <w:name w:val="批注主题 Char"/>
    <w:link w:val="a7"/>
    <w:uiPriority w:val="99"/>
    <w:semiHidden/>
    <w:qFormat/>
    <w:rsid w:val="00293D59"/>
    <w:rPr>
      <w:b/>
      <w:bCs/>
    </w:rPr>
  </w:style>
  <w:style w:type="character" w:customStyle="1" w:styleId="Char3">
    <w:name w:val="批注框文本 Char"/>
    <w:link w:val="a8"/>
    <w:uiPriority w:val="99"/>
    <w:semiHidden/>
    <w:qFormat/>
    <w:rsid w:val="00293D59"/>
    <w:rPr>
      <w:sz w:val="18"/>
      <w:szCs w:val="18"/>
    </w:rPr>
  </w:style>
  <w:style w:type="paragraph" w:styleId="a8">
    <w:name w:val="Balloon Text"/>
    <w:basedOn w:val="a"/>
    <w:link w:val="Char3"/>
    <w:uiPriority w:val="99"/>
    <w:unhideWhenUsed/>
    <w:qFormat/>
    <w:rsid w:val="00293D59"/>
    <w:rPr>
      <w:kern w:val="0"/>
      <w:sz w:val="18"/>
      <w:szCs w:val="18"/>
    </w:rPr>
  </w:style>
  <w:style w:type="paragraph" w:styleId="a6">
    <w:name w:val="header"/>
    <w:basedOn w:val="a"/>
    <w:link w:val="Char1"/>
    <w:uiPriority w:val="99"/>
    <w:unhideWhenUsed/>
    <w:qFormat/>
    <w:rsid w:val="00293D59"/>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4"/>
    <w:next w:val="a4"/>
    <w:link w:val="Char2"/>
    <w:uiPriority w:val="99"/>
    <w:unhideWhenUsed/>
    <w:qFormat/>
    <w:rsid w:val="00293D59"/>
    <w:rPr>
      <w:b/>
      <w:bCs/>
      <w:kern w:val="0"/>
      <w:sz w:val="20"/>
      <w:szCs w:val="20"/>
    </w:rPr>
  </w:style>
  <w:style w:type="paragraph" w:styleId="a5">
    <w:name w:val="footer"/>
    <w:basedOn w:val="a"/>
    <w:link w:val="Char0"/>
    <w:uiPriority w:val="99"/>
    <w:unhideWhenUsed/>
    <w:qFormat/>
    <w:rsid w:val="00293D59"/>
    <w:pPr>
      <w:tabs>
        <w:tab w:val="center" w:pos="4153"/>
        <w:tab w:val="right" w:pos="8306"/>
      </w:tabs>
      <w:snapToGrid w:val="0"/>
      <w:jc w:val="left"/>
    </w:pPr>
    <w:rPr>
      <w:kern w:val="0"/>
      <w:sz w:val="18"/>
      <w:szCs w:val="18"/>
    </w:rPr>
  </w:style>
  <w:style w:type="paragraph" w:styleId="a4">
    <w:name w:val="annotation text"/>
    <w:basedOn w:val="a"/>
    <w:link w:val="Char"/>
    <w:uiPriority w:val="99"/>
    <w:unhideWhenUsed/>
    <w:qFormat/>
    <w:rsid w:val="00293D59"/>
    <w:pPr>
      <w:jc w:val="left"/>
    </w:pPr>
  </w:style>
  <w:style w:type="paragraph" w:styleId="a9">
    <w:name w:val="Revision"/>
    <w:hidden/>
    <w:uiPriority w:val="99"/>
    <w:unhideWhenUsed/>
    <w:rsid w:val="00C228F2"/>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1407</Characters>
  <Application>Microsoft Office Word</Application>
  <DocSecurity>4</DocSecurity>
  <Lines>11</Lines>
  <Paragraphs>3</Paragraphs>
  <ScaleCrop>false</ScaleCrop>
  <Company>Microsoft</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翟文浩</dc:creator>
  <cp:lastModifiedBy>ZHONGM</cp:lastModifiedBy>
  <cp:revision>2</cp:revision>
  <dcterms:created xsi:type="dcterms:W3CDTF">2018-10-07T16:32:00Z</dcterms:created>
  <dcterms:modified xsi:type="dcterms:W3CDTF">2018-10-07T16:32:00Z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