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83" w:rsidRPr="0051626C" w:rsidRDefault="009A2283" w:rsidP="009A2283">
      <w:pPr>
        <w:autoSpaceDE w:val="0"/>
        <w:autoSpaceDN w:val="0"/>
        <w:adjustRightInd w:val="0"/>
        <w:spacing w:line="360" w:lineRule="auto"/>
        <w:jc w:val="left"/>
        <w:rPr>
          <w:color w:val="000000" w:themeColor="text1"/>
          <w:kern w:val="0"/>
          <w:szCs w:val="21"/>
        </w:rPr>
      </w:pPr>
    </w:p>
    <w:p w:rsidR="009A2283" w:rsidRPr="0051626C" w:rsidRDefault="009A2283" w:rsidP="009A2283">
      <w:pPr>
        <w:autoSpaceDE w:val="0"/>
        <w:autoSpaceDN w:val="0"/>
        <w:adjustRightInd w:val="0"/>
        <w:spacing w:line="360" w:lineRule="auto"/>
        <w:jc w:val="left"/>
        <w:rPr>
          <w:color w:val="000000" w:themeColor="text1"/>
          <w:kern w:val="0"/>
          <w:szCs w:val="21"/>
        </w:rPr>
      </w:pPr>
    </w:p>
    <w:p w:rsidR="00FC7F43" w:rsidRPr="0051626C" w:rsidRDefault="00FC7F43" w:rsidP="009A2283">
      <w:pPr>
        <w:autoSpaceDE w:val="0"/>
        <w:autoSpaceDN w:val="0"/>
        <w:adjustRightInd w:val="0"/>
        <w:spacing w:line="360" w:lineRule="auto"/>
        <w:jc w:val="left"/>
        <w:rPr>
          <w:color w:val="000000" w:themeColor="text1"/>
          <w:kern w:val="0"/>
          <w:szCs w:val="21"/>
        </w:rPr>
      </w:pPr>
    </w:p>
    <w:p w:rsidR="009A2283" w:rsidRPr="0051626C" w:rsidRDefault="009A2283" w:rsidP="009A2283">
      <w:pPr>
        <w:autoSpaceDE w:val="0"/>
        <w:autoSpaceDN w:val="0"/>
        <w:adjustRightInd w:val="0"/>
        <w:spacing w:line="360" w:lineRule="auto"/>
        <w:jc w:val="left"/>
        <w:rPr>
          <w:color w:val="000000" w:themeColor="text1"/>
          <w:kern w:val="0"/>
          <w:szCs w:val="21"/>
        </w:rPr>
      </w:pPr>
    </w:p>
    <w:p w:rsidR="009A2283" w:rsidRPr="0051626C" w:rsidRDefault="009A2283" w:rsidP="009A2283">
      <w:pPr>
        <w:autoSpaceDE w:val="0"/>
        <w:autoSpaceDN w:val="0"/>
        <w:adjustRightInd w:val="0"/>
        <w:spacing w:line="360" w:lineRule="auto"/>
        <w:jc w:val="left"/>
        <w:rPr>
          <w:color w:val="000000" w:themeColor="text1"/>
          <w:kern w:val="0"/>
          <w:szCs w:val="21"/>
        </w:rPr>
      </w:pPr>
    </w:p>
    <w:p w:rsidR="009A2283" w:rsidRPr="0051626C" w:rsidRDefault="002D2A00" w:rsidP="00FC13C8">
      <w:pPr>
        <w:spacing w:line="360" w:lineRule="auto"/>
        <w:jc w:val="center"/>
        <w:rPr>
          <w:b/>
          <w:bCs/>
          <w:sz w:val="44"/>
          <w:szCs w:val="44"/>
        </w:rPr>
      </w:pPr>
      <w:r w:rsidRPr="0051626C">
        <w:rPr>
          <w:b/>
          <w:bCs/>
          <w:sz w:val="44"/>
          <w:szCs w:val="44"/>
        </w:rPr>
        <w:t>华夏鼎益债券型证券投资基金</w:t>
      </w:r>
    </w:p>
    <w:p w:rsidR="00973780" w:rsidRPr="00BD34D0" w:rsidRDefault="002D2A00" w:rsidP="00BD34D0">
      <w:pPr>
        <w:spacing w:line="360" w:lineRule="auto"/>
        <w:jc w:val="center"/>
        <w:rPr>
          <w:b/>
          <w:bCs/>
          <w:sz w:val="44"/>
          <w:szCs w:val="44"/>
        </w:rPr>
      </w:pPr>
      <w:r w:rsidRPr="0051626C">
        <w:rPr>
          <w:b/>
          <w:bCs/>
          <w:sz w:val="44"/>
          <w:szCs w:val="44"/>
        </w:rPr>
        <w:t>2017</w:t>
      </w:r>
      <w:r w:rsidRPr="0051626C">
        <w:rPr>
          <w:b/>
          <w:bCs/>
          <w:sz w:val="44"/>
          <w:szCs w:val="44"/>
        </w:rPr>
        <w:t>年第</w:t>
      </w:r>
      <w:r w:rsidRPr="0051626C">
        <w:rPr>
          <w:b/>
          <w:bCs/>
          <w:sz w:val="44"/>
          <w:szCs w:val="44"/>
        </w:rPr>
        <w:t>4</w:t>
      </w:r>
      <w:r w:rsidRPr="0051626C">
        <w:rPr>
          <w:b/>
          <w:bCs/>
          <w:sz w:val="44"/>
          <w:szCs w:val="44"/>
        </w:rPr>
        <w:t>季度报告</w:t>
      </w:r>
    </w:p>
    <w:p w:rsidR="009A2283" w:rsidRPr="00BD34D0" w:rsidRDefault="00121533" w:rsidP="00FC13C8">
      <w:pPr>
        <w:spacing w:line="360" w:lineRule="auto"/>
        <w:jc w:val="center"/>
        <w:rPr>
          <w:b/>
          <w:bCs/>
          <w:sz w:val="44"/>
          <w:szCs w:val="44"/>
        </w:rPr>
      </w:pPr>
      <w:r w:rsidRPr="00BD34D0">
        <w:rPr>
          <w:b/>
          <w:bCs/>
          <w:sz w:val="44"/>
          <w:szCs w:val="44"/>
        </w:rPr>
        <w:t>2017</w:t>
      </w:r>
      <w:r w:rsidRPr="00BD34D0">
        <w:rPr>
          <w:b/>
          <w:bCs/>
          <w:sz w:val="44"/>
          <w:szCs w:val="44"/>
        </w:rPr>
        <w:t>年</w:t>
      </w:r>
      <w:r w:rsidR="00AC6EA2" w:rsidRPr="00AC6EA2">
        <w:rPr>
          <w:rFonts w:hint="eastAsia"/>
          <w:b/>
          <w:bCs/>
          <w:sz w:val="44"/>
          <w:szCs w:val="44"/>
        </w:rPr>
        <w:t>12</w:t>
      </w:r>
      <w:r w:rsidR="00AC6EA2" w:rsidRPr="00AC6EA2">
        <w:rPr>
          <w:rFonts w:hint="eastAsia"/>
          <w:b/>
          <w:bCs/>
          <w:sz w:val="44"/>
          <w:szCs w:val="44"/>
        </w:rPr>
        <w:t>月</w:t>
      </w:r>
      <w:r w:rsidR="00AC6EA2" w:rsidRPr="00AC6EA2">
        <w:rPr>
          <w:rFonts w:hint="eastAsia"/>
          <w:b/>
          <w:bCs/>
          <w:sz w:val="44"/>
          <w:szCs w:val="44"/>
        </w:rPr>
        <w:t>28</w:t>
      </w:r>
      <w:r w:rsidR="00AC6EA2" w:rsidRPr="00AC6EA2">
        <w:rPr>
          <w:rFonts w:hint="eastAsia"/>
          <w:b/>
          <w:bCs/>
          <w:sz w:val="44"/>
          <w:szCs w:val="44"/>
        </w:rPr>
        <w:t>日</w:t>
      </w:r>
    </w:p>
    <w:p w:rsidR="009A2283" w:rsidRPr="0051626C" w:rsidRDefault="009A2283" w:rsidP="009A2283">
      <w:pPr>
        <w:spacing w:line="360" w:lineRule="auto"/>
        <w:jc w:val="center"/>
        <w:rPr>
          <w:b/>
          <w:color w:val="000000" w:themeColor="text1"/>
          <w:szCs w:val="21"/>
        </w:rPr>
      </w:pPr>
    </w:p>
    <w:p w:rsidR="009A2283" w:rsidRPr="0051626C" w:rsidRDefault="009A2283" w:rsidP="009A2283">
      <w:pPr>
        <w:spacing w:line="360" w:lineRule="auto"/>
        <w:jc w:val="center"/>
        <w:rPr>
          <w:b/>
          <w:color w:val="000000" w:themeColor="text1"/>
          <w:szCs w:val="21"/>
        </w:rPr>
      </w:pPr>
    </w:p>
    <w:p w:rsidR="009A2283" w:rsidRPr="0051626C" w:rsidRDefault="009A2283" w:rsidP="009A2283">
      <w:pPr>
        <w:spacing w:line="360" w:lineRule="auto"/>
        <w:jc w:val="center"/>
        <w:rPr>
          <w:b/>
          <w:color w:val="000000" w:themeColor="text1"/>
          <w:szCs w:val="21"/>
        </w:rPr>
      </w:pPr>
    </w:p>
    <w:p w:rsidR="009A2283" w:rsidRPr="0051626C" w:rsidRDefault="009A2283" w:rsidP="009A2283">
      <w:pPr>
        <w:spacing w:line="360" w:lineRule="auto"/>
        <w:jc w:val="center"/>
        <w:rPr>
          <w:b/>
          <w:color w:val="000000" w:themeColor="text1"/>
          <w:szCs w:val="21"/>
        </w:rPr>
      </w:pPr>
    </w:p>
    <w:p w:rsidR="009A2283" w:rsidRPr="0051626C" w:rsidRDefault="009A2283" w:rsidP="009A2283">
      <w:pPr>
        <w:spacing w:line="360" w:lineRule="auto"/>
        <w:jc w:val="center"/>
        <w:rPr>
          <w:b/>
          <w:color w:val="000000" w:themeColor="text1"/>
          <w:szCs w:val="21"/>
        </w:rPr>
      </w:pPr>
    </w:p>
    <w:p w:rsidR="009A2283" w:rsidRPr="0051626C" w:rsidRDefault="009A2283" w:rsidP="009A2283">
      <w:pPr>
        <w:spacing w:line="360" w:lineRule="auto"/>
        <w:jc w:val="center"/>
        <w:rPr>
          <w:b/>
          <w:color w:val="000000" w:themeColor="text1"/>
          <w:szCs w:val="21"/>
        </w:rPr>
      </w:pPr>
    </w:p>
    <w:p w:rsidR="009A2283" w:rsidRPr="0051626C" w:rsidRDefault="009A2283" w:rsidP="009A2283">
      <w:pPr>
        <w:spacing w:line="360" w:lineRule="auto"/>
        <w:jc w:val="center"/>
        <w:rPr>
          <w:b/>
          <w:color w:val="000000" w:themeColor="text1"/>
          <w:szCs w:val="21"/>
        </w:rPr>
      </w:pPr>
    </w:p>
    <w:p w:rsidR="009A2283" w:rsidRPr="0051626C" w:rsidRDefault="009A2283" w:rsidP="009A2283">
      <w:pPr>
        <w:spacing w:line="360" w:lineRule="auto"/>
        <w:jc w:val="center"/>
        <w:rPr>
          <w:b/>
          <w:color w:val="000000" w:themeColor="text1"/>
          <w:szCs w:val="21"/>
        </w:rPr>
      </w:pPr>
    </w:p>
    <w:p w:rsidR="009A2283" w:rsidRPr="0051626C" w:rsidRDefault="009A2283" w:rsidP="009A2283">
      <w:pPr>
        <w:spacing w:line="360" w:lineRule="auto"/>
        <w:jc w:val="center"/>
        <w:rPr>
          <w:b/>
          <w:color w:val="000000" w:themeColor="text1"/>
          <w:szCs w:val="21"/>
        </w:rPr>
      </w:pPr>
    </w:p>
    <w:p w:rsidR="009A2283" w:rsidRPr="0051626C" w:rsidRDefault="009A2283" w:rsidP="00E27360">
      <w:pPr>
        <w:spacing w:line="360" w:lineRule="auto"/>
        <w:jc w:val="center"/>
        <w:rPr>
          <w:b/>
          <w:color w:val="000000" w:themeColor="text1"/>
          <w:szCs w:val="21"/>
        </w:rPr>
      </w:pPr>
    </w:p>
    <w:p w:rsidR="00E27360" w:rsidRPr="0051626C" w:rsidRDefault="00E27360" w:rsidP="00E27360">
      <w:pPr>
        <w:spacing w:line="360" w:lineRule="auto"/>
        <w:jc w:val="center"/>
        <w:rPr>
          <w:b/>
          <w:color w:val="000000" w:themeColor="text1"/>
          <w:szCs w:val="21"/>
        </w:rPr>
      </w:pPr>
    </w:p>
    <w:p w:rsidR="009A2283" w:rsidRPr="0051626C" w:rsidRDefault="009A2283" w:rsidP="009A2283">
      <w:pPr>
        <w:spacing w:line="360" w:lineRule="auto"/>
        <w:jc w:val="center"/>
        <w:rPr>
          <w:b/>
          <w:color w:val="000000" w:themeColor="text1"/>
          <w:szCs w:val="21"/>
        </w:rPr>
      </w:pPr>
    </w:p>
    <w:p w:rsidR="009A2283" w:rsidRPr="0051626C" w:rsidRDefault="009A2283" w:rsidP="009A2283">
      <w:pPr>
        <w:spacing w:line="360" w:lineRule="auto"/>
        <w:jc w:val="center"/>
        <w:rPr>
          <w:b/>
          <w:color w:val="000000" w:themeColor="text1"/>
          <w:szCs w:val="21"/>
        </w:rPr>
      </w:pPr>
    </w:p>
    <w:p w:rsidR="009A2283" w:rsidRPr="0051626C" w:rsidRDefault="009A2283" w:rsidP="009A2283">
      <w:pPr>
        <w:spacing w:line="360" w:lineRule="auto"/>
        <w:rPr>
          <w:b/>
          <w:color w:val="000000" w:themeColor="text1"/>
          <w:szCs w:val="21"/>
        </w:rPr>
      </w:pPr>
    </w:p>
    <w:p w:rsidR="009A2283" w:rsidRPr="0051626C" w:rsidRDefault="009A2283" w:rsidP="00973780">
      <w:pPr>
        <w:spacing w:line="360" w:lineRule="auto"/>
        <w:ind w:firstLine="2640"/>
        <w:rPr>
          <w:sz w:val="24"/>
        </w:rPr>
      </w:pPr>
      <w:r w:rsidRPr="0051626C">
        <w:rPr>
          <w:sz w:val="24"/>
        </w:rPr>
        <w:t>基金管理人：</w:t>
      </w:r>
      <w:r w:rsidR="00BF377F" w:rsidRPr="0051626C">
        <w:rPr>
          <w:sz w:val="24"/>
        </w:rPr>
        <w:t>华夏基金管理有限公司</w:t>
      </w:r>
    </w:p>
    <w:p w:rsidR="009A2283" w:rsidRPr="0051626C" w:rsidRDefault="009A2283" w:rsidP="00973780">
      <w:pPr>
        <w:spacing w:line="360" w:lineRule="auto"/>
        <w:ind w:firstLine="2640"/>
        <w:rPr>
          <w:sz w:val="24"/>
        </w:rPr>
      </w:pPr>
      <w:r w:rsidRPr="0051626C">
        <w:rPr>
          <w:sz w:val="24"/>
        </w:rPr>
        <w:t>基金托管人：</w:t>
      </w:r>
      <w:r w:rsidR="00BF377F" w:rsidRPr="0051626C">
        <w:rPr>
          <w:sz w:val="24"/>
        </w:rPr>
        <w:t>中国银行股份有限公司</w:t>
      </w:r>
    </w:p>
    <w:p w:rsidR="009A2283" w:rsidRPr="0051626C" w:rsidRDefault="009A2283" w:rsidP="00973780">
      <w:pPr>
        <w:spacing w:line="360" w:lineRule="auto"/>
        <w:ind w:firstLine="2640"/>
        <w:rPr>
          <w:sz w:val="24"/>
        </w:rPr>
        <w:sectPr w:rsidR="009A2283" w:rsidRPr="0051626C" w:rsidSect="00F7094A">
          <w:pgSz w:w="11926" w:h="15840"/>
          <w:pgMar w:top="1418" w:right="1418" w:bottom="851" w:left="1418" w:header="851" w:footer="992" w:gutter="0"/>
          <w:cols w:space="720"/>
          <w:noEndnote/>
        </w:sectPr>
      </w:pPr>
      <w:r w:rsidRPr="0051626C">
        <w:rPr>
          <w:sz w:val="24"/>
        </w:rPr>
        <w:t>报告送出日期：</w:t>
      </w:r>
      <w:r w:rsidR="00D04410" w:rsidRPr="0051626C">
        <w:rPr>
          <w:sz w:val="24"/>
        </w:rPr>
        <w:t>二〇一八年一月二十二日</w:t>
      </w:r>
    </w:p>
    <w:p w:rsidR="009238DB" w:rsidRPr="0051626C" w:rsidRDefault="00473A6F" w:rsidP="00973780">
      <w:pPr>
        <w:pStyle w:val="2"/>
        <w:pageBreakBefore/>
        <w:spacing w:line="416" w:lineRule="auto"/>
        <w:jc w:val="center"/>
        <w:rPr>
          <w:rStyle w:val="2CharCharChar"/>
          <w:rFonts w:ascii="Times New Roman" w:hAnsi="Times New Roman"/>
          <w:b/>
          <w:szCs w:val="24"/>
        </w:rPr>
      </w:pPr>
      <w:r w:rsidRPr="0051626C">
        <w:rPr>
          <w:rStyle w:val="2CharCharChar"/>
          <w:rFonts w:ascii="Times New Roman" w:hAnsi="Times New Roman"/>
          <w:b/>
          <w:szCs w:val="24"/>
        </w:rPr>
        <w:lastRenderedPageBreak/>
        <w:t xml:space="preserve">§1 </w:t>
      </w:r>
      <w:r w:rsidR="009238DB" w:rsidRPr="0051626C">
        <w:rPr>
          <w:rStyle w:val="2CharCharChar"/>
          <w:rFonts w:ascii="Times New Roman" w:hAnsi="Times New Roman"/>
          <w:b/>
          <w:szCs w:val="24"/>
        </w:rPr>
        <w:t>重要提示</w:t>
      </w:r>
    </w:p>
    <w:p w:rsidR="008D4979" w:rsidRDefault="00AC6EA2">
      <w:pPr>
        <w:pStyle w:val="12"/>
        <w:spacing w:line="360" w:lineRule="auto"/>
        <w:ind w:firstLine="420"/>
        <w:jc w:val="left"/>
        <w:rPr>
          <w:szCs w:val="21"/>
        </w:rPr>
      </w:pPr>
      <w:r>
        <w:rPr>
          <w:szCs w:val="21"/>
        </w:rPr>
        <w:t>基金管理人的董事会及董事保证本报告所载资料不存在虚假记载、误导性陈述或重大遗漏，并对其内容的真实性、准确性和完整性承担个别及连带责任。</w:t>
      </w:r>
    </w:p>
    <w:p w:rsidR="008D4979" w:rsidRDefault="00AC6EA2">
      <w:pPr>
        <w:pStyle w:val="12"/>
        <w:spacing w:line="360" w:lineRule="auto"/>
        <w:ind w:firstLine="420"/>
        <w:jc w:val="left"/>
        <w:rPr>
          <w:szCs w:val="21"/>
        </w:rPr>
      </w:pPr>
      <w:r>
        <w:rPr>
          <w:szCs w:val="21"/>
        </w:rPr>
        <w:t>基金托管人中国银行股份有限公司根据本基金合同规定，于</w:t>
      </w:r>
      <w:r>
        <w:rPr>
          <w:szCs w:val="21"/>
        </w:rPr>
        <w:t>2018</w:t>
      </w:r>
      <w:r>
        <w:rPr>
          <w:szCs w:val="21"/>
        </w:rPr>
        <w:t>年</w:t>
      </w:r>
      <w:r>
        <w:rPr>
          <w:szCs w:val="21"/>
        </w:rPr>
        <w:t>1</w:t>
      </w:r>
      <w:r>
        <w:rPr>
          <w:szCs w:val="21"/>
        </w:rPr>
        <w:t>月</w:t>
      </w:r>
      <w:r>
        <w:rPr>
          <w:szCs w:val="21"/>
        </w:rPr>
        <w:t>18</w:t>
      </w:r>
      <w:r>
        <w:rPr>
          <w:szCs w:val="21"/>
        </w:rPr>
        <w:t>日复核了本报告中的财务指标、净值表现和投资组合报告等内容，保证复核内容不存在虚假记载、误导性陈述或者重大遗漏。</w:t>
      </w:r>
    </w:p>
    <w:p w:rsidR="008D4979" w:rsidRDefault="00AC6EA2">
      <w:pPr>
        <w:pStyle w:val="12"/>
        <w:spacing w:line="360" w:lineRule="auto"/>
        <w:ind w:firstLine="420"/>
        <w:jc w:val="left"/>
        <w:rPr>
          <w:szCs w:val="21"/>
        </w:rPr>
      </w:pPr>
      <w:r>
        <w:rPr>
          <w:szCs w:val="21"/>
        </w:rPr>
        <w:t>基金管理人于</w:t>
      </w:r>
      <w:r>
        <w:rPr>
          <w:szCs w:val="21"/>
        </w:rPr>
        <w:t>2017</w:t>
      </w:r>
      <w:r>
        <w:rPr>
          <w:szCs w:val="21"/>
        </w:rPr>
        <w:t>年</w:t>
      </w:r>
      <w:r>
        <w:rPr>
          <w:szCs w:val="21"/>
        </w:rPr>
        <w:t>1</w:t>
      </w:r>
      <w:r w:rsidR="00EE2410">
        <w:rPr>
          <w:rFonts w:hint="eastAsia"/>
          <w:szCs w:val="21"/>
        </w:rPr>
        <w:t>1</w:t>
      </w:r>
      <w:r>
        <w:rPr>
          <w:szCs w:val="21"/>
        </w:rPr>
        <w:t>月</w:t>
      </w:r>
      <w:r>
        <w:rPr>
          <w:szCs w:val="21"/>
        </w:rPr>
        <w:t>2</w:t>
      </w:r>
      <w:r w:rsidR="00EE2410">
        <w:rPr>
          <w:rFonts w:hint="eastAsia"/>
          <w:szCs w:val="21"/>
        </w:rPr>
        <w:t>5</w:t>
      </w:r>
      <w:r>
        <w:rPr>
          <w:szCs w:val="21"/>
        </w:rPr>
        <w:t>日发布《</w:t>
      </w:r>
      <w:r w:rsidR="00EE2410" w:rsidRPr="00EE2410">
        <w:rPr>
          <w:rFonts w:hint="eastAsia"/>
          <w:szCs w:val="21"/>
        </w:rPr>
        <w:t>华夏基金管理有限公司关于以通讯方式召开华夏鼎益债券型证券投资基金基金份额持有人大会的公告</w:t>
      </w:r>
      <w:r>
        <w:rPr>
          <w:szCs w:val="21"/>
        </w:rPr>
        <w:t>》，审议关于终止本基金基金合同有关事项的议案，</w:t>
      </w:r>
      <w:r w:rsidR="00B924D2">
        <w:rPr>
          <w:rFonts w:hint="eastAsia"/>
          <w:szCs w:val="21"/>
        </w:rPr>
        <w:t>该</w:t>
      </w:r>
      <w:r>
        <w:rPr>
          <w:szCs w:val="21"/>
        </w:rPr>
        <w:t>议案已于</w:t>
      </w:r>
      <w:r>
        <w:rPr>
          <w:szCs w:val="21"/>
        </w:rPr>
        <w:t>2017</w:t>
      </w:r>
      <w:r>
        <w:rPr>
          <w:szCs w:val="21"/>
        </w:rPr>
        <w:t>年</w:t>
      </w:r>
      <w:r>
        <w:rPr>
          <w:szCs w:val="21"/>
        </w:rPr>
        <w:t>12</w:t>
      </w:r>
      <w:r>
        <w:rPr>
          <w:szCs w:val="21"/>
        </w:rPr>
        <w:t>月</w:t>
      </w:r>
      <w:r>
        <w:rPr>
          <w:szCs w:val="21"/>
        </w:rPr>
        <w:t>26</w:t>
      </w:r>
      <w:r>
        <w:rPr>
          <w:szCs w:val="21"/>
        </w:rPr>
        <w:t>日获得通过，基金份额持有人大会决议自同日起生效</w:t>
      </w:r>
      <w:r w:rsidR="00B924D2">
        <w:rPr>
          <w:rFonts w:hint="eastAsia"/>
          <w:szCs w:val="21"/>
        </w:rPr>
        <w:t>，基金管理人于</w:t>
      </w:r>
      <w:r w:rsidR="00B924D2">
        <w:rPr>
          <w:rFonts w:hint="eastAsia"/>
          <w:szCs w:val="21"/>
        </w:rPr>
        <w:t>2017</w:t>
      </w:r>
      <w:r w:rsidR="00B924D2">
        <w:rPr>
          <w:rFonts w:hint="eastAsia"/>
          <w:szCs w:val="21"/>
        </w:rPr>
        <w:t>年</w:t>
      </w:r>
      <w:r w:rsidR="00B924D2">
        <w:rPr>
          <w:rFonts w:hint="eastAsia"/>
          <w:szCs w:val="21"/>
        </w:rPr>
        <w:t>12</w:t>
      </w:r>
      <w:r w:rsidR="00B924D2">
        <w:rPr>
          <w:rFonts w:hint="eastAsia"/>
          <w:szCs w:val="21"/>
        </w:rPr>
        <w:t>月</w:t>
      </w:r>
      <w:r w:rsidR="00B924D2">
        <w:rPr>
          <w:rFonts w:hint="eastAsia"/>
          <w:szCs w:val="21"/>
        </w:rPr>
        <w:t>27</w:t>
      </w:r>
      <w:r w:rsidR="00B924D2">
        <w:rPr>
          <w:rFonts w:hint="eastAsia"/>
          <w:szCs w:val="21"/>
        </w:rPr>
        <w:t>日发布《</w:t>
      </w:r>
      <w:r w:rsidR="00B924D2" w:rsidRPr="00B924D2">
        <w:rPr>
          <w:rFonts w:hint="eastAsia"/>
          <w:szCs w:val="21"/>
        </w:rPr>
        <w:t>华夏鼎益债券型证券投资基金基金份额持有人大会表决结果暨决议生效公告</w:t>
      </w:r>
      <w:r w:rsidR="00B924D2">
        <w:rPr>
          <w:rFonts w:hint="eastAsia"/>
          <w:szCs w:val="21"/>
        </w:rPr>
        <w:t>》</w:t>
      </w:r>
      <w:r>
        <w:rPr>
          <w:szCs w:val="21"/>
        </w:rPr>
        <w:t>。根据决议生效公告，本基金最后运作日为</w:t>
      </w:r>
      <w:r>
        <w:rPr>
          <w:szCs w:val="21"/>
        </w:rPr>
        <w:t>2017</w:t>
      </w:r>
      <w:r>
        <w:rPr>
          <w:szCs w:val="21"/>
        </w:rPr>
        <w:t>年</w:t>
      </w:r>
      <w:r>
        <w:rPr>
          <w:szCs w:val="21"/>
        </w:rPr>
        <w:t>12</w:t>
      </w:r>
      <w:r>
        <w:rPr>
          <w:szCs w:val="21"/>
        </w:rPr>
        <w:t>月</w:t>
      </w:r>
      <w:r>
        <w:rPr>
          <w:szCs w:val="21"/>
        </w:rPr>
        <w:t>28</w:t>
      </w:r>
      <w:r>
        <w:rPr>
          <w:szCs w:val="21"/>
        </w:rPr>
        <w:t>日，并自</w:t>
      </w:r>
      <w:r>
        <w:rPr>
          <w:szCs w:val="21"/>
        </w:rPr>
        <w:t>2017</w:t>
      </w:r>
      <w:r>
        <w:rPr>
          <w:szCs w:val="21"/>
        </w:rPr>
        <w:t>年</w:t>
      </w:r>
      <w:r>
        <w:rPr>
          <w:szCs w:val="21"/>
        </w:rPr>
        <w:t>12</w:t>
      </w:r>
      <w:r>
        <w:rPr>
          <w:szCs w:val="21"/>
        </w:rPr>
        <w:t>月</w:t>
      </w:r>
      <w:r>
        <w:rPr>
          <w:szCs w:val="21"/>
        </w:rPr>
        <w:t>29</w:t>
      </w:r>
      <w:r>
        <w:rPr>
          <w:szCs w:val="21"/>
        </w:rPr>
        <w:t>日起进入清算流程。基金财产清算小组已将清算报告报中国证监会备案。</w:t>
      </w:r>
    </w:p>
    <w:p w:rsidR="008D4979" w:rsidRDefault="00AC6EA2">
      <w:pPr>
        <w:pStyle w:val="12"/>
        <w:spacing w:line="360" w:lineRule="auto"/>
        <w:ind w:firstLine="420"/>
        <w:jc w:val="left"/>
        <w:rPr>
          <w:szCs w:val="21"/>
        </w:rPr>
      </w:pPr>
      <w:r>
        <w:rPr>
          <w:szCs w:val="21"/>
        </w:rPr>
        <w:t>基金管理人承诺以诚实信用、勤勉尽责的原则管理和运用基金资产，但不保证基金一定盈利。</w:t>
      </w:r>
    </w:p>
    <w:p w:rsidR="008D4979" w:rsidRDefault="00AC6EA2">
      <w:pPr>
        <w:pStyle w:val="12"/>
        <w:spacing w:line="360" w:lineRule="auto"/>
        <w:ind w:firstLine="420"/>
        <w:jc w:val="left"/>
        <w:rPr>
          <w:szCs w:val="21"/>
        </w:rPr>
      </w:pPr>
      <w:r>
        <w:rPr>
          <w:szCs w:val="21"/>
        </w:rPr>
        <w:t>基金的过往业绩并不代表其未来表现。投资有风险，投资者在作出投资决策前应仔细阅读本基金的招募说明书。</w:t>
      </w:r>
    </w:p>
    <w:p w:rsidR="008D4979" w:rsidRDefault="00AC6EA2">
      <w:pPr>
        <w:pStyle w:val="12"/>
        <w:spacing w:line="360" w:lineRule="auto"/>
        <w:ind w:firstLine="420"/>
        <w:jc w:val="left"/>
        <w:rPr>
          <w:szCs w:val="21"/>
        </w:rPr>
      </w:pPr>
      <w:r>
        <w:rPr>
          <w:szCs w:val="21"/>
        </w:rPr>
        <w:t>本报告中财务资料未经审计。</w:t>
      </w:r>
    </w:p>
    <w:p w:rsidR="009238DB" w:rsidRPr="00A1399F" w:rsidRDefault="00267DA9" w:rsidP="00A1399F">
      <w:pPr>
        <w:pStyle w:val="12"/>
        <w:spacing w:line="360" w:lineRule="auto"/>
        <w:ind w:firstLine="420"/>
        <w:jc w:val="left"/>
        <w:rPr>
          <w:szCs w:val="21"/>
        </w:rPr>
      </w:pPr>
      <w:r w:rsidRPr="00A1399F">
        <w:rPr>
          <w:szCs w:val="21"/>
        </w:rPr>
        <w:t>本报告期自</w:t>
      </w:r>
      <w:r w:rsidRPr="00A1399F">
        <w:rPr>
          <w:szCs w:val="21"/>
        </w:rPr>
        <w:t>2017</w:t>
      </w:r>
      <w:r w:rsidRPr="00A1399F">
        <w:rPr>
          <w:szCs w:val="21"/>
        </w:rPr>
        <w:t>年</w:t>
      </w:r>
      <w:r w:rsidRPr="00A1399F">
        <w:rPr>
          <w:szCs w:val="21"/>
        </w:rPr>
        <w:t>10</w:t>
      </w:r>
      <w:r w:rsidRPr="00A1399F">
        <w:rPr>
          <w:szCs w:val="21"/>
        </w:rPr>
        <w:t>月</w:t>
      </w:r>
      <w:r w:rsidRPr="00A1399F">
        <w:rPr>
          <w:szCs w:val="21"/>
        </w:rPr>
        <w:t>1</w:t>
      </w:r>
      <w:r w:rsidRPr="00A1399F">
        <w:rPr>
          <w:szCs w:val="21"/>
        </w:rPr>
        <w:t>日起至</w:t>
      </w:r>
      <w:r w:rsidRPr="00A1399F">
        <w:rPr>
          <w:szCs w:val="21"/>
        </w:rPr>
        <w:t>12</w:t>
      </w:r>
      <w:r w:rsidRPr="00A1399F">
        <w:rPr>
          <w:szCs w:val="21"/>
        </w:rPr>
        <w:t>月</w:t>
      </w:r>
      <w:r w:rsidRPr="00A1399F">
        <w:rPr>
          <w:szCs w:val="21"/>
        </w:rPr>
        <w:t>28</w:t>
      </w:r>
      <w:r w:rsidRPr="00A1399F">
        <w:rPr>
          <w:szCs w:val="21"/>
        </w:rPr>
        <w:t>日（基金最后运作日）止。</w:t>
      </w:r>
    </w:p>
    <w:p w:rsidR="009238DB" w:rsidRPr="0051626C" w:rsidRDefault="00473A6F" w:rsidP="0051626C">
      <w:pPr>
        <w:pStyle w:val="2"/>
        <w:pageBreakBefore/>
        <w:spacing w:line="416" w:lineRule="auto"/>
        <w:jc w:val="center"/>
        <w:rPr>
          <w:rStyle w:val="2CharCharChar"/>
          <w:rFonts w:ascii="Times New Roman" w:hAnsi="Times New Roman"/>
          <w:b/>
          <w:szCs w:val="24"/>
        </w:rPr>
      </w:pPr>
      <w:r w:rsidRPr="0051626C">
        <w:rPr>
          <w:rStyle w:val="2CharCharChar"/>
          <w:rFonts w:ascii="Times New Roman" w:hAnsi="Times New Roman"/>
          <w:b/>
          <w:szCs w:val="24"/>
        </w:rPr>
        <w:lastRenderedPageBreak/>
        <w:t>§2</w:t>
      </w:r>
      <w:r w:rsidR="009238DB" w:rsidRPr="0051626C">
        <w:rPr>
          <w:rStyle w:val="2CharCharChar"/>
          <w:rFonts w:ascii="Times New Roman" w:hAnsi="Times New Roman"/>
          <w:b/>
          <w:szCs w:val="24"/>
        </w:rPr>
        <w:t>基金产品概况</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2739"/>
        <w:gridCol w:w="3215"/>
      </w:tblGrid>
      <w:tr w:rsidR="0086758B" w:rsidRPr="0051626C" w:rsidTr="00C9081C">
        <w:tc>
          <w:tcPr>
            <w:tcW w:w="2835" w:type="dxa"/>
            <w:vAlign w:val="center"/>
          </w:tcPr>
          <w:p w:rsidR="00A6200E" w:rsidRPr="0051626C" w:rsidRDefault="00A6200E" w:rsidP="00C9081C">
            <w:pPr>
              <w:adjustRightInd w:val="0"/>
              <w:spacing w:before="29" w:line="360" w:lineRule="auto"/>
              <w:ind w:left="17"/>
              <w:rPr>
                <w:color w:val="000000" w:themeColor="text1"/>
                <w:kern w:val="0"/>
                <w:szCs w:val="21"/>
              </w:rPr>
            </w:pPr>
            <w:r w:rsidRPr="0051626C">
              <w:rPr>
                <w:color w:val="000000" w:themeColor="text1"/>
                <w:kern w:val="0"/>
                <w:szCs w:val="21"/>
              </w:rPr>
              <w:t>基金简称</w:t>
            </w:r>
          </w:p>
        </w:tc>
        <w:tc>
          <w:tcPr>
            <w:tcW w:w="5954" w:type="dxa"/>
            <w:gridSpan w:val="2"/>
            <w:vAlign w:val="center"/>
          </w:tcPr>
          <w:p w:rsidR="00A6200E" w:rsidRPr="0051626C" w:rsidRDefault="00A6200E" w:rsidP="003F7026">
            <w:pPr>
              <w:adjustRightInd w:val="0"/>
              <w:spacing w:before="29" w:line="360" w:lineRule="auto"/>
              <w:ind w:left="17"/>
              <w:rPr>
                <w:color w:val="000000" w:themeColor="text1"/>
                <w:kern w:val="0"/>
                <w:szCs w:val="21"/>
              </w:rPr>
            </w:pPr>
            <w:r w:rsidRPr="0051626C">
              <w:rPr>
                <w:color w:val="000000" w:themeColor="text1"/>
                <w:kern w:val="0"/>
                <w:szCs w:val="21"/>
              </w:rPr>
              <w:t>华夏鼎益债券</w:t>
            </w:r>
          </w:p>
        </w:tc>
      </w:tr>
      <w:tr w:rsidR="0086758B" w:rsidRPr="0051626C" w:rsidTr="00C9081C">
        <w:tc>
          <w:tcPr>
            <w:tcW w:w="2835" w:type="dxa"/>
            <w:vAlign w:val="center"/>
          </w:tcPr>
          <w:p w:rsidR="00B95753" w:rsidRPr="0051626C" w:rsidRDefault="00B95753" w:rsidP="00C9081C">
            <w:pPr>
              <w:adjustRightInd w:val="0"/>
              <w:spacing w:before="29" w:line="360" w:lineRule="auto"/>
              <w:ind w:left="17"/>
              <w:rPr>
                <w:color w:val="000000" w:themeColor="text1"/>
                <w:kern w:val="0"/>
                <w:szCs w:val="21"/>
              </w:rPr>
            </w:pPr>
            <w:r w:rsidRPr="0051626C">
              <w:rPr>
                <w:color w:val="000000" w:themeColor="text1"/>
                <w:kern w:val="0"/>
                <w:szCs w:val="21"/>
              </w:rPr>
              <w:t>基金主代码</w:t>
            </w:r>
          </w:p>
        </w:tc>
        <w:tc>
          <w:tcPr>
            <w:tcW w:w="5954" w:type="dxa"/>
            <w:gridSpan w:val="2"/>
            <w:tcBorders>
              <w:bottom w:val="single" w:sz="4" w:space="0" w:color="auto"/>
            </w:tcBorders>
            <w:vAlign w:val="center"/>
          </w:tcPr>
          <w:p w:rsidR="00B95753" w:rsidRPr="0051626C" w:rsidRDefault="00B95753" w:rsidP="003F7026">
            <w:pPr>
              <w:adjustRightInd w:val="0"/>
              <w:spacing w:before="29" w:line="360" w:lineRule="auto"/>
              <w:ind w:left="17"/>
              <w:rPr>
                <w:color w:val="000000" w:themeColor="text1"/>
                <w:kern w:val="0"/>
                <w:szCs w:val="21"/>
              </w:rPr>
            </w:pPr>
            <w:r w:rsidRPr="0051626C">
              <w:rPr>
                <w:color w:val="000000" w:themeColor="text1"/>
                <w:kern w:val="0"/>
                <w:szCs w:val="21"/>
              </w:rPr>
              <w:t>003005</w:t>
            </w:r>
          </w:p>
        </w:tc>
      </w:tr>
      <w:tr w:rsidR="00927F49" w:rsidRPr="0051626C" w:rsidTr="00C9081C">
        <w:tc>
          <w:tcPr>
            <w:tcW w:w="2835" w:type="dxa"/>
            <w:vAlign w:val="center"/>
          </w:tcPr>
          <w:p w:rsidR="00927F49" w:rsidRPr="0051626C" w:rsidRDefault="00927F49" w:rsidP="00C9081C">
            <w:pPr>
              <w:adjustRightInd w:val="0"/>
              <w:spacing w:before="29" w:line="360" w:lineRule="auto"/>
              <w:ind w:left="17"/>
              <w:rPr>
                <w:color w:val="000000" w:themeColor="text1"/>
                <w:szCs w:val="21"/>
              </w:rPr>
            </w:pPr>
            <w:r w:rsidRPr="0051626C">
              <w:rPr>
                <w:color w:val="000000" w:themeColor="text1"/>
                <w:kern w:val="0"/>
                <w:szCs w:val="21"/>
              </w:rPr>
              <w:t>基金运作方式</w:t>
            </w:r>
          </w:p>
        </w:tc>
        <w:tc>
          <w:tcPr>
            <w:tcW w:w="5954" w:type="dxa"/>
            <w:gridSpan w:val="2"/>
            <w:tcBorders>
              <w:top w:val="single" w:sz="4" w:space="0" w:color="auto"/>
            </w:tcBorders>
            <w:vAlign w:val="center"/>
          </w:tcPr>
          <w:p w:rsidR="00927F49" w:rsidRPr="0051626C" w:rsidRDefault="00927F49" w:rsidP="003F7026">
            <w:pPr>
              <w:adjustRightInd w:val="0"/>
              <w:spacing w:before="29" w:line="360" w:lineRule="auto"/>
              <w:ind w:left="17"/>
              <w:rPr>
                <w:color w:val="000000" w:themeColor="text1"/>
                <w:szCs w:val="21"/>
              </w:rPr>
            </w:pPr>
            <w:r w:rsidRPr="0051626C">
              <w:rPr>
                <w:color w:val="000000" w:themeColor="text1"/>
                <w:kern w:val="0"/>
                <w:szCs w:val="21"/>
              </w:rPr>
              <w:t>契约型开放式</w:t>
            </w:r>
          </w:p>
        </w:tc>
      </w:tr>
      <w:tr w:rsidR="00927F49" w:rsidRPr="0051626C" w:rsidTr="00C9081C">
        <w:tc>
          <w:tcPr>
            <w:tcW w:w="2835" w:type="dxa"/>
            <w:vAlign w:val="center"/>
          </w:tcPr>
          <w:p w:rsidR="00927F49" w:rsidRPr="0051626C" w:rsidRDefault="00927F49" w:rsidP="00C9081C">
            <w:pPr>
              <w:adjustRightInd w:val="0"/>
              <w:spacing w:before="29" w:line="360" w:lineRule="auto"/>
              <w:ind w:left="17"/>
              <w:rPr>
                <w:color w:val="000000" w:themeColor="text1"/>
                <w:szCs w:val="21"/>
              </w:rPr>
            </w:pPr>
            <w:r w:rsidRPr="0051626C">
              <w:rPr>
                <w:color w:val="000000" w:themeColor="text1"/>
                <w:kern w:val="0"/>
                <w:szCs w:val="21"/>
              </w:rPr>
              <w:t>基金合同生效日</w:t>
            </w:r>
          </w:p>
        </w:tc>
        <w:tc>
          <w:tcPr>
            <w:tcW w:w="5954" w:type="dxa"/>
            <w:gridSpan w:val="2"/>
            <w:vAlign w:val="center"/>
          </w:tcPr>
          <w:p w:rsidR="00927F49" w:rsidRPr="0051626C" w:rsidRDefault="00927F49" w:rsidP="003F7026">
            <w:pPr>
              <w:adjustRightInd w:val="0"/>
              <w:spacing w:before="29" w:line="360" w:lineRule="auto"/>
              <w:ind w:left="17"/>
              <w:rPr>
                <w:color w:val="000000" w:themeColor="text1"/>
                <w:kern w:val="0"/>
                <w:szCs w:val="21"/>
              </w:rPr>
            </w:pPr>
            <w:r w:rsidRPr="0051626C">
              <w:rPr>
                <w:color w:val="000000" w:themeColor="text1"/>
                <w:kern w:val="0"/>
                <w:szCs w:val="21"/>
              </w:rPr>
              <w:t>2016</w:t>
            </w:r>
            <w:r w:rsidRPr="0051626C">
              <w:rPr>
                <w:color w:val="000000" w:themeColor="text1"/>
                <w:kern w:val="0"/>
                <w:szCs w:val="21"/>
              </w:rPr>
              <w:t>年</w:t>
            </w:r>
            <w:r w:rsidRPr="0051626C">
              <w:rPr>
                <w:color w:val="000000" w:themeColor="text1"/>
                <w:kern w:val="0"/>
                <w:szCs w:val="21"/>
              </w:rPr>
              <w:t>12</w:t>
            </w:r>
            <w:r w:rsidRPr="0051626C">
              <w:rPr>
                <w:color w:val="000000" w:themeColor="text1"/>
                <w:kern w:val="0"/>
                <w:szCs w:val="21"/>
              </w:rPr>
              <w:t>月</w:t>
            </w:r>
            <w:r w:rsidRPr="0051626C">
              <w:rPr>
                <w:color w:val="000000" w:themeColor="text1"/>
                <w:kern w:val="0"/>
                <w:szCs w:val="21"/>
              </w:rPr>
              <w:t>27</w:t>
            </w:r>
            <w:r w:rsidRPr="0051626C">
              <w:rPr>
                <w:color w:val="000000" w:themeColor="text1"/>
                <w:kern w:val="0"/>
                <w:szCs w:val="21"/>
              </w:rPr>
              <w:t>日</w:t>
            </w:r>
          </w:p>
        </w:tc>
      </w:tr>
      <w:tr w:rsidR="00927F49" w:rsidRPr="0051626C" w:rsidTr="00C9081C">
        <w:tc>
          <w:tcPr>
            <w:tcW w:w="2835" w:type="dxa"/>
            <w:vAlign w:val="center"/>
          </w:tcPr>
          <w:p w:rsidR="00927F49" w:rsidRPr="0051626C" w:rsidRDefault="00927F49" w:rsidP="00C9081C">
            <w:pPr>
              <w:adjustRightInd w:val="0"/>
              <w:spacing w:before="29" w:line="360" w:lineRule="auto"/>
              <w:ind w:left="17"/>
              <w:rPr>
                <w:color w:val="000000" w:themeColor="text1"/>
                <w:szCs w:val="21"/>
              </w:rPr>
            </w:pPr>
            <w:r w:rsidRPr="0051626C">
              <w:rPr>
                <w:color w:val="000000" w:themeColor="text1"/>
                <w:kern w:val="0"/>
                <w:szCs w:val="21"/>
              </w:rPr>
              <w:t>报告期末基金份额总额</w:t>
            </w:r>
          </w:p>
        </w:tc>
        <w:tc>
          <w:tcPr>
            <w:tcW w:w="5954" w:type="dxa"/>
            <w:gridSpan w:val="2"/>
            <w:vAlign w:val="center"/>
          </w:tcPr>
          <w:p w:rsidR="00927F49" w:rsidRPr="0051626C" w:rsidRDefault="00927F49" w:rsidP="003F7026">
            <w:pPr>
              <w:adjustRightInd w:val="0"/>
              <w:spacing w:before="29" w:line="360" w:lineRule="auto"/>
              <w:ind w:left="17"/>
              <w:rPr>
                <w:color w:val="000000" w:themeColor="text1"/>
                <w:szCs w:val="21"/>
              </w:rPr>
            </w:pPr>
            <w:r w:rsidRPr="0051626C">
              <w:rPr>
                <w:color w:val="000000" w:themeColor="text1"/>
                <w:kern w:val="0"/>
                <w:szCs w:val="21"/>
              </w:rPr>
              <w:t>82,466.07</w:t>
            </w:r>
            <w:r w:rsidRPr="0051626C">
              <w:rPr>
                <w:color w:val="000000" w:themeColor="text1"/>
                <w:kern w:val="0"/>
                <w:szCs w:val="21"/>
              </w:rPr>
              <w:t>份</w:t>
            </w:r>
          </w:p>
        </w:tc>
      </w:tr>
      <w:tr w:rsidR="00927F49" w:rsidRPr="0051626C" w:rsidTr="00C9081C">
        <w:tc>
          <w:tcPr>
            <w:tcW w:w="2835" w:type="dxa"/>
            <w:vAlign w:val="center"/>
          </w:tcPr>
          <w:p w:rsidR="00927F49" w:rsidRPr="0051626C" w:rsidRDefault="00927F49" w:rsidP="00C9081C">
            <w:pPr>
              <w:adjustRightInd w:val="0"/>
              <w:spacing w:before="29" w:line="360" w:lineRule="auto"/>
              <w:ind w:left="17"/>
              <w:rPr>
                <w:color w:val="000000" w:themeColor="text1"/>
                <w:szCs w:val="21"/>
              </w:rPr>
            </w:pPr>
            <w:r w:rsidRPr="0051626C">
              <w:rPr>
                <w:color w:val="000000" w:themeColor="text1"/>
                <w:kern w:val="0"/>
                <w:szCs w:val="21"/>
              </w:rPr>
              <w:t>投资目标</w:t>
            </w:r>
          </w:p>
        </w:tc>
        <w:tc>
          <w:tcPr>
            <w:tcW w:w="5954" w:type="dxa"/>
            <w:gridSpan w:val="2"/>
            <w:vAlign w:val="center"/>
          </w:tcPr>
          <w:p w:rsidR="00927F49" w:rsidRPr="0051626C" w:rsidRDefault="00927F49" w:rsidP="003F7026">
            <w:pPr>
              <w:adjustRightInd w:val="0"/>
              <w:spacing w:before="29" w:line="360" w:lineRule="auto"/>
              <w:ind w:left="17"/>
              <w:rPr>
                <w:color w:val="000000" w:themeColor="text1"/>
                <w:szCs w:val="21"/>
              </w:rPr>
            </w:pPr>
            <w:r w:rsidRPr="0051626C">
              <w:rPr>
                <w:color w:val="000000" w:themeColor="text1"/>
                <w:kern w:val="0"/>
                <w:szCs w:val="21"/>
              </w:rPr>
              <w:t>在有效控制风险的前提下，追求持续、稳定的收益。</w:t>
            </w:r>
          </w:p>
        </w:tc>
      </w:tr>
      <w:tr w:rsidR="00927F49" w:rsidRPr="0051626C" w:rsidTr="00C9081C">
        <w:tc>
          <w:tcPr>
            <w:tcW w:w="2835" w:type="dxa"/>
            <w:vAlign w:val="center"/>
          </w:tcPr>
          <w:p w:rsidR="00927F49" w:rsidRPr="0051626C" w:rsidRDefault="00927F49" w:rsidP="00C9081C">
            <w:pPr>
              <w:adjustRightInd w:val="0"/>
              <w:spacing w:before="29" w:line="360" w:lineRule="auto"/>
              <w:ind w:left="17"/>
              <w:rPr>
                <w:color w:val="000000" w:themeColor="text1"/>
                <w:szCs w:val="21"/>
              </w:rPr>
            </w:pPr>
            <w:r w:rsidRPr="0051626C">
              <w:rPr>
                <w:color w:val="000000" w:themeColor="text1"/>
                <w:kern w:val="0"/>
                <w:szCs w:val="21"/>
              </w:rPr>
              <w:t>投资策略</w:t>
            </w:r>
          </w:p>
        </w:tc>
        <w:tc>
          <w:tcPr>
            <w:tcW w:w="5954" w:type="dxa"/>
            <w:gridSpan w:val="2"/>
            <w:vAlign w:val="center"/>
          </w:tcPr>
          <w:p w:rsidR="00927F49" w:rsidRPr="0051626C" w:rsidRDefault="00927F49" w:rsidP="003F7026">
            <w:pPr>
              <w:adjustRightInd w:val="0"/>
              <w:spacing w:before="29" w:line="360" w:lineRule="auto"/>
              <w:ind w:left="17"/>
              <w:rPr>
                <w:color w:val="000000" w:themeColor="text1"/>
                <w:szCs w:val="21"/>
              </w:rPr>
            </w:pPr>
            <w:r w:rsidRPr="0051626C">
              <w:rPr>
                <w:color w:val="000000" w:themeColor="text1"/>
                <w:kern w:val="0"/>
                <w:szCs w:val="21"/>
              </w:rPr>
              <w:t>本基金主要通过采取债券类属配置策略、久期管理策略、收益率曲线策略、信用债券投资策略、中小企业私募债券投资策略、国债期货投资策略等投资策略以实现投资目标。</w:t>
            </w:r>
          </w:p>
        </w:tc>
      </w:tr>
      <w:tr w:rsidR="00927F49" w:rsidRPr="0051626C" w:rsidTr="00C9081C">
        <w:tc>
          <w:tcPr>
            <w:tcW w:w="2835" w:type="dxa"/>
            <w:vAlign w:val="center"/>
          </w:tcPr>
          <w:p w:rsidR="00927F49" w:rsidRPr="0051626C" w:rsidRDefault="00927F49" w:rsidP="00C9081C">
            <w:pPr>
              <w:adjustRightInd w:val="0"/>
              <w:spacing w:before="29" w:line="360" w:lineRule="auto"/>
              <w:ind w:left="17"/>
              <w:rPr>
                <w:color w:val="000000" w:themeColor="text1"/>
                <w:szCs w:val="21"/>
              </w:rPr>
            </w:pPr>
            <w:r w:rsidRPr="0051626C">
              <w:rPr>
                <w:color w:val="000000" w:themeColor="text1"/>
                <w:kern w:val="0"/>
                <w:szCs w:val="21"/>
              </w:rPr>
              <w:t>业绩比较基准</w:t>
            </w:r>
          </w:p>
        </w:tc>
        <w:tc>
          <w:tcPr>
            <w:tcW w:w="5954" w:type="dxa"/>
            <w:gridSpan w:val="2"/>
            <w:vAlign w:val="center"/>
          </w:tcPr>
          <w:p w:rsidR="00927F49" w:rsidRPr="0051626C" w:rsidRDefault="00927F49" w:rsidP="003F7026">
            <w:pPr>
              <w:adjustRightInd w:val="0"/>
              <w:spacing w:before="29" w:line="360" w:lineRule="auto"/>
              <w:ind w:left="17"/>
              <w:rPr>
                <w:color w:val="000000" w:themeColor="text1"/>
                <w:szCs w:val="21"/>
              </w:rPr>
            </w:pPr>
            <w:r w:rsidRPr="0051626C">
              <w:rPr>
                <w:color w:val="000000" w:themeColor="text1"/>
                <w:kern w:val="0"/>
                <w:szCs w:val="21"/>
              </w:rPr>
              <w:t>中债综合指数。</w:t>
            </w:r>
          </w:p>
        </w:tc>
      </w:tr>
      <w:tr w:rsidR="00927F49" w:rsidRPr="0051626C" w:rsidTr="00C9081C">
        <w:tc>
          <w:tcPr>
            <w:tcW w:w="2835" w:type="dxa"/>
            <w:vAlign w:val="center"/>
          </w:tcPr>
          <w:p w:rsidR="00927F49" w:rsidRPr="0051626C" w:rsidRDefault="00927F49" w:rsidP="00C9081C">
            <w:pPr>
              <w:adjustRightInd w:val="0"/>
              <w:spacing w:before="29" w:line="360" w:lineRule="auto"/>
              <w:ind w:left="17"/>
              <w:rPr>
                <w:color w:val="000000" w:themeColor="text1"/>
                <w:szCs w:val="21"/>
              </w:rPr>
            </w:pPr>
            <w:r w:rsidRPr="0051626C">
              <w:rPr>
                <w:color w:val="000000" w:themeColor="text1"/>
                <w:kern w:val="0"/>
                <w:szCs w:val="21"/>
              </w:rPr>
              <w:t>风险收益特征</w:t>
            </w:r>
          </w:p>
        </w:tc>
        <w:tc>
          <w:tcPr>
            <w:tcW w:w="5954" w:type="dxa"/>
            <w:gridSpan w:val="2"/>
            <w:vAlign w:val="center"/>
          </w:tcPr>
          <w:p w:rsidR="00927F49" w:rsidRPr="0051626C" w:rsidRDefault="00927F49" w:rsidP="003F7026">
            <w:pPr>
              <w:adjustRightInd w:val="0"/>
              <w:spacing w:before="29" w:line="360" w:lineRule="auto"/>
              <w:ind w:left="17"/>
              <w:rPr>
                <w:color w:val="000000" w:themeColor="text1"/>
                <w:szCs w:val="21"/>
              </w:rPr>
            </w:pPr>
            <w:r w:rsidRPr="0051626C">
              <w:rPr>
                <w:color w:val="000000" w:themeColor="text1"/>
                <w:kern w:val="0"/>
                <w:szCs w:val="21"/>
              </w:rPr>
              <w:t>本基金为债券型基金，其长期平均风险和预期收益率低于股票基金、混合基金，高于货币市场基金。</w:t>
            </w:r>
          </w:p>
        </w:tc>
      </w:tr>
      <w:tr w:rsidR="00927F49" w:rsidRPr="0051626C" w:rsidTr="00C9081C">
        <w:tc>
          <w:tcPr>
            <w:tcW w:w="2835" w:type="dxa"/>
            <w:vAlign w:val="center"/>
          </w:tcPr>
          <w:p w:rsidR="00927F49" w:rsidRPr="0051626C" w:rsidRDefault="00927F49" w:rsidP="00C9081C">
            <w:pPr>
              <w:adjustRightInd w:val="0"/>
              <w:spacing w:before="29" w:line="360" w:lineRule="auto"/>
              <w:ind w:left="17"/>
              <w:rPr>
                <w:color w:val="000000" w:themeColor="text1"/>
                <w:szCs w:val="21"/>
              </w:rPr>
            </w:pPr>
            <w:r w:rsidRPr="0051626C">
              <w:rPr>
                <w:color w:val="000000" w:themeColor="text1"/>
                <w:kern w:val="0"/>
                <w:szCs w:val="21"/>
              </w:rPr>
              <w:t>基金管理人</w:t>
            </w:r>
          </w:p>
        </w:tc>
        <w:tc>
          <w:tcPr>
            <w:tcW w:w="5954" w:type="dxa"/>
            <w:gridSpan w:val="2"/>
            <w:vAlign w:val="center"/>
          </w:tcPr>
          <w:p w:rsidR="00927F49" w:rsidRPr="0051626C" w:rsidRDefault="00927F49" w:rsidP="003F7026">
            <w:pPr>
              <w:adjustRightInd w:val="0"/>
              <w:spacing w:before="29" w:line="360" w:lineRule="auto"/>
              <w:ind w:left="17"/>
              <w:rPr>
                <w:color w:val="000000" w:themeColor="text1"/>
                <w:szCs w:val="21"/>
              </w:rPr>
            </w:pPr>
            <w:r w:rsidRPr="0051626C">
              <w:rPr>
                <w:color w:val="000000" w:themeColor="text1"/>
                <w:kern w:val="0"/>
                <w:szCs w:val="21"/>
              </w:rPr>
              <w:t>华夏基金管理有限公司</w:t>
            </w:r>
          </w:p>
        </w:tc>
      </w:tr>
      <w:tr w:rsidR="00927F49" w:rsidRPr="0051626C" w:rsidTr="00C9081C">
        <w:tc>
          <w:tcPr>
            <w:tcW w:w="2835" w:type="dxa"/>
            <w:vAlign w:val="center"/>
          </w:tcPr>
          <w:p w:rsidR="00927F49" w:rsidRPr="0051626C" w:rsidRDefault="00927F49" w:rsidP="00C9081C">
            <w:pPr>
              <w:adjustRightInd w:val="0"/>
              <w:spacing w:before="29" w:line="360" w:lineRule="auto"/>
              <w:ind w:left="17"/>
              <w:rPr>
                <w:color w:val="000000" w:themeColor="text1"/>
                <w:szCs w:val="21"/>
              </w:rPr>
            </w:pPr>
            <w:r w:rsidRPr="0051626C">
              <w:rPr>
                <w:color w:val="000000" w:themeColor="text1"/>
                <w:kern w:val="0"/>
                <w:szCs w:val="21"/>
              </w:rPr>
              <w:t>基金托管人</w:t>
            </w:r>
          </w:p>
        </w:tc>
        <w:tc>
          <w:tcPr>
            <w:tcW w:w="5954" w:type="dxa"/>
            <w:gridSpan w:val="2"/>
            <w:vAlign w:val="center"/>
          </w:tcPr>
          <w:p w:rsidR="00927F49" w:rsidRPr="0051626C" w:rsidRDefault="00927F49" w:rsidP="003F7026">
            <w:pPr>
              <w:adjustRightInd w:val="0"/>
              <w:spacing w:before="29" w:line="360" w:lineRule="auto"/>
              <w:ind w:left="17"/>
              <w:rPr>
                <w:color w:val="000000" w:themeColor="text1"/>
                <w:szCs w:val="21"/>
              </w:rPr>
            </w:pPr>
            <w:r w:rsidRPr="0051626C">
              <w:rPr>
                <w:color w:val="000000" w:themeColor="text1"/>
                <w:kern w:val="0"/>
                <w:szCs w:val="21"/>
              </w:rPr>
              <w:t>中国银行股份有限公司</w:t>
            </w:r>
          </w:p>
        </w:tc>
      </w:tr>
      <w:tr w:rsidR="00927F49" w:rsidRPr="0051626C" w:rsidTr="00C9081C">
        <w:tc>
          <w:tcPr>
            <w:tcW w:w="2835" w:type="dxa"/>
            <w:vAlign w:val="center"/>
          </w:tcPr>
          <w:p w:rsidR="00927F49" w:rsidRPr="0051626C" w:rsidRDefault="00927F49" w:rsidP="00C9081C">
            <w:pPr>
              <w:adjustRightInd w:val="0"/>
              <w:spacing w:before="29" w:line="360" w:lineRule="auto"/>
              <w:ind w:left="17"/>
              <w:rPr>
                <w:color w:val="000000" w:themeColor="text1"/>
                <w:kern w:val="0"/>
                <w:szCs w:val="21"/>
              </w:rPr>
            </w:pPr>
            <w:r w:rsidRPr="0051626C">
              <w:rPr>
                <w:color w:val="000000" w:themeColor="text1"/>
                <w:szCs w:val="21"/>
              </w:rPr>
              <w:t>下属分级基金的基金简称</w:t>
            </w:r>
          </w:p>
        </w:tc>
        <w:tc>
          <w:tcPr>
            <w:tcW w:w="2739" w:type="dxa"/>
            <w:vAlign w:val="center"/>
          </w:tcPr>
          <w:p w:rsidR="00927F49" w:rsidRPr="0051626C" w:rsidRDefault="00927F49" w:rsidP="003F7026">
            <w:pPr>
              <w:rPr>
                <w:color w:val="000000" w:themeColor="text1"/>
                <w:szCs w:val="21"/>
              </w:rPr>
            </w:pPr>
            <w:r w:rsidRPr="0051626C">
              <w:rPr>
                <w:color w:val="000000" w:themeColor="text1"/>
                <w:szCs w:val="21"/>
              </w:rPr>
              <w:t>华夏鼎益债券</w:t>
            </w:r>
            <w:r w:rsidRPr="0051626C">
              <w:rPr>
                <w:color w:val="000000" w:themeColor="text1"/>
                <w:szCs w:val="21"/>
              </w:rPr>
              <w:t>A</w:t>
            </w:r>
          </w:p>
        </w:tc>
        <w:tc>
          <w:tcPr>
            <w:tcW w:w="3215" w:type="dxa"/>
            <w:vAlign w:val="center"/>
          </w:tcPr>
          <w:p w:rsidR="00927F49" w:rsidRPr="0051626C" w:rsidRDefault="00927F49" w:rsidP="003F7026">
            <w:pPr>
              <w:rPr>
                <w:color w:val="000000" w:themeColor="text1"/>
                <w:szCs w:val="21"/>
              </w:rPr>
            </w:pPr>
            <w:r w:rsidRPr="0051626C">
              <w:rPr>
                <w:color w:val="000000" w:themeColor="text1"/>
                <w:szCs w:val="21"/>
              </w:rPr>
              <w:t>华夏鼎益债券</w:t>
            </w:r>
            <w:r w:rsidRPr="0051626C">
              <w:rPr>
                <w:color w:val="000000" w:themeColor="text1"/>
                <w:szCs w:val="21"/>
              </w:rPr>
              <w:t>I</w:t>
            </w:r>
          </w:p>
        </w:tc>
      </w:tr>
      <w:tr w:rsidR="00927F49" w:rsidRPr="0051626C" w:rsidTr="00C9081C">
        <w:tc>
          <w:tcPr>
            <w:tcW w:w="2835" w:type="dxa"/>
            <w:vAlign w:val="center"/>
          </w:tcPr>
          <w:p w:rsidR="00927F49" w:rsidRPr="0051626C" w:rsidRDefault="00927F49" w:rsidP="005634A4">
            <w:pPr>
              <w:adjustRightInd w:val="0"/>
              <w:spacing w:before="29" w:line="360" w:lineRule="auto"/>
              <w:ind w:left="17"/>
              <w:rPr>
                <w:color w:val="000000" w:themeColor="text1"/>
                <w:szCs w:val="21"/>
              </w:rPr>
            </w:pPr>
            <w:r w:rsidRPr="0051626C">
              <w:rPr>
                <w:color w:val="000000" w:themeColor="text1"/>
                <w:szCs w:val="21"/>
              </w:rPr>
              <w:t>下属分级基金的交易代码</w:t>
            </w:r>
          </w:p>
        </w:tc>
        <w:tc>
          <w:tcPr>
            <w:tcW w:w="2739" w:type="dxa"/>
            <w:vAlign w:val="center"/>
          </w:tcPr>
          <w:p w:rsidR="00927F49" w:rsidRPr="0051626C" w:rsidRDefault="00927F49" w:rsidP="003F7026">
            <w:pPr>
              <w:rPr>
                <w:color w:val="000000" w:themeColor="text1"/>
                <w:szCs w:val="21"/>
              </w:rPr>
            </w:pPr>
            <w:r w:rsidRPr="0051626C">
              <w:rPr>
                <w:color w:val="000000" w:themeColor="text1"/>
                <w:szCs w:val="21"/>
              </w:rPr>
              <w:t>003005</w:t>
            </w:r>
          </w:p>
        </w:tc>
        <w:tc>
          <w:tcPr>
            <w:tcW w:w="3215" w:type="dxa"/>
            <w:vAlign w:val="center"/>
          </w:tcPr>
          <w:p w:rsidR="00927F49" w:rsidRPr="0051626C" w:rsidRDefault="00927F49" w:rsidP="003F7026">
            <w:pPr>
              <w:rPr>
                <w:color w:val="000000" w:themeColor="text1"/>
                <w:szCs w:val="21"/>
              </w:rPr>
            </w:pPr>
            <w:r w:rsidRPr="0051626C">
              <w:rPr>
                <w:color w:val="000000" w:themeColor="text1"/>
                <w:szCs w:val="21"/>
              </w:rPr>
              <w:t>003006</w:t>
            </w:r>
          </w:p>
        </w:tc>
      </w:tr>
      <w:tr w:rsidR="00927F49" w:rsidRPr="0051626C" w:rsidTr="00FF222E">
        <w:tc>
          <w:tcPr>
            <w:tcW w:w="2835" w:type="dxa"/>
            <w:vAlign w:val="center"/>
          </w:tcPr>
          <w:p w:rsidR="00927F49" w:rsidRPr="0051626C" w:rsidRDefault="00927F49" w:rsidP="003F7026">
            <w:pPr>
              <w:adjustRightInd w:val="0"/>
              <w:spacing w:before="29" w:line="360" w:lineRule="auto"/>
              <w:ind w:left="17"/>
              <w:rPr>
                <w:color w:val="000000" w:themeColor="text1"/>
                <w:szCs w:val="21"/>
              </w:rPr>
            </w:pPr>
            <w:r w:rsidRPr="0051626C">
              <w:rPr>
                <w:color w:val="000000" w:themeColor="text1"/>
                <w:szCs w:val="21"/>
              </w:rPr>
              <w:t>报告期末下属分级基金的份额总额</w:t>
            </w:r>
          </w:p>
        </w:tc>
        <w:tc>
          <w:tcPr>
            <w:tcW w:w="2739" w:type="dxa"/>
            <w:vAlign w:val="center"/>
          </w:tcPr>
          <w:p w:rsidR="00927F49" w:rsidRPr="0051626C" w:rsidRDefault="00927F49" w:rsidP="003F7026">
            <w:pPr>
              <w:rPr>
                <w:color w:val="000000" w:themeColor="text1"/>
                <w:szCs w:val="21"/>
              </w:rPr>
            </w:pPr>
            <w:r w:rsidRPr="0051626C">
              <w:rPr>
                <w:color w:val="000000" w:themeColor="text1"/>
                <w:szCs w:val="21"/>
              </w:rPr>
              <w:t>82,466.07</w:t>
            </w:r>
            <w:r w:rsidRPr="0051626C">
              <w:rPr>
                <w:color w:val="000000" w:themeColor="text1"/>
                <w:kern w:val="0"/>
                <w:szCs w:val="21"/>
              </w:rPr>
              <w:t>份</w:t>
            </w:r>
          </w:p>
        </w:tc>
        <w:tc>
          <w:tcPr>
            <w:tcW w:w="3215" w:type="dxa"/>
            <w:vAlign w:val="center"/>
          </w:tcPr>
          <w:p w:rsidR="00927F49" w:rsidRPr="0051626C" w:rsidRDefault="00927F49" w:rsidP="003F7026">
            <w:pPr>
              <w:rPr>
                <w:color w:val="000000" w:themeColor="text1"/>
                <w:szCs w:val="21"/>
              </w:rPr>
            </w:pPr>
            <w:r w:rsidRPr="0051626C">
              <w:rPr>
                <w:color w:val="000000" w:themeColor="text1"/>
                <w:szCs w:val="21"/>
              </w:rPr>
              <w:t>-</w:t>
            </w:r>
            <w:r w:rsidRPr="0051626C">
              <w:rPr>
                <w:color w:val="000000" w:themeColor="text1"/>
                <w:kern w:val="0"/>
                <w:szCs w:val="21"/>
              </w:rPr>
              <w:t>份</w:t>
            </w:r>
          </w:p>
        </w:tc>
      </w:tr>
    </w:tbl>
    <w:p w:rsidR="009238DB" w:rsidRPr="0051626C" w:rsidRDefault="00473A6F" w:rsidP="00973780">
      <w:pPr>
        <w:pStyle w:val="2"/>
        <w:spacing w:before="0" w:after="0" w:line="416" w:lineRule="auto"/>
        <w:jc w:val="center"/>
        <w:rPr>
          <w:rStyle w:val="2CharCharChar"/>
          <w:rFonts w:ascii="Times New Roman" w:hAnsi="Times New Roman" w:cs="Times New Roman"/>
          <w:b/>
          <w:szCs w:val="24"/>
        </w:rPr>
      </w:pPr>
      <w:r w:rsidRPr="0051626C">
        <w:rPr>
          <w:rStyle w:val="2CharCharChar"/>
          <w:rFonts w:ascii="Times New Roman" w:hAnsi="Times New Roman" w:cs="Times New Roman"/>
          <w:b/>
          <w:szCs w:val="24"/>
        </w:rPr>
        <w:t xml:space="preserve">§3 </w:t>
      </w:r>
      <w:r w:rsidR="009238DB" w:rsidRPr="0051626C">
        <w:rPr>
          <w:rStyle w:val="2CharCharChar"/>
          <w:rFonts w:ascii="Times New Roman" w:hAnsi="Times New Roman" w:cs="Times New Roman"/>
          <w:b/>
          <w:szCs w:val="24"/>
        </w:rPr>
        <w:t>主要财务指标和基金净值表现</w:t>
      </w:r>
    </w:p>
    <w:p w:rsidR="009238DB" w:rsidRPr="0051626C" w:rsidRDefault="007A6A68" w:rsidP="00973780">
      <w:pPr>
        <w:autoSpaceDE w:val="0"/>
        <w:autoSpaceDN w:val="0"/>
        <w:adjustRightInd w:val="0"/>
        <w:spacing w:line="360" w:lineRule="auto"/>
        <w:jc w:val="left"/>
        <w:rPr>
          <w:color w:val="000000"/>
          <w:szCs w:val="21"/>
        </w:rPr>
      </w:pPr>
      <w:r>
        <w:rPr>
          <w:color w:val="000000"/>
          <w:szCs w:val="21"/>
        </w:rPr>
        <w:t>3.1</w:t>
      </w:r>
      <w:r w:rsidR="009238DB" w:rsidRPr="0051626C">
        <w:rPr>
          <w:color w:val="000000"/>
          <w:szCs w:val="21"/>
        </w:rPr>
        <w:t>主要财务指标</w:t>
      </w:r>
    </w:p>
    <w:p w:rsidR="009238DB" w:rsidRPr="0051626C" w:rsidRDefault="009238DB" w:rsidP="001A4F47">
      <w:pPr>
        <w:pStyle w:val="12"/>
        <w:wordWrap w:val="0"/>
        <w:autoSpaceDE w:val="0"/>
        <w:autoSpaceDN w:val="0"/>
        <w:adjustRightInd w:val="0"/>
        <w:spacing w:line="360" w:lineRule="auto"/>
        <w:jc w:val="right"/>
        <w:rPr>
          <w:bCs/>
          <w:color w:val="000000"/>
          <w:szCs w:val="21"/>
        </w:rPr>
      </w:pPr>
      <w:r w:rsidRPr="0051626C">
        <w:rPr>
          <w:bCs/>
          <w:color w:val="00000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2481"/>
        <w:gridCol w:w="2906"/>
      </w:tblGrid>
      <w:tr w:rsidR="0086758B" w:rsidRPr="0051626C" w:rsidTr="00FF222E">
        <w:tc>
          <w:tcPr>
            <w:tcW w:w="3402" w:type="dxa"/>
            <w:vMerge w:val="restart"/>
            <w:vAlign w:val="center"/>
          </w:tcPr>
          <w:p w:rsidR="009E549D" w:rsidRPr="0051626C" w:rsidRDefault="009E549D" w:rsidP="006C501E">
            <w:pPr>
              <w:adjustRightInd w:val="0"/>
              <w:spacing w:before="29" w:line="360" w:lineRule="auto"/>
              <w:ind w:left="17"/>
              <w:jc w:val="center"/>
              <w:rPr>
                <w:color w:val="000000" w:themeColor="text1"/>
                <w:kern w:val="0"/>
                <w:szCs w:val="21"/>
              </w:rPr>
            </w:pPr>
            <w:r w:rsidRPr="0051626C">
              <w:rPr>
                <w:color w:val="000000" w:themeColor="text1"/>
                <w:kern w:val="0"/>
                <w:szCs w:val="21"/>
              </w:rPr>
              <w:t>主要财务指标</w:t>
            </w:r>
          </w:p>
        </w:tc>
        <w:tc>
          <w:tcPr>
            <w:tcW w:w="5387" w:type="dxa"/>
            <w:gridSpan w:val="2"/>
            <w:vAlign w:val="center"/>
          </w:tcPr>
          <w:p w:rsidR="002976E5" w:rsidRPr="0051626C" w:rsidRDefault="009E549D" w:rsidP="00E205AA">
            <w:pPr>
              <w:adjustRightInd w:val="0"/>
              <w:spacing w:before="29" w:line="360" w:lineRule="auto"/>
              <w:ind w:left="17"/>
              <w:jc w:val="center"/>
              <w:rPr>
                <w:color w:val="000000" w:themeColor="text1"/>
                <w:szCs w:val="21"/>
              </w:rPr>
            </w:pPr>
            <w:r w:rsidRPr="0051626C">
              <w:rPr>
                <w:color w:val="000000" w:themeColor="text1"/>
                <w:szCs w:val="21"/>
              </w:rPr>
              <w:t>报告期</w:t>
            </w:r>
          </w:p>
          <w:p w:rsidR="009E549D" w:rsidRPr="0051626C" w:rsidRDefault="009E549D" w:rsidP="00E205AA">
            <w:pPr>
              <w:adjustRightInd w:val="0"/>
              <w:spacing w:before="29" w:line="360" w:lineRule="auto"/>
              <w:ind w:left="17"/>
              <w:jc w:val="center"/>
              <w:rPr>
                <w:color w:val="000000" w:themeColor="text1"/>
                <w:szCs w:val="21"/>
              </w:rPr>
            </w:pPr>
            <w:r w:rsidRPr="0051626C">
              <w:rPr>
                <w:color w:val="000000" w:themeColor="text1"/>
                <w:szCs w:val="21"/>
              </w:rPr>
              <w:t>(2017</w:t>
            </w:r>
            <w:r w:rsidRPr="0051626C">
              <w:rPr>
                <w:color w:val="000000" w:themeColor="text1"/>
                <w:szCs w:val="21"/>
              </w:rPr>
              <w:t>年</w:t>
            </w:r>
            <w:r w:rsidRPr="0051626C">
              <w:rPr>
                <w:color w:val="000000" w:themeColor="text1"/>
                <w:szCs w:val="21"/>
              </w:rPr>
              <w:t>10</w:t>
            </w:r>
            <w:r w:rsidRPr="0051626C">
              <w:rPr>
                <w:color w:val="000000" w:themeColor="text1"/>
                <w:szCs w:val="21"/>
              </w:rPr>
              <w:t>月</w:t>
            </w:r>
            <w:r w:rsidRPr="0051626C">
              <w:rPr>
                <w:color w:val="000000" w:themeColor="text1"/>
                <w:szCs w:val="21"/>
              </w:rPr>
              <w:t>1</w:t>
            </w:r>
            <w:r w:rsidRPr="0051626C">
              <w:rPr>
                <w:color w:val="000000" w:themeColor="text1"/>
                <w:szCs w:val="21"/>
              </w:rPr>
              <w:t>日</w:t>
            </w:r>
            <w:r w:rsidRPr="0051626C">
              <w:rPr>
                <w:color w:val="000000" w:themeColor="text1"/>
                <w:szCs w:val="21"/>
              </w:rPr>
              <w:t>-</w:t>
            </w:r>
            <w:r w:rsidR="00AC6EA2" w:rsidRPr="009A695D">
              <w:rPr>
                <w:rFonts w:hint="eastAsia"/>
                <w:color w:val="000000"/>
                <w:szCs w:val="21"/>
              </w:rPr>
              <w:t>2017</w:t>
            </w:r>
            <w:r w:rsidR="00AC6EA2" w:rsidRPr="009A695D">
              <w:rPr>
                <w:rFonts w:hint="eastAsia"/>
                <w:color w:val="000000"/>
                <w:szCs w:val="21"/>
              </w:rPr>
              <w:t>年</w:t>
            </w:r>
            <w:r w:rsidR="00AC6EA2">
              <w:rPr>
                <w:rFonts w:hint="eastAsia"/>
                <w:color w:val="000000"/>
                <w:szCs w:val="21"/>
              </w:rPr>
              <w:t>12</w:t>
            </w:r>
            <w:r w:rsidR="00AC6EA2" w:rsidRPr="009A695D">
              <w:rPr>
                <w:rFonts w:hint="eastAsia"/>
                <w:color w:val="000000"/>
                <w:szCs w:val="21"/>
              </w:rPr>
              <w:t>月</w:t>
            </w:r>
            <w:r w:rsidR="00AC6EA2">
              <w:rPr>
                <w:rFonts w:hint="eastAsia"/>
                <w:color w:val="000000"/>
                <w:szCs w:val="21"/>
              </w:rPr>
              <w:t>28</w:t>
            </w:r>
            <w:r w:rsidR="00AC6EA2" w:rsidRPr="009A695D">
              <w:rPr>
                <w:rFonts w:hint="eastAsia"/>
                <w:color w:val="000000"/>
                <w:szCs w:val="21"/>
              </w:rPr>
              <w:t>日</w:t>
            </w:r>
            <w:r w:rsidRPr="0051626C">
              <w:rPr>
                <w:color w:val="000000" w:themeColor="text1"/>
                <w:szCs w:val="21"/>
              </w:rPr>
              <w:t>)</w:t>
            </w:r>
          </w:p>
        </w:tc>
      </w:tr>
      <w:tr w:rsidR="0086758B" w:rsidRPr="0051626C" w:rsidTr="00AE4DA1">
        <w:tc>
          <w:tcPr>
            <w:tcW w:w="3402" w:type="dxa"/>
            <w:vMerge/>
            <w:vAlign w:val="center"/>
          </w:tcPr>
          <w:p w:rsidR="009E549D" w:rsidRPr="0051626C" w:rsidRDefault="009E549D" w:rsidP="003F7026">
            <w:pPr>
              <w:adjustRightInd w:val="0"/>
              <w:spacing w:before="29" w:line="360" w:lineRule="auto"/>
              <w:ind w:left="17"/>
              <w:rPr>
                <w:color w:val="000000" w:themeColor="text1"/>
                <w:kern w:val="0"/>
                <w:szCs w:val="21"/>
              </w:rPr>
            </w:pPr>
          </w:p>
        </w:tc>
        <w:tc>
          <w:tcPr>
            <w:tcW w:w="2481" w:type="dxa"/>
            <w:vAlign w:val="center"/>
          </w:tcPr>
          <w:p w:rsidR="009E549D" w:rsidRPr="0051626C" w:rsidRDefault="009E549D" w:rsidP="00AE4DA1">
            <w:pPr>
              <w:adjustRightInd w:val="0"/>
              <w:spacing w:before="29" w:line="360" w:lineRule="auto"/>
              <w:ind w:left="17"/>
              <w:jc w:val="center"/>
              <w:rPr>
                <w:color w:val="000000" w:themeColor="text1"/>
                <w:szCs w:val="21"/>
              </w:rPr>
            </w:pPr>
            <w:r w:rsidRPr="0051626C">
              <w:rPr>
                <w:color w:val="000000" w:themeColor="text1"/>
                <w:szCs w:val="21"/>
              </w:rPr>
              <w:t>华夏鼎益债券</w:t>
            </w:r>
            <w:r w:rsidRPr="0051626C">
              <w:rPr>
                <w:color w:val="000000" w:themeColor="text1"/>
                <w:szCs w:val="21"/>
              </w:rPr>
              <w:t>A</w:t>
            </w:r>
          </w:p>
        </w:tc>
        <w:tc>
          <w:tcPr>
            <w:tcW w:w="2906" w:type="dxa"/>
            <w:vAlign w:val="center"/>
          </w:tcPr>
          <w:p w:rsidR="009E549D" w:rsidRPr="0051626C" w:rsidRDefault="00FE7FBD" w:rsidP="00AE4DA1">
            <w:pPr>
              <w:adjustRightInd w:val="0"/>
              <w:spacing w:before="29" w:line="360" w:lineRule="auto"/>
              <w:ind w:left="17"/>
              <w:jc w:val="center"/>
              <w:rPr>
                <w:color w:val="000000" w:themeColor="text1"/>
                <w:szCs w:val="21"/>
              </w:rPr>
            </w:pPr>
            <w:r w:rsidRPr="0051626C">
              <w:rPr>
                <w:color w:val="000000" w:themeColor="text1"/>
                <w:szCs w:val="21"/>
              </w:rPr>
              <w:t>华夏鼎益债券</w:t>
            </w:r>
            <w:r w:rsidRPr="0051626C">
              <w:rPr>
                <w:color w:val="000000" w:themeColor="text1"/>
                <w:szCs w:val="21"/>
              </w:rPr>
              <w:t>I</w:t>
            </w:r>
          </w:p>
        </w:tc>
      </w:tr>
      <w:tr w:rsidR="0086758B" w:rsidRPr="0051626C" w:rsidTr="00AE4DA1">
        <w:tc>
          <w:tcPr>
            <w:tcW w:w="3402" w:type="dxa"/>
            <w:vAlign w:val="center"/>
          </w:tcPr>
          <w:p w:rsidR="005F293E" w:rsidRPr="0051626C" w:rsidRDefault="005F293E" w:rsidP="003F7026">
            <w:pPr>
              <w:adjustRightInd w:val="0"/>
              <w:spacing w:before="29" w:line="360" w:lineRule="auto"/>
              <w:ind w:left="17"/>
              <w:rPr>
                <w:color w:val="000000" w:themeColor="text1"/>
                <w:kern w:val="0"/>
                <w:szCs w:val="21"/>
              </w:rPr>
            </w:pPr>
            <w:r w:rsidRPr="0051626C">
              <w:rPr>
                <w:color w:val="000000" w:themeColor="text1"/>
                <w:kern w:val="0"/>
                <w:szCs w:val="21"/>
              </w:rPr>
              <w:t>1.</w:t>
            </w:r>
            <w:r w:rsidRPr="0051626C">
              <w:rPr>
                <w:color w:val="000000" w:themeColor="text1"/>
                <w:kern w:val="0"/>
                <w:szCs w:val="21"/>
              </w:rPr>
              <w:t>本期已实现收益</w:t>
            </w:r>
          </w:p>
        </w:tc>
        <w:tc>
          <w:tcPr>
            <w:tcW w:w="2481" w:type="dxa"/>
            <w:vAlign w:val="center"/>
          </w:tcPr>
          <w:p w:rsidR="005F293E" w:rsidRPr="0051626C" w:rsidRDefault="005F293E" w:rsidP="00AE4DA1">
            <w:pPr>
              <w:adjustRightInd w:val="0"/>
              <w:spacing w:before="29" w:line="360" w:lineRule="auto"/>
              <w:ind w:left="17"/>
              <w:jc w:val="right"/>
              <w:rPr>
                <w:color w:val="000000" w:themeColor="text1"/>
                <w:szCs w:val="21"/>
              </w:rPr>
            </w:pPr>
            <w:r w:rsidRPr="0051626C">
              <w:rPr>
                <w:color w:val="000000" w:themeColor="text1"/>
                <w:szCs w:val="21"/>
              </w:rPr>
              <w:t>26,693.05</w:t>
            </w:r>
          </w:p>
        </w:tc>
        <w:tc>
          <w:tcPr>
            <w:tcW w:w="2906" w:type="dxa"/>
            <w:vAlign w:val="center"/>
          </w:tcPr>
          <w:p w:rsidR="005F293E" w:rsidRPr="0051626C" w:rsidRDefault="00FE7FBD" w:rsidP="00AE4DA1">
            <w:pPr>
              <w:adjustRightInd w:val="0"/>
              <w:spacing w:before="29" w:line="360" w:lineRule="auto"/>
              <w:ind w:left="17"/>
              <w:jc w:val="right"/>
              <w:rPr>
                <w:color w:val="000000" w:themeColor="text1"/>
                <w:szCs w:val="21"/>
              </w:rPr>
            </w:pPr>
            <w:r w:rsidRPr="0051626C">
              <w:rPr>
                <w:color w:val="000000" w:themeColor="text1"/>
                <w:szCs w:val="21"/>
              </w:rPr>
              <w:t>-</w:t>
            </w:r>
          </w:p>
        </w:tc>
      </w:tr>
      <w:tr w:rsidR="0086758B" w:rsidRPr="0051626C" w:rsidTr="00AE4DA1">
        <w:tc>
          <w:tcPr>
            <w:tcW w:w="3402" w:type="dxa"/>
            <w:vAlign w:val="center"/>
          </w:tcPr>
          <w:p w:rsidR="005F293E" w:rsidRPr="0051626C" w:rsidRDefault="005F293E" w:rsidP="003F7026">
            <w:pPr>
              <w:adjustRightInd w:val="0"/>
              <w:spacing w:before="29" w:line="360" w:lineRule="auto"/>
              <w:ind w:left="17"/>
              <w:rPr>
                <w:color w:val="000000" w:themeColor="text1"/>
                <w:kern w:val="0"/>
                <w:szCs w:val="21"/>
              </w:rPr>
            </w:pPr>
            <w:r w:rsidRPr="0051626C">
              <w:rPr>
                <w:color w:val="000000" w:themeColor="text1"/>
                <w:kern w:val="0"/>
                <w:szCs w:val="21"/>
              </w:rPr>
              <w:t>2.</w:t>
            </w:r>
            <w:r w:rsidRPr="0051626C">
              <w:rPr>
                <w:color w:val="000000" w:themeColor="text1"/>
                <w:kern w:val="0"/>
                <w:szCs w:val="21"/>
              </w:rPr>
              <w:t>本期利润</w:t>
            </w:r>
          </w:p>
        </w:tc>
        <w:tc>
          <w:tcPr>
            <w:tcW w:w="2481" w:type="dxa"/>
            <w:vAlign w:val="center"/>
          </w:tcPr>
          <w:p w:rsidR="005F293E" w:rsidRPr="0051626C" w:rsidRDefault="005F293E" w:rsidP="00AE4DA1">
            <w:pPr>
              <w:adjustRightInd w:val="0"/>
              <w:spacing w:before="29" w:line="360" w:lineRule="auto"/>
              <w:ind w:left="17"/>
              <w:jc w:val="right"/>
              <w:rPr>
                <w:color w:val="000000" w:themeColor="text1"/>
                <w:szCs w:val="21"/>
              </w:rPr>
            </w:pPr>
            <w:r w:rsidRPr="0051626C">
              <w:rPr>
                <w:color w:val="000000" w:themeColor="text1"/>
                <w:szCs w:val="21"/>
              </w:rPr>
              <w:t>27,413.85</w:t>
            </w:r>
          </w:p>
        </w:tc>
        <w:tc>
          <w:tcPr>
            <w:tcW w:w="2906" w:type="dxa"/>
            <w:vAlign w:val="center"/>
          </w:tcPr>
          <w:p w:rsidR="005F293E" w:rsidRPr="0051626C" w:rsidRDefault="00FE7FBD" w:rsidP="00AE4DA1">
            <w:pPr>
              <w:adjustRightInd w:val="0"/>
              <w:spacing w:before="29" w:line="360" w:lineRule="auto"/>
              <w:ind w:left="17"/>
              <w:jc w:val="right"/>
              <w:rPr>
                <w:color w:val="000000" w:themeColor="text1"/>
                <w:szCs w:val="21"/>
              </w:rPr>
            </w:pPr>
            <w:r w:rsidRPr="0051626C">
              <w:rPr>
                <w:color w:val="000000" w:themeColor="text1"/>
                <w:szCs w:val="21"/>
              </w:rPr>
              <w:t>-</w:t>
            </w:r>
          </w:p>
        </w:tc>
      </w:tr>
      <w:tr w:rsidR="0086758B" w:rsidRPr="0051626C" w:rsidTr="00AE4DA1">
        <w:tc>
          <w:tcPr>
            <w:tcW w:w="3402" w:type="dxa"/>
            <w:vAlign w:val="center"/>
          </w:tcPr>
          <w:p w:rsidR="005F293E" w:rsidRPr="0051626C" w:rsidRDefault="005F293E" w:rsidP="003F7026">
            <w:pPr>
              <w:adjustRightInd w:val="0"/>
              <w:spacing w:before="29" w:line="360" w:lineRule="auto"/>
              <w:ind w:left="17"/>
              <w:rPr>
                <w:color w:val="000000" w:themeColor="text1"/>
                <w:kern w:val="0"/>
                <w:szCs w:val="21"/>
              </w:rPr>
            </w:pPr>
            <w:r w:rsidRPr="0051626C">
              <w:rPr>
                <w:color w:val="000000" w:themeColor="text1"/>
                <w:kern w:val="0"/>
                <w:szCs w:val="21"/>
              </w:rPr>
              <w:t>3.</w:t>
            </w:r>
            <w:r w:rsidRPr="0051626C">
              <w:rPr>
                <w:color w:val="000000" w:themeColor="text1"/>
                <w:kern w:val="0"/>
                <w:szCs w:val="21"/>
              </w:rPr>
              <w:t>加权平均基金份额本期利润</w:t>
            </w:r>
          </w:p>
        </w:tc>
        <w:tc>
          <w:tcPr>
            <w:tcW w:w="2481" w:type="dxa"/>
            <w:vAlign w:val="center"/>
          </w:tcPr>
          <w:p w:rsidR="005F293E" w:rsidRPr="0051626C" w:rsidRDefault="005F293E" w:rsidP="00AE4DA1">
            <w:pPr>
              <w:adjustRightInd w:val="0"/>
              <w:spacing w:before="29" w:line="360" w:lineRule="auto"/>
              <w:ind w:left="17"/>
              <w:jc w:val="right"/>
              <w:rPr>
                <w:color w:val="000000" w:themeColor="text1"/>
                <w:szCs w:val="21"/>
              </w:rPr>
            </w:pPr>
            <w:r w:rsidRPr="0051626C">
              <w:rPr>
                <w:color w:val="000000" w:themeColor="text1"/>
                <w:szCs w:val="21"/>
              </w:rPr>
              <w:t>0.0525</w:t>
            </w:r>
          </w:p>
        </w:tc>
        <w:tc>
          <w:tcPr>
            <w:tcW w:w="2906" w:type="dxa"/>
            <w:vAlign w:val="center"/>
          </w:tcPr>
          <w:p w:rsidR="005F293E" w:rsidRPr="0051626C" w:rsidRDefault="00FE7FBD" w:rsidP="00AE4DA1">
            <w:pPr>
              <w:adjustRightInd w:val="0"/>
              <w:spacing w:before="29" w:line="360" w:lineRule="auto"/>
              <w:ind w:left="17"/>
              <w:jc w:val="right"/>
              <w:rPr>
                <w:color w:val="000000" w:themeColor="text1"/>
                <w:szCs w:val="21"/>
              </w:rPr>
            </w:pPr>
            <w:r w:rsidRPr="0051626C">
              <w:rPr>
                <w:color w:val="000000" w:themeColor="text1"/>
                <w:szCs w:val="21"/>
              </w:rPr>
              <w:t>-</w:t>
            </w:r>
          </w:p>
        </w:tc>
      </w:tr>
      <w:tr w:rsidR="0086758B" w:rsidRPr="0051626C" w:rsidTr="00AE4DA1">
        <w:tc>
          <w:tcPr>
            <w:tcW w:w="3402" w:type="dxa"/>
            <w:vAlign w:val="center"/>
          </w:tcPr>
          <w:p w:rsidR="005F293E" w:rsidRPr="0051626C" w:rsidRDefault="005F293E" w:rsidP="003F7026">
            <w:pPr>
              <w:adjustRightInd w:val="0"/>
              <w:spacing w:before="29" w:line="360" w:lineRule="auto"/>
              <w:ind w:left="17"/>
              <w:rPr>
                <w:color w:val="000000" w:themeColor="text1"/>
                <w:kern w:val="0"/>
                <w:szCs w:val="21"/>
              </w:rPr>
            </w:pPr>
            <w:r w:rsidRPr="0051626C">
              <w:rPr>
                <w:color w:val="000000" w:themeColor="text1"/>
                <w:kern w:val="0"/>
                <w:szCs w:val="21"/>
              </w:rPr>
              <w:t>4.</w:t>
            </w:r>
            <w:r w:rsidRPr="0051626C">
              <w:rPr>
                <w:color w:val="000000" w:themeColor="text1"/>
                <w:kern w:val="0"/>
                <w:szCs w:val="21"/>
              </w:rPr>
              <w:t>期末基金资产净值</w:t>
            </w:r>
          </w:p>
        </w:tc>
        <w:tc>
          <w:tcPr>
            <w:tcW w:w="2481" w:type="dxa"/>
            <w:vAlign w:val="center"/>
          </w:tcPr>
          <w:p w:rsidR="005F293E" w:rsidRPr="0051626C" w:rsidRDefault="005F293E" w:rsidP="00AE4DA1">
            <w:pPr>
              <w:adjustRightInd w:val="0"/>
              <w:spacing w:before="29" w:line="360" w:lineRule="auto"/>
              <w:ind w:left="17"/>
              <w:jc w:val="right"/>
              <w:rPr>
                <w:color w:val="000000" w:themeColor="text1"/>
                <w:szCs w:val="21"/>
              </w:rPr>
            </w:pPr>
            <w:r w:rsidRPr="0051626C">
              <w:rPr>
                <w:color w:val="000000" w:themeColor="text1"/>
                <w:szCs w:val="21"/>
              </w:rPr>
              <w:t>89,641.38</w:t>
            </w:r>
          </w:p>
        </w:tc>
        <w:tc>
          <w:tcPr>
            <w:tcW w:w="2906" w:type="dxa"/>
            <w:vAlign w:val="center"/>
          </w:tcPr>
          <w:p w:rsidR="005F293E" w:rsidRPr="0051626C" w:rsidRDefault="00FE7FBD" w:rsidP="00AE4DA1">
            <w:pPr>
              <w:adjustRightInd w:val="0"/>
              <w:spacing w:before="29" w:line="360" w:lineRule="auto"/>
              <w:ind w:left="17"/>
              <w:jc w:val="right"/>
              <w:rPr>
                <w:color w:val="000000" w:themeColor="text1"/>
                <w:szCs w:val="21"/>
              </w:rPr>
            </w:pPr>
            <w:r w:rsidRPr="0051626C">
              <w:rPr>
                <w:color w:val="000000" w:themeColor="text1"/>
                <w:szCs w:val="21"/>
              </w:rPr>
              <w:t>-</w:t>
            </w:r>
          </w:p>
        </w:tc>
      </w:tr>
      <w:tr w:rsidR="0086758B" w:rsidRPr="0051626C" w:rsidTr="00AE4DA1">
        <w:trPr>
          <w:trHeight w:val="158"/>
        </w:trPr>
        <w:tc>
          <w:tcPr>
            <w:tcW w:w="3402" w:type="dxa"/>
            <w:vAlign w:val="center"/>
          </w:tcPr>
          <w:p w:rsidR="005F293E" w:rsidRPr="0051626C" w:rsidRDefault="005F293E" w:rsidP="003F7026">
            <w:pPr>
              <w:adjustRightInd w:val="0"/>
              <w:spacing w:before="29" w:line="360" w:lineRule="auto"/>
              <w:ind w:left="17"/>
              <w:rPr>
                <w:color w:val="000000" w:themeColor="text1"/>
                <w:kern w:val="0"/>
                <w:szCs w:val="21"/>
              </w:rPr>
            </w:pPr>
            <w:r w:rsidRPr="0051626C">
              <w:rPr>
                <w:color w:val="000000" w:themeColor="text1"/>
                <w:kern w:val="0"/>
                <w:szCs w:val="21"/>
              </w:rPr>
              <w:t>5.</w:t>
            </w:r>
            <w:r w:rsidRPr="0051626C">
              <w:rPr>
                <w:color w:val="000000" w:themeColor="text1"/>
                <w:kern w:val="0"/>
                <w:szCs w:val="21"/>
              </w:rPr>
              <w:t>期末基金份额净值</w:t>
            </w:r>
          </w:p>
        </w:tc>
        <w:tc>
          <w:tcPr>
            <w:tcW w:w="2481" w:type="dxa"/>
            <w:vAlign w:val="center"/>
          </w:tcPr>
          <w:p w:rsidR="005F293E" w:rsidRPr="0051626C" w:rsidRDefault="005F293E" w:rsidP="00AE4DA1">
            <w:pPr>
              <w:adjustRightInd w:val="0"/>
              <w:spacing w:before="29" w:line="360" w:lineRule="auto"/>
              <w:ind w:left="17"/>
              <w:jc w:val="right"/>
              <w:rPr>
                <w:color w:val="000000" w:themeColor="text1"/>
                <w:szCs w:val="21"/>
              </w:rPr>
            </w:pPr>
            <w:r w:rsidRPr="0051626C">
              <w:rPr>
                <w:color w:val="000000" w:themeColor="text1"/>
                <w:szCs w:val="21"/>
              </w:rPr>
              <w:t>1.0870</w:t>
            </w:r>
          </w:p>
        </w:tc>
        <w:tc>
          <w:tcPr>
            <w:tcW w:w="2906" w:type="dxa"/>
            <w:vAlign w:val="center"/>
          </w:tcPr>
          <w:p w:rsidR="005F293E" w:rsidRPr="0051626C" w:rsidRDefault="00FE7FBD" w:rsidP="00AE4DA1">
            <w:pPr>
              <w:adjustRightInd w:val="0"/>
              <w:spacing w:before="29" w:line="360" w:lineRule="auto"/>
              <w:ind w:left="17"/>
              <w:jc w:val="right"/>
              <w:rPr>
                <w:color w:val="000000" w:themeColor="text1"/>
                <w:szCs w:val="21"/>
              </w:rPr>
            </w:pPr>
            <w:r w:rsidRPr="0051626C">
              <w:rPr>
                <w:color w:val="000000" w:themeColor="text1"/>
                <w:szCs w:val="21"/>
              </w:rPr>
              <w:t>-</w:t>
            </w:r>
          </w:p>
        </w:tc>
      </w:tr>
    </w:tbl>
    <w:p w:rsidR="008D4979" w:rsidRDefault="00AC6EA2">
      <w:pPr>
        <w:pStyle w:val="12"/>
        <w:spacing w:line="360" w:lineRule="auto"/>
        <w:ind w:firstLine="420"/>
        <w:jc w:val="left"/>
        <w:rPr>
          <w:szCs w:val="21"/>
        </w:rPr>
      </w:pPr>
      <w:r>
        <w:rPr>
          <w:szCs w:val="21"/>
        </w:rPr>
        <w:t>注：</w:t>
      </w:r>
      <w:r>
        <w:rPr>
          <w:szCs w:val="21"/>
        </w:rPr>
        <w:t>①</w:t>
      </w:r>
      <w:r>
        <w:rPr>
          <w:szCs w:val="21"/>
        </w:rPr>
        <w:t>所述基金业绩指标不包括持有人认购或交易基金的各项费用，计入费用后实际收益水平要低于所列数字。</w:t>
      </w:r>
    </w:p>
    <w:p w:rsidR="009238DB" w:rsidRPr="00A1399F" w:rsidRDefault="005E01A3" w:rsidP="00A1399F">
      <w:pPr>
        <w:pStyle w:val="12"/>
        <w:spacing w:line="360" w:lineRule="auto"/>
        <w:ind w:firstLine="420"/>
        <w:jc w:val="left"/>
        <w:rPr>
          <w:szCs w:val="21"/>
        </w:rPr>
      </w:pPr>
      <w:r w:rsidRPr="00A1399F">
        <w:rPr>
          <w:szCs w:val="21"/>
        </w:rPr>
        <w:t>②</w:t>
      </w:r>
      <w:r w:rsidRPr="00A1399F">
        <w:rPr>
          <w:szCs w:val="21"/>
        </w:rPr>
        <w:t>本期已实现收益指基金本期利息收入、投资收益、其他收入（不含公允价值变动收益）扣除相关费用后的余额，本期利润为本期已实现收益加上本期公允价值变动收益。</w:t>
      </w:r>
    </w:p>
    <w:p w:rsidR="009238DB" w:rsidRPr="0051626C" w:rsidRDefault="007A6A68" w:rsidP="00973780">
      <w:pPr>
        <w:autoSpaceDE w:val="0"/>
        <w:autoSpaceDN w:val="0"/>
        <w:adjustRightInd w:val="0"/>
        <w:spacing w:line="360" w:lineRule="auto"/>
        <w:jc w:val="left"/>
        <w:rPr>
          <w:color w:val="000000"/>
          <w:szCs w:val="21"/>
        </w:rPr>
      </w:pPr>
      <w:r>
        <w:rPr>
          <w:color w:val="000000"/>
          <w:szCs w:val="21"/>
        </w:rPr>
        <w:t>3.2</w:t>
      </w:r>
      <w:r w:rsidR="009238DB" w:rsidRPr="0051626C">
        <w:rPr>
          <w:color w:val="000000"/>
          <w:szCs w:val="21"/>
        </w:rPr>
        <w:t>基金净值表现</w:t>
      </w:r>
    </w:p>
    <w:p w:rsidR="009238DB" w:rsidRPr="0051626C" w:rsidRDefault="009238DB" w:rsidP="00973780">
      <w:pPr>
        <w:autoSpaceDE w:val="0"/>
        <w:autoSpaceDN w:val="0"/>
        <w:adjustRightInd w:val="0"/>
        <w:spacing w:line="360" w:lineRule="auto"/>
        <w:jc w:val="left"/>
        <w:rPr>
          <w:color w:val="000000"/>
          <w:szCs w:val="21"/>
        </w:rPr>
      </w:pPr>
      <w:r w:rsidRPr="0051626C">
        <w:rPr>
          <w:color w:val="000000"/>
          <w:szCs w:val="21"/>
        </w:rPr>
        <w:t>3.2.1</w:t>
      </w:r>
      <w:r w:rsidRPr="0051626C">
        <w:rPr>
          <w:color w:val="000000"/>
          <w:szCs w:val="21"/>
        </w:rPr>
        <w:t>本报告期基金份额净值增长率及其与同期业绩比较基准收益率的比较</w:t>
      </w:r>
    </w:p>
    <w:p w:rsidR="009238DB" w:rsidRPr="0051626C" w:rsidRDefault="00A5643A" w:rsidP="00973780">
      <w:pPr>
        <w:autoSpaceDE w:val="0"/>
        <w:autoSpaceDN w:val="0"/>
        <w:adjustRightInd w:val="0"/>
        <w:spacing w:line="360" w:lineRule="auto"/>
        <w:jc w:val="left"/>
        <w:rPr>
          <w:color w:val="000000"/>
          <w:szCs w:val="21"/>
        </w:rPr>
      </w:pPr>
      <w:r w:rsidRPr="0051626C">
        <w:rPr>
          <w:color w:val="000000"/>
          <w:szCs w:val="21"/>
        </w:rPr>
        <w:t>华夏鼎益债券</w:t>
      </w:r>
      <w:r w:rsidRPr="0051626C">
        <w:rPr>
          <w:color w:val="000000"/>
          <w:szCs w:val="21"/>
        </w:rPr>
        <w:t>A</w:t>
      </w:r>
      <w:r w:rsidR="009238DB" w:rsidRPr="0051626C">
        <w:rPr>
          <w:color w:val="000000"/>
          <w:szCs w:val="21"/>
        </w:rPr>
        <w:t>：</w:t>
      </w:r>
    </w:p>
    <w:tbl>
      <w:tblPr>
        <w:tblStyle w:val="af2"/>
        <w:tblW w:w="0" w:type="auto"/>
        <w:tblInd w:w="108" w:type="dxa"/>
        <w:tblLayout w:type="fixed"/>
        <w:tblLook w:val="04A0"/>
      </w:tblPr>
      <w:tblGrid>
        <w:gridCol w:w="1290"/>
        <w:gridCol w:w="1291"/>
        <w:gridCol w:w="1291"/>
        <w:gridCol w:w="1291"/>
        <w:gridCol w:w="1291"/>
        <w:gridCol w:w="1201"/>
        <w:gridCol w:w="1134"/>
      </w:tblGrid>
      <w:tr w:rsidR="0086758B" w:rsidRPr="0051626C" w:rsidTr="00FF222E">
        <w:tc>
          <w:tcPr>
            <w:tcW w:w="1290" w:type="dxa"/>
            <w:vAlign w:val="center"/>
          </w:tcPr>
          <w:p w:rsidR="00685FFC" w:rsidRPr="0051626C" w:rsidRDefault="00685FFC" w:rsidP="003F7026">
            <w:pPr>
              <w:snapToGrid w:val="0"/>
              <w:spacing w:line="288" w:lineRule="auto"/>
              <w:jc w:val="center"/>
              <w:rPr>
                <w:color w:val="000000" w:themeColor="text1"/>
                <w:szCs w:val="21"/>
              </w:rPr>
            </w:pPr>
            <w:r w:rsidRPr="0051626C">
              <w:rPr>
                <w:color w:val="000000" w:themeColor="text1"/>
                <w:szCs w:val="21"/>
              </w:rPr>
              <w:t>阶段</w:t>
            </w:r>
          </w:p>
        </w:tc>
        <w:tc>
          <w:tcPr>
            <w:tcW w:w="1291" w:type="dxa"/>
            <w:vAlign w:val="center"/>
          </w:tcPr>
          <w:p w:rsidR="00685FFC" w:rsidRPr="0051626C" w:rsidRDefault="00685FFC" w:rsidP="003F7026">
            <w:pPr>
              <w:snapToGrid w:val="0"/>
              <w:spacing w:line="288" w:lineRule="auto"/>
              <w:jc w:val="center"/>
              <w:rPr>
                <w:color w:val="000000" w:themeColor="text1"/>
                <w:szCs w:val="21"/>
              </w:rPr>
            </w:pPr>
            <w:r w:rsidRPr="0051626C">
              <w:rPr>
                <w:color w:val="000000" w:themeColor="text1"/>
                <w:szCs w:val="21"/>
              </w:rPr>
              <w:t>净值增长率</w:t>
            </w:r>
            <w:r w:rsidRPr="0051626C">
              <w:rPr>
                <w:rFonts w:ascii="宋体" w:hAnsi="宋体" w:cs="宋体" w:hint="eastAsia"/>
                <w:color w:val="000000" w:themeColor="text1"/>
                <w:szCs w:val="21"/>
              </w:rPr>
              <w:t>①</w:t>
            </w:r>
          </w:p>
        </w:tc>
        <w:tc>
          <w:tcPr>
            <w:tcW w:w="1291" w:type="dxa"/>
            <w:vAlign w:val="center"/>
          </w:tcPr>
          <w:p w:rsidR="00685FFC" w:rsidRPr="0051626C" w:rsidRDefault="00685FFC" w:rsidP="003F7026">
            <w:pPr>
              <w:snapToGrid w:val="0"/>
              <w:spacing w:line="288" w:lineRule="auto"/>
              <w:jc w:val="center"/>
              <w:rPr>
                <w:color w:val="000000" w:themeColor="text1"/>
                <w:szCs w:val="21"/>
              </w:rPr>
            </w:pPr>
            <w:r w:rsidRPr="0051626C">
              <w:rPr>
                <w:color w:val="000000" w:themeColor="text1"/>
                <w:szCs w:val="21"/>
              </w:rPr>
              <w:t>净值增长率标准差</w:t>
            </w:r>
            <w:r w:rsidRPr="0051626C">
              <w:rPr>
                <w:rFonts w:ascii="宋体" w:hAnsi="宋体" w:cs="宋体" w:hint="eastAsia"/>
                <w:color w:val="000000" w:themeColor="text1"/>
                <w:szCs w:val="21"/>
              </w:rPr>
              <w:t>②</w:t>
            </w:r>
          </w:p>
        </w:tc>
        <w:tc>
          <w:tcPr>
            <w:tcW w:w="1291" w:type="dxa"/>
            <w:vAlign w:val="center"/>
          </w:tcPr>
          <w:p w:rsidR="00685FFC" w:rsidRPr="0051626C" w:rsidRDefault="00685FFC" w:rsidP="003F7026">
            <w:pPr>
              <w:snapToGrid w:val="0"/>
              <w:spacing w:line="288" w:lineRule="auto"/>
              <w:jc w:val="center"/>
              <w:rPr>
                <w:color w:val="000000" w:themeColor="text1"/>
                <w:szCs w:val="21"/>
              </w:rPr>
            </w:pPr>
            <w:r w:rsidRPr="0051626C">
              <w:rPr>
                <w:color w:val="000000" w:themeColor="text1"/>
                <w:szCs w:val="21"/>
              </w:rPr>
              <w:t>业绩比较基准收益率</w:t>
            </w:r>
            <w:r w:rsidRPr="0051626C">
              <w:rPr>
                <w:rFonts w:ascii="宋体" w:hAnsi="宋体" w:cs="宋体" w:hint="eastAsia"/>
                <w:color w:val="000000" w:themeColor="text1"/>
                <w:szCs w:val="21"/>
              </w:rPr>
              <w:t>③</w:t>
            </w:r>
          </w:p>
        </w:tc>
        <w:tc>
          <w:tcPr>
            <w:tcW w:w="1291" w:type="dxa"/>
            <w:vAlign w:val="center"/>
          </w:tcPr>
          <w:p w:rsidR="00685FFC" w:rsidRPr="0051626C" w:rsidRDefault="00685FFC" w:rsidP="003F7026">
            <w:pPr>
              <w:snapToGrid w:val="0"/>
              <w:spacing w:line="288" w:lineRule="auto"/>
              <w:jc w:val="center"/>
              <w:rPr>
                <w:color w:val="000000" w:themeColor="text1"/>
                <w:szCs w:val="21"/>
              </w:rPr>
            </w:pPr>
            <w:r w:rsidRPr="0051626C">
              <w:rPr>
                <w:color w:val="000000" w:themeColor="text1"/>
                <w:szCs w:val="21"/>
              </w:rPr>
              <w:t>业绩比较基准收益率标准差</w:t>
            </w:r>
            <w:r w:rsidRPr="0051626C">
              <w:rPr>
                <w:rFonts w:ascii="宋体" w:hAnsi="宋体" w:cs="宋体" w:hint="eastAsia"/>
                <w:color w:val="000000" w:themeColor="text1"/>
                <w:szCs w:val="21"/>
              </w:rPr>
              <w:t>④</w:t>
            </w:r>
          </w:p>
        </w:tc>
        <w:tc>
          <w:tcPr>
            <w:tcW w:w="1201" w:type="dxa"/>
            <w:vAlign w:val="center"/>
          </w:tcPr>
          <w:p w:rsidR="00685FFC" w:rsidRPr="0051626C" w:rsidRDefault="00685FFC" w:rsidP="003F7026">
            <w:pPr>
              <w:snapToGrid w:val="0"/>
              <w:spacing w:line="288" w:lineRule="auto"/>
              <w:jc w:val="center"/>
              <w:rPr>
                <w:color w:val="000000" w:themeColor="text1"/>
                <w:szCs w:val="21"/>
              </w:rPr>
            </w:pPr>
            <w:r w:rsidRPr="0051626C">
              <w:rPr>
                <w:rFonts w:ascii="宋体" w:hAnsi="宋体" w:cs="宋体" w:hint="eastAsia"/>
                <w:color w:val="000000" w:themeColor="text1"/>
                <w:szCs w:val="21"/>
              </w:rPr>
              <w:t>①</w:t>
            </w:r>
            <w:r w:rsidRPr="0051626C">
              <w:rPr>
                <w:color w:val="000000" w:themeColor="text1"/>
                <w:szCs w:val="21"/>
              </w:rPr>
              <w:t>－</w:t>
            </w:r>
            <w:r w:rsidRPr="0051626C">
              <w:rPr>
                <w:rFonts w:ascii="宋体" w:hAnsi="宋体" w:cs="宋体" w:hint="eastAsia"/>
                <w:color w:val="000000" w:themeColor="text1"/>
                <w:szCs w:val="21"/>
              </w:rPr>
              <w:t>③</w:t>
            </w:r>
          </w:p>
        </w:tc>
        <w:tc>
          <w:tcPr>
            <w:tcW w:w="1134" w:type="dxa"/>
            <w:vAlign w:val="center"/>
          </w:tcPr>
          <w:p w:rsidR="00685FFC" w:rsidRPr="0051626C" w:rsidRDefault="00685FFC" w:rsidP="003F7026">
            <w:pPr>
              <w:snapToGrid w:val="0"/>
              <w:spacing w:line="288" w:lineRule="auto"/>
              <w:jc w:val="center"/>
              <w:rPr>
                <w:color w:val="000000" w:themeColor="text1"/>
                <w:szCs w:val="21"/>
              </w:rPr>
            </w:pPr>
            <w:r w:rsidRPr="0051626C">
              <w:rPr>
                <w:rFonts w:ascii="宋体" w:hAnsi="宋体" w:cs="宋体" w:hint="eastAsia"/>
                <w:color w:val="000000" w:themeColor="text1"/>
                <w:szCs w:val="21"/>
              </w:rPr>
              <w:t>②</w:t>
            </w:r>
            <w:r w:rsidRPr="0051626C">
              <w:rPr>
                <w:color w:val="000000" w:themeColor="text1"/>
                <w:szCs w:val="21"/>
              </w:rPr>
              <w:t>－</w:t>
            </w:r>
            <w:r w:rsidRPr="0051626C">
              <w:rPr>
                <w:rFonts w:ascii="宋体" w:hAnsi="宋体" w:cs="宋体" w:hint="eastAsia"/>
                <w:color w:val="000000" w:themeColor="text1"/>
                <w:szCs w:val="21"/>
              </w:rPr>
              <w:t>④</w:t>
            </w:r>
          </w:p>
        </w:tc>
      </w:tr>
      <w:tr w:rsidR="008D4979">
        <w:tc>
          <w:tcPr>
            <w:tcW w:w="1290" w:type="dxa"/>
            <w:vAlign w:val="center"/>
          </w:tcPr>
          <w:p w:rsidR="008D4979" w:rsidRDefault="00AC6EA2" w:rsidP="00AC6EA2">
            <w:pPr>
              <w:jc w:val="left"/>
            </w:pPr>
            <w:r>
              <w:rPr>
                <w:color w:val="000000" w:themeColor="text1"/>
                <w:szCs w:val="21"/>
              </w:rPr>
              <w:t>2017</w:t>
            </w:r>
            <w:r>
              <w:rPr>
                <w:color w:val="000000" w:themeColor="text1"/>
                <w:szCs w:val="21"/>
              </w:rPr>
              <w:t>年</w:t>
            </w:r>
            <w:r>
              <w:rPr>
                <w:rFonts w:hint="eastAsia"/>
                <w:color w:val="000000" w:themeColor="text1"/>
                <w:szCs w:val="21"/>
              </w:rPr>
              <w:t>10</w:t>
            </w:r>
            <w:r>
              <w:rPr>
                <w:color w:val="000000" w:themeColor="text1"/>
                <w:szCs w:val="21"/>
              </w:rPr>
              <w:t>月</w:t>
            </w:r>
            <w:r>
              <w:rPr>
                <w:color w:val="000000" w:themeColor="text1"/>
                <w:szCs w:val="21"/>
              </w:rPr>
              <w:t>1</w:t>
            </w:r>
            <w:r>
              <w:rPr>
                <w:color w:val="000000" w:themeColor="text1"/>
                <w:szCs w:val="21"/>
              </w:rPr>
              <w:t>日至</w:t>
            </w:r>
            <w:r>
              <w:rPr>
                <w:color w:val="000000" w:themeColor="text1"/>
                <w:szCs w:val="21"/>
              </w:rPr>
              <w:t>2017</w:t>
            </w:r>
            <w:r>
              <w:rPr>
                <w:color w:val="000000" w:themeColor="text1"/>
                <w:szCs w:val="21"/>
              </w:rPr>
              <w:t>年</w:t>
            </w:r>
            <w:r>
              <w:rPr>
                <w:rFonts w:hint="eastAsia"/>
                <w:color w:val="000000" w:themeColor="text1"/>
                <w:szCs w:val="21"/>
              </w:rPr>
              <w:t>12</w:t>
            </w:r>
            <w:r>
              <w:rPr>
                <w:color w:val="000000" w:themeColor="text1"/>
                <w:szCs w:val="21"/>
              </w:rPr>
              <w:t>月</w:t>
            </w:r>
            <w:r>
              <w:rPr>
                <w:rFonts w:hint="eastAsia"/>
                <w:color w:val="000000" w:themeColor="text1"/>
                <w:szCs w:val="21"/>
              </w:rPr>
              <w:t>28</w:t>
            </w:r>
            <w:r>
              <w:rPr>
                <w:color w:val="000000" w:themeColor="text1"/>
                <w:szCs w:val="21"/>
              </w:rPr>
              <w:t>日</w:t>
            </w:r>
          </w:p>
        </w:tc>
        <w:tc>
          <w:tcPr>
            <w:tcW w:w="1291" w:type="dxa"/>
            <w:vAlign w:val="center"/>
          </w:tcPr>
          <w:p w:rsidR="008D4979" w:rsidRDefault="00AC6EA2">
            <w:pPr>
              <w:jc w:val="right"/>
            </w:pPr>
            <w:r>
              <w:rPr>
                <w:color w:val="000000" w:themeColor="text1"/>
                <w:szCs w:val="21"/>
              </w:rPr>
              <w:t>7.67%</w:t>
            </w:r>
          </w:p>
        </w:tc>
        <w:tc>
          <w:tcPr>
            <w:tcW w:w="1291" w:type="dxa"/>
            <w:vAlign w:val="center"/>
          </w:tcPr>
          <w:p w:rsidR="008D4979" w:rsidRDefault="00AC6EA2">
            <w:pPr>
              <w:jc w:val="right"/>
            </w:pPr>
            <w:r>
              <w:rPr>
                <w:color w:val="000000" w:themeColor="text1"/>
                <w:szCs w:val="21"/>
              </w:rPr>
              <w:t>1.87%</w:t>
            </w:r>
          </w:p>
        </w:tc>
        <w:tc>
          <w:tcPr>
            <w:tcW w:w="1291" w:type="dxa"/>
            <w:vAlign w:val="center"/>
          </w:tcPr>
          <w:p w:rsidR="008D4979" w:rsidRDefault="00AC6EA2">
            <w:pPr>
              <w:jc w:val="right"/>
            </w:pPr>
            <w:r>
              <w:rPr>
                <w:color w:val="000000" w:themeColor="text1"/>
                <w:szCs w:val="21"/>
              </w:rPr>
              <w:t>-1.21%</w:t>
            </w:r>
          </w:p>
        </w:tc>
        <w:tc>
          <w:tcPr>
            <w:tcW w:w="1291" w:type="dxa"/>
            <w:vAlign w:val="center"/>
          </w:tcPr>
          <w:p w:rsidR="008D4979" w:rsidRDefault="00AC6EA2">
            <w:pPr>
              <w:jc w:val="right"/>
            </w:pPr>
            <w:r>
              <w:rPr>
                <w:color w:val="000000" w:themeColor="text1"/>
                <w:szCs w:val="21"/>
              </w:rPr>
              <w:t>0.06%</w:t>
            </w:r>
          </w:p>
        </w:tc>
        <w:tc>
          <w:tcPr>
            <w:tcW w:w="1201" w:type="dxa"/>
            <w:vAlign w:val="center"/>
          </w:tcPr>
          <w:p w:rsidR="008D4979" w:rsidRDefault="00AC6EA2">
            <w:pPr>
              <w:jc w:val="right"/>
            </w:pPr>
            <w:r>
              <w:rPr>
                <w:color w:val="000000" w:themeColor="text1"/>
                <w:szCs w:val="21"/>
              </w:rPr>
              <w:t>8.88%</w:t>
            </w:r>
          </w:p>
        </w:tc>
        <w:tc>
          <w:tcPr>
            <w:tcW w:w="1134" w:type="dxa"/>
            <w:vAlign w:val="center"/>
          </w:tcPr>
          <w:p w:rsidR="008D4979" w:rsidRDefault="00AC6EA2">
            <w:pPr>
              <w:jc w:val="right"/>
            </w:pPr>
            <w:r>
              <w:rPr>
                <w:color w:val="000000" w:themeColor="text1"/>
                <w:szCs w:val="21"/>
              </w:rPr>
              <w:t>1.81%</w:t>
            </w:r>
          </w:p>
        </w:tc>
      </w:tr>
    </w:tbl>
    <w:p w:rsidR="009238DB" w:rsidRPr="0051626C" w:rsidRDefault="00FE7FBD" w:rsidP="00973780">
      <w:pPr>
        <w:autoSpaceDE w:val="0"/>
        <w:autoSpaceDN w:val="0"/>
        <w:adjustRightInd w:val="0"/>
        <w:spacing w:line="360" w:lineRule="auto"/>
        <w:jc w:val="left"/>
        <w:rPr>
          <w:color w:val="000000"/>
          <w:szCs w:val="21"/>
        </w:rPr>
      </w:pPr>
      <w:r w:rsidRPr="0051626C">
        <w:rPr>
          <w:color w:val="000000"/>
          <w:szCs w:val="21"/>
        </w:rPr>
        <w:t>华夏鼎益债券</w:t>
      </w:r>
      <w:r w:rsidRPr="0051626C">
        <w:rPr>
          <w:color w:val="000000"/>
          <w:szCs w:val="21"/>
        </w:rPr>
        <w:t>I</w:t>
      </w:r>
      <w:r w:rsidR="009238DB" w:rsidRPr="0051626C">
        <w:rPr>
          <w:color w:val="000000"/>
          <w:szCs w:val="21"/>
        </w:rPr>
        <w:t>：</w:t>
      </w:r>
    </w:p>
    <w:p w:rsidR="00E73221" w:rsidRPr="00A1399F" w:rsidRDefault="00FE7FBD" w:rsidP="00A1399F">
      <w:pPr>
        <w:pStyle w:val="12"/>
        <w:spacing w:line="360" w:lineRule="auto"/>
        <w:ind w:firstLine="420"/>
        <w:jc w:val="left"/>
        <w:rPr>
          <w:szCs w:val="21"/>
        </w:rPr>
      </w:pPr>
      <w:r w:rsidRPr="00A1399F">
        <w:rPr>
          <w:szCs w:val="21"/>
        </w:rPr>
        <w:t>2017</w:t>
      </w:r>
      <w:r w:rsidRPr="00A1399F">
        <w:rPr>
          <w:szCs w:val="21"/>
        </w:rPr>
        <w:t>年</w:t>
      </w:r>
      <w:r w:rsidRPr="00A1399F">
        <w:rPr>
          <w:szCs w:val="21"/>
        </w:rPr>
        <w:t>8</w:t>
      </w:r>
      <w:r w:rsidRPr="00A1399F">
        <w:rPr>
          <w:szCs w:val="21"/>
        </w:rPr>
        <w:t>月</w:t>
      </w:r>
      <w:r w:rsidRPr="00A1399F">
        <w:rPr>
          <w:szCs w:val="21"/>
        </w:rPr>
        <w:t>7</w:t>
      </w:r>
      <w:r w:rsidRPr="00A1399F">
        <w:rPr>
          <w:szCs w:val="21"/>
        </w:rPr>
        <w:t>日至</w:t>
      </w:r>
      <w:r w:rsidRPr="00A1399F">
        <w:rPr>
          <w:szCs w:val="21"/>
        </w:rPr>
        <w:t>12</w:t>
      </w:r>
      <w:r w:rsidRPr="00A1399F">
        <w:rPr>
          <w:szCs w:val="21"/>
        </w:rPr>
        <w:t>月</w:t>
      </w:r>
      <w:r w:rsidRPr="00A1399F">
        <w:rPr>
          <w:szCs w:val="21"/>
        </w:rPr>
        <w:t>28</w:t>
      </w:r>
      <w:r w:rsidRPr="00A1399F">
        <w:rPr>
          <w:szCs w:val="21"/>
        </w:rPr>
        <w:t>日期间，华夏鼎益债券</w:t>
      </w:r>
      <w:r w:rsidRPr="00A1399F">
        <w:rPr>
          <w:szCs w:val="21"/>
        </w:rPr>
        <w:t>I</w:t>
      </w:r>
      <w:r w:rsidRPr="00A1399F">
        <w:rPr>
          <w:szCs w:val="21"/>
        </w:rPr>
        <w:t>类基金份额为零。</w:t>
      </w:r>
    </w:p>
    <w:p w:rsidR="009238DB" w:rsidRPr="0051626C" w:rsidRDefault="009238DB" w:rsidP="00973780">
      <w:pPr>
        <w:autoSpaceDE w:val="0"/>
        <w:autoSpaceDN w:val="0"/>
        <w:adjustRightInd w:val="0"/>
        <w:spacing w:line="360" w:lineRule="auto"/>
        <w:jc w:val="left"/>
        <w:rPr>
          <w:color w:val="000000"/>
          <w:szCs w:val="21"/>
        </w:rPr>
      </w:pPr>
      <w:r w:rsidRPr="0051626C">
        <w:rPr>
          <w:color w:val="000000"/>
          <w:szCs w:val="21"/>
        </w:rPr>
        <w:t>3.2.2</w:t>
      </w:r>
      <w:r w:rsidR="006016F2" w:rsidRPr="0051626C">
        <w:rPr>
          <w:bCs/>
          <w:color w:val="000000"/>
          <w:szCs w:val="21"/>
        </w:rPr>
        <w:t>自基金合同生效以来</w:t>
      </w:r>
      <w:r w:rsidR="00BF57BE" w:rsidRPr="0051626C">
        <w:rPr>
          <w:color w:val="000000"/>
          <w:szCs w:val="21"/>
        </w:rPr>
        <w:t>基金累计净值增长率变动及其与同期业绩比较基准收益率变动的比较</w:t>
      </w:r>
    </w:p>
    <w:p w:rsidR="009A045B" w:rsidRPr="0051626C" w:rsidRDefault="009A045B" w:rsidP="00182B44">
      <w:pPr>
        <w:pStyle w:val="31"/>
        <w:spacing w:line="360" w:lineRule="auto"/>
        <w:jc w:val="center"/>
        <w:rPr>
          <w:kern w:val="0"/>
          <w:szCs w:val="21"/>
        </w:rPr>
      </w:pPr>
      <w:r w:rsidRPr="0051626C">
        <w:rPr>
          <w:kern w:val="0"/>
          <w:szCs w:val="21"/>
        </w:rPr>
        <w:t>华夏鼎益债券型证券投资基金</w:t>
      </w:r>
    </w:p>
    <w:p w:rsidR="00022396" w:rsidRPr="0051626C" w:rsidRDefault="00022396" w:rsidP="00182B44">
      <w:pPr>
        <w:pStyle w:val="31"/>
        <w:spacing w:line="360" w:lineRule="auto"/>
        <w:jc w:val="center"/>
        <w:rPr>
          <w:kern w:val="0"/>
          <w:szCs w:val="21"/>
        </w:rPr>
      </w:pPr>
      <w:r w:rsidRPr="0051626C">
        <w:rPr>
          <w:kern w:val="0"/>
          <w:szCs w:val="21"/>
        </w:rPr>
        <w:t>累计净值增长率与业绩比较基准收益率的历史走势对比图</w:t>
      </w:r>
    </w:p>
    <w:p w:rsidR="009A045B" w:rsidRPr="0051626C" w:rsidRDefault="009A045B" w:rsidP="00182B44">
      <w:pPr>
        <w:pStyle w:val="31"/>
        <w:spacing w:line="360" w:lineRule="auto"/>
        <w:jc w:val="center"/>
        <w:rPr>
          <w:kern w:val="0"/>
          <w:szCs w:val="21"/>
        </w:rPr>
      </w:pPr>
      <w:r w:rsidRPr="0051626C">
        <w:rPr>
          <w:kern w:val="0"/>
          <w:szCs w:val="21"/>
        </w:rPr>
        <w:t>(</w:t>
      </w:r>
      <w:r w:rsidR="00D04410" w:rsidRPr="0051626C">
        <w:rPr>
          <w:kern w:val="0"/>
          <w:szCs w:val="21"/>
        </w:rPr>
        <w:t>2016</w:t>
      </w:r>
      <w:r w:rsidR="00D04410" w:rsidRPr="0051626C">
        <w:rPr>
          <w:kern w:val="0"/>
          <w:szCs w:val="21"/>
        </w:rPr>
        <w:t>年</w:t>
      </w:r>
      <w:r w:rsidR="00D04410" w:rsidRPr="0051626C">
        <w:rPr>
          <w:kern w:val="0"/>
          <w:szCs w:val="21"/>
        </w:rPr>
        <w:t>12</w:t>
      </w:r>
      <w:r w:rsidR="00D04410" w:rsidRPr="0051626C">
        <w:rPr>
          <w:kern w:val="0"/>
          <w:szCs w:val="21"/>
        </w:rPr>
        <w:t>月</w:t>
      </w:r>
      <w:r w:rsidR="00D04410" w:rsidRPr="0051626C">
        <w:rPr>
          <w:kern w:val="0"/>
          <w:szCs w:val="21"/>
        </w:rPr>
        <w:t>27</w:t>
      </w:r>
      <w:r w:rsidR="00D04410" w:rsidRPr="0051626C">
        <w:rPr>
          <w:kern w:val="0"/>
          <w:szCs w:val="21"/>
        </w:rPr>
        <w:t>日</w:t>
      </w:r>
      <w:r w:rsidRPr="0051626C">
        <w:rPr>
          <w:kern w:val="0"/>
          <w:szCs w:val="21"/>
        </w:rPr>
        <w:t>至</w:t>
      </w:r>
      <w:r w:rsidR="00AC6EA2" w:rsidRPr="009A695D">
        <w:rPr>
          <w:rFonts w:hint="eastAsia"/>
          <w:color w:val="000000"/>
          <w:szCs w:val="21"/>
        </w:rPr>
        <w:t>2017</w:t>
      </w:r>
      <w:r w:rsidR="00AC6EA2" w:rsidRPr="009A695D">
        <w:rPr>
          <w:rFonts w:hint="eastAsia"/>
          <w:color w:val="000000"/>
          <w:szCs w:val="21"/>
        </w:rPr>
        <w:t>年</w:t>
      </w:r>
      <w:r w:rsidR="00AC6EA2">
        <w:rPr>
          <w:rFonts w:hint="eastAsia"/>
          <w:color w:val="000000"/>
          <w:szCs w:val="21"/>
        </w:rPr>
        <w:t>12</w:t>
      </w:r>
      <w:r w:rsidR="00AC6EA2" w:rsidRPr="009A695D">
        <w:rPr>
          <w:rFonts w:hint="eastAsia"/>
          <w:color w:val="000000"/>
          <w:szCs w:val="21"/>
        </w:rPr>
        <w:t>月</w:t>
      </w:r>
      <w:r w:rsidR="00AC6EA2">
        <w:rPr>
          <w:rFonts w:hint="eastAsia"/>
          <w:color w:val="000000"/>
          <w:szCs w:val="21"/>
        </w:rPr>
        <w:t>28</w:t>
      </w:r>
      <w:r w:rsidR="00AC6EA2" w:rsidRPr="009A695D">
        <w:rPr>
          <w:rFonts w:hint="eastAsia"/>
          <w:color w:val="000000"/>
          <w:szCs w:val="21"/>
        </w:rPr>
        <w:t>日</w:t>
      </w:r>
      <w:r w:rsidRPr="0051626C">
        <w:rPr>
          <w:kern w:val="0"/>
          <w:szCs w:val="21"/>
        </w:rPr>
        <w:t>)</w:t>
      </w:r>
    </w:p>
    <w:p w:rsidR="009238DB" w:rsidRPr="0051626C" w:rsidRDefault="0042785F" w:rsidP="00973780">
      <w:pPr>
        <w:autoSpaceDE w:val="0"/>
        <w:autoSpaceDN w:val="0"/>
        <w:adjustRightInd w:val="0"/>
        <w:spacing w:line="360" w:lineRule="auto"/>
        <w:jc w:val="left"/>
        <w:rPr>
          <w:color w:val="000000"/>
          <w:szCs w:val="21"/>
        </w:rPr>
      </w:pPr>
      <w:r w:rsidRPr="0051626C">
        <w:rPr>
          <w:color w:val="000000"/>
          <w:szCs w:val="21"/>
        </w:rPr>
        <w:t>华夏鼎益债券</w:t>
      </w:r>
      <w:r w:rsidRPr="0051626C">
        <w:rPr>
          <w:color w:val="000000"/>
          <w:szCs w:val="21"/>
        </w:rPr>
        <w:t>A</w:t>
      </w:r>
      <w:r w:rsidR="009238DB" w:rsidRPr="0051626C">
        <w:rPr>
          <w:color w:val="000000"/>
          <w:szCs w:val="21"/>
        </w:rPr>
        <w:t>：</w:t>
      </w:r>
    </w:p>
    <w:p w:rsidR="00F60AB6" w:rsidRPr="0051626C" w:rsidRDefault="00F60AB6" w:rsidP="00FC7F43">
      <w:pPr>
        <w:pStyle w:val="20"/>
        <w:spacing w:line="288" w:lineRule="auto"/>
        <w:ind w:firstLineChars="0" w:firstLine="0"/>
        <w:jc w:val="center"/>
        <w:rPr>
          <w:rFonts w:ascii="Times New Roman" w:hAnsi="Times New Roman"/>
          <w:color w:val="000000" w:themeColor="text1"/>
          <w:sz w:val="21"/>
          <w:szCs w:val="21"/>
        </w:rPr>
      </w:pPr>
      <w:r w:rsidRPr="00F60AB6">
        <w:rPr>
          <w:rFonts w:ascii="Times New Roman" w:hAnsi="Times New Roman"/>
          <w:noProof/>
          <w:color w:val="000000" w:themeColor="text1"/>
          <w:sz w:val="21"/>
          <w:szCs w:val="21"/>
        </w:rPr>
        <w:drawing>
          <wp:inline distT="0" distB="0" distL="0" distR="0">
            <wp:extent cx="5276850" cy="3086100"/>
            <wp:effectExtent l="0" t="0" r="0" b="0"/>
            <wp:docPr id="8"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xmlns:w="http://schemas.openxmlformats.org/wordprocessingml/2006/main" xmlns:w10="urn:schemas-microsoft-com:office:word" xmlns:v="urn:schemas-microsoft-com:vml" xmlns:o="urn:schemas-microsoft-com:office:office" xmlns="" val="0"/>
                        </a:ext>
                      </a:extLst>
                    </a:blip>
                    <a:srcRect/>
                    <a:stretch>
                      <a:fillRect/>
                    </a:stretch>
                  </pic:blipFill>
                  <pic:spPr bwMode="auto">
                    <a:xfrm>
                      <a:off x="0" y="0"/>
                      <a:ext cx="5276850" cy="3086100"/>
                    </a:xfrm>
                    <a:prstGeom prst="rect">
                      <a:avLst/>
                    </a:prstGeom>
                    <a:noFill/>
                    <a:ln>
                      <a:noFill/>
                    </a:ln>
                  </pic:spPr>
                </pic:pic>
              </a:graphicData>
            </a:graphic>
          </wp:inline>
        </w:drawing>
      </w:r>
    </w:p>
    <w:p w:rsidR="009238DB" w:rsidRPr="0051626C" w:rsidRDefault="00FE7FBD" w:rsidP="00973780">
      <w:pPr>
        <w:autoSpaceDE w:val="0"/>
        <w:autoSpaceDN w:val="0"/>
        <w:adjustRightInd w:val="0"/>
        <w:spacing w:line="360" w:lineRule="auto"/>
        <w:jc w:val="left"/>
        <w:rPr>
          <w:color w:val="000000"/>
          <w:szCs w:val="21"/>
        </w:rPr>
      </w:pPr>
      <w:r w:rsidRPr="0051626C">
        <w:rPr>
          <w:color w:val="000000"/>
          <w:szCs w:val="21"/>
        </w:rPr>
        <w:t>华夏鼎益债券</w:t>
      </w:r>
      <w:r w:rsidRPr="0051626C">
        <w:rPr>
          <w:color w:val="000000"/>
          <w:szCs w:val="21"/>
        </w:rPr>
        <w:t>I</w:t>
      </w:r>
      <w:r w:rsidR="0042785F" w:rsidRPr="0051626C">
        <w:rPr>
          <w:color w:val="000000"/>
          <w:szCs w:val="21"/>
        </w:rPr>
        <w:t>：</w:t>
      </w:r>
    </w:p>
    <w:p w:rsidR="00FC7F43" w:rsidRPr="0051626C" w:rsidRDefault="00BD72C1" w:rsidP="00FC7F43">
      <w:pPr>
        <w:pStyle w:val="20"/>
        <w:spacing w:line="288" w:lineRule="auto"/>
        <w:ind w:firstLineChars="0" w:firstLine="0"/>
        <w:jc w:val="center"/>
        <w:rPr>
          <w:rFonts w:ascii="Times New Roman" w:hAnsi="Times New Roman"/>
          <w:color w:val="000000" w:themeColor="text1"/>
          <w:sz w:val="21"/>
          <w:szCs w:val="21"/>
        </w:rPr>
      </w:pPr>
      <w:r w:rsidRPr="0051626C">
        <w:rPr>
          <w:rFonts w:ascii="Times New Roman" w:hAnsi="Times New Roman"/>
          <w:noProof/>
          <w:color w:val="000000" w:themeColor="text1"/>
          <w:sz w:val="21"/>
          <w:szCs w:val="21"/>
        </w:rPr>
        <w:drawing>
          <wp:inline distT="0" distB="0" distL="0" distR="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9" cstate="print">
                      <a:extLst>
                        <a:ext uri="{28A0092B-C50C-407E-A947-70E740481C1C}">
                          <a14:useLocalDpi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w="http://schemas.openxmlformats.org/wordprocessingml/2006/main" xmlns:w10="urn:schemas-microsoft-com:office:word" xmlns:v="urn:schemas-microsoft-com:vml" xmlns:o="urn:schemas-microsoft-com:office:office" xmlns="" val="0"/>
                        </a:ext>
                      </a:extLst>
                    </a:blip>
                    <a:srcRect/>
                    <a:stretch>
                      <a:fillRect/>
                    </a:stretch>
                  </pic:blipFill>
                  <pic:spPr bwMode="auto">
                    <a:xfrm>
                      <a:off x="0" y="0"/>
                      <a:ext cx="5591175" cy="3276600"/>
                    </a:xfrm>
                    <a:prstGeom prst="rect">
                      <a:avLst/>
                    </a:prstGeom>
                    <a:noFill/>
                    <a:ln>
                      <a:noFill/>
                    </a:ln>
                  </pic:spPr>
                </pic:pic>
              </a:graphicData>
            </a:graphic>
          </wp:inline>
        </w:drawing>
      </w:r>
    </w:p>
    <w:p w:rsidR="002B32B9" w:rsidRDefault="00AC6EA2" w:rsidP="002B32B9">
      <w:pPr>
        <w:pStyle w:val="12"/>
        <w:spacing w:line="360" w:lineRule="auto"/>
        <w:ind w:firstLine="420"/>
        <w:jc w:val="left"/>
        <w:rPr>
          <w:szCs w:val="21"/>
        </w:rPr>
      </w:pPr>
      <w:r>
        <w:rPr>
          <w:szCs w:val="21"/>
        </w:rPr>
        <w:t>注：</w:t>
      </w:r>
      <w:r w:rsidR="002B32B9">
        <w:rPr>
          <w:szCs w:val="21"/>
        </w:rPr>
        <w:t>①</w:t>
      </w:r>
      <w:r w:rsidR="002B32B9">
        <w:rPr>
          <w:szCs w:val="21"/>
        </w:rPr>
        <w:t>根据华夏鼎益债券型证券投资基金基金合同的基金合同规定，本基金自基金合同生效之日起</w:t>
      </w:r>
      <w:r w:rsidR="002B32B9">
        <w:rPr>
          <w:szCs w:val="21"/>
        </w:rPr>
        <w:t>6</w:t>
      </w:r>
      <w:r w:rsidR="002B32B9">
        <w:rPr>
          <w:szCs w:val="21"/>
        </w:rPr>
        <w:t>个月内使基金的投资组合比例符合本基金合同第十二部分</w:t>
      </w:r>
      <w:r w:rsidR="002B32B9">
        <w:rPr>
          <w:szCs w:val="21"/>
        </w:rPr>
        <w:t>“</w:t>
      </w:r>
      <w:r w:rsidR="002B32B9">
        <w:rPr>
          <w:szCs w:val="21"/>
        </w:rPr>
        <w:t>二、投资范围</w:t>
      </w:r>
      <w:r w:rsidR="002B32B9">
        <w:rPr>
          <w:szCs w:val="21"/>
        </w:rPr>
        <w:t>”</w:t>
      </w:r>
      <w:r w:rsidR="002B32B9">
        <w:rPr>
          <w:szCs w:val="21"/>
        </w:rPr>
        <w:t>、</w:t>
      </w:r>
      <w:r w:rsidR="002B32B9">
        <w:rPr>
          <w:szCs w:val="21"/>
        </w:rPr>
        <w:t>“</w:t>
      </w:r>
      <w:r w:rsidR="002B32B9">
        <w:rPr>
          <w:szCs w:val="21"/>
        </w:rPr>
        <w:t>四、投资限制</w:t>
      </w:r>
      <w:r w:rsidR="002B32B9">
        <w:rPr>
          <w:szCs w:val="21"/>
        </w:rPr>
        <w:t>”</w:t>
      </w:r>
      <w:r w:rsidR="002B32B9">
        <w:rPr>
          <w:szCs w:val="21"/>
        </w:rPr>
        <w:t>的有关约定。</w:t>
      </w:r>
    </w:p>
    <w:p w:rsidR="00973B57" w:rsidRPr="00A1399F" w:rsidRDefault="00757FD7" w:rsidP="00A1399F">
      <w:pPr>
        <w:pStyle w:val="12"/>
        <w:spacing w:line="360" w:lineRule="auto"/>
        <w:ind w:firstLine="420"/>
        <w:jc w:val="left"/>
        <w:rPr>
          <w:szCs w:val="21"/>
        </w:rPr>
      </w:pPr>
      <w:r w:rsidRPr="00A1399F">
        <w:rPr>
          <w:szCs w:val="21"/>
        </w:rPr>
        <w:t>②2017</w:t>
      </w:r>
      <w:r w:rsidRPr="00A1399F">
        <w:rPr>
          <w:szCs w:val="21"/>
        </w:rPr>
        <w:t>年</w:t>
      </w:r>
      <w:r w:rsidRPr="00A1399F">
        <w:rPr>
          <w:szCs w:val="21"/>
        </w:rPr>
        <w:t>8</w:t>
      </w:r>
      <w:r w:rsidRPr="00A1399F">
        <w:rPr>
          <w:szCs w:val="21"/>
        </w:rPr>
        <w:t>月</w:t>
      </w:r>
      <w:r w:rsidRPr="00A1399F">
        <w:rPr>
          <w:szCs w:val="21"/>
        </w:rPr>
        <w:t>7</w:t>
      </w:r>
      <w:r w:rsidRPr="00A1399F">
        <w:rPr>
          <w:szCs w:val="21"/>
        </w:rPr>
        <w:t>日至</w:t>
      </w:r>
      <w:r w:rsidRPr="00A1399F">
        <w:rPr>
          <w:szCs w:val="21"/>
        </w:rPr>
        <w:t>12</w:t>
      </w:r>
      <w:r w:rsidRPr="00A1399F">
        <w:rPr>
          <w:szCs w:val="21"/>
        </w:rPr>
        <w:t>月</w:t>
      </w:r>
      <w:r w:rsidRPr="00A1399F">
        <w:rPr>
          <w:szCs w:val="21"/>
        </w:rPr>
        <w:t>28</w:t>
      </w:r>
      <w:r w:rsidRPr="00A1399F">
        <w:rPr>
          <w:szCs w:val="21"/>
        </w:rPr>
        <w:t>日期间，</w:t>
      </w:r>
      <w:r w:rsidRPr="00A1399F">
        <w:rPr>
          <w:szCs w:val="21"/>
        </w:rPr>
        <w:t xml:space="preserve"> </w:t>
      </w:r>
      <w:r w:rsidRPr="00A1399F">
        <w:rPr>
          <w:szCs w:val="21"/>
        </w:rPr>
        <w:t>华夏鼎益债券</w:t>
      </w:r>
      <w:r w:rsidRPr="00A1399F">
        <w:rPr>
          <w:szCs w:val="21"/>
        </w:rPr>
        <w:t>I</w:t>
      </w:r>
      <w:r w:rsidRPr="00A1399F">
        <w:rPr>
          <w:szCs w:val="21"/>
        </w:rPr>
        <w:t>类基金份额为零。</w:t>
      </w:r>
    </w:p>
    <w:p w:rsidR="009238DB" w:rsidRPr="0051626C" w:rsidRDefault="00473A6F" w:rsidP="00973780">
      <w:pPr>
        <w:pStyle w:val="2"/>
        <w:spacing w:before="0" w:after="0" w:line="416" w:lineRule="auto"/>
        <w:jc w:val="center"/>
        <w:rPr>
          <w:rStyle w:val="2CharCharChar"/>
          <w:rFonts w:ascii="Times New Roman" w:hAnsi="Times New Roman" w:cs="Times New Roman"/>
          <w:b/>
          <w:szCs w:val="24"/>
        </w:rPr>
      </w:pPr>
      <w:r w:rsidRPr="0051626C">
        <w:rPr>
          <w:rStyle w:val="2CharCharChar"/>
          <w:rFonts w:ascii="Times New Roman" w:hAnsi="Times New Roman" w:cs="Times New Roman"/>
          <w:b/>
          <w:szCs w:val="24"/>
        </w:rPr>
        <w:t xml:space="preserve">§4 </w:t>
      </w:r>
      <w:r w:rsidR="009238DB" w:rsidRPr="0051626C">
        <w:rPr>
          <w:rStyle w:val="2CharCharChar"/>
          <w:rFonts w:ascii="Times New Roman" w:hAnsi="Times New Roman" w:cs="Times New Roman"/>
          <w:b/>
          <w:szCs w:val="24"/>
        </w:rPr>
        <w:t>管理人报告</w:t>
      </w:r>
    </w:p>
    <w:p w:rsidR="009238DB" w:rsidRPr="0051626C" w:rsidRDefault="007A6A68" w:rsidP="00973780">
      <w:pPr>
        <w:autoSpaceDE w:val="0"/>
        <w:autoSpaceDN w:val="0"/>
        <w:adjustRightInd w:val="0"/>
        <w:spacing w:line="360" w:lineRule="auto"/>
        <w:jc w:val="left"/>
        <w:rPr>
          <w:color w:val="000000"/>
          <w:szCs w:val="21"/>
        </w:rPr>
      </w:pPr>
      <w:r>
        <w:rPr>
          <w:color w:val="000000"/>
          <w:szCs w:val="21"/>
        </w:rPr>
        <w:t>4.1</w:t>
      </w:r>
      <w:r w:rsidR="009238DB" w:rsidRPr="0051626C">
        <w:rPr>
          <w:color w:val="000000"/>
          <w:szCs w:val="21"/>
        </w:rPr>
        <w:t>基金经理（或基金经理小组）简介</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
        <w:gridCol w:w="930"/>
        <w:gridCol w:w="1210"/>
        <w:gridCol w:w="1309"/>
        <w:gridCol w:w="1254"/>
        <w:gridCol w:w="3134"/>
      </w:tblGrid>
      <w:tr w:rsidR="004264FD" w:rsidRPr="0051626C" w:rsidTr="00FF222E">
        <w:tc>
          <w:tcPr>
            <w:tcW w:w="952" w:type="dxa"/>
            <w:vMerge w:val="restart"/>
            <w:vAlign w:val="center"/>
          </w:tcPr>
          <w:p w:rsidR="00C41617" w:rsidRPr="0051626C" w:rsidRDefault="00C41617" w:rsidP="003F7026">
            <w:pPr>
              <w:autoSpaceDE w:val="0"/>
              <w:autoSpaceDN w:val="0"/>
              <w:adjustRightInd w:val="0"/>
              <w:spacing w:before="29" w:line="288" w:lineRule="auto"/>
              <w:ind w:left="15"/>
              <w:jc w:val="center"/>
              <w:rPr>
                <w:color w:val="000000" w:themeColor="text1"/>
                <w:kern w:val="0"/>
                <w:szCs w:val="21"/>
              </w:rPr>
            </w:pPr>
            <w:r w:rsidRPr="0051626C">
              <w:rPr>
                <w:color w:val="000000" w:themeColor="text1"/>
                <w:kern w:val="0"/>
                <w:szCs w:val="21"/>
              </w:rPr>
              <w:t>姓名</w:t>
            </w:r>
          </w:p>
        </w:tc>
        <w:tc>
          <w:tcPr>
            <w:tcW w:w="930" w:type="dxa"/>
            <w:vMerge w:val="restart"/>
            <w:vAlign w:val="center"/>
          </w:tcPr>
          <w:p w:rsidR="00C41617" w:rsidRPr="0051626C" w:rsidRDefault="00C41617" w:rsidP="003F7026">
            <w:pPr>
              <w:autoSpaceDE w:val="0"/>
              <w:autoSpaceDN w:val="0"/>
              <w:adjustRightInd w:val="0"/>
              <w:spacing w:before="29" w:line="288" w:lineRule="auto"/>
              <w:ind w:left="15"/>
              <w:jc w:val="center"/>
              <w:rPr>
                <w:color w:val="000000" w:themeColor="text1"/>
                <w:kern w:val="0"/>
                <w:szCs w:val="21"/>
              </w:rPr>
            </w:pPr>
            <w:r w:rsidRPr="0051626C">
              <w:rPr>
                <w:color w:val="000000" w:themeColor="text1"/>
                <w:kern w:val="0"/>
                <w:szCs w:val="21"/>
              </w:rPr>
              <w:t>职务</w:t>
            </w:r>
          </w:p>
        </w:tc>
        <w:tc>
          <w:tcPr>
            <w:tcW w:w="2519" w:type="dxa"/>
            <w:gridSpan w:val="2"/>
            <w:vAlign w:val="center"/>
          </w:tcPr>
          <w:p w:rsidR="00C41617" w:rsidRPr="0051626C" w:rsidRDefault="00C41617" w:rsidP="003F7026">
            <w:pPr>
              <w:autoSpaceDE w:val="0"/>
              <w:autoSpaceDN w:val="0"/>
              <w:adjustRightInd w:val="0"/>
              <w:spacing w:before="29" w:line="288" w:lineRule="auto"/>
              <w:ind w:left="15"/>
              <w:jc w:val="center"/>
              <w:rPr>
                <w:color w:val="000000" w:themeColor="text1"/>
                <w:kern w:val="0"/>
                <w:szCs w:val="21"/>
              </w:rPr>
            </w:pPr>
            <w:r w:rsidRPr="0051626C">
              <w:rPr>
                <w:color w:val="000000" w:themeColor="text1"/>
                <w:kern w:val="0"/>
                <w:szCs w:val="21"/>
              </w:rPr>
              <w:t>任本基金的基金经理期限</w:t>
            </w:r>
          </w:p>
        </w:tc>
        <w:tc>
          <w:tcPr>
            <w:tcW w:w="1254" w:type="dxa"/>
            <w:vMerge w:val="restart"/>
            <w:vAlign w:val="center"/>
          </w:tcPr>
          <w:p w:rsidR="00C41617" w:rsidRPr="0051626C" w:rsidRDefault="00C41617" w:rsidP="003F7026">
            <w:pPr>
              <w:autoSpaceDE w:val="0"/>
              <w:autoSpaceDN w:val="0"/>
              <w:adjustRightInd w:val="0"/>
              <w:spacing w:before="29" w:line="288" w:lineRule="auto"/>
              <w:ind w:left="15"/>
              <w:jc w:val="center"/>
              <w:rPr>
                <w:color w:val="000000" w:themeColor="text1"/>
                <w:kern w:val="0"/>
                <w:szCs w:val="21"/>
              </w:rPr>
            </w:pPr>
            <w:r w:rsidRPr="0051626C">
              <w:rPr>
                <w:color w:val="000000" w:themeColor="text1"/>
                <w:kern w:val="0"/>
                <w:szCs w:val="21"/>
              </w:rPr>
              <w:t>证券从业年限</w:t>
            </w:r>
          </w:p>
        </w:tc>
        <w:tc>
          <w:tcPr>
            <w:tcW w:w="3134" w:type="dxa"/>
            <w:vMerge w:val="restart"/>
            <w:vAlign w:val="center"/>
          </w:tcPr>
          <w:p w:rsidR="00C41617" w:rsidRPr="0051626C" w:rsidRDefault="00C41617" w:rsidP="003F7026">
            <w:pPr>
              <w:autoSpaceDE w:val="0"/>
              <w:autoSpaceDN w:val="0"/>
              <w:adjustRightInd w:val="0"/>
              <w:spacing w:before="29" w:line="288" w:lineRule="auto"/>
              <w:ind w:left="15"/>
              <w:jc w:val="center"/>
              <w:rPr>
                <w:color w:val="000000" w:themeColor="text1"/>
                <w:kern w:val="0"/>
                <w:szCs w:val="21"/>
              </w:rPr>
            </w:pPr>
            <w:r w:rsidRPr="0051626C">
              <w:rPr>
                <w:color w:val="000000" w:themeColor="text1"/>
                <w:kern w:val="0"/>
                <w:szCs w:val="21"/>
              </w:rPr>
              <w:t>说明</w:t>
            </w:r>
          </w:p>
        </w:tc>
      </w:tr>
      <w:tr w:rsidR="004264FD" w:rsidRPr="0051626C" w:rsidTr="00FF222E">
        <w:tc>
          <w:tcPr>
            <w:tcW w:w="952" w:type="dxa"/>
            <w:vMerge/>
            <w:vAlign w:val="center"/>
          </w:tcPr>
          <w:p w:rsidR="00C41617" w:rsidRPr="0051626C" w:rsidRDefault="00C41617" w:rsidP="0058694E">
            <w:pPr>
              <w:autoSpaceDE w:val="0"/>
              <w:autoSpaceDN w:val="0"/>
              <w:adjustRightInd w:val="0"/>
              <w:spacing w:before="29" w:line="288" w:lineRule="auto"/>
              <w:ind w:left="15"/>
              <w:jc w:val="center"/>
              <w:rPr>
                <w:color w:val="000000" w:themeColor="text1"/>
                <w:kern w:val="0"/>
                <w:szCs w:val="21"/>
              </w:rPr>
            </w:pPr>
          </w:p>
        </w:tc>
        <w:tc>
          <w:tcPr>
            <w:tcW w:w="930" w:type="dxa"/>
            <w:vMerge/>
          </w:tcPr>
          <w:p w:rsidR="00C41617" w:rsidRPr="0051626C" w:rsidRDefault="00C41617" w:rsidP="0058694E">
            <w:pPr>
              <w:autoSpaceDE w:val="0"/>
              <w:autoSpaceDN w:val="0"/>
              <w:adjustRightInd w:val="0"/>
              <w:spacing w:before="29" w:line="288" w:lineRule="auto"/>
              <w:ind w:left="15"/>
              <w:jc w:val="center"/>
              <w:rPr>
                <w:color w:val="000000" w:themeColor="text1"/>
                <w:kern w:val="0"/>
                <w:szCs w:val="21"/>
              </w:rPr>
            </w:pPr>
          </w:p>
        </w:tc>
        <w:tc>
          <w:tcPr>
            <w:tcW w:w="1210" w:type="dxa"/>
            <w:vAlign w:val="center"/>
          </w:tcPr>
          <w:p w:rsidR="00C41617" w:rsidRPr="0051626C" w:rsidRDefault="00C41617" w:rsidP="003F7026">
            <w:pPr>
              <w:autoSpaceDE w:val="0"/>
              <w:autoSpaceDN w:val="0"/>
              <w:adjustRightInd w:val="0"/>
              <w:spacing w:before="29" w:line="288" w:lineRule="auto"/>
              <w:ind w:left="15"/>
              <w:jc w:val="center"/>
              <w:rPr>
                <w:color w:val="000000" w:themeColor="text1"/>
                <w:kern w:val="0"/>
                <w:szCs w:val="21"/>
              </w:rPr>
            </w:pPr>
            <w:r w:rsidRPr="0051626C">
              <w:rPr>
                <w:color w:val="000000" w:themeColor="text1"/>
                <w:kern w:val="0"/>
                <w:szCs w:val="21"/>
              </w:rPr>
              <w:t>任职日期</w:t>
            </w:r>
          </w:p>
        </w:tc>
        <w:tc>
          <w:tcPr>
            <w:tcW w:w="1309" w:type="dxa"/>
            <w:vAlign w:val="center"/>
          </w:tcPr>
          <w:p w:rsidR="00C41617" w:rsidRPr="0051626C" w:rsidRDefault="00C41617" w:rsidP="003F7026">
            <w:pPr>
              <w:autoSpaceDE w:val="0"/>
              <w:autoSpaceDN w:val="0"/>
              <w:adjustRightInd w:val="0"/>
              <w:spacing w:before="29" w:line="288" w:lineRule="auto"/>
              <w:ind w:left="15"/>
              <w:jc w:val="center"/>
              <w:rPr>
                <w:color w:val="000000" w:themeColor="text1"/>
                <w:kern w:val="0"/>
                <w:szCs w:val="21"/>
              </w:rPr>
            </w:pPr>
            <w:r w:rsidRPr="0051626C">
              <w:rPr>
                <w:color w:val="000000" w:themeColor="text1"/>
                <w:kern w:val="0"/>
                <w:szCs w:val="21"/>
              </w:rPr>
              <w:t>离任日期</w:t>
            </w:r>
          </w:p>
        </w:tc>
        <w:tc>
          <w:tcPr>
            <w:tcW w:w="1254" w:type="dxa"/>
            <w:vMerge/>
            <w:vAlign w:val="center"/>
          </w:tcPr>
          <w:p w:rsidR="00C41617" w:rsidRPr="0051626C" w:rsidRDefault="00C41617" w:rsidP="0058694E">
            <w:pPr>
              <w:autoSpaceDE w:val="0"/>
              <w:autoSpaceDN w:val="0"/>
              <w:adjustRightInd w:val="0"/>
              <w:spacing w:before="29" w:line="288" w:lineRule="auto"/>
              <w:ind w:left="15"/>
              <w:jc w:val="center"/>
              <w:rPr>
                <w:color w:val="000000" w:themeColor="text1"/>
                <w:kern w:val="0"/>
                <w:szCs w:val="21"/>
              </w:rPr>
            </w:pPr>
          </w:p>
        </w:tc>
        <w:tc>
          <w:tcPr>
            <w:tcW w:w="3134" w:type="dxa"/>
            <w:vMerge/>
            <w:vAlign w:val="center"/>
          </w:tcPr>
          <w:p w:rsidR="00C41617" w:rsidRPr="0051626C" w:rsidRDefault="00C41617" w:rsidP="0058694E">
            <w:pPr>
              <w:autoSpaceDE w:val="0"/>
              <w:autoSpaceDN w:val="0"/>
              <w:adjustRightInd w:val="0"/>
              <w:spacing w:before="29" w:line="288" w:lineRule="auto"/>
              <w:ind w:left="15"/>
              <w:jc w:val="center"/>
              <w:rPr>
                <w:color w:val="000000" w:themeColor="text1"/>
                <w:kern w:val="0"/>
                <w:szCs w:val="21"/>
              </w:rPr>
            </w:pPr>
          </w:p>
        </w:tc>
      </w:tr>
      <w:tr w:rsidR="008D4979">
        <w:tc>
          <w:tcPr>
            <w:tcW w:w="952" w:type="dxa"/>
            <w:vAlign w:val="center"/>
          </w:tcPr>
          <w:p w:rsidR="008D4979" w:rsidRDefault="00AC6EA2">
            <w:pPr>
              <w:jc w:val="center"/>
            </w:pPr>
            <w:r>
              <w:rPr>
                <w:color w:val="000000" w:themeColor="text1"/>
                <w:szCs w:val="21"/>
              </w:rPr>
              <w:t>祝灿</w:t>
            </w:r>
          </w:p>
        </w:tc>
        <w:tc>
          <w:tcPr>
            <w:tcW w:w="930" w:type="dxa"/>
            <w:vAlign w:val="center"/>
          </w:tcPr>
          <w:p w:rsidR="008D4979" w:rsidRDefault="00AC6EA2">
            <w:pPr>
              <w:jc w:val="center"/>
            </w:pPr>
            <w:r>
              <w:rPr>
                <w:color w:val="000000" w:themeColor="text1"/>
                <w:szCs w:val="21"/>
              </w:rPr>
              <w:t>本基金的基金经理、机构债券投资部总监</w:t>
            </w:r>
          </w:p>
        </w:tc>
        <w:tc>
          <w:tcPr>
            <w:tcW w:w="1210" w:type="dxa"/>
            <w:vAlign w:val="center"/>
          </w:tcPr>
          <w:p w:rsidR="008D4979" w:rsidRDefault="00AC6EA2">
            <w:pPr>
              <w:jc w:val="center"/>
            </w:pPr>
            <w:r>
              <w:rPr>
                <w:color w:val="000000" w:themeColor="text1"/>
                <w:szCs w:val="21"/>
              </w:rPr>
              <w:t>2016-12-27</w:t>
            </w:r>
          </w:p>
        </w:tc>
        <w:tc>
          <w:tcPr>
            <w:tcW w:w="1309" w:type="dxa"/>
            <w:vAlign w:val="center"/>
          </w:tcPr>
          <w:p w:rsidR="008D4979" w:rsidRDefault="00AC6EA2">
            <w:pPr>
              <w:jc w:val="center"/>
            </w:pPr>
            <w:r>
              <w:rPr>
                <w:color w:val="000000" w:themeColor="text1"/>
                <w:szCs w:val="21"/>
              </w:rPr>
              <w:t>2017-12-28</w:t>
            </w:r>
          </w:p>
        </w:tc>
        <w:tc>
          <w:tcPr>
            <w:tcW w:w="1254" w:type="dxa"/>
            <w:vAlign w:val="center"/>
          </w:tcPr>
          <w:p w:rsidR="008D4979" w:rsidRDefault="00AC6EA2">
            <w:pPr>
              <w:jc w:val="center"/>
            </w:pPr>
            <w:r>
              <w:rPr>
                <w:color w:val="000000" w:themeColor="text1"/>
                <w:szCs w:val="21"/>
              </w:rPr>
              <w:t>16</w:t>
            </w:r>
            <w:r>
              <w:rPr>
                <w:color w:val="000000" w:themeColor="text1"/>
                <w:szCs w:val="21"/>
              </w:rPr>
              <w:t>年</w:t>
            </w:r>
          </w:p>
        </w:tc>
        <w:tc>
          <w:tcPr>
            <w:tcW w:w="3134" w:type="dxa"/>
            <w:vAlign w:val="center"/>
          </w:tcPr>
          <w:p w:rsidR="008D4979" w:rsidRDefault="00AC6EA2">
            <w:r>
              <w:rPr>
                <w:color w:val="000000" w:themeColor="text1"/>
                <w:szCs w:val="21"/>
              </w:rPr>
              <w:t>芝加哥大学工商管理硕士。曾任中信证券投资管理部投资经理、德意志银行新加坡分行交易员等。</w:t>
            </w:r>
            <w:r>
              <w:rPr>
                <w:color w:val="000000" w:themeColor="text1"/>
                <w:szCs w:val="21"/>
              </w:rPr>
              <w:t>2013</w:t>
            </w:r>
            <w:r>
              <w:rPr>
                <w:color w:val="000000" w:themeColor="text1"/>
                <w:szCs w:val="21"/>
              </w:rPr>
              <w:t>年</w:t>
            </w:r>
            <w:r>
              <w:rPr>
                <w:color w:val="000000" w:themeColor="text1"/>
                <w:szCs w:val="21"/>
              </w:rPr>
              <w:t>7</w:t>
            </w:r>
            <w:r>
              <w:rPr>
                <w:color w:val="000000" w:themeColor="text1"/>
                <w:szCs w:val="21"/>
              </w:rPr>
              <w:t>月加入华夏基金管理有限公司，曾任机构债券投资部投资经理等。</w:t>
            </w:r>
          </w:p>
        </w:tc>
      </w:tr>
    </w:tbl>
    <w:p w:rsidR="008D4979" w:rsidRDefault="00AC6EA2">
      <w:pPr>
        <w:pStyle w:val="12"/>
        <w:spacing w:line="360" w:lineRule="auto"/>
        <w:ind w:firstLine="420"/>
        <w:jc w:val="left"/>
        <w:rPr>
          <w:szCs w:val="21"/>
        </w:rPr>
      </w:pPr>
      <w:r>
        <w:rPr>
          <w:szCs w:val="21"/>
        </w:rPr>
        <w:t>注：</w:t>
      </w:r>
      <w:r>
        <w:rPr>
          <w:szCs w:val="21"/>
        </w:rPr>
        <w:t>①</w:t>
      </w:r>
      <w:r>
        <w:rPr>
          <w:szCs w:val="21"/>
        </w:rPr>
        <w:t>上述任职日期、离任日期根据本基金管理人对外披露的任免日期填写。</w:t>
      </w:r>
    </w:p>
    <w:p w:rsidR="005C7D00" w:rsidRPr="00A1399F" w:rsidRDefault="00062E1F" w:rsidP="00A1399F">
      <w:pPr>
        <w:pStyle w:val="12"/>
        <w:spacing w:line="360" w:lineRule="auto"/>
        <w:ind w:firstLine="420"/>
        <w:jc w:val="left"/>
        <w:rPr>
          <w:szCs w:val="21"/>
        </w:rPr>
      </w:pPr>
      <w:r w:rsidRPr="00A1399F">
        <w:rPr>
          <w:szCs w:val="21"/>
        </w:rPr>
        <w:t>②</w:t>
      </w:r>
      <w:r w:rsidRPr="00A1399F">
        <w:rPr>
          <w:szCs w:val="21"/>
        </w:rPr>
        <w:t>证券从业的含义遵从行业协会《证券业从业人员资格管理办法》的相关规定。</w:t>
      </w:r>
    </w:p>
    <w:p w:rsidR="009238DB" w:rsidRPr="0051626C" w:rsidRDefault="009238DB" w:rsidP="00973780">
      <w:pPr>
        <w:autoSpaceDE w:val="0"/>
        <w:autoSpaceDN w:val="0"/>
        <w:adjustRightInd w:val="0"/>
        <w:spacing w:line="360" w:lineRule="auto"/>
        <w:jc w:val="left"/>
        <w:rPr>
          <w:color w:val="000000"/>
          <w:szCs w:val="21"/>
        </w:rPr>
      </w:pPr>
      <w:r w:rsidRPr="0051626C">
        <w:rPr>
          <w:color w:val="000000"/>
          <w:szCs w:val="21"/>
        </w:rPr>
        <w:t>4.2</w:t>
      </w:r>
      <w:r w:rsidR="00C86ADA" w:rsidRPr="0051626C">
        <w:rPr>
          <w:color w:val="000000"/>
          <w:szCs w:val="21"/>
        </w:rPr>
        <w:t>管理人对</w:t>
      </w:r>
      <w:r w:rsidRPr="0051626C">
        <w:rPr>
          <w:color w:val="000000"/>
          <w:szCs w:val="21"/>
        </w:rPr>
        <w:t>报告期内本基金运作遵规守信情况</w:t>
      </w:r>
      <w:r w:rsidR="00C86ADA" w:rsidRPr="0051626C">
        <w:rPr>
          <w:color w:val="000000"/>
          <w:szCs w:val="21"/>
        </w:rPr>
        <w:t>的</w:t>
      </w:r>
      <w:r w:rsidRPr="0051626C">
        <w:rPr>
          <w:color w:val="000000"/>
          <w:szCs w:val="21"/>
        </w:rPr>
        <w:t>说明</w:t>
      </w:r>
    </w:p>
    <w:p w:rsidR="009238DB" w:rsidRPr="00A1399F" w:rsidRDefault="00323F25" w:rsidP="00A1399F">
      <w:pPr>
        <w:pStyle w:val="12"/>
        <w:spacing w:line="360" w:lineRule="auto"/>
        <w:ind w:firstLine="420"/>
        <w:jc w:val="left"/>
        <w:rPr>
          <w:szCs w:val="21"/>
        </w:rPr>
      </w:pPr>
      <w:r w:rsidRPr="00A1399F">
        <w:rPr>
          <w:szCs w:val="21"/>
        </w:rPr>
        <w:t>报告期内，本基金管理人严格遵守《中华人民共和国证券投资基金法》、《公开募集证券投资基金运作管理办法》、《证券投资基金管理公司公平交易制度指导意见》、《基金管理公司开展投资、研究活动防控内幕交易指导意见》、基金合同和其他有关法律法规，本着诚实信用、勤勉尽责、安全高效的原则管理和运用基金资产，在严格控制投资风险的基础上，为基金份额持有人谋求最大利益，没有损害基金份额持有人利益的行为。</w:t>
      </w:r>
    </w:p>
    <w:p w:rsidR="009238DB" w:rsidRPr="0051626C" w:rsidRDefault="007A6A68" w:rsidP="00973780">
      <w:pPr>
        <w:autoSpaceDE w:val="0"/>
        <w:autoSpaceDN w:val="0"/>
        <w:adjustRightInd w:val="0"/>
        <w:spacing w:line="360" w:lineRule="auto"/>
        <w:jc w:val="left"/>
        <w:rPr>
          <w:color w:val="000000"/>
          <w:szCs w:val="21"/>
        </w:rPr>
      </w:pPr>
      <w:r>
        <w:rPr>
          <w:color w:val="000000"/>
          <w:szCs w:val="21"/>
        </w:rPr>
        <w:t>4.3</w:t>
      </w:r>
      <w:r w:rsidR="009238DB" w:rsidRPr="0051626C">
        <w:rPr>
          <w:color w:val="000000"/>
          <w:szCs w:val="21"/>
        </w:rPr>
        <w:t>公平交易专项说明</w:t>
      </w:r>
    </w:p>
    <w:p w:rsidR="00D15733" w:rsidRPr="0051626C" w:rsidRDefault="007A6A68" w:rsidP="00973780">
      <w:pPr>
        <w:autoSpaceDE w:val="0"/>
        <w:autoSpaceDN w:val="0"/>
        <w:adjustRightInd w:val="0"/>
        <w:spacing w:line="360" w:lineRule="auto"/>
        <w:jc w:val="left"/>
        <w:rPr>
          <w:color w:val="000000"/>
          <w:szCs w:val="21"/>
        </w:rPr>
      </w:pPr>
      <w:r>
        <w:rPr>
          <w:color w:val="000000"/>
          <w:szCs w:val="21"/>
        </w:rPr>
        <w:t>4.3.1</w:t>
      </w:r>
      <w:r w:rsidR="00D15733" w:rsidRPr="0051626C">
        <w:rPr>
          <w:color w:val="000000"/>
          <w:szCs w:val="21"/>
        </w:rPr>
        <w:t>公平交易制度的执行情况</w:t>
      </w:r>
    </w:p>
    <w:p w:rsidR="00D15733" w:rsidRPr="00A1399F" w:rsidRDefault="00323F25" w:rsidP="00A1399F">
      <w:pPr>
        <w:pStyle w:val="12"/>
        <w:spacing w:line="360" w:lineRule="auto"/>
        <w:ind w:firstLine="420"/>
        <w:jc w:val="left"/>
        <w:rPr>
          <w:szCs w:val="21"/>
        </w:rPr>
      </w:pPr>
      <w:r w:rsidRPr="00A1399F">
        <w:rPr>
          <w:szCs w:val="21"/>
        </w:rPr>
        <w:t>本基金管理人一贯公平对待旗下管理的所有基金和组合，制定并严格遵守相应的制度和流程，通过系统和人工等方式在各环节严格控制交易公平执行。报告期内，本公司严格执行了《证券投资基金管理公司公平交易制度指导意见》和《华夏基金管理有限公司公平交易制度》的规定。</w:t>
      </w:r>
    </w:p>
    <w:p w:rsidR="00D15733" w:rsidRPr="0051626C" w:rsidRDefault="00D15733" w:rsidP="00973780">
      <w:pPr>
        <w:autoSpaceDE w:val="0"/>
        <w:autoSpaceDN w:val="0"/>
        <w:adjustRightInd w:val="0"/>
        <w:spacing w:line="360" w:lineRule="auto"/>
        <w:jc w:val="left"/>
        <w:rPr>
          <w:color w:val="000000"/>
          <w:szCs w:val="21"/>
        </w:rPr>
      </w:pPr>
      <w:r w:rsidRPr="0051626C">
        <w:rPr>
          <w:color w:val="000000"/>
          <w:szCs w:val="21"/>
        </w:rPr>
        <w:t>4.3.</w:t>
      </w:r>
      <w:r w:rsidR="005B6047" w:rsidRPr="0051626C">
        <w:rPr>
          <w:color w:val="000000"/>
          <w:szCs w:val="21"/>
        </w:rPr>
        <w:t>2</w:t>
      </w:r>
      <w:r w:rsidRPr="0051626C">
        <w:rPr>
          <w:color w:val="000000"/>
          <w:szCs w:val="21"/>
        </w:rPr>
        <w:t>异常交易行为的专项说明</w:t>
      </w:r>
    </w:p>
    <w:p w:rsidR="008D4979" w:rsidRDefault="00AC6EA2">
      <w:pPr>
        <w:pStyle w:val="12"/>
        <w:spacing w:line="360" w:lineRule="auto"/>
        <w:ind w:firstLine="420"/>
        <w:jc w:val="left"/>
        <w:rPr>
          <w:szCs w:val="21"/>
        </w:rPr>
      </w:pPr>
      <w:r>
        <w:rPr>
          <w:szCs w:val="21"/>
        </w:rPr>
        <w:t>报告期内未发现本基金存在异常交易行为。</w:t>
      </w:r>
    </w:p>
    <w:p w:rsidR="009238DB" w:rsidRPr="00A1399F" w:rsidRDefault="00323F25" w:rsidP="00A1399F">
      <w:pPr>
        <w:pStyle w:val="12"/>
        <w:spacing w:line="360" w:lineRule="auto"/>
        <w:ind w:firstLine="420"/>
        <w:jc w:val="left"/>
        <w:rPr>
          <w:szCs w:val="21"/>
        </w:rPr>
      </w:pPr>
      <w:r w:rsidRPr="00A1399F">
        <w:rPr>
          <w:szCs w:val="21"/>
        </w:rPr>
        <w:t>报告期内，未出现涉及本基金的交易所公开竞价同日反向交易成交较少的单边交易量超过该证券当日成交量</w:t>
      </w:r>
      <w:r w:rsidRPr="00A1399F">
        <w:rPr>
          <w:szCs w:val="21"/>
        </w:rPr>
        <w:t>5%</w:t>
      </w:r>
      <w:r w:rsidRPr="00A1399F">
        <w:rPr>
          <w:szCs w:val="21"/>
        </w:rPr>
        <w:t>的情况。</w:t>
      </w:r>
    </w:p>
    <w:p w:rsidR="009238DB" w:rsidRPr="0051626C" w:rsidRDefault="007A6A68" w:rsidP="00973780">
      <w:pPr>
        <w:autoSpaceDE w:val="0"/>
        <w:autoSpaceDN w:val="0"/>
        <w:adjustRightInd w:val="0"/>
        <w:spacing w:line="360" w:lineRule="auto"/>
        <w:jc w:val="left"/>
        <w:rPr>
          <w:color w:val="000000"/>
          <w:szCs w:val="21"/>
        </w:rPr>
      </w:pPr>
      <w:r>
        <w:rPr>
          <w:color w:val="000000"/>
          <w:szCs w:val="21"/>
        </w:rPr>
        <w:t>4.4</w:t>
      </w:r>
      <w:r w:rsidR="009238DB" w:rsidRPr="0051626C">
        <w:rPr>
          <w:color w:val="000000"/>
          <w:szCs w:val="21"/>
        </w:rPr>
        <w:t>报告期内基金的投资策略和业绩表现说明</w:t>
      </w:r>
    </w:p>
    <w:p w:rsidR="00952A72" w:rsidRPr="0051626C" w:rsidRDefault="00952A72" w:rsidP="00973780">
      <w:pPr>
        <w:autoSpaceDE w:val="0"/>
        <w:autoSpaceDN w:val="0"/>
        <w:adjustRightInd w:val="0"/>
        <w:spacing w:line="360" w:lineRule="auto"/>
        <w:jc w:val="left"/>
        <w:rPr>
          <w:color w:val="000000"/>
          <w:szCs w:val="21"/>
        </w:rPr>
      </w:pPr>
      <w:r w:rsidRPr="0051626C">
        <w:rPr>
          <w:color w:val="000000"/>
          <w:szCs w:val="21"/>
        </w:rPr>
        <w:t>4.4.1</w:t>
      </w:r>
      <w:r w:rsidRPr="0051626C">
        <w:rPr>
          <w:color w:val="000000"/>
          <w:szCs w:val="21"/>
        </w:rPr>
        <w:t>报告期内基金投资策略和运作分析</w:t>
      </w:r>
    </w:p>
    <w:p w:rsidR="008D4979" w:rsidRDefault="00AC6EA2">
      <w:pPr>
        <w:pStyle w:val="12"/>
        <w:spacing w:line="360" w:lineRule="auto"/>
        <w:ind w:firstLine="420"/>
        <w:jc w:val="left"/>
        <w:rPr>
          <w:szCs w:val="21"/>
        </w:rPr>
      </w:pPr>
      <w:r>
        <w:rPr>
          <w:szCs w:val="21"/>
        </w:rPr>
        <w:t>4</w:t>
      </w:r>
      <w:r>
        <w:rPr>
          <w:szCs w:val="21"/>
        </w:rPr>
        <w:t>季度，美联储如期加息，欧元区按兵不动。中国经济略有下行，</w:t>
      </w:r>
      <w:r>
        <w:rPr>
          <w:szCs w:val="21"/>
        </w:rPr>
        <w:t>10-11</w:t>
      </w:r>
      <w:r>
        <w:rPr>
          <w:szCs w:val="21"/>
        </w:rPr>
        <w:t>月宏观数据有所回落，但尚未形成显著滑落趋势。</w:t>
      </w:r>
      <w:r>
        <w:rPr>
          <w:szCs w:val="21"/>
        </w:rPr>
        <w:t>PPI</w:t>
      </w:r>
      <w:r>
        <w:rPr>
          <w:szCs w:val="21"/>
        </w:rPr>
        <w:t>维持高位，</w:t>
      </w:r>
      <w:r>
        <w:rPr>
          <w:szCs w:val="21"/>
        </w:rPr>
        <w:t>CPI</w:t>
      </w:r>
      <w:r>
        <w:rPr>
          <w:szCs w:val="21"/>
        </w:rPr>
        <w:t>保持平稳。央行继续维持</w:t>
      </w:r>
      <w:r>
        <w:rPr>
          <w:szCs w:val="21"/>
        </w:rPr>
        <w:t>“</w:t>
      </w:r>
      <w:r>
        <w:rPr>
          <w:szCs w:val="21"/>
        </w:rPr>
        <w:t>削峰填谷</w:t>
      </w:r>
      <w:r>
        <w:rPr>
          <w:szCs w:val="21"/>
        </w:rPr>
        <w:t>”</w:t>
      </w:r>
      <w:r>
        <w:rPr>
          <w:szCs w:val="21"/>
        </w:rPr>
        <w:t>的调控思路对资金面进行调节，流动性维持紧平衡，但市场机构跨年资金压力可控。市场方面，</w:t>
      </w:r>
      <w:r>
        <w:rPr>
          <w:szCs w:val="21"/>
        </w:rPr>
        <w:t>10</w:t>
      </w:r>
      <w:r>
        <w:rPr>
          <w:szCs w:val="21"/>
        </w:rPr>
        <w:t>月市场对于监管加强担忧再起，对经济过度悲观的预期也继续得到修正；</w:t>
      </w:r>
      <w:r>
        <w:rPr>
          <w:szCs w:val="21"/>
        </w:rPr>
        <w:t>10-11</w:t>
      </w:r>
      <w:r>
        <w:rPr>
          <w:szCs w:val="21"/>
        </w:rPr>
        <w:t>月收益率显著上行，</w:t>
      </w:r>
      <w:r>
        <w:rPr>
          <w:szCs w:val="21"/>
        </w:rPr>
        <w:t>12</w:t>
      </w:r>
      <w:r>
        <w:rPr>
          <w:szCs w:val="21"/>
        </w:rPr>
        <w:t>月以来窄幅震荡；期限利差有所收窄，呈现</w:t>
      </w:r>
      <w:r>
        <w:rPr>
          <w:szCs w:val="21"/>
        </w:rPr>
        <w:t>“</w:t>
      </w:r>
      <w:r>
        <w:rPr>
          <w:szCs w:val="21"/>
        </w:rPr>
        <w:t>熊平</w:t>
      </w:r>
      <w:r>
        <w:rPr>
          <w:szCs w:val="21"/>
        </w:rPr>
        <w:t>”</w:t>
      </w:r>
      <w:r>
        <w:rPr>
          <w:szCs w:val="21"/>
        </w:rPr>
        <w:t>走势；信用利差先下后上，但整体仍维持在历史低位。</w:t>
      </w:r>
    </w:p>
    <w:p w:rsidR="00952A72" w:rsidRPr="00A1399F" w:rsidRDefault="00323F25" w:rsidP="00A1399F">
      <w:pPr>
        <w:pStyle w:val="12"/>
        <w:spacing w:line="360" w:lineRule="auto"/>
        <w:ind w:firstLine="420"/>
        <w:jc w:val="left"/>
        <w:rPr>
          <w:szCs w:val="21"/>
        </w:rPr>
      </w:pPr>
      <w:r w:rsidRPr="00A1399F">
        <w:rPr>
          <w:szCs w:val="21"/>
        </w:rPr>
        <w:t>报告期内，本基金降低了久期，增强了组合流动性。</w:t>
      </w:r>
    </w:p>
    <w:p w:rsidR="00952A72" w:rsidRPr="0051626C" w:rsidRDefault="00952A72" w:rsidP="00973780">
      <w:pPr>
        <w:autoSpaceDE w:val="0"/>
        <w:autoSpaceDN w:val="0"/>
        <w:adjustRightInd w:val="0"/>
        <w:spacing w:line="360" w:lineRule="auto"/>
        <w:jc w:val="left"/>
        <w:rPr>
          <w:color w:val="000000"/>
          <w:szCs w:val="21"/>
        </w:rPr>
      </w:pPr>
      <w:r w:rsidRPr="0051626C">
        <w:rPr>
          <w:color w:val="000000"/>
          <w:szCs w:val="21"/>
        </w:rPr>
        <w:t>4.4.2</w:t>
      </w:r>
      <w:r w:rsidRPr="0051626C">
        <w:rPr>
          <w:color w:val="000000"/>
          <w:szCs w:val="21"/>
        </w:rPr>
        <w:t>报告期内基金的业绩表现</w:t>
      </w:r>
    </w:p>
    <w:p w:rsidR="000739C3" w:rsidRPr="00A1399F" w:rsidRDefault="00323F25" w:rsidP="00A1399F">
      <w:pPr>
        <w:pStyle w:val="12"/>
        <w:spacing w:line="360" w:lineRule="auto"/>
        <w:ind w:firstLine="420"/>
        <w:jc w:val="left"/>
        <w:rPr>
          <w:szCs w:val="21"/>
        </w:rPr>
      </w:pPr>
      <w:r w:rsidRPr="00A1399F">
        <w:rPr>
          <w:szCs w:val="21"/>
        </w:rPr>
        <w:t>截至</w:t>
      </w:r>
      <w:r w:rsidRPr="00A1399F">
        <w:rPr>
          <w:szCs w:val="21"/>
        </w:rPr>
        <w:t>2017</w:t>
      </w:r>
      <w:r w:rsidRPr="00A1399F">
        <w:rPr>
          <w:szCs w:val="21"/>
        </w:rPr>
        <w:t>年</w:t>
      </w:r>
      <w:r w:rsidRPr="00A1399F">
        <w:rPr>
          <w:szCs w:val="21"/>
        </w:rPr>
        <w:t>12</w:t>
      </w:r>
      <w:r w:rsidRPr="00A1399F">
        <w:rPr>
          <w:szCs w:val="21"/>
        </w:rPr>
        <w:t>月</w:t>
      </w:r>
      <w:r w:rsidRPr="00A1399F">
        <w:rPr>
          <w:szCs w:val="21"/>
        </w:rPr>
        <w:t>28</w:t>
      </w:r>
      <w:r w:rsidRPr="00A1399F">
        <w:rPr>
          <w:szCs w:val="21"/>
        </w:rPr>
        <w:t>日，华夏鼎益债券</w:t>
      </w:r>
      <w:r w:rsidRPr="00A1399F">
        <w:rPr>
          <w:szCs w:val="21"/>
        </w:rPr>
        <w:t>A</w:t>
      </w:r>
      <w:r w:rsidRPr="00A1399F">
        <w:rPr>
          <w:szCs w:val="21"/>
        </w:rPr>
        <w:t>基金份额净值为</w:t>
      </w:r>
      <w:r w:rsidRPr="00A1399F">
        <w:rPr>
          <w:szCs w:val="21"/>
        </w:rPr>
        <w:t>1.0870</w:t>
      </w:r>
      <w:r w:rsidRPr="00A1399F">
        <w:rPr>
          <w:szCs w:val="21"/>
        </w:rPr>
        <w:t>元，本报告期份额净值增长率为</w:t>
      </w:r>
      <w:r w:rsidRPr="00A1399F">
        <w:rPr>
          <w:szCs w:val="21"/>
        </w:rPr>
        <w:t>7.67%</w:t>
      </w:r>
      <w:r w:rsidRPr="00A1399F">
        <w:rPr>
          <w:szCs w:val="21"/>
        </w:rPr>
        <w:t>，同期业绩比较基准增长率为</w:t>
      </w:r>
      <w:r w:rsidRPr="00A1399F">
        <w:rPr>
          <w:szCs w:val="21"/>
        </w:rPr>
        <w:t>-1.21%</w:t>
      </w:r>
      <w:r w:rsidRPr="00A1399F">
        <w:rPr>
          <w:szCs w:val="21"/>
        </w:rPr>
        <w:t>。</w:t>
      </w:r>
    </w:p>
    <w:p w:rsidR="00022662" w:rsidRPr="0051626C" w:rsidRDefault="00D971CB" w:rsidP="00973780">
      <w:pPr>
        <w:autoSpaceDE w:val="0"/>
        <w:autoSpaceDN w:val="0"/>
        <w:adjustRightInd w:val="0"/>
        <w:spacing w:line="360" w:lineRule="auto"/>
        <w:jc w:val="left"/>
        <w:rPr>
          <w:color w:val="000000"/>
          <w:szCs w:val="21"/>
        </w:rPr>
      </w:pPr>
      <w:r w:rsidRPr="0051626C">
        <w:rPr>
          <w:color w:val="000000"/>
          <w:szCs w:val="21"/>
        </w:rPr>
        <w:t>4</w:t>
      </w:r>
      <w:r w:rsidR="004734F0" w:rsidRPr="0051626C">
        <w:rPr>
          <w:color w:val="000000"/>
          <w:szCs w:val="21"/>
        </w:rPr>
        <w:t>.</w:t>
      </w:r>
      <w:r w:rsidR="00B63B6A" w:rsidRPr="0051626C">
        <w:rPr>
          <w:color w:val="000000"/>
          <w:szCs w:val="21"/>
        </w:rPr>
        <w:t>5</w:t>
      </w:r>
      <w:r w:rsidRPr="0051626C">
        <w:rPr>
          <w:color w:val="000000"/>
          <w:szCs w:val="21"/>
        </w:rPr>
        <w:t>报告期内基金持有人数或基金资产净值预警说明</w:t>
      </w:r>
    </w:p>
    <w:p w:rsidR="00D971CB" w:rsidRPr="00A1399F" w:rsidRDefault="00D971CB" w:rsidP="00A1399F">
      <w:pPr>
        <w:pStyle w:val="12"/>
        <w:spacing w:line="360" w:lineRule="auto"/>
        <w:ind w:firstLine="420"/>
        <w:jc w:val="left"/>
        <w:rPr>
          <w:szCs w:val="21"/>
        </w:rPr>
      </w:pPr>
      <w:r w:rsidRPr="00A1399F">
        <w:rPr>
          <w:szCs w:val="21"/>
        </w:rPr>
        <w:t>本基金自</w:t>
      </w:r>
      <w:r w:rsidRPr="00A1399F">
        <w:rPr>
          <w:szCs w:val="21"/>
        </w:rPr>
        <w:t>2017</w:t>
      </w:r>
      <w:r w:rsidRPr="00A1399F">
        <w:rPr>
          <w:szCs w:val="21"/>
        </w:rPr>
        <w:t>年</w:t>
      </w:r>
      <w:r w:rsidRPr="00A1399F">
        <w:rPr>
          <w:szCs w:val="21"/>
        </w:rPr>
        <w:t>10</w:t>
      </w:r>
      <w:r w:rsidRPr="00A1399F">
        <w:rPr>
          <w:szCs w:val="21"/>
        </w:rPr>
        <w:t>月</w:t>
      </w:r>
      <w:r w:rsidRPr="00A1399F">
        <w:rPr>
          <w:szCs w:val="21"/>
        </w:rPr>
        <w:t>1</w:t>
      </w:r>
      <w:r w:rsidRPr="00A1399F">
        <w:rPr>
          <w:szCs w:val="21"/>
        </w:rPr>
        <w:t>日至</w:t>
      </w:r>
      <w:r w:rsidRPr="00A1399F">
        <w:rPr>
          <w:szCs w:val="21"/>
        </w:rPr>
        <w:t>2017</w:t>
      </w:r>
      <w:r w:rsidRPr="00A1399F">
        <w:rPr>
          <w:szCs w:val="21"/>
        </w:rPr>
        <w:t>年</w:t>
      </w:r>
      <w:r w:rsidRPr="00A1399F">
        <w:rPr>
          <w:szCs w:val="21"/>
        </w:rPr>
        <w:t>12</w:t>
      </w:r>
      <w:r w:rsidRPr="00A1399F">
        <w:rPr>
          <w:szCs w:val="21"/>
        </w:rPr>
        <w:t>月</w:t>
      </w:r>
      <w:r w:rsidRPr="00A1399F">
        <w:rPr>
          <w:szCs w:val="21"/>
        </w:rPr>
        <w:t>31</w:t>
      </w:r>
      <w:r w:rsidRPr="00A1399F">
        <w:rPr>
          <w:szCs w:val="21"/>
        </w:rPr>
        <w:t>日出现基金资产净值低于五千万元的情形，自</w:t>
      </w:r>
      <w:r w:rsidRPr="00A1399F">
        <w:rPr>
          <w:szCs w:val="21"/>
        </w:rPr>
        <w:t>2017</w:t>
      </w:r>
      <w:r w:rsidRPr="00A1399F">
        <w:rPr>
          <w:szCs w:val="21"/>
        </w:rPr>
        <w:t>年</w:t>
      </w:r>
      <w:r w:rsidRPr="00A1399F">
        <w:rPr>
          <w:szCs w:val="21"/>
        </w:rPr>
        <w:t>10</w:t>
      </w:r>
      <w:r w:rsidRPr="00A1399F">
        <w:rPr>
          <w:szCs w:val="21"/>
        </w:rPr>
        <w:t>月</w:t>
      </w:r>
      <w:r w:rsidRPr="00A1399F">
        <w:rPr>
          <w:szCs w:val="21"/>
        </w:rPr>
        <w:t>9</w:t>
      </w:r>
      <w:r w:rsidRPr="00A1399F">
        <w:rPr>
          <w:szCs w:val="21"/>
        </w:rPr>
        <w:t>日至</w:t>
      </w:r>
      <w:r w:rsidRPr="00A1399F">
        <w:rPr>
          <w:szCs w:val="21"/>
        </w:rPr>
        <w:t>2017</w:t>
      </w:r>
      <w:r w:rsidRPr="00A1399F">
        <w:rPr>
          <w:szCs w:val="21"/>
        </w:rPr>
        <w:t>年</w:t>
      </w:r>
      <w:r w:rsidRPr="00A1399F">
        <w:rPr>
          <w:szCs w:val="21"/>
        </w:rPr>
        <w:t>12</w:t>
      </w:r>
      <w:r w:rsidRPr="00A1399F">
        <w:rPr>
          <w:szCs w:val="21"/>
        </w:rPr>
        <w:t>月</w:t>
      </w:r>
      <w:r w:rsidRPr="00A1399F">
        <w:rPr>
          <w:szCs w:val="21"/>
        </w:rPr>
        <w:t>31</w:t>
      </w:r>
      <w:r w:rsidRPr="00A1399F">
        <w:rPr>
          <w:szCs w:val="21"/>
        </w:rPr>
        <w:t>日出现基金份额持有人数量低于</w:t>
      </w:r>
      <w:r w:rsidRPr="00A1399F">
        <w:rPr>
          <w:szCs w:val="21"/>
        </w:rPr>
        <w:t>200</w:t>
      </w:r>
      <w:r w:rsidRPr="00A1399F">
        <w:rPr>
          <w:szCs w:val="21"/>
        </w:rPr>
        <w:t>人的情形。基金管理人已召开基金份额持有人大会审议关于终止本基金基金合同有关事宜，大会议案于</w:t>
      </w:r>
      <w:r w:rsidRPr="00A1399F">
        <w:rPr>
          <w:szCs w:val="21"/>
        </w:rPr>
        <w:t>2017</w:t>
      </w:r>
      <w:r w:rsidRPr="00A1399F">
        <w:rPr>
          <w:szCs w:val="21"/>
        </w:rPr>
        <w:t>年</w:t>
      </w:r>
      <w:r w:rsidRPr="00A1399F">
        <w:rPr>
          <w:szCs w:val="21"/>
        </w:rPr>
        <w:t>12</w:t>
      </w:r>
      <w:r w:rsidRPr="00A1399F">
        <w:rPr>
          <w:szCs w:val="21"/>
        </w:rPr>
        <w:t>月</w:t>
      </w:r>
      <w:r w:rsidRPr="00A1399F">
        <w:rPr>
          <w:szCs w:val="21"/>
        </w:rPr>
        <w:t>26</w:t>
      </w:r>
      <w:r w:rsidRPr="00A1399F">
        <w:rPr>
          <w:szCs w:val="21"/>
        </w:rPr>
        <w:t>日获得通过，本基金自</w:t>
      </w:r>
      <w:r w:rsidRPr="00A1399F">
        <w:rPr>
          <w:szCs w:val="21"/>
        </w:rPr>
        <w:t>2017</w:t>
      </w:r>
      <w:r w:rsidRPr="00A1399F">
        <w:rPr>
          <w:szCs w:val="21"/>
        </w:rPr>
        <w:t>年</w:t>
      </w:r>
      <w:r w:rsidRPr="00A1399F">
        <w:rPr>
          <w:szCs w:val="21"/>
        </w:rPr>
        <w:t>12</w:t>
      </w:r>
      <w:r w:rsidRPr="00A1399F">
        <w:rPr>
          <w:szCs w:val="21"/>
        </w:rPr>
        <w:t>月</w:t>
      </w:r>
      <w:r w:rsidRPr="00A1399F">
        <w:rPr>
          <w:szCs w:val="21"/>
        </w:rPr>
        <w:t>29</w:t>
      </w:r>
      <w:r w:rsidRPr="00A1399F">
        <w:rPr>
          <w:szCs w:val="21"/>
        </w:rPr>
        <w:t>日起进入清算流程。基金财产清算小组已将清算报告报中国证监会备案。</w:t>
      </w:r>
    </w:p>
    <w:p w:rsidR="009238DB" w:rsidRPr="0051626C" w:rsidRDefault="00473A6F" w:rsidP="00973780">
      <w:pPr>
        <w:pStyle w:val="2"/>
        <w:spacing w:before="0" w:after="0" w:line="416" w:lineRule="auto"/>
        <w:jc w:val="center"/>
        <w:rPr>
          <w:rStyle w:val="2CharCharChar"/>
          <w:rFonts w:ascii="Times New Roman" w:hAnsi="Times New Roman" w:cs="Times New Roman"/>
          <w:b/>
          <w:szCs w:val="24"/>
        </w:rPr>
      </w:pPr>
      <w:r w:rsidRPr="0051626C">
        <w:rPr>
          <w:rStyle w:val="2CharCharChar"/>
          <w:rFonts w:ascii="Times New Roman" w:hAnsi="Times New Roman" w:cs="Times New Roman"/>
          <w:b/>
          <w:szCs w:val="24"/>
        </w:rPr>
        <w:t xml:space="preserve">§5 </w:t>
      </w:r>
      <w:r w:rsidR="009238DB" w:rsidRPr="0051626C">
        <w:rPr>
          <w:rStyle w:val="2CharCharChar"/>
          <w:rFonts w:ascii="Times New Roman" w:hAnsi="Times New Roman" w:cs="Times New Roman"/>
          <w:b/>
          <w:szCs w:val="24"/>
        </w:rPr>
        <w:t>投资组合报告</w:t>
      </w:r>
    </w:p>
    <w:p w:rsidR="009238DB" w:rsidRPr="0051626C" w:rsidRDefault="007A6A68" w:rsidP="00973780">
      <w:pPr>
        <w:autoSpaceDE w:val="0"/>
        <w:autoSpaceDN w:val="0"/>
        <w:adjustRightInd w:val="0"/>
        <w:spacing w:line="360" w:lineRule="auto"/>
        <w:jc w:val="left"/>
        <w:rPr>
          <w:color w:val="000000"/>
          <w:szCs w:val="21"/>
        </w:rPr>
      </w:pPr>
      <w:r>
        <w:rPr>
          <w:color w:val="000000"/>
          <w:szCs w:val="21"/>
        </w:rPr>
        <w:t>5.1</w:t>
      </w:r>
      <w:r w:rsidR="009238DB" w:rsidRPr="0051626C">
        <w:rPr>
          <w:color w:val="000000"/>
          <w:szCs w:val="21"/>
        </w:rPr>
        <w:t>报告期末基金资产组合情况</w:t>
      </w:r>
    </w:p>
    <w:tbl>
      <w:tblPr>
        <w:tblStyle w:val="af2"/>
        <w:tblW w:w="8789" w:type="dxa"/>
        <w:tblInd w:w="108" w:type="dxa"/>
        <w:tblLayout w:type="fixed"/>
        <w:tblLook w:val="04A0"/>
      </w:tblPr>
      <w:tblGrid>
        <w:gridCol w:w="720"/>
        <w:gridCol w:w="3357"/>
        <w:gridCol w:w="2977"/>
        <w:gridCol w:w="1735"/>
      </w:tblGrid>
      <w:tr w:rsidR="004264FD" w:rsidRPr="0051626C" w:rsidTr="00FF222E">
        <w:tc>
          <w:tcPr>
            <w:tcW w:w="720" w:type="dxa"/>
            <w:vAlign w:val="center"/>
          </w:tcPr>
          <w:p w:rsidR="009A6018" w:rsidRPr="0051626C" w:rsidRDefault="009A6018" w:rsidP="00022662">
            <w:pPr>
              <w:spacing w:before="29" w:line="360" w:lineRule="auto"/>
              <w:ind w:left="17"/>
              <w:jc w:val="center"/>
              <w:rPr>
                <w:color w:val="000000" w:themeColor="text1"/>
                <w:szCs w:val="21"/>
              </w:rPr>
            </w:pPr>
            <w:r w:rsidRPr="0051626C">
              <w:rPr>
                <w:color w:val="000000" w:themeColor="text1"/>
                <w:szCs w:val="21"/>
              </w:rPr>
              <w:t>序号</w:t>
            </w:r>
          </w:p>
        </w:tc>
        <w:tc>
          <w:tcPr>
            <w:tcW w:w="3357" w:type="dxa"/>
            <w:vAlign w:val="center"/>
          </w:tcPr>
          <w:p w:rsidR="009A6018" w:rsidRPr="0051626C" w:rsidRDefault="009A6018" w:rsidP="00022662">
            <w:pPr>
              <w:spacing w:before="29" w:line="360" w:lineRule="auto"/>
              <w:ind w:left="17"/>
              <w:jc w:val="center"/>
              <w:rPr>
                <w:color w:val="000000" w:themeColor="text1"/>
                <w:szCs w:val="21"/>
              </w:rPr>
            </w:pPr>
            <w:r w:rsidRPr="0051626C">
              <w:rPr>
                <w:color w:val="000000" w:themeColor="text1"/>
                <w:szCs w:val="21"/>
              </w:rPr>
              <w:t>项目</w:t>
            </w:r>
          </w:p>
        </w:tc>
        <w:tc>
          <w:tcPr>
            <w:tcW w:w="2977" w:type="dxa"/>
            <w:vAlign w:val="center"/>
          </w:tcPr>
          <w:p w:rsidR="009A6018" w:rsidRPr="0051626C" w:rsidRDefault="009A6018" w:rsidP="00022662">
            <w:pPr>
              <w:spacing w:before="29" w:line="360" w:lineRule="auto"/>
              <w:ind w:left="17"/>
              <w:jc w:val="center"/>
              <w:rPr>
                <w:color w:val="000000" w:themeColor="text1"/>
                <w:szCs w:val="21"/>
              </w:rPr>
            </w:pPr>
            <w:r w:rsidRPr="0051626C">
              <w:rPr>
                <w:color w:val="000000" w:themeColor="text1"/>
                <w:szCs w:val="21"/>
              </w:rPr>
              <w:t>金额</w:t>
            </w:r>
            <w:r w:rsidRPr="0051626C">
              <w:rPr>
                <w:color w:val="000000" w:themeColor="text1"/>
                <w:szCs w:val="21"/>
              </w:rPr>
              <w:t>(</w:t>
            </w:r>
            <w:r w:rsidRPr="0051626C">
              <w:rPr>
                <w:color w:val="000000" w:themeColor="text1"/>
                <w:szCs w:val="21"/>
              </w:rPr>
              <w:t>元</w:t>
            </w:r>
            <w:r w:rsidRPr="0051626C">
              <w:rPr>
                <w:color w:val="000000" w:themeColor="text1"/>
                <w:szCs w:val="21"/>
              </w:rPr>
              <w:t>)</w:t>
            </w:r>
          </w:p>
        </w:tc>
        <w:tc>
          <w:tcPr>
            <w:tcW w:w="1735" w:type="dxa"/>
            <w:vAlign w:val="center"/>
          </w:tcPr>
          <w:p w:rsidR="009A6018" w:rsidRPr="0051626C" w:rsidRDefault="009A6018" w:rsidP="00022662">
            <w:pPr>
              <w:spacing w:before="29" w:line="360" w:lineRule="auto"/>
              <w:ind w:left="17"/>
              <w:jc w:val="center"/>
              <w:rPr>
                <w:color w:val="000000" w:themeColor="text1"/>
                <w:szCs w:val="21"/>
              </w:rPr>
            </w:pPr>
            <w:r w:rsidRPr="0051626C">
              <w:rPr>
                <w:color w:val="000000" w:themeColor="text1"/>
                <w:szCs w:val="21"/>
              </w:rPr>
              <w:t>占基金总资产的比例</w:t>
            </w:r>
            <w:r w:rsidRPr="0051626C">
              <w:rPr>
                <w:color w:val="000000" w:themeColor="text1"/>
                <w:szCs w:val="21"/>
              </w:rPr>
              <w:t>(%)</w:t>
            </w:r>
          </w:p>
        </w:tc>
      </w:tr>
      <w:tr w:rsidR="004264FD" w:rsidRPr="0051626C" w:rsidTr="00AE4DA1">
        <w:tc>
          <w:tcPr>
            <w:tcW w:w="720" w:type="dxa"/>
            <w:vAlign w:val="center"/>
          </w:tcPr>
          <w:p w:rsidR="009A6018" w:rsidRPr="0051626C" w:rsidRDefault="009A6018" w:rsidP="00022662">
            <w:pPr>
              <w:spacing w:before="29" w:line="360" w:lineRule="auto"/>
              <w:ind w:left="17"/>
              <w:jc w:val="center"/>
              <w:rPr>
                <w:color w:val="000000" w:themeColor="text1"/>
                <w:szCs w:val="21"/>
              </w:rPr>
            </w:pPr>
            <w:r w:rsidRPr="0051626C">
              <w:rPr>
                <w:color w:val="000000" w:themeColor="text1"/>
                <w:szCs w:val="21"/>
              </w:rPr>
              <w:t>1</w:t>
            </w:r>
          </w:p>
        </w:tc>
        <w:tc>
          <w:tcPr>
            <w:tcW w:w="3357" w:type="dxa"/>
            <w:vAlign w:val="center"/>
          </w:tcPr>
          <w:p w:rsidR="009A6018" w:rsidRPr="0051626C" w:rsidRDefault="009A6018" w:rsidP="00AE4DA1">
            <w:pPr>
              <w:spacing w:before="29" w:line="360" w:lineRule="auto"/>
              <w:ind w:left="17"/>
              <w:rPr>
                <w:color w:val="000000" w:themeColor="text1"/>
                <w:szCs w:val="21"/>
              </w:rPr>
            </w:pPr>
            <w:r w:rsidRPr="0051626C">
              <w:rPr>
                <w:color w:val="000000" w:themeColor="text1"/>
                <w:szCs w:val="21"/>
              </w:rPr>
              <w:t>权益投资</w:t>
            </w:r>
          </w:p>
        </w:tc>
        <w:tc>
          <w:tcPr>
            <w:tcW w:w="2977" w:type="dxa"/>
            <w:vAlign w:val="center"/>
          </w:tcPr>
          <w:p w:rsidR="009A6018" w:rsidRPr="0051626C" w:rsidRDefault="009A6018" w:rsidP="003F7026">
            <w:pPr>
              <w:spacing w:before="29" w:line="360" w:lineRule="auto"/>
              <w:ind w:left="17"/>
              <w:jc w:val="right"/>
              <w:rPr>
                <w:color w:val="000000" w:themeColor="text1"/>
                <w:szCs w:val="21"/>
              </w:rPr>
            </w:pPr>
            <w:r w:rsidRPr="0051626C">
              <w:rPr>
                <w:color w:val="000000" w:themeColor="text1"/>
                <w:szCs w:val="21"/>
              </w:rPr>
              <w:t>-</w:t>
            </w:r>
          </w:p>
        </w:tc>
        <w:tc>
          <w:tcPr>
            <w:tcW w:w="1735" w:type="dxa"/>
            <w:vAlign w:val="center"/>
          </w:tcPr>
          <w:p w:rsidR="009A6018" w:rsidRPr="0051626C" w:rsidRDefault="009A6018" w:rsidP="003F7026">
            <w:pPr>
              <w:spacing w:before="29" w:line="360" w:lineRule="auto"/>
              <w:ind w:left="17"/>
              <w:jc w:val="right"/>
              <w:rPr>
                <w:color w:val="000000" w:themeColor="text1"/>
                <w:szCs w:val="21"/>
              </w:rPr>
            </w:pPr>
            <w:r w:rsidRPr="0051626C">
              <w:rPr>
                <w:color w:val="000000" w:themeColor="text1"/>
                <w:szCs w:val="21"/>
              </w:rPr>
              <w:t>-</w:t>
            </w:r>
          </w:p>
        </w:tc>
      </w:tr>
      <w:tr w:rsidR="004264FD" w:rsidRPr="0051626C" w:rsidTr="00AE4DA1">
        <w:tc>
          <w:tcPr>
            <w:tcW w:w="720" w:type="dxa"/>
            <w:vAlign w:val="center"/>
          </w:tcPr>
          <w:p w:rsidR="009A6018" w:rsidRPr="0051626C" w:rsidRDefault="009A6018" w:rsidP="00022662">
            <w:pPr>
              <w:spacing w:before="29" w:line="360" w:lineRule="auto"/>
              <w:ind w:left="17"/>
              <w:jc w:val="center"/>
              <w:rPr>
                <w:color w:val="000000" w:themeColor="text1"/>
                <w:szCs w:val="21"/>
              </w:rPr>
            </w:pPr>
          </w:p>
        </w:tc>
        <w:tc>
          <w:tcPr>
            <w:tcW w:w="3357" w:type="dxa"/>
            <w:vAlign w:val="center"/>
          </w:tcPr>
          <w:p w:rsidR="009A6018" w:rsidRPr="0051626C" w:rsidRDefault="009A6018" w:rsidP="00AE4DA1">
            <w:pPr>
              <w:spacing w:before="29" w:line="360" w:lineRule="auto"/>
              <w:ind w:left="17"/>
              <w:rPr>
                <w:color w:val="000000" w:themeColor="text1"/>
                <w:szCs w:val="21"/>
              </w:rPr>
            </w:pPr>
            <w:r w:rsidRPr="0051626C">
              <w:rPr>
                <w:color w:val="000000" w:themeColor="text1"/>
                <w:szCs w:val="21"/>
              </w:rPr>
              <w:t>其中：股票</w:t>
            </w:r>
          </w:p>
        </w:tc>
        <w:tc>
          <w:tcPr>
            <w:tcW w:w="2977" w:type="dxa"/>
            <w:vAlign w:val="center"/>
          </w:tcPr>
          <w:p w:rsidR="009A6018" w:rsidRPr="0051626C" w:rsidRDefault="009A6018" w:rsidP="003F7026">
            <w:pPr>
              <w:spacing w:before="29" w:line="360" w:lineRule="auto"/>
              <w:ind w:left="17"/>
              <w:jc w:val="right"/>
              <w:rPr>
                <w:color w:val="000000" w:themeColor="text1"/>
                <w:szCs w:val="21"/>
              </w:rPr>
            </w:pPr>
            <w:r w:rsidRPr="0051626C">
              <w:rPr>
                <w:color w:val="000000" w:themeColor="text1"/>
                <w:szCs w:val="21"/>
              </w:rPr>
              <w:t>-</w:t>
            </w:r>
          </w:p>
        </w:tc>
        <w:tc>
          <w:tcPr>
            <w:tcW w:w="1735" w:type="dxa"/>
            <w:vAlign w:val="center"/>
          </w:tcPr>
          <w:p w:rsidR="009A6018" w:rsidRPr="0051626C" w:rsidRDefault="009A6018" w:rsidP="003F7026">
            <w:pPr>
              <w:spacing w:before="29" w:line="360" w:lineRule="auto"/>
              <w:ind w:left="17"/>
              <w:jc w:val="right"/>
              <w:rPr>
                <w:color w:val="000000" w:themeColor="text1"/>
                <w:szCs w:val="21"/>
              </w:rPr>
            </w:pPr>
            <w:r w:rsidRPr="0051626C">
              <w:rPr>
                <w:color w:val="000000" w:themeColor="text1"/>
                <w:szCs w:val="21"/>
              </w:rPr>
              <w:t>-</w:t>
            </w:r>
          </w:p>
        </w:tc>
      </w:tr>
      <w:tr w:rsidR="004264FD" w:rsidRPr="0051626C" w:rsidTr="00AE4DA1">
        <w:tc>
          <w:tcPr>
            <w:tcW w:w="720" w:type="dxa"/>
            <w:vAlign w:val="center"/>
          </w:tcPr>
          <w:p w:rsidR="009A6018" w:rsidRPr="0051626C" w:rsidRDefault="009A6018" w:rsidP="00022662">
            <w:pPr>
              <w:spacing w:before="29" w:line="360" w:lineRule="auto"/>
              <w:ind w:left="17"/>
              <w:jc w:val="center"/>
              <w:rPr>
                <w:color w:val="000000" w:themeColor="text1"/>
                <w:szCs w:val="21"/>
              </w:rPr>
            </w:pPr>
            <w:r w:rsidRPr="0051626C">
              <w:rPr>
                <w:color w:val="000000" w:themeColor="text1"/>
                <w:szCs w:val="21"/>
              </w:rPr>
              <w:t>2</w:t>
            </w:r>
          </w:p>
        </w:tc>
        <w:tc>
          <w:tcPr>
            <w:tcW w:w="3357" w:type="dxa"/>
            <w:vAlign w:val="center"/>
          </w:tcPr>
          <w:p w:rsidR="009A6018" w:rsidRPr="0051626C" w:rsidRDefault="009A6018" w:rsidP="00AE4DA1">
            <w:pPr>
              <w:spacing w:before="29" w:line="360" w:lineRule="auto"/>
              <w:ind w:left="17"/>
              <w:rPr>
                <w:color w:val="000000" w:themeColor="text1"/>
                <w:szCs w:val="21"/>
              </w:rPr>
            </w:pPr>
            <w:r w:rsidRPr="0051626C">
              <w:rPr>
                <w:color w:val="000000" w:themeColor="text1"/>
                <w:szCs w:val="21"/>
              </w:rPr>
              <w:t>固定收益投资</w:t>
            </w:r>
          </w:p>
        </w:tc>
        <w:tc>
          <w:tcPr>
            <w:tcW w:w="2977" w:type="dxa"/>
            <w:vAlign w:val="center"/>
          </w:tcPr>
          <w:p w:rsidR="009A6018" w:rsidRPr="0051626C" w:rsidRDefault="009A6018" w:rsidP="003F7026">
            <w:pPr>
              <w:spacing w:before="29" w:line="360" w:lineRule="auto"/>
              <w:ind w:left="17"/>
              <w:jc w:val="right"/>
              <w:rPr>
                <w:color w:val="000000" w:themeColor="text1"/>
                <w:szCs w:val="21"/>
              </w:rPr>
            </w:pPr>
            <w:r w:rsidRPr="0051626C">
              <w:rPr>
                <w:color w:val="000000" w:themeColor="text1"/>
                <w:szCs w:val="21"/>
              </w:rPr>
              <w:t>-</w:t>
            </w:r>
          </w:p>
        </w:tc>
        <w:tc>
          <w:tcPr>
            <w:tcW w:w="1735" w:type="dxa"/>
            <w:vAlign w:val="center"/>
          </w:tcPr>
          <w:p w:rsidR="009A6018" w:rsidRPr="0051626C" w:rsidRDefault="009A6018" w:rsidP="003F7026">
            <w:pPr>
              <w:spacing w:before="29" w:line="360" w:lineRule="auto"/>
              <w:ind w:left="17"/>
              <w:jc w:val="right"/>
              <w:rPr>
                <w:color w:val="000000" w:themeColor="text1"/>
                <w:szCs w:val="21"/>
              </w:rPr>
            </w:pPr>
            <w:r w:rsidRPr="0051626C">
              <w:rPr>
                <w:color w:val="000000" w:themeColor="text1"/>
                <w:szCs w:val="21"/>
              </w:rPr>
              <w:t>-</w:t>
            </w:r>
          </w:p>
        </w:tc>
      </w:tr>
      <w:tr w:rsidR="004264FD" w:rsidRPr="0051626C" w:rsidTr="00AE4DA1">
        <w:tc>
          <w:tcPr>
            <w:tcW w:w="720" w:type="dxa"/>
            <w:vAlign w:val="center"/>
          </w:tcPr>
          <w:p w:rsidR="009A6018" w:rsidRPr="0051626C" w:rsidRDefault="009A6018" w:rsidP="00022662">
            <w:pPr>
              <w:spacing w:before="29" w:line="360" w:lineRule="auto"/>
              <w:ind w:left="17"/>
              <w:jc w:val="center"/>
              <w:rPr>
                <w:color w:val="000000" w:themeColor="text1"/>
                <w:szCs w:val="21"/>
              </w:rPr>
            </w:pPr>
          </w:p>
        </w:tc>
        <w:tc>
          <w:tcPr>
            <w:tcW w:w="3357" w:type="dxa"/>
            <w:vAlign w:val="center"/>
          </w:tcPr>
          <w:p w:rsidR="009A6018" w:rsidRPr="0051626C" w:rsidRDefault="009A6018" w:rsidP="00AE4DA1">
            <w:pPr>
              <w:spacing w:before="29" w:line="360" w:lineRule="auto"/>
              <w:ind w:left="17"/>
              <w:rPr>
                <w:color w:val="000000" w:themeColor="text1"/>
                <w:szCs w:val="21"/>
              </w:rPr>
            </w:pPr>
            <w:r w:rsidRPr="0051626C">
              <w:rPr>
                <w:color w:val="000000" w:themeColor="text1"/>
                <w:szCs w:val="21"/>
              </w:rPr>
              <w:t>其中：债券</w:t>
            </w:r>
          </w:p>
        </w:tc>
        <w:tc>
          <w:tcPr>
            <w:tcW w:w="2977" w:type="dxa"/>
            <w:vAlign w:val="center"/>
          </w:tcPr>
          <w:p w:rsidR="009A6018" w:rsidRPr="0051626C" w:rsidRDefault="009A6018" w:rsidP="003F7026">
            <w:pPr>
              <w:spacing w:before="29" w:line="360" w:lineRule="auto"/>
              <w:ind w:left="17"/>
              <w:jc w:val="right"/>
              <w:rPr>
                <w:color w:val="000000" w:themeColor="text1"/>
                <w:szCs w:val="21"/>
              </w:rPr>
            </w:pPr>
            <w:r w:rsidRPr="0051626C">
              <w:rPr>
                <w:color w:val="000000" w:themeColor="text1"/>
                <w:szCs w:val="21"/>
              </w:rPr>
              <w:t>-</w:t>
            </w:r>
          </w:p>
        </w:tc>
        <w:tc>
          <w:tcPr>
            <w:tcW w:w="1735" w:type="dxa"/>
            <w:vAlign w:val="center"/>
          </w:tcPr>
          <w:p w:rsidR="009A6018" w:rsidRPr="0051626C" w:rsidRDefault="009A6018" w:rsidP="003F7026">
            <w:pPr>
              <w:spacing w:before="29" w:line="360" w:lineRule="auto"/>
              <w:ind w:left="17"/>
              <w:jc w:val="right"/>
              <w:rPr>
                <w:color w:val="000000" w:themeColor="text1"/>
                <w:szCs w:val="21"/>
              </w:rPr>
            </w:pPr>
            <w:r w:rsidRPr="0051626C">
              <w:rPr>
                <w:color w:val="000000" w:themeColor="text1"/>
                <w:szCs w:val="21"/>
              </w:rPr>
              <w:t>-</w:t>
            </w:r>
          </w:p>
        </w:tc>
      </w:tr>
      <w:tr w:rsidR="004264FD" w:rsidRPr="0051626C" w:rsidTr="00AE4DA1">
        <w:tc>
          <w:tcPr>
            <w:tcW w:w="720" w:type="dxa"/>
            <w:vAlign w:val="center"/>
          </w:tcPr>
          <w:p w:rsidR="009A6018" w:rsidRPr="0051626C" w:rsidRDefault="009A6018" w:rsidP="00022662">
            <w:pPr>
              <w:spacing w:before="29" w:line="360" w:lineRule="auto"/>
              <w:ind w:left="17"/>
              <w:jc w:val="center"/>
              <w:rPr>
                <w:color w:val="000000" w:themeColor="text1"/>
                <w:szCs w:val="21"/>
              </w:rPr>
            </w:pPr>
          </w:p>
        </w:tc>
        <w:tc>
          <w:tcPr>
            <w:tcW w:w="3357" w:type="dxa"/>
            <w:vAlign w:val="center"/>
          </w:tcPr>
          <w:p w:rsidR="009A6018" w:rsidRPr="0051626C" w:rsidRDefault="009A6018" w:rsidP="00AE4DA1">
            <w:pPr>
              <w:autoSpaceDE w:val="0"/>
              <w:autoSpaceDN w:val="0"/>
              <w:adjustRightInd w:val="0"/>
              <w:spacing w:before="29" w:line="360" w:lineRule="auto"/>
              <w:ind w:left="17" w:firstLineChars="300" w:firstLine="630"/>
              <w:rPr>
                <w:color w:val="000000" w:themeColor="text1"/>
                <w:szCs w:val="21"/>
              </w:rPr>
            </w:pPr>
            <w:r w:rsidRPr="0051626C">
              <w:rPr>
                <w:color w:val="000000" w:themeColor="text1"/>
                <w:szCs w:val="21"/>
              </w:rPr>
              <w:t>资产支持证券</w:t>
            </w:r>
          </w:p>
        </w:tc>
        <w:tc>
          <w:tcPr>
            <w:tcW w:w="2977" w:type="dxa"/>
            <w:vAlign w:val="center"/>
          </w:tcPr>
          <w:p w:rsidR="009A6018" w:rsidRPr="0051626C" w:rsidRDefault="009A6018" w:rsidP="003F7026">
            <w:pPr>
              <w:spacing w:before="29" w:line="360" w:lineRule="auto"/>
              <w:ind w:left="17"/>
              <w:jc w:val="right"/>
              <w:rPr>
                <w:color w:val="000000" w:themeColor="text1"/>
                <w:szCs w:val="21"/>
              </w:rPr>
            </w:pPr>
            <w:r w:rsidRPr="0051626C">
              <w:rPr>
                <w:color w:val="000000" w:themeColor="text1"/>
                <w:szCs w:val="21"/>
              </w:rPr>
              <w:t>-</w:t>
            </w:r>
          </w:p>
        </w:tc>
        <w:tc>
          <w:tcPr>
            <w:tcW w:w="1735" w:type="dxa"/>
            <w:vAlign w:val="center"/>
          </w:tcPr>
          <w:p w:rsidR="009A6018" w:rsidRPr="0051626C" w:rsidRDefault="009A6018" w:rsidP="003F7026">
            <w:pPr>
              <w:spacing w:before="29" w:line="360" w:lineRule="auto"/>
              <w:ind w:left="17"/>
              <w:jc w:val="right"/>
              <w:rPr>
                <w:color w:val="000000" w:themeColor="text1"/>
                <w:szCs w:val="21"/>
              </w:rPr>
            </w:pPr>
            <w:r w:rsidRPr="0051626C">
              <w:rPr>
                <w:color w:val="000000" w:themeColor="text1"/>
                <w:szCs w:val="21"/>
              </w:rPr>
              <w:t>-</w:t>
            </w:r>
          </w:p>
        </w:tc>
      </w:tr>
      <w:tr w:rsidR="004264FD" w:rsidRPr="0051626C" w:rsidTr="00AE4DA1">
        <w:tc>
          <w:tcPr>
            <w:tcW w:w="720" w:type="dxa"/>
          </w:tcPr>
          <w:p w:rsidR="009A6018" w:rsidRPr="0051626C" w:rsidRDefault="009A6018" w:rsidP="00022662">
            <w:pPr>
              <w:spacing w:before="29" w:line="360" w:lineRule="auto"/>
              <w:ind w:left="17"/>
              <w:jc w:val="center"/>
              <w:rPr>
                <w:color w:val="000000" w:themeColor="text1"/>
                <w:szCs w:val="21"/>
              </w:rPr>
            </w:pPr>
            <w:r w:rsidRPr="0051626C">
              <w:rPr>
                <w:color w:val="000000" w:themeColor="text1"/>
                <w:szCs w:val="21"/>
              </w:rPr>
              <w:t>3</w:t>
            </w:r>
          </w:p>
        </w:tc>
        <w:tc>
          <w:tcPr>
            <w:tcW w:w="3357" w:type="dxa"/>
            <w:vAlign w:val="center"/>
          </w:tcPr>
          <w:p w:rsidR="009A6018" w:rsidRPr="0051626C" w:rsidRDefault="009A6018" w:rsidP="00D8171B">
            <w:pPr>
              <w:spacing w:before="29" w:line="360" w:lineRule="auto"/>
              <w:ind w:left="17"/>
              <w:rPr>
                <w:color w:val="000000" w:themeColor="text1"/>
                <w:szCs w:val="21"/>
              </w:rPr>
            </w:pPr>
            <w:r w:rsidRPr="0051626C">
              <w:rPr>
                <w:color w:val="000000" w:themeColor="text1"/>
                <w:szCs w:val="21"/>
              </w:rPr>
              <w:t>贵金属投资</w:t>
            </w:r>
          </w:p>
        </w:tc>
        <w:tc>
          <w:tcPr>
            <w:tcW w:w="2977" w:type="dxa"/>
            <w:vAlign w:val="center"/>
          </w:tcPr>
          <w:p w:rsidR="009A6018" w:rsidRPr="0051626C" w:rsidRDefault="009A6018" w:rsidP="003F7026">
            <w:pPr>
              <w:spacing w:before="29" w:line="360" w:lineRule="auto"/>
              <w:ind w:left="17"/>
              <w:jc w:val="right"/>
              <w:rPr>
                <w:color w:val="000000" w:themeColor="text1"/>
                <w:szCs w:val="21"/>
              </w:rPr>
            </w:pPr>
            <w:r w:rsidRPr="0051626C">
              <w:rPr>
                <w:color w:val="000000" w:themeColor="text1"/>
                <w:szCs w:val="21"/>
              </w:rPr>
              <w:t>-</w:t>
            </w:r>
          </w:p>
        </w:tc>
        <w:tc>
          <w:tcPr>
            <w:tcW w:w="1735" w:type="dxa"/>
            <w:vAlign w:val="center"/>
          </w:tcPr>
          <w:p w:rsidR="009A6018" w:rsidRPr="0051626C" w:rsidRDefault="009A6018" w:rsidP="003F7026">
            <w:pPr>
              <w:spacing w:before="29" w:line="360" w:lineRule="auto"/>
              <w:ind w:left="17"/>
              <w:jc w:val="right"/>
              <w:rPr>
                <w:color w:val="000000" w:themeColor="text1"/>
                <w:szCs w:val="21"/>
              </w:rPr>
            </w:pPr>
            <w:r w:rsidRPr="0051626C">
              <w:rPr>
                <w:color w:val="000000" w:themeColor="text1"/>
                <w:szCs w:val="21"/>
              </w:rPr>
              <w:t>-</w:t>
            </w:r>
          </w:p>
        </w:tc>
      </w:tr>
      <w:tr w:rsidR="004264FD" w:rsidRPr="0051626C" w:rsidTr="00AE4DA1">
        <w:tc>
          <w:tcPr>
            <w:tcW w:w="720" w:type="dxa"/>
            <w:vAlign w:val="center"/>
          </w:tcPr>
          <w:p w:rsidR="009A6018" w:rsidRPr="0051626C" w:rsidRDefault="009A6018" w:rsidP="00022662">
            <w:pPr>
              <w:spacing w:before="29" w:line="360" w:lineRule="auto"/>
              <w:ind w:left="17"/>
              <w:jc w:val="center"/>
              <w:rPr>
                <w:color w:val="000000" w:themeColor="text1"/>
                <w:szCs w:val="21"/>
              </w:rPr>
            </w:pPr>
            <w:r w:rsidRPr="0051626C">
              <w:rPr>
                <w:color w:val="000000" w:themeColor="text1"/>
                <w:szCs w:val="21"/>
              </w:rPr>
              <w:t>4</w:t>
            </w:r>
          </w:p>
        </w:tc>
        <w:tc>
          <w:tcPr>
            <w:tcW w:w="3357" w:type="dxa"/>
            <w:vAlign w:val="center"/>
          </w:tcPr>
          <w:p w:rsidR="009A6018" w:rsidRPr="0051626C" w:rsidRDefault="009A6018" w:rsidP="00AE4DA1">
            <w:pPr>
              <w:spacing w:before="29" w:line="360" w:lineRule="auto"/>
              <w:ind w:left="17"/>
              <w:rPr>
                <w:color w:val="000000" w:themeColor="text1"/>
                <w:szCs w:val="21"/>
              </w:rPr>
            </w:pPr>
            <w:r w:rsidRPr="0051626C">
              <w:rPr>
                <w:color w:val="000000" w:themeColor="text1"/>
                <w:szCs w:val="21"/>
              </w:rPr>
              <w:t>金融衍生品投资</w:t>
            </w:r>
          </w:p>
        </w:tc>
        <w:tc>
          <w:tcPr>
            <w:tcW w:w="2977" w:type="dxa"/>
            <w:vAlign w:val="center"/>
          </w:tcPr>
          <w:p w:rsidR="009A6018" w:rsidRPr="0051626C" w:rsidRDefault="009A6018" w:rsidP="003F7026">
            <w:pPr>
              <w:spacing w:before="29" w:line="360" w:lineRule="auto"/>
              <w:ind w:left="17"/>
              <w:jc w:val="right"/>
              <w:rPr>
                <w:color w:val="000000" w:themeColor="text1"/>
                <w:szCs w:val="21"/>
              </w:rPr>
            </w:pPr>
            <w:r w:rsidRPr="0051626C">
              <w:rPr>
                <w:color w:val="000000" w:themeColor="text1"/>
                <w:szCs w:val="21"/>
              </w:rPr>
              <w:t>-</w:t>
            </w:r>
          </w:p>
        </w:tc>
        <w:tc>
          <w:tcPr>
            <w:tcW w:w="1735" w:type="dxa"/>
            <w:vAlign w:val="center"/>
          </w:tcPr>
          <w:p w:rsidR="009A6018" w:rsidRPr="0051626C" w:rsidRDefault="009A6018" w:rsidP="003F7026">
            <w:pPr>
              <w:spacing w:before="29" w:line="360" w:lineRule="auto"/>
              <w:ind w:left="17"/>
              <w:jc w:val="right"/>
              <w:rPr>
                <w:color w:val="000000" w:themeColor="text1"/>
                <w:szCs w:val="21"/>
              </w:rPr>
            </w:pPr>
            <w:r w:rsidRPr="0051626C">
              <w:rPr>
                <w:color w:val="000000" w:themeColor="text1"/>
                <w:szCs w:val="21"/>
              </w:rPr>
              <w:t>-</w:t>
            </w:r>
          </w:p>
        </w:tc>
      </w:tr>
      <w:tr w:rsidR="004264FD" w:rsidRPr="0051626C" w:rsidTr="00AE4DA1">
        <w:tc>
          <w:tcPr>
            <w:tcW w:w="720" w:type="dxa"/>
            <w:vAlign w:val="center"/>
          </w:tcPr>
          <w:p w:rsidR="009A6018" w:rsidRPr="0051626C" w:rsidRDefault="009A6018" w:rsidP="00022662">
            <w:pPr>
              <w:spacing w:before="29" w:line="360" w:lineRule="auto"/>
              <w:ind w:left="17"/>
              <w:jc w:val="center"/>
              <w:rPr>
                <w:color w:val="000000" w:themeColor="text1"/>
                <w:szCs w:val="21"/>
              </w:rPr>
            </w:pPr>
            <w:r w:rsidRPr="0051626C">
              <w:rPr>
                <w:color w:val="000000" w:themeColor="text1"/>
                <w:szCs w:val="21"/>
              </w:rPr>
              <w:t>5</w:t>
            </w:r>
          </w:p>
        </w:tc>
        <w:tc>
          <w:tcPr>
            <w:tcW w:w="3357" w:type="dxa"/>
            <w:vAlign w:val="center"/>
          </w:tcPr>
          <w:p w:rsidR="009A6018" w:rsidRPr="0051626C" w:rsidRDefault="009A6018" w:rsidP="00AE4DA1">
            <w:pPr>
              <w:spacing w:before="29" w:line="360" w:lineRule="auto"/>
              <w:ind w:left="17"/>
              <w:rPr>
                <w:color w:val="000000" w:themeColor="text1"/>
                <w:szCs w:val="21"/>
              </w:rPr>
            </w:pPr>
            <w:r w:rsidRPr="0051626C">
              <w:rPr>
                <w:color w:val="000000" w:themeColor="text1"/>
                <w:szCs w:val="21"/>
              </w:rPr>
              <w:t>买入返售金融资产</w:t>
            </w:r>
          </w:p>
        </w:tc>
        <w:tc>
          <w:tcPr>
            <w:tcW w:w="2977" w:type="dxa"/>
            <w:vAlign w:val="center"/>
          </w:tcPr>
          <w:p w:rsidR="009A6018" w:rsidRPr="0051626C" w:rsidRDefault="009A6018" w:rsidP="003F7026">
            <w:pPr>
              <w:spacing w:before="29" w:line="360" w:lineRule="auto"/>
              <w:ind w:left="17"/>
              <w:jc w:val="right"/>
              <w:rPr>
                <w:color w:val="000000" w:themeColor="text1"/>
                <w:szCs w:val="21"/>
              </w:rPr>
            </w:pPr>
            <w:r w:rsidRPr="0051626C">
              <w:rPr>
                <w:color w:val="000000" w:themeColor="text1"/>
                <w:szCs w:val="21"/>
              </w:rPr>
              <w:t>-</w:t>
            </w:r>
          </w:p>
        </w:tc>
        <w:tc>
          <w:tcPr>
            <w:tcW w:w="1735" w:type="dxa"/>
            <w:vAlign w:val="center"/>
          </w:tcPr>
          <w:p w:rsidR="009A6018" w:rsidRPr="0051626C" w:rsidRDefault="009A6018" w:rsidP="003F7026">
            <w:pPr>
              <w:spacing w:before="29" w:line="360" w:lineRule="auto"/>
              <w:ind w:left="17"/>
              <w:jc w:val="right"/>
              <w:rPr>
                <w:color w:val="000000" w:themeColor="text1"/>
                <w:szCs w:val="21"/>
              </w:rPr>
            </w:pPr>
            <w:r w:rsidRPr="0051626C">
              <w:rPr>
                <w:color w:val="000000" w:themeColor="text1"/>
                <w:szCs w:val="21"/>
              </w:rPr>
              <w:t>-</w:t>
            </w:r>
          </w:p>
        </w:tc>
      </w:tr>
      <w:tr w:rsidR="004264FD" w:rsidRPr="0051626C" w:rsidTr="00AE4DA1">
        <w:tc>
          <w:tcPr>
            <w:tcW w:w="720" w:type="dxa"/>
            <w:vAlign w:val="center"/>
          </w:tcPr>
          <w:p w:rsidR="009A6018" w:rsidRPr="0051626C" w:rsidRDefault="009A6018" w:rsidP="00022662">
            <w:pPr>
              <w:spacing w:before="29" w:line="360" w:lineRule="auto"/>
              <w:ind w:left="17"/>
              <w:jc w:val="center"/>
              <w:rPr>
                <w:color w:val="000000" w:themeColor="text1"/>
                <w:szCs w:val="21"/>
              </w:rPr>
            </w:pPr>
          </w:p>
        </w:tc>
        <w:tc>
          <w:tcPr>
            <w:tcW w:w="3357" w:type="dxa"/>
            <w:vAlign w:val="center"/>
          </w:tcPr>
          <w:p w:rsidR="009A6018" w:rsidRPr="0051626C" w:rsidRDefault="009A6018" w:rsidP="00AE4DA1">
            <w:pPr>
              <w:spacing w:before="29" w:line="360" w:lineRule="auto"/>
              <w:ind w:left="17"/>
              <w:rPr>
                <w:color w:val="000000" w:themeColor="text1"/>
                <w:szCs w:val="21"/>
              </w:rPr>
            </w:pPr>
            <w:r w:rsidRPr="0051626C">
              <w:rPr>
                <w:color w:val="000000" w:themeColor="text1"/>
                <w:szCs w:val="21"/>
              </w:rPr>
              <w:t>其中：买断式回购的买入返售金融资产</w:t>
            </w:r>
          </w:p>
        </w:tc>
        <w:tc>
          <w:tcPr>
            <w:tcW w:w="2977" w:type="dxa"/>
            <w:vAlign w:val="center"/>
          </w:tcPr>
          <w:p w:rsidR="009A6018" w:rsidRPr="0051626C" w:rsidRDefault="009A6018" w:rsidP="003F7026">
            <w:pPr>
              <w:spacing w:before="29" w:line="360" w:lineRule="auto"/>
              <w:ind w:left="17"/>
              <w:jc w:val="right"/>
              <w:rPr>
                <w:color w:val="000000" w:themeColor="text1"/>
                <w:szCs w:val="21"/>
              </w:rPr>
            </w:pPr>
            <w:r w:rsidRPr="0051626C">
              <w:rPr>
                <w:color w:val="000000" w:themeColor="text1"/>
                <w:szCs w:val="21"/>
              </w:rPr>
              <w:t>-</w:t>
            </w:r>
          </w:p>
        </w:tc>
        <w:tc>
          <w:tcPr>
            <w:tcW w:w="1735" w:type="dxa"/>
            <w:vAlign w:val="center"/>
          </w:tcPr>
          <w:p w:rsidR="009A6018" w:rsidRPr="0051626C" w:rsidRDefault="009A6018" w:rsidP="003F7026">
            <w:pPr>
              <w:spacing w:before="29" w:line="360" w:lineRule="auto"/>
              <w:ind w:left="17"/>
              <w:jc w:val="right"/>
              <w:rPr>
                <w:color w:val="000000" w:themeColor="text1"/>
                <w:szCs w:val="21"/>
              </w:rPr>
            </w:pPr>
            <w:r w:rsidRPr="0051626C">
              <w:rPr>
                <w:color w:val="000000" w:themeColor="text1"/>
                <w:szCs w:val="21"/>
              </w:rPr>
              <w:t>-</w:t>
            </w:r>
          </w:p>
        </w:tc>
      </w:tr>
      <w:tr w:rsidR="004264FD" w:rsidRPr="0051626C" w:rsidTr="00AE4DA1">
        <w:tc>
          <w:tcPr>
            <w:tcW w:w="720" w:type="dxa"/>
            <w:vAlign w:val="center"/>
          </w:tcPr>
          <w:p w:rsidR="009A6018" w:rsidRPr="0051626C" w:rsidRDefault="009A6018" w:rsidP="00022662">
            <w:pPr>
              <w:spacing w:before="29" w:line="360" w:lineRule="auto"/>
              <w:ind w:left="17"/>
              <w:jc w:val="center"/>
              <w:rPr>
                <w:color w:val="000000" w:themeColor="text1"/>
                <w:szCs w:val="21"/>
              </w:rPr>
            </w:pPr>
            <w:r w:rsidRPr="0051626C">
              <w:rPr>
                <w:color w:val="000000" w:themeColor="text1"/>
                <w:szCs w:val="21"/>
              </w:rPr>
              <w:t>6</w:t>
            </w:r>
          </w:p>
        </w:tc>
        <w:tc>
          <w:tcPr>
            <w:tcW w:w="3357" w:type="dxa"/>
            <w:vAlign w:val="center"/>
          </w:tcPr>
          <w:p w:rsidR="009A6018" w:rsidRPr="0051626C" w:rsidRDefault="009A6018" w:rsidP="00AE4DA1">
            <w:pPr>
              <w:spacing w:before="29" w:line="360" w:lineRule="auto"/>
              <w:ind w:left="17"/>
              <w:rPr>
                <w:color w:val="000000" w:themeColor="text1"/>
                <w:szCs w:val="21"/>
              </w:rPr>
            </w:pPr>
            <w:r w:rsidRPr="0051626C">
              <w:rPr>
                <w:color w:val="000000" w:themeColor="text1"/>
                <w:szCs w:val="21"/>
              </w:rPr>
              <w:t>银行存款和结算备付金合计</w:t>
            </w:r>
          </w:p>
        </w:tc>
        <w:tc>
          <w:tcPr>
            <w:tcW w:w="2977" w:type="dxa"/>
            <w:vAlign w:val="center"/>
          </w:tcPr>
          <w:p w:rsidR="009A6018" w:rsidRPr="0051626C" w:rsidRDefault="009A6018" w:rsidP="003F7026">
            <w:pPr>
              <w:spacing w:before="29" w:line="360" w:lineRule="auto"/>
              <w:ind w:left="17"/>
              <w:jc w:val="right"/>
              <w:rPr>
                <w:color w:val="000000" w:themeColor="text1"/>
                <w:szCs w:val="21"/>
              </w:rPr>
            </w:pPr>
            <w:r w:rsidRPr="0051626C">
              <w:rPr>
                <w:color w:val="000000" w:themeColor="text1"/>
                <w:szCs w:val="21"/>
              </w:rPr>
              <w:t>89,692.68</w:t>
            </w:r>
          </w:p>
        </w:tc>
        <w:tc>
          <w:tcPr>
            <w:tcW w:w="1735" w:type="dxa"/>
            <w:vAlign w:val="center"/>
          </w:tcPr>
          <w:p w:rsidR="009A6018" w:rsidRPr="0051626C" w:rsidRDefault="009A6018" w:rsidP="003F7026">
            <w:pPr>
              <w:spacing w:before="29" w:line="360" w:lineRule="auto"/>
              <w:ind w:left="17"/>
              <w:jc w:val="right"/>
              <w:rPr>
                <w:color w:val="000000" w:themeColor="text1"/>
                <w:szCs w:val="21"/>
              </w:rPr>
            </w:pPr>
            <w:r w:rsidRPr="0051626C">
              <w:rPr>
                <w:color w:val="000000" w:themeColor="text1"/>
                <w:szCs w:val="21"/>
              </w:rPr>
              <w:t>99.97</w:t>
            </w:r>
          </w:p>
        </w:tc>
      </w:tr>
      <w:tr w:rsidR="004264FD" w:rsidRPr="0051626C" w:rsidTr="00FF222E">
        <w:tc>
          <w:tcPr>
            <w:tcW w:w="720" w:type="dxa"/>
            <w:vAlign w:val="center"/>
          </w:tcPr>
          <w:p w:rsidR="009A6018" w:rsidRPr="0051626C" w:rsidRDefault="009A6018" w:rsidP="00022662">
            <w:pPr>
              <w:spacing w:before="29" w:line="360" w:lineRule="auto"/>
              <w:ind w:left="17"/>
              <w:jc w:val="center"/>
              <w:rPr>
                <w:color w:val="000000" w:themeColor="text1"/>
                <w:szCs w:val="21"/>
              </w:rPr>
            </w:pPr>
            <w:r w:rsidRPr="0051626C">
              <w:rPr>
                <w:color w:val="000000" w:themeColor="text1"/>
                <w:szCs w:val="21"/>
              </w:rPr>
              <w:t>7</w:t>
            </w:r>
          </w:p>
        </w:tc>
        <w:tc>
          <w:tcPr>
            <w:tcW w:w="3357" w:type="dxa"/>
            <w:vAlign w:val="center"/>
          </w:tcPr>
          <w:p w:rsidR="009A6018" w:rsidRPr="0051626C" w:rsidRDefault="009A6018" w:rsidP="003F7026">
            <w:pPr>
              <w:rPr>
                <w:color w:val="000000" w:themeColor="text1"/>
                <w:szCs w:val="21"/>
              </w:rPr>
            </w:pPr>
            <w:r w:rsidRPr="0051626C">
              <w:rPr>
                <w:color w:val="000000" w:themeColor="text1"/>
                <w:szCs w:val="21"/>
              </w:rPr>
              <w:t>其他各项资产</w:t>
            </w:r>
          </w:p>
        </w:tc>
        <w:tc>
          <w:tcPr>
            <w:tcW w:w="2977" w:type="dxa"/>
            <w:vAlign w:val="center"/>
          </w:tcPr>
          <w:p w:rsidR="009A6018" w:rsidRPr="0051626C" w:rsidRDefault="009A6018" w:rsidP="003F7026">
            <w:pPr>
              <w:jc w:val="right"/>
              <w:rPr>
                <w:color w:val="000000" w:themeColor="text1"/>
                <w:szCs w:val="21"/>
              </w:rPr>
            </w:pPr>
            <w:r w:rsidRPr="0051626C">
              <w:rPr>
                <w:color w:val="000000" w:themeColor="text1"/>
                <w:szCs w:val="21"/>
              </w:rPr>
              <w:t>23.97</w:t>
            </w:r>
          </w:p>
        </w:tc>
        <w:tc>
          <w:tcPr>
            <w:tcW w:w="1735" w:type="dxa"/>
            <w:vAlign w:val="center"/>
          </w:tcPr>
          <w:p w:rsidR="009A6018" w:rsidRPr="0051626C" w:rsidRDefault="009A6018" w:rsidP="003F7026">
            <w:pPr>
              <w:jc w:val="right"/>
              <w:rPr>
                <w:color w:val="000000" w:themeColor="text1"/>
                <w:szCs w:val="21"/>
              </w:rPr>
            </w:pPr>
            <w:r w:rsidRPr="0051626C">
              <w:rPr>
                <w:color w:val="000000" w:themeColor="text1"/>
                <w:szCs w:val="21"/>
              </w:rPr>
              <w:t>0.03</w:t>
            </w:r>
          </w:p>
        </w:tc>
      </w:tr>
      <w:tr w:rsidR="004264FD" w:rsidRPr="0051626C" w:rsidTr="00FF222E">
        <w:tc>
          <w:tcPr>
            <w:tcW w:w="720" w:type="dxa"/>
            <w:vAlign w:val="center"/>
          </w:tcPr>
          <w:p w:rsidR="009A6018" w:rsidRPr="0051626C" w:rsidRDefault="009A6018" w:rsidP="00022662">
            <w:pPr>
              <w:spacing w:before="29" w:line="360" w:lineRule="auto"/>
              <w:ind w:left="17"/>
              <w:jc w:val="center"/>
              <w:rPr>
                <w:color w:val="000000" w:themeColor="text1"/>
                <w:szCs w:val="21"/>
              </w:rPr>
            </w:pPr>
            <w:r w:rsidRPr="0051626C">
              <w:rPr>
                <w:color w:val="000000" w:themeColor="text1"/>
                <w:szCs w:val="21"/>
              </w:rPr>
              <w:t>8</w:t>
            </w:r>
          </w:p>
        </w:tc>
        <w:tc>
          <w:tcPr>
            <w:tcW w:w="3357" w:type="dxa"/>
            <w:vAlign w:val="center"/>
          </w:tcPr>
          <w:p w:rsidR="009A6018" w:rsidRPr="0051626C" w:rsidRDefault="009A6018" w:rsidP="003F7026">
            <w:pPr>
              <w:rPr>
                <w:color w:val="000000" w:themeColor="text1"/>
                <w:szCs w:val="21"/>
              </w:rPr>
            </w:pPr>
            <w:r w:rsidRPr="0051626C">
              <w:rPr>
                <w:color w:val="000000" w:themeColor="text1"/>
                <w:szCs w:val="21"/>
              </w:rPr>
              <w:t>合计</w:t>
            </w:r>
          </w:p>
        </w:tc>
        <w:tc>
          <w:tcPr>
            <w:tcW w:w="2977" w:type="dxa"/>
            <w:vAlign w:val="center"/>
          </w:tcPr>
          <w:p w:rsidR="009A6018" w:rsidRPr="0051626C" w:rsidRDefault="009A6018" w:rsidP="003F7026">
            <w:pPr>
              <w:jc w:val="right"/>
              <w:rPr>
                <w:color w:val="000000" w:themeColor="text1"/>
                <w:szCs w:val="21"/>
              </w:rPr>
            </w:pPr>
            <w:r w:rsidRPr="0051626C">
              <w:rPr>
                <w:color w:val="000000" w:themeColor="text1"/>
                <w:szCs w:val="21"/>
              </w:rPr>
              <w:t>89,716.65</w:t>
            </w:r>
          </w:p>
        </w:tc>
        <w:tc>
          <w:tcPr>
            <w:tcW w:w="1735" w:type="dxa"/>
            <w:vAlign w:val="center"/>
          </w:tcPr>
          <w:p w:rsidR="009A6018" w:rsidRPr="0051626C" w:rsidRDefault="009A6018" w:rsidP="003F7026">
            <w:pPr>
              <w:jc w:val="right"/>
              <w:rPr>
                <w:color w:val="000000" w:themeColor="text1"/>
                <w:szCs w:val="21"/>
              </w:rPr>
            </w:pPr>
            <w:r w:rsidRPr="0051626C">
              <w:rPr>
                <w:color w:val="000000" w:themeColor="text1"/>
                <w:szCs w:val="21"/>
              </w:rPr>
              <w:t>100.00</w:t>
            </w:r>
          </w:p>
        </w:tc>
      </w:tr>
    </w:tbl>
    <w:p w:rsidR="009238DB" w:rsidRPr="0051626C" w:rsidRDefault="007A6A68" w:rsidP="00973780">
      <w:pPr>
        <w:autoSpaceDE w:val="0"/>
        <w:autoSpaceDN w:val="0"/>
        <w:adjustRightInd w:val="0"/>
        <w:spacing w:line="360" w:lineRule="auto"/>
        <w:jc w:val="left"/>
        <w:rPr>
          <w:color w:val="000000"/>
          <w:szCs w:val="21"/>
        </w:rPr>
      </w:pPr>
      <w:r>
        <w:rPr>
          <w:color w:val="000000"/>
          <w:szCs w:val="21"/>
        </w:rPr>
        <w:t>5.2</w:t>
      </w:r>
      <w:r w:rsidR="009238DB" w:rsidRPr="0051626C">
        <w:rPr>
          <w:color w:val="000000"/>
          <w:szCs w:val="21"/>
        </w:rPr>
        <w:t>报告期末按行业分类的股票投资组合</w:t>
      </w:r>
    </w:p>
    <w:p w:rsidR="00A401E3" w:rsidRPr="0051626C" w:rsidRDefault="00A401E3" w:rsidP="00A401E3">
      <w:pPr>
        <w:autoSpaceDE w:val="0"/>
        <w:autoSpaceDN w:val="0"/>
        <w:adjustRightInd w:val="0"/>
        <w:spacing w:line="360" w:lineRule="auto"/>
        <w:jc w:val="left"/>
        <w:rPr>
          <w:color w:val="000000"/>
          <w:szCs w:val="21"/>
        </w:rPr>
      </w:pPr>
      <w:r w:rsidRPr="0051626C">
        <w:rPr>
          <w:color w:val="000000"/>
          <w:szCs w:val="21"/>
        </w:rPr>
        <w:t>5.2.1</w:t>
      </w:r>
      <w:r w:rsidRPr="0051626C">
        <w:rPr>
          <w:color w:val="000000"/>
          <w:szCs w:val="21"/>
        </w:rPr>
        <w:t>报告期末按行业分类的境内股票投资组合</w:t>
      </w:r>
    </w:p>
    <w:p w:rsidR="009238DB" w:rsidRPr="00A1399F" w:rsidRDefault="000871DB" w:rsidP="00A1399F">
      <w:pPr>
        <w:pStyle w:val="12"/>
        <w:spacing w:line="360" w:lineRule="auto"/>
        <w:ind w:firstLine="420"/>
        <w:jc w:val="left"/>
        <w:rPr>
          <w:szCs w:val="21"/>
        </w:rPr>
      </w:pPr>
      <w:r w:rsidRPr="00A1399F">
        <w:rPr>
          <w:szCs w:val="21"/>
        </w:rPr>
        <w:t>本基金本报告期末未持有股票。</w:t>
      </w:r>
    </w:p>
    <w:p w:rsidR="009238DB" w:rsidRPr="0051626C" w:rsidRDefault="007A6A68" w:rsidP="00284023">
      <w:pPr>
        <w:autoSpaceDE w:val="0"/>
        <w:autoSpaceDN w:val="0"/>
        <w:adjustRightInd w:val="0"/>
        <w:spacing w:line="360" w:lineRule="auto"/>
        <w:jc w:val="left"/>
        <w:rPr>
          <w:color w:val="000000"/>
          <w:szCs w:val="21"/>
        </w:rPr>
      </w:pPr>
      <w:r>
        <w:rPr>
          <w:color w:val="000000"/>
          <w:szCs w:val="21"/>
        </w:rPr>
        <w:t>5.3</w:t>
      </w:r>
      <w:r w:rsidR="009238DB" w:rsidRPr="0051626C">
        <w:rPr>
          <w:color w:val="000000"/>
          <w:szCs w:val="21"/>
        </w:rPr>
        <w:t>报告期末按公允价值占基金资产净值比例大小排序的前十名股票投资明细</w:t>
      </w:r>
    </w:p>
    <w:p w:rsidR="009238DB" w:rsidRPr="00A1399F" w:rsidRDefault="000871DB" w:rsidP="00A1399F">
      <w:pPr>
        <w:pStyle w:val="12"/>
        <w:spacing w:line="360" w:lineRule="auto"/>
        <w:ind w:firstLine="420"/>
        <w:jc w:val="left"/>
        <w:rPr>
          <w:szCs w:val="21"/>
        </w:rPr>
      </w:pPr>
      <w:r w:rsidRPr="00A1399F">
        <w:rPr>
          <w:szCs w:val="21"/>
        </w:rPr>
        <w:t>本基金本报告期末未持有股票。</w:t>
      </w:r>
    </w:p>
    <w:p w:rsidR="009238DB" w:rsidRPr="0051626C" w:rsidRDefault="007A6A68" w:rsidP="00284023">
      <w:pPr>
        <w:autoSpaceDE w:val="0"/>
        <w:autoSpaceDN w:val="0"/>
        <w:adjustRightInd w:val="0"/>
        <w:spacing w:line="360" w:lineRule="auto"/>
        <w:jc w:val="left"/>
        <w:rPr>
          <w:color w:val="000000"/>
          <w:szCs w:val="21"/>
        </w:rPr>
      </w:pPr>
      <w:r>
        <w:rPr>
          <w:color w:val="000000"/>
          <w:szCs w:val="21"/>
        </w:rPr>
        <w:t>5.4</w:t>
      </w:r>
      <w:r w:rsidR="009238DB" w:rsidRPr="0051626C">
        <w:rPr>
          <w:color w:val="000000"/>
          <w:szCs w:val="21"/>
        </w:rPr>
        <w:t>报告期末按债券品种分类的债券投资组合</w:t>
      </w:r>
    </w:p>
    <w:p w:rsidR="009238DB" w:rsidRPr="00A1399F" w:rsidRDefault="00296E4A" w:rsidP="00A1399F">
      <w:pPr>
        <w:pStyle w:val="12"/>
        <w:spacing w:line="360" w:lineRule="auto"/>
        <w:ind w:firstLine="420"/>
        <w:jc w:val="left"/>
        <w:rPr>
          <w:szCs w:val="21"/>
        </w:rPr>
      </w:pPr>
      <w:r w:rsidRPr="00A1399F">
        <w:rPr>
          <w:szCs w:val="21"/>
        </w:rPr>
        <w:t>本基金本报告期末未持有债券。</w:t>
      </w:r>
    </w:p>
    <w:p w:rsidR="009238DB" w:rsidRPr="0051626C" w:rsidRDefault="007A6A68" w:rsidP="00284023">
      <w:pPr>
        <w:autoSpaceDE w:val="0"/>
        <w:autoSpaceDN w:val="0"/>
        <w:adjustRightInd w:val="0"/>
        <w:spacing w:line="360" w:lineRule="auto"/>
        <w:jc w:val="left"/>
        <w:rPr>
          <w:color w:val="000000"/>
          <w:szCs w:val="21"/>
        </w:rPr>
      </w:pPr>
      <w:r>
        <w:rPr>
          <w:color w:val="000000"/>
          <w:szCs w:val="21"/>
        </w:rPr>
        <w:t>5.5</w:t>
      </w:r>
      <w:r w:rsidR="009238DB" w:rsidRPr="0051626C">
        <w:rPr>
          <w:color w:val="000000"/>
          <w:szCs w:val="21"/>
        </w:rPr>
        <w:t>报告期末按公允价值占基金资产净值比例大小排</w:t>
      </w:r>
      <w:r w:rsidR="006D462B" w:rsidRPr="0051626C">
        <w:rPr>
          <w:color w:val="000000"/>
          <w:szCs w:val="21"/>
        </w:rPr>
        <w:t>序</w:t>
      </w:r>
      <w:r w:rsidR="009238DB" w:rsidRPr="0051626C">
        <w:rPr>
          <w:color w:val="000000"/>
          <w:szCs w:val="21"/>
        </w:rPr>
        <w:t>的前五名债券投资明细</w:t>
      </w:r>
    </w:p>
    <w:p w:rsidR="009238DB" w:rsidRPr="00A1399F" w:rsidRDefault="00296E4A" w:rsidP="00A1399F">
      <w:pPr>
        <w:pStyle w:val="12"/>
        <w:spacing w:line="360" w:lineRule="auto"/>
        <w:ind w:firstLine="420"/>
        <w:jc w:val="left"/>
        <w:rPr>
          <w:szCs w:val="21"/>
        </w:rPr>
      </w:pPr>
      <w:r w:rsidRPr="00A1399F">
        <w:rPr>
          <w:szCs w:val="21"/>
        </w:rPr>
        <w:t>本基金本报告期末未持有债券。</w:t>
      </w:r>
    </w:p>
    <w:p w:rsidR="009238DB" w:rsidRPr="0051626C" w:rsidRDefault="009238DB" w:rsidP="00284023">
      <w:pPr>
        <w:autoSpaceDE w:val="0"/>
        <w:autoSpaceDN w:val="0"/>
        <w:adjustRightInd w:val="0"/>
        <w:spacing w:line="360" w:lineRule="auto"/>
        <w:jc w:val="left"/>
        <w:rPr>
          <w:color w:val="000000"/>
          <w:szCs w:val="21"/>
        </w:rPr>
      </w:pPr>
      <w:r w:rsidRPr="0051626C">
        <w:rPr>
          <w:color w:val="000000"/>
          <w:szCs w:val="21"/>
        </w:rPr>
        <w:t>5.6</w:t>
      </w:r>
      <w:r w:rsidRPr="0051626C">
        <w:rPr>
          <w:color w:val="000000"/>
          <w:szCs w:val="21"/>
        </w:rPr>
        <w:t>报告期末按公允价值占基金资产净值比例大小排</w:t>
      </w:r>
      <w:r w:rsidR="006D462B" w:rsidRPr="0051626C">
        <w:rPr>
          <w:color w:val="000000"/>
          <w:szCs w:val="21"/>
        </w:rPr>
        <w:t>序</w:t>
      </w:r>
      <w:r w:rsidRPr="0051626C">
        <w:rPr>
          <w:color w:val="000000"/>
          <w:szCs w:val="21"/>
        </w:rPr>
        <w:t>的前十名资产支持证券投资明细</w:t>
      </w:r>
    </w:p>
    <w:p w:rsidR="009238DB" w:rsidRPr="00A1399F" w:rsidRDefault="00C260A2" w:rsidP="00A1399F">
      <w:pPr>
        <w:pStyle w:val="12"/>
        <w:spacing w:line="360" w:lineRule="auto"/>
        <w:ind w:firstLine="420"/>
        <w:jc w:val="left"/>
        <w:rPr>
          <w:szCs w:val="21"/>
        </w:rPr>
      </w:pPr>
      <w:r w:rsidRPr="00A1399F">
        <w:rPr>
          <w:szCs w:val="21"/>
        </w:rPr>
        <w:t>本基金本报告期末未持有资产支持证券。</w:t>
      </w:r>
    </w:p>
    <w:p w:rsidR="006D462B" w:rsidRPr="0051626C" w:rsidRDefault="007A6A68" w:rsidP="00284023">
      <w:pPr>
        <w:autoSpaceDE w:val="0"/>
        <w:autoSpaceDN w:val="0"/>
        <w:adjustRightInd w:val="0"/>
        <w:spacing w:line="360" w:lineRule="auto"/>
        <w:jc w:val="left"/>
        <w:rPr>
          <w:color w:val="000000"/>
          <w:szCs w:val="21"/>
        </w:rPr>
      </w:pPr>
      <w:r>
        <w:rPr>
          <w:color w:val="000000"/>
          <w:szCs w:val="21"/>
        </w:rPr>
        <w:t>5.7</w:t>
      </w:r>
      <w:r w:rsidR="006D462B" w:rsidRPr="0051626C">
        <w:rPr>
          <w:color w:val="000000"/>
          <w:szCs w:val="21"/>
        </w:rPr>
        <w:t>报告期末按公允价值占基金资产净值比例大小排序的前五名贵金属投资明细</w:t>
      </w:r>
    </w:p>
    <w:p w:rsidR="006D462B" w:rsidRPr="00A1399F" w:rsidRDefault="006D462B" w:rsidP="00A1399F">
      <w:pPr>
        <w:pStyle w:val="12"/>
        <w:spacing w:line="360" w:lineRule="auto"/>
        <w:ind w:firstLine="420"/>
        <w:jc w:val="left"/>
        <w:rPr>
          <w:szCs w:val="21"/>
        </w:rPr>
      </w:pPr>
      <w:r w:rsidRPr="00A1399F">
        <w:rPr>
          <w:szCs w:val="21"/>
        </w:rPr>
        <w:t>本基金本报告期末未持有贵金属。</w:t>
      </w:r>
    </w:p>
    <w:p w:rsidR="009238DB" w:rsidRPr="0051626C" w:rsidRDefault="001D5CD0" w:rsidP="00284023">
      <w:pPr>
        <w:autoSpaceDE w:val="0"/>
        <w:autoSpaceDN w:val="0"/>
        <w:adjustRightInd w:val="0"/>
        <w:spacing w:line="360" w:lineRule="auto"/>
        <w:jc w:val="left"/>
        <w:rPr>
          <w:color w:val="000000"/>
          <w:szCs w:val="21"/>
        </w:rPr>
      </w:pPr>
      <w:r w:rsidRPr="0051626C">
        <w:rPr>
          <w:color w:val="000000"/>
          <w:szCs w:val="21"/>
        </w:rPr>
        <w:t>5</w:t>
      </w:r>
      <w:r w:rsidR="009238DB" w:rsidRPr="0051626C">
        <w:rPr>
          <w:color w:val="000000"/>
          <w:szCs w:val="21"/>
        </w:rPr>
        <w:t>.</w:t>
      </w:r>
      <w:r w:rsidRPr="0051626C">
        <w:rPr>
          <w:color w:val="000000"/>
          <w:szCs w:val="21"/>
        </w:rPr>
        <w:t>8</w:t>
      </w:r>
      <w:r w:rsidR="009238DB" w:rsidRPr="0051626C">
        <w:rPr>
          <w:color w:val="000000"/>
          <w:szCs w:val="21"/>
        </w:rPr>
        <w:t>报告期末按公允价值占基金资产净值比例大小排</w:t>
      </w:r>
      <w:r w:rsidR="006D462B" w:rsidRPr="0051626C">
        <w:rPr>
          <w:color w:val="000000"/>
          <w:szCs w:val="21"/>
        </w:rPr>
        <w:t>序</w:t>
      </w:r>
      <w:r w:rsidR="009238DB" w:rsidRPr="0051626C">
        <w:rPr>
          <w:color w:val="000000"/>
          <w:szCs w:val="21"/>
        </w:rPr>
        <w:t>的前五名权证投资明细</w:t>
      </w:r>
    </w:p>
    <w:p w:rsidR="001D5CD0" w:rsidRPr="00A1399F" w:rsidRDefault="00C260A2" w:rsidP="00A1399F">
      <w:pPr>
        <w:pStyle w:val="12"/>
        <w:spacing w:line="360" w:lineRule="auto"/>
        <w:ind w:firstLine="420"/>
        <w:jc w:val="left"/>
        <w:rPr>
          <w:szCs w:val="21"/>
        </w:rPr>
      </w:pPr>
      <w:r w:rsidRPr="00A1399F">
        <w:rPr>
          <w:szCs w:val="21"/>
        </w:rPr>
        <w:t>本基金本报告期末未持有权证。</w:t>
      </w:r>
    </w:p>
    <w:p w:rsidR="001D5CD0" w:rsidRPr="0051626C" w:rsidRDefault="007A6A68" w:rsidP="00284023">
      <w:pPr>
        <w:autoSpaceDE w:val="0"/>
        <w:autoSpaceDN w:val="0"/>
        <w:adjustRightInd w:val="0"/>
        <w:spacing w:line="360" w:lineRule="auto"/>
        <w:jc w:val="left"/>
        <w:rPr>
          <w:color w:val="000000"/>
          <w:szCs w:val="21"/>
        </w:rPr>
      </w:pPr>
      <w:r>
        <w:rPr>
          <w:color w:val="000000"/>
          <w:szCs w:val="21"/>
        </w:rPr>
        <w:t>5.9</w:t>
      </w:r>
      <w:r w:rsidR="001D5CD0" w:rsidRPr="0051626C">
        <w:rPr>
          <w:color w:val="000000"/>
          <w:szCs w:val="21"/>
        </w:rPr>
        <w:t>报告期末本基金投资的股指期货交易情况说明</w:t>
      </w:r>
    </w:p>
    <w:p w:rsidR="001D5CD0" w:rsidRPr="0051626C" w:rsidRDefault="007A6A68" w:rsidP="00284023">
      <w:pPr>
        <w:autoSpaceDE w:val="0"/>
        <w:autoSpaceDN w:val="0"/>
        <w:adjustRightInd w:val="0"/>
        <w:spacing w:line="360" w:lineRule="auto"/>
        <w:jc w:val="left"/>
        <w:rPr>
          <w:color w:val="000000"/>
          <w:szCs w:val="21"/>
        </w:rPr>
      </w:pPr>
      <w:r>
        <w:rPr>
          <w:color w:val="000000"/>
          <w:szCs w:val="21"/>
        </w:rPr>
        <w:t>5.9.1</w:t>
      </w:r>
      <w:r w:rsidR="001D5CD0" w:rsidRPr="0051626C">
        <w:rPr>
          <w:color w:val="000000"/>
          <w:szCs w:val="21"/>
        </w:rPr>
        <w:t>报告期末本基金投资的股指期货持仓和损益明细</w:t>
      </w:r>
    </w:p>
    <w:p w:rsidR="001D5CD0" w:rsidRPr="00A1399F" w:rsidRDefault="001D5CD0" w:rsidP="00A1399F">
      <w:pPr>
        <w:pStyle w:val="12"/>
        <w:spacing w:line="360" w:lineRule="auto"/>
        <w:ind w:firstLine="420"/>
        <w:jc w:val="left"/>
        <w:rPr>
          <w:szCs w:val="21"/>
        </w:rPr>
      </w:pPr>
      <w:r w:rsidRPr="00A1399F">
        <w:rPr>
          <w:szCs w:val="21"/>
        </w:rPr>
        <w:t>本基金本报告期末无股指期货投资。</w:t>
      </w:r>
    </w:p>
    <w:p w:rsidR="001D5CD0" w:rsidRPr="0051626C" w:rsidRDefault="007A6A68" w:rsidP="00284023">
      <w:pPr>
        <w:autoSpaceDE w:val="0"/>
        <w:autoSpaceDN w:val="0"/>
        <w:adjustRightInd w:val="0"/>
        <w:spacing w:line="360" w:lineRule="auto"/>
        <w:jc w:val="left"/>
        <w:rPr>
          <w:color w:val="000000"/>
          <w:szCs w:val="21"/>
        </w:rPr>
      </w:pPr>
      <w:r>
        <w:rPr>
          <w:color w:val="000000"/>
          <w:szCs w:val="21"/>
        </w:rPr>
        <w:t>5.9.2</w:t>
      </w:r>
      <w:r w:rsidR="001D5CD0" w:rsidRPr="0051626C">
        <w:rPr>
          <w:color w:val="000000"/>
          <w:szCs w:val="21"/>
        </w:rPr>
        <w:t>本基金投资股指期货的投资政策</w:t>
      </w:r>
    </w:p>
    <w:p w:rsidR="001D5CD0" w:rsidRPr="00A1399F" w:rsidRDefault="001D5CD0" w:rsidP="00A1399F">
      <w:pPr>
        <w:pStyle w:val="12"/>
        <w:spacing w:line="360" w:lineRule="auto"/>
        <w:ind w:firstLine="420"/>
        <w:jc w:val="left"/>
        <w:rPr>
          <w:szCs w:val="21"/>
        </w:rPr>
      </w:pPr>
      <w:r w:rsidRPr="00A1399F">
        <w:rPr>
          <w:szCs w:val="21"/>
        </w:rPr>
        <w:t>本基金本报告期末无股指期货投资。</w:t>
      </w:r>
    </w:p>
    <w:p w:rsidR="001D5CD0" w:rsidRPr="0051626C" w:rsidRDefault="001D5CD0" w:rsidP="00284023">
      <w:pPr>
        <w:autoSpaceDE w:val="0"/>
        <w:autoSpaceDN w:val="0"/>
        <w:adjustRightInd w:val="0"/>
        <w:spacing w:line="360" w:lineRule="auto"/>
        <w:jc w:val="left"/>
        <w:rPr>
          <w:color w:val="000000"/>
          <w:szCs w:val="21"/>
        </w:rPr>
      </w:pPr>
      <w:r w:rsidRPr="0051626C">
        <w:rPr>
          <w:color w:val="000000"/>
          <w:szCs w:val="21"/>
        </w:rPr>
        <w:t>5.10</w:t>
      </w:r>
      <w:r w:rsidRPr="0051626C">
        <w:rPr>
          <w:color w:val="000000"/>
          <w:szCs w:val="21"/>
        </w:rPr>
        <w:t>报告期末本基金投资的国债期货交易情况说明</w:t>
      </w:r>
    </w:p>
    <w:p w:rsidR="001D5CD0" w:rsidRPr="0051626C" w:rsidRDefault="007A6A68" w:rsidP="00284023">
      <w:pPr>
        <w:autoSpaceDE w:val="0"/>
        <w:autoSpaceDN w:val="0"/>
        <w:adjustRightInd w:val="0"/>
        <w:spacing w:line="360" w:lineRule="auto"/>
        <w:jc w:val="left"/>
        <w:rPr>
          <w:color w:val="000000"/>
          <w:szCs w:val="21"/>
        </w:rPr>
      </w:pPr>
      <w:r>
        <w:rPr>
          <w:color w:val="000000"/>
          <w:szCs w:val="21"/>
        </w:rPr>
        <w:t>5.10.1</w:t>
      </w:r>
      <w:r w:rsidR="001D5CD0" w:rsidRPr="0051626C">
        <w:rPr>
          <w:color w:val="000000"/>
          <w:szCs w:val="21"/>
        </w:rPr>
        <w:t>本期国债期货投资政策</w:t>
      </w:r>
    </w:p>
    <w:p w:rsidR="001D5CD0" w:rsidRPr="00A1399F" w:rsidRDefault="001D5CD0" w:rsidP="00A1399F">
      <w:pPr>
        <w:pStyle w:val="12"/>
        <w:spacing w:line="360" w:lineRule="auto"/>
        <w:ind w:firstLine="420"/>
        <w:jc w:val="left"/>
        <w:rPr>
          <w:szCs w:val="21"/>
        </w:rPr>
      </w:pPr>
      <w:r w:rsidRPr="00A1399F">
        <w:rPr>
          <w:szCs w:val="21"/>
        </w:rPr>
        <w:t>本基金本报告期末无国债期货投资。</w:t>
      </w:r>
    </w:p>
    <w:p w:rsidR="001D5CD0" w:rsidRPr="0051626C" w:rsidRDefault="007A6A68" w:rsidP="00284023">
      <w:pPr>
        <w:autoSpaceDE w:val="0"/>
        <w:autoSpaceDN w:val="0"/>
        <w:adjustRightInd w:val="0"/>
        <w:spacing w:line="360" w:lineRule="auto"/>
        <w:jc w:val="left"/>
        <w:rPr>
          <w:color w:val="000000"/>
          <w:szCs w:val="21"/>
        </w:rPr>
      </w:pPr>
      <w:r>
        <w:rPr>
          <w:color w:val="000000"/>
          <w:szCs w:val="21"/>
        </w:rPr>
        <w:t>5.10.2</w:t>
      </w:r>
      <w:r w:rsidR="001D5CD0" w:rsidRPr="0051626C">
        <w:rPr>
          <w:color w:val="000000"/>
          <w:szCs w:val="21"/>
        </w:rPr>
        <w:t>报告期末本基金投资的国债期货持仓和损益明细</w:t>
      </w:r>
    </w:p>
    <w:p w:rsidR="001D5CD0" w:rsidRPr="00A1399F" w:rsidRDefault="001D5CD0" w:rsidP="00A1399F">
      <w:pPr>
        <w:pStyle w:val="12"/>
        <w:spacing w:line="360" w:lineRule="auto"/>
        <w:ind w:firstLine="420"/>
        <w:jc w:val="left"/>
        <w:rPr>
          <w:szCs w:val="21"/>
        </w:rPr>
      </w:pPr>
      <w:r w:rsidRPr="00A1399F">
        <w:rPr>
          <w:szCs w:val="21"/>
        </w:rPr>
        <w:t>本基金本报告期末无国债期货投资。</w:t>
      </w:r>
    </w:p>
    <w:p w:rsidR="001D5CD0" w:rsidRPr="0051626C" w:rsidRDefault="007A6A68" w:rsidP="00284023">
      <w:pPr>
        <w:autoSpaceDE w:val="0"/>
        <w:autoSpaceDN w:val="0"/>
        <w:adjustRightInd w:val="0"/>
        <w:spacing w:line="360" w:lineRule="auto"/>
        <w:jc w:val="left"/>
        <w:rPr>
          <w:color w:val="000000"/>
          <w:szCs w:val="21"/>
        </w:rPr>
      </w:pPr>
      <w:r>
        <w:rPr>
          <w:color w:val="000000"/>
          <w:szCs w:val="21"/>
        </w:rPr>
        <w:t>5.10.3</w:t>
      </w:r>
      <w:r w:rsidR="001D5CD0" w:rsidRPr="0051626C">
        <w:rPr>
          <w:color w:val="000000"/>
          <w:szCs w:val="21"/>
        </w:rPr>
        <w:t>本期国债期货投资评价</w:t>
      </w:r>
    </w:p>
    <w:p w:rsidR="001D5CD0" w:rsidRPr="00A1399F" w:rsidRDefault="001D5CD0" w:rsidP="00A1399F">
      <w:pPr>
        <w:pStyle w:val="12"/>
        <w:spacing w:line="360" w:lineRule="auto"/>
        <w:ind w:firstLine="420"/>
        <w:jc w:val="left"/>
        <w:rPr>
          <w:szCs w:val="21"/>
        </w:rPr>
      </w:pPr>
      <w:r w:rsidRPr="00A1399F">
        <w:rPr>
          <w:szCs w:val="21"/>
        </w:rPr>
        <w:t>本基金本报告期末无国债期货投资。</w:t>
      </w:r>
    </w:p>
    <w:p w:rsidR="001D5CD0" w:rsidRPr="0051626C" w:rsidRDefault="001D5CD0" w:rsidP="00284023">
      <w:pPr>
        <w:autoSpaceDE w:val="0"/>
        <w:autoSpaceDN w:val="0"/>
        <w:adjustRightInd w:val="0"/>
        <w:spacing w:line="360" w:lineRule="auto"/>
        <w:jc w:val="left"/>
        <w:rPr>
          <w:color w:val="000000"/>
          <w:szCs w:val="21"/>
        </w:rPr>
      </w:pPr>
      <w:r w:rsidRPr="0051626C">
        <w:rPr>
          <w:color w:val="000000"/>
          <w:szCs w:val="21"/>
        </w:rPr>
        <w:t>5.11</w:t>
      </w:r>
      <w:r w:rsidRPr="0051626C">
        <w:rPr>
          <w:color w:val="000000"/>
          <w:szCs w:val="21"/>
        </w:rPr>
        <w:t>投资组合报告附注</w:t>
      </w:r>
    </w:p>
    <w:p w:rsidR="006456D3" w:rsidRPr="0051626C" w:rsidRDefault="006456D3" w:rsidP="00EE6662">
      <w:pPr>
        <w:spacing w:line="360" w:lineRule="auto"/>
        <w:jc w:val="left"/>
        <w:rPr>
          <w:kern w:val="0"/>
          <w:szCs w:val="21"/>
        </w:rPr>
      </w:pPr>
      <w:r w:rsidRPr="0051626C">
        <w:rPr>
          <w:kern w:val="0"/>
          <w:szCs w:val="21"/>
        </w:rPr>
        <w:t>5.11.1</w:t>
      </w:r>
      <w:r w:rsidRPr="0051626C">
        <w:rPr>
          <w:kern w:val="0"/>
          <w:szCs w:val="21"/>
        </w:rPr>
        <w:t>报告期内，本基金投资决策程序符合相关法律法规的要求，未发现本基金投资的前十名证券的发行主体本期出现被监管部门立案调查，或在报告编制日前一年内受到公开谴责、处罚的情形。</w:t>
      </w:r>
    </w:p>
    <w:p w:rsidR="006456D3" w:rsidRPr="0051626C" w:rsidRDefault="006456D3" w:rsidP="00EE6662">
      <w:pPr>
        <w:spacing w:line="360" w:lineRule="auto"/>
        <w:jc w:val="left"/>
        <w:rPr>
          <w:kern w:val="0"/>
          <w:szCs w:val="21"/>
        </w:rPr>
      </w:pPr>
      <w:r w:rsidRPr="0051626C">
        <w:rPr>
          <w:kern w:val="0"/>
          <w:szCs w:val="21"/>
        </w:rPr>
        <w:t>5.11.2</w:t>
      </w:r>
      <w:r w:rsidRPr="0051626C">
        <w:rPr>
          <w:kern w:val="0"/>
          <w:szCs w:val="21"/>
        </w:rPr>
        <w:t>基金投资的前十名股票未超出基金合同规定的备选股票库。</w:t>
      </w:r>
    </w:p>
    <w:p w:rsidR="001D5CD0" w:rsidRPr="0051626C" w:rsidRDefault="001D5CD0" w:rsidP="00284023">
      <w:pPr>
        <w:autoSpaceDE w:val="0"/>
        <w:autoSpaceDN w:val="0"/>
        <w:adjustRightInd w:val="0"/>
        <w:spacing w:line="360" w:lineRule="auto"/>
        <w:jc w:val="left"/>
        <w:rPr>
          <w:color w:val="000000"/>
          <w:szCs w:val="21"/>
        </w:rPr>
      </w:pPr>
      <w:r w:rsidRPr="0051626C">
        <w:rPr>
          <w:color w:val="000000"/>
          <w:szCs w:val="21"/>
        </w:rPr>
        <w:t>5.11.3</w:t>
      </w:r>
      <w:r w:rsidR="00F91908" w:rsidRPr="0051626C">
        <w:rPr>
          <w:color w:val="000000"/>
          <w:szCs w:val="21"/>
        </w:rPr>
        <w:t>其他</w:t>
      </w:r>
      <w:r w:rsidRPr="0051626C">
        <w:rPr>
          <w:color w:val="000000"/>
          <w:szCs w:val="21"/>
        </w:rPr>
        <w:t>资产构成</w:t>
      </w:r>
    </w:p>
    <w:tbl>
      <w:tblPr>
        <w:tblStyle w:val="af2"/>
        <w:tblW w:w="0" w:type="auto"/>
        <w:tblInd w:w="108" w:type="dxa"/>
        <w:tblLook w:val="04A0"/>
      </w:tblPr>
      <w:tblGrid>
        <w:gridCol w:w="1110"/>
        <w:gridCol w:w="2761"/>
        <w:gridCol w:w="4918"/>
      </w:tblGrid>
      <w:tr w:rsidR="004264FD" w:rsidRPr="0051626C" w:rsidTr="00FF222E">
        <w:tc>
          <w:tcPr>
            <w:tcW w:w="1110" w:type="dxa"/>
            <w:vAlign w:val="center"/>
          </w:tcPr>
          <w:p w:rsidR="001D5CD0" w:rsidRPr="0051626C" w:rsidRDefault="001D5CD0" w:rsidP="00F22F9F">
            <w:pPr>
              <w:autoSpaceDE w:val="0"/>
              <w:autoSpaceDN w:val="0"/>
              <w:adjustRightInd w:val="0"/>
              <w:spacing w:before="29" w:line="360" w:lineRule="auto"/>
              <w:ind w:left="17"/>
              <w:jc w:val="center"/>
              <w:rPr>
                <w:color w:val="000000" w:themeColor="text1"/>
                <w:kern w:val="0"/>
                <w:szCs w:val="21"/>
              </w:rPr>
            </w:pPr>
            <w:r w:rsidRPr="0051626C">
              <w:rPr>
                <w:color w:val="000000" w:themeColor="text1"/>
                <w:kern w:val="0"/>
                <w:szCs w:val="21"/>
              </w:rPr>
              <w:t>序号</w:t>
            </w:r>
          </w:p>
        </w:tc>
        <w:tc>
          <w:tcPr>
            <w:tcW w:w="2761" w:type="dxa"/>
            <w:vAlign w:val="center"/>
          </w:tcPr>
          <w:p w:rsidR="001D5CD0" w:rsidRPr="0051626C" w:rsidRDefault="001D5CD0" w:rsidP="00F22F9F">
            <w:pPr>
              <w:autoSpaceDE w:val="0"/>
              <w:autoSpaceDN w:val="0"/>
              <w:adjustRightInd w:val="0"/>
              <w:spacing w:before="29" w:line="360" w:lineRule="auto"/>
              <w:ind w:left="17"/>
              <w:jc w:val="center"/>
              <w:rPr>
                <w:color w:val="000000" w:themeColor="text1"/>
                <w:kern w:val="0"/>
                <w:szCs w:val="21"/>
              </w:rPr>
            </w:pPr>
            <w:r w:rsidRPr="0051626C">
              <w:rPr>
                <w:color w:val="000000" w:themeColor="text1"/>
                <w:kern w:val="0"/>
                <w:szCs w:val="21"/>
              </w:rPr>
              <w:t>名称</w:t>
            </w:r>
          </w:p>
        </w:tc>
        <w:tc>
          <w:tcPr>
            <w:tcW w:w="4918" w:type="dxa"/>
            <w:vAlign w:val="center"/>
          </w:tcPr>
          <w:p w:rsidR="001D5CD0" w:rsidRPr="0051626C" w:rsidRDefault="001D5CD0" w:rsidP="00F22F9F">
            <w:pPr>
              <w:autoSpaceDE w:val="0"/>
              <w:autoSpaceDN w:val="0"/>
              <w:adjustRightInd w:val="0"/>
              <w:spacing w:before="29" w:line="360" w:lineRule="auto"/>
              <w:ind w:left="17"/>
              <w:jc w:val="center"/>
              <w:rPr>
                <w:color w:val="000000" w:themeColor="text1"/>
                <w:kern w:val="0"/>
                <w:szCs w:val="21"/>
              </w:rPr>
            </w:pPr>
            <w:r w:rsidRPr="0051626C">
              <w:rPr>
                <w:color w:val="000000" w:themeColor="text1"/>
                <w:kern w:val="0"/>
                <w:szCs w:val="21"/>
              </w:rPr>
              <w:t>金额</w:t>
            </w:r>
            <w:r w:rsidRPr="0051626C">
              <w:rPr>
                <w:color w:val="000000" w:themeColor="text1"/>
                <w:kern w:val="0"/>
                <w:szCs w:val="21"/>
              </w:rPr>
              <w:t>(</w:t>
            </w:r>
            <w:r w:rsidRPr="0051626C">
              <w:rPr>
                <w:color w:val="000000" w:themeColor="text1"/>
                <w:kern w:val="0"/>
                <w:szCs w:val="21"/>
              </w:rPr>
              <w:t>元</w:t>
            </w:r>
            <w:r w:rsidRPr="0051626C">
              <w:rPr>
                <w:color w:val="000000" w:themeColor="text1"/>
                <w:kern w:val="0"/>
                <w:szCs w:val="21"/>
              </w:rPr>
              <w:t>)</w:t>
            </w:r>
          </w:p>
        </w:tc>
      </w:tr>
      <w:tr w:rsidR="004264FD" w:rsidRPr="0051626C" w:rsidTr="00FF222E">
        <w:tc>
          <w:tcPr>
            <w:tcW w:w="1110" w:type="dxa"/>
            <w:vAlign w:val="center"/>
          </w:tcPr>
          <w:p w:rsidR="001D5CD0" w:rsidRPr="0051626C" w:rsidRDefault="001D5CD0" w:rsidP="00F22F9F">
            <w:pPr>
              <w:autoSpaceDE w:val="0"/>
              <w:autoSpaceDN w:val="0"/>
              <w:adjustRightInd w:val="0"/>
              <w:spacing w:before="29" w:line="360" w:lineRule="auto"/>
              <w:ind w:left="15"/>
              <w:jc w:val="center"/>
              <w:rPr>
                <w:color w:val="000000" w:themeColor="text1"/>
                <w:kern w:val="0"/>
                <w:szCs w:val="21"/>
              </w:rPr>
            </w:pPr>
            <w:r w:rsidRPr="0051626C">
              <w:rPr>
                <w:color w:val="000000" w:themeColor="text1"/>
                <w:szCs w:val="21"/>
              </w:rPr>
              <w:t>1</w:t>
            </w:r>
          </w:p>
        </w:tc>
        <w:tc>
          <w:tcPr>
            <w:tcW w:w="2761" w:type="dxa"/>
            <w:vAlign w:val="center"/>
          </w:tcPr>
          <w:p w:rsidR="001D5CD0" w:rsidRPr="0051626C" w:rsidRDefault="001D5CD0" w:rsidP="00F22F9F">
            <w:pPr>
              <w:autoSpaceDE w:val="0"/>
              <w:autoSpaceDN w:val="0"/>
              <w:adjustRightInd w:val="0"/>
              <w:spacing w:before="29" w:line="360" w:lineRule="auto"/>
              <w:ind w:left="15"/>
              <w:jc w:val="left"/>
              <w:rPr>
                <w:color w:val="000000" w:themeColor="text1"/>
                <w:kern w:val="0"/>
                <w:szCs w:val="21"/>
              </w:rPr>
            </w:pPr>
            <w:r w:rsidRPr="0051626C">
              <w:rPr>
                <w:color w:val="000000" w:themeColor="text1"/>
                <w:kern w:val="0"/>
                <w:szCs w:val="21"/>
              </w:rPr>
              <w:t>存出保证金</w:t>
            </w:r>
          </w:p>
        </w:tc>
        <w:tc>
          <w:tcPr>
            <w:tcW w:w="4918" w:type="dxa"/>
            <w:vAlign w:val="center"/>
          </w:tcPr>
          <w:p w:rsidR="001D5CD0" w:rsidRPr="0051626C" w:rsidRDefault="001D5CD0" w:rsidP="003F7026">
            <w:pPr>
              <w:autoSpaceDE w:val="0"/>
              <w:autoSpaceDN w:val="0"/>
              <w:adjustRightInd w:val="0"/>
              <w:spacing w:before="29" w:line="360" w:lineRule="auto"/>
              <w:ind w:left="15"/>
              <w:jc w:val="right"/>
              <w:rPr>
                <w:color w:val="000000" w:themeColor="text1"/>
                <w:kern w:val="0"/>
                <w:szCs w:val="21"/>
              </w:rPr>
            </w:pPr>
            <w:r w:rsidRPr="0051626C">
              <w:rPr>
                <w:color w:val="000000" w:themeColor="text1"/>
                <w:kern w:val="0"/>
                <w:szCs w:val="21"/>
              </w:rPr>
              <w:t>-</w:t>
            </w:r>
          </w:p>
        </w:tc>
      </w:tr>
      <w:tr w:rsidR="004264FD" w:rsidRPr="0051626C" w:rsidTr="00FF222E">
        <w:tc>
          <w:tcPr>
            <w:tcW w:w="1110" w:type="dxa"/>
            <w:vAlign w:val="center"/>
          </w:tcPr>
          <w:p w:rsidR="001D5CD0" w:rsidRPr="0051626C" w:rsidRDefault="001D5CD0" w:rsidP="00F22F9F">
            <w:pPr>
              <w:autoSpaceDE w:val="0"/>
              <w:autoSpaceDN w:val="0"/>
              <w:adjustRightInd w:val="0"/>
              <w:spacing w:before="29" w:line="360" w:lineRule="auto"/>
              <w:ind w:left="15"/>
              <w:jc w:val="center"/>
              <w:rPr>
                <w:color w:val="000000" w:themeColor="text1"/>
                <w:szCs w:val="21"/>
              </w:rPr>
            </w:pPr>
            <w:r w:rsidRPr="0051626C">
              <w:rPr>
                <w:color w:val="000000" w:themeColor="text1"/>
                <w:szCs w:val="21"/>
              </w:rPr>
              <w:t>2</w:t>
            </w:r>
          </w:p>
        </w:tc>
        <w:tc>
          <w:tcPr>
            <w:tcW w:w="2761" w:type="dxa"/>
            <w:vAlign w:val="center"/>
          </w:tcPr>
          <w:p w:rsidR="001D5CD0" w:rsidRPr="0051626C" w:rsidRDefault="001D5CD0" w:rsidP="00F22F9F">
            <w:pPr>
              <w:autoSpaceDE w:val="0"/>
              <w:autoSpaceDN w:val="0"/>
              <w:adjustRightInd w:val="0"/>
              <w:spacing w:before="29" w:line="360" w:lineRule="auto"/>
              <w:ind w:left="15"/>
              <w:jc w:val="left"/>
              <w:rPr>
                <w:color w:val="000000" w:themeColor="text1"/>
                <w:kern w:val="0"/>
                <w:szCs w:val="21"/>
              </w:rPr>
            </w:pPr>
            <w:r w:rsidRPr="0051626C">
              <w:rPr>
                <w:color w:val="000000" w:themeColor="text1"/>
                <w:kern w:val="0"/>
                <w:szCs w:val="21"/>
              </w:rPr>
              <w:t>应收证券清算款</w:t>
            </w:r>
          </w:p>
        </w:tc>
        <w:tc>
          <w:tcPr>
            <w:tcW w:w="4918" w:type="dxa"/>
            <w:vAlign w:val="center"/>
          </w:tcPr>
          <w:p w:rsidR="001D5CD0" w:rsidRPr="0051626C" w:rsidRDefault="001D5CD0" w:rsidP="003F7026">
            <w:pPr>
              <w:autoSpaceDE w:val="0"/>
              <w:autoSpaceDN w:val="0"/>
              <w:adjustRightInd w:val="0"/>
              <w:spacing w:before="29" w:line="360" w:lineRule="auto"/>
              <w:ind w:left="15"/>
              <w:jc w:val="right"/>
              <w:rPr>
                <w:color w:val="000000" w:themeColor="text1"/>
                <w:kern w:val="0"/>
                <w:szCs w:val="21"/>
              </w:rPr>
            </w:pPr>
            <w:r w:rsidRPr="0051626C">
              <w:rPr>
                <w:color w:val="000000" w:themeColor="text1"/>
                <w:kern w:val="0"/>
                <w:szCs w:val="21"/>
              </w:rPr>
              <w:t>-</w:t>
            </w:r>
          </w:p>
        </w:tc>
      </w:tr>
      <w:tr w:rsidR="004264FD" w:rsidRPr="0051626C" w:rsidTr="00FF222E">
        <w:tc>
          <w:tcPr>
            <w:tcW w:w="1110" w:type="dxa"/>
            <w:vAlign w:val="center"/>
          </w:tcPr>
          <w:p w:rsidR="001D5CD0" w:rsidRPr="0051626C" w:rsidRDefault="001D5CD0" w:rsidP="00F22F9F">
            <w:pPr>
              <w:autoSpaceDE w:val="0"/>
              <w:autoSpaceDN w:val="0"/>
              <w:adjustRightInd w:val="0"/>
              <w:spacing w:before="29" w:line="360" w:lineRule="auto"/>
              <w:ind w:left="15"/>
              <w:jc w:val="center"/>
              <w:rPr>
                <w:color w:val="000000" w:themeColor="text1"/>
                <w:szCs w:val="21"/>
              </w:rPr>
            </w:pPr>
            <w:r w:rsidRPr="0051626C">
              <w:rPr>
                <w:color w:val="000000" w:themeColor="text1"/>
                <w:szCs w:val="21"/>
              </w:rPr>
              <w:t>3</w:t>
            </w:r>
          </w:p>
        </w:tc>
        <w:tc>
          <w:tcPr>
            <w:tcW w:w="2761" w:type="dxa"/>
            <w:vAlign w:val="center"/>
          </w:tcPr>
          <w:p w:rsidR="001D5CD0" w:rsidRPr="0051626C" w:rsidRDefault="001D5CD0" w:rsidP="00F22F9F">
            <w:pPr>
              <w:autoSpaceDE w:val="0"/>
              <w:autoSpaceDN w:val="0"/>
              <w:adjustRightInd w:val="0"/>
              <w:spacing w:before="29" w:line="360" w:lineRule="auto"/>
              <w:ind w:left="15"/>
              <w:jc w:val="left"/>
              <w:rPr>
                <w:color w:val="000000" w:themeColor="text1"/>
                <w:kern w:val="0"/>
                <w:szCs w:val="21"/>
              </w:rPr>
            </w:pPr>
            <w:r w:rsidRPr="0051626C">
              <w:rPr>
                <w:color w:val="000000" w:themeColor="text1"/>
                <w:kern w:val="0"/>
                <w:szCs w:val="21"/>
              </w:rPr>
              <w:t>应收股利</w:t>
            </w:r>
          </w:p>
        </w:tc>
        <w:tc>
          <w:tcPr>
            <w:tcW w:w="4918" w:type="dxa"/>
            <w:vAlign w:val="center"/>
          </w:tcPr>
          <w:p w:rsidR="001D5CD0" w:rsidRPr="0051626C" w:rsidRDefault="001D5CD0" w:rsidP="003F7026">
            <w:pPr>
              <w:autoSpaceDE w:val="0"/>
              <w:autoSpaceDN w:val="0"/>
              <w:adjustRightInd w:val="0"/>
              <w:spacing w:before="29" w:line="360" w:lineRule="auto"/>
              <w:ind w:left="15"/>
              <w:jc w:val="right"/>
              <w:rPr>
                <w:color w:val="000000" w:themeColor="text1"/>
                <w:kern w:val="0"/>
                <w:szCs w:val="21"/>
              </w:rPr>
            </w:pPr>
            <w:r w:rsidRPr="0051626C">
              <w:rPr>
                <w:color w:val="000000" w:themeColor="text1"/>
                <w:kern w:val="0"/>
                <w:szCs w:val="21"/>
              </w:rPr>
              <w:t>-</w:t>
            </w:r>
          </w:p>
        </w:tc>
      </w:tr>
      <w:tr w:rsidR="004264FD" w:rsidRPr="0051626C" w:rsidTr="00FF222E">
        <w:tc>
          <w:tcPr>
            <w:tcW w:w="1110" w:type="dxa"/>
            <w:vAlign w:val="center"/>
          </w:tcPr>
          <w:p w:rsidR="001D5CD0" w:rsidRPr="0051626C" w:rsidRDefault="001D5CD0" w:rsidP="00F22F9F">
            <w:pPr>
              <w:autoSpaceDE w:val="0"/>
              <w:autoSpaceDN w:val="0"/>
              <w:adjustRightInd w:val="0"/>
              <w:spacing w:before="29" w:line="360" w:lineRule="auto"/>
              <w:ind w:left="15"/>
              <w:jc w:val="center"/>
              <w:rPr>
                <w:color w:val="000000" w:themeColor="text1"/>
                <w:szCs w:val="21"/>
              </w:rPr>
            </w:pPr>
            <w:r w:rsidRPr="0051626C">
              <w:rPr>
                <w:color w:val="000000" w:themeColor="text1"/>
                <w:szCs w:val="21"/>
              </w:rPr>
              <w:t>4</w:t>
            </w:r>
          </w:p>
        </w:tc>
        <w:tc>
          <w:tcPr>
            <w:tcW w:w="2761" w:type="dxa"/>
            <w:vAlign w:val="center"/>
          </w:tcPr>
          <w:p w:rsidR="001D5CD0" w:rsidRPr="0051626C" w:rsidRDefault="001D5CD0" w:rsidP="00F22F9F">
            <w:pPr>
              <w:autoSpaceDE w:val="0"/>
              <w:autoSpaceDN w:val="0"/>
              <w:adjustRightInd w:val="0"/>
              <w:spacing w:before="29" w:line="360" w:lineRule="auto"/>
              <w:ind w:left="15"/>
              <w:jc w:val="left"/>
              <w:rPr>
                <w:color w:val="000000" w:themeColor="text1"/>
                <w:kern w:val="0"/>
                <w:szCs w:val="21"/>
              </w:rPr>
            </w:pPr>
            <w:r w:rsidRPr="0051626C">
              <w:rPr>
                <w:color w:val="000000" w:themeColor="text1"/>
                <w:kern w:val="0"/>
                <w:szCs w:val="21"/>
              </w:rPr>
              <w:t>应收利息</w:t>
            </w:r>
          </w:p>
        </w:tc>
        <w:tc>
          <w:tcPr>
            <w:tcW w:w="4918" w:type="dxa"/>
            <w:vAlign w:val="center"/>
          </w:tcPr>
          <w:p w:rsidR="001D5CD0" w:rsidRPr="0051626C" w:rsidRDefault="001D5CD0" w:rsidP="003F7026">
            <w:pPr>
              <w:autoSpaceDE w:val="0"/>
              <w:autoSpaceDN w:val="0"/>
              <w:adjustRightInd w:val="0"/>
              <w:spacing w:before="29" w:line="360" w:lineRule="auto"/>
              <w:ind w:left="15"/>
              <w:jc w:val="right"/>
              <w:rPr>
                <w:color w:val="000000" w:themeColor="text1"/>
                <w:kern w:val="0"/>
                <w:szCs w:val="21"/>
              </w:rPr>
            </w:pPr>
            <w:r w:rsidRPr="0051626C">
              <w:rPr>
                <w:color w:val="000000" w:themeColor="text1"/>
                <w:kern w:val="0"/>
                <w:szCs w:val="21"/>
              </w:rPr>
              <w:t>23.97</w:t>
            </w:r>
          </w:p>
        </w:tc>
      </w:tr>
      <w:tr w:rsidR="004264FD" w:rsidRPr="0051626C" w:rsidTr="00FF222E">
        <w:tc>
          <w:tcPr>
            <w:tcW w:w="1110" w:type="dxa"/>
            <w:vAlign w:val="center"/>
          </w:tcPr>
          <w:p w:rsidR="001D5CD0" w:rsidRPr="0051626C" w:rsidRDefault="001D5CD0" w:rsidP="00F22F9F">
            <w:pPr>
              <w:autoSpaceDE w:val="0"/>
              <w:autoSpaceDN w:val="0"/>
              <w:adjustRightInd w:val="0"/>
              <w:spacing w:before="29" w:line="360" w:lineRule="auto"/>
              <w:ind w:left="15"/>
              <w:jc w:val="center"/>
              <w:rPr>
                <w:color w:val="000000" w:themeColor="text1"/>
                <w:szCs w:val="21"/>
              </w:rPr>
            </w:pPr>
            <w:r w:rsidRPr="0051626C">
              <w:rPr>
                <w:color w:val="000000" w:themeColor="text1"/>
                <w:szCs w:val="21"/>
              </w:rPr>
              <w:t>5</w:t>
            </w:r>
          </w:p>
        </w:tc>
        <w:tc>
          <w:tcPr>
            <w:tcW w:w="2761" w:type="dxa"/>
            <w:vAlign w:val="center"/>
          </w:tcPr>
          <w:p w:rsidR="001D5CD0" w:rsidRPr="0051626C" w:rsidRDefault="001D5CD0" w:rsidP="00F22F9F">
            <w:pPr>
              <w:autoSpaceDE w:val="0"/>
              <w:autoSpaceDN w:val="0"/>
              <w:adjustRightInd w:val="0"/>
              <w:spacing w:before="29" w:line="360" w:lineRule="auto"/>
              <w:ind w:left="15"/>
              <w:jc w:val="left"/>
              <w:rPr>
                <w:color w:val="000000" w:themeColor="text1"/>
                <w:kern w:val="0"/>
                <w:szCs w:val="21"/>
              </w:rPr>
            </w:pPr>
            <w:r w:rsidRPr="0051626C">
              <w:rPr>
                <w:color w:val="000000" w:themeColor="text1"/>
                <w:kern w:val="0"/>
                <w:szCs w:val="21"/>
              </w:rPr>
              <w:t>应收申购款</w:t>
            </w:r>
          </w:p>
        </w:tc>
        <w:tc>
          <w:tcPr>
            <w:tcW w:w="4918" w:type="dxa"/>
            <w:vAlign w:val="center"/>
          </w:tcPr>
          <w:p w:rsidR="001D5CD0" w:rsidRPr="0051626C" w:rsidRDefault="001D5CD0" w:rsidP="003F7026">
            <w:pPr>
              <w:autoSpaceDE w:val="0"/>
              <w:autoSpaceDN w:val="0"/>
              <w:adjustRightInd w:val="0"/>
              <w:spacing w:before="29" w:line="360" w:lineRule="auto"/>
              <w:ind w:left="15"/>
              <w:jc w:val="right"/>
              <w:rPr>
                <w:color w:val="000000" w:themeColor="text1"/>
                <w:kern w:val="0"/>
                <w:szCs w:val="21"/>
              </w:rPr>
            </w:pPr>
            <w:r w:rsidRPr="0051626C">
              <w:rPr>
                <w:color w:val="000000" w:themeColor="text1"/>
                <w:kern w:val="0"/>
                <w:szCs w:val="21"/>
              </w:rPr>
              <w:t>-</w:t>
            </w:r>
          </w:p>
        </w:tc>
      </w:tr>
      <w:tr w:rsidR="004264FD" w:rsidRPr="0051626C" w:rsidTr="00FF222E">
        <w:tc>
          <w:tcPr>
            <w:tcW w:w="1110" w:type="dxa"/>
            <w:vAlign w:val="center"/>
          </w:tcPr>
          <w:p w:rsidR="001D5CD0" w:rsidRPr="0051626C" w:rsidRDefault="001D5CD0" w:rsidP="00F22F9F">
            <w:pPr>
              <w:autoSpaceDE w:val="0"/>
              <w:autoSpaceDN w:val="0"/>
              <w:adjustRightInd w:val="0"/>
              <w:spacing w:before="29" w:line="360" w:lineRule="auto"/>
              <w:ind w:left="15"/>
              <w:jc w:val="center"/>
              <w:rPr>
                <w:color w:val="000000" w:themeColor="text1"/>
                <w:szCs w:val="21"/>
              </w:rPr>
            </w:pPr>
            <w:r w:rsidRPr="0051626C">
              <w:rPr>
                <w:color w:val="000000" w:themeColor="text1"/>
                <w:szCs w:val="21"/>
              </w:rPr>
              <w:t>6</w:t>
            </w:r>
          </w:p>
        </w:tc>
        <w:tc>
          <w:tcPr>
            <w:tcW w:w="2761" w:type="dxa"/>
            <w:vAlign w:val="center"/>
          </w:tcPr>
          <w:p w:rsidR="001D5CD0" w:rsidRPr="0051626C" w:rsidRDefault="001D5CD0" w:rsidP="00F22F9F">
            <w:pPr>
              <w:autoSpaceDE w:val="0"/>
              <w:autoSpaceDN w:val="0"/>
              <w:adjustRightInd w:val="0"/>
              <w:spacing w:before="29" w:line="360" w:lineRule="auto"/>
              <w:ind w:left="15"/>
              <w:jc w:val="left"/>
              <w:rPr>
                <w:color w:val="000000" w:themeColor="text1"/>
                <w:kern w:val="0"/>
                <w:szCs w:val="21"/>
              </w:rPr>
            </w:pPr>
            <w:r w:rsidRPr="0051626C">
              <w:rPr>
                <w:color w:val="000000" w:themeColor="text1"/>
                <w:kern w:val="0"/>
                <w:szCs w:val="21"/>
              </w:rPr>
              <w:t>其他应收款</w:t>
            </w:r>
          </w:p>
        </w:tc>
        <w:tc>
          <w:tcPr>
            <w:tcW w:w="4918" w:type="dxa"/>
            <w:vAlign w:val="center"/>
          </w:tcPr>
          <w:p w:rsidR="001D5CD0" w:rsidRPr="0051626C" w:rsidRDefault="001D5CD0" w:rsidP="003F7026">
            <w:pPr>
              <w:autoSpaceDE w:val="0"/>
              <w:autoSpaceDN w:val="0"/>
              <w:adjustRightInd w:val="0"/>
              <w:spacing w:before="29" w:line="360" w:lineRule="auto"/>
              <w:ind w:left="15"/>
              <w:jc w:val="right"/>
              <w:rPr>
                <w:color w:val="000000" w:themeColor="text1"/>
                <w:kern w:val="0"/>
                <w:szCs w:val="21"/>
              </w:rPr>
            </w:pPr>
            <w:r w:rsidRPr="0051626C">
              <w:rPr>
                <w:color w:val="000000" w:themeColor="text1"/>
                <w:kern w:val="0"/>
                <w:szCs w:val="21"/>
              </w:rPr>
              <w:t>-</w:t>
            </w:r>
          </w:p>
        </w:tc>
      </w:tr>
      <w:tr w:rsidR="004264FD" w:rsidRPr="0051626C" w:rsidTr="00FF222E">
        <w:tc>
          <w:tcPr>
            <w:tcW w:w="1110" w:type="dxa"/>
            <w:vAlign w:val="center"/>
          </w:tcPr>
          <w:p w:rsidR="001D5CD0" w:rsidRPr="0051626C" w:rsidRDefault="001D5CD0" w:rsidP="00F22F9F">
            <w:pPr>
              <w:autoSpaceDE w:val="0"/>
              <w:autoSpaceDN w:val="0"/>
              <w:adjustRightInd w:val="0"/>
              <w:spacing w:before="29" w:line="360" w:lineRule="auto"/>
              <w:ind w:left="15"/>
              <w:jc w:val="center"/>
              <w:rPr>
                <w:color w:val="000000" w:themeColor="text1"/>
                <w:szCs w:val="21"/>
              </w:rPr>
            </w:pPr>
            <w:r w:rsidRPr="0051626C">
              <w:rPr>
                <w:color w:val="000000" w:themeColor="text1"/>
                <w:szCs w:val="21"/>
              </w:rPr>
              <w:t>7</w:t>
            </w:r>
          </w:p>
        </w:tc>
        <w:tc>
          <w:tcPr>
            <w:tcW w:w="2761" w:type="dxa"/>
            <w:vAlign w:val="center"/>
          </w:tcPr>
          <w:p w:rsidR="001D5CD0" w:rsidRPr="0051626C" w:rsidRDefault="001D5CD0" w:rsidP="00F22F9F">
            <w:pPr>
              <w:autoSpaceDE w:val="0"/>
              <w:autoSpaceDN w:val="0"/>
              <w:adjustRightInd w:val="0"/>
              <w:spacing w:before="29" w:line="360" w:lineRule="auto"/>
              <w:ind w:left="15"/>
              <w:jc w:val="left"/>
              <w:rPr>
                <w:color w:val="000000" w:themeColor="text1"/>
                <w:szCs w:val="21"/>
              </w:rPr>
            </w:pPr>
            <w:r w:rsidRPr="0051626C">
              <w:rPr>
                <w:color w:val="000000" w:themeColor="text1"/>
                <w:szCs w:val="21"/>
              </w:rPr>
              <w:t>待摊费用</w:t>
            </w:r>
          </w:p>
        </w:tc>
        <w:tc>
          <w:tcPr>
            <w:tcW w:w="4918" w:type="dxa"/>
            <w:vAlign w:val="center"/>
          </w:tcPr>
          <w:p w:rsidR="001D5CD0" w:rsidRPr="0051626C" w:rsidRDefault="001D5CD0" w:rsidP="003F7026">
            <w:pPr>
              <w:autoSpaceDE w:val="0"/>
              <w:autoSpaceDN w:val="0"/>
              <w:adjustRightInd w:val="0"/>
              <w:spacing w:before="29" w:line="360" w:lineRule="auto"/>
              <w:ind w:left="15"/>
              <w:jc w:val="right"/>
              <w:rPr>
                <w:color w:val="000000" w:themeColor="text1"/>
                <w:szCs w:val="21"/>
              </w:rPr>
            </w:pPr>
            <w:r w:rsidRPr="0051626C">
              <w:rPr>
                <w:color w:val="000000" w:themeColor="text1"/>
                <w:szCs w:val="21"/>
              </w:rPr>
              <w:t>-</w:t>
            </w:r>
          </w:p>
        </w:tc>
      </w:tr>
      <w:tr w:rsidR="004264FD" w:rsidRPr="0051626C" w:rsidTr="00FF222E">
        <w:tc>
          <w:tcPr>
            <w:tcW w:w="1110" w:type="dxa"/>
            <w:vAlign w:val="center"/>
          </w:tcPr>
          <w:p w:rsidR="001D5CD0" w:rsidRPr="0051626C" w:rsidRDefault="001D5CD0" w:rsidP="00F22F9F">
            <w:pPr>
              <w:autoSpaceDE w:val="0"/>
              <w:autoSpaceDN w:val="0"/>
              <w:adjustRightInd w:val="0"/>
              <w:spacing w:before="29" w:line="360" w:lineRule="auto"/>
              <w:ind w:left="15"/>
              <w:jc w:val="center"/>
              <w:rPr>
                <w:color w:val="000000" w:themeColor="text1"/>
                <w:szCs w:val="21"/>
              </w:rPr>
            </w:pPr>
            <w:r w:rsidRPr="0051626C">
              <w:rPr>
                <w:color w:val="000000" w:themeColor="text1"/>
                <w:szCs w:val="21"/>
              </w:rPr>
              <w:t>8</w:t>
            </w:r>
          </w:p>
        </w:tc>
        <w:tc>
          <w:tcPr>
            <w:tcW w:w="2761" w:type="dxa"/>
            <w:vAlign w:val="center"/>
          </w:tcPr>
          <w:p w:rsidR="001D5CD0" w:rsidRPr="0051626C" w:rsidRDefault="001D5CD0" w:rsidP="00F22F9F">
            <w:pPr>
              <w:autoSpaceDE w:val="0"/>
              <w:autoSpaceDN w:val="0"/>
              <w:adjustRightInd w:val="0"/>
              <w:spacing w:before="29" w:line="360" w:lineRule="auto"/>
              <w:ind w:left="15"/>
              <w:jc w:val="left"/>
              <w:rPr>
                <w:color w:val="000000" w:themeColor="text1"/>
                <w:kern w:val="0"/>
                <w:szCs w:val="21"/>
              </w:rPr>
            </w:pPr>
            <w:r w:rsidRPr="0051626C">
              <w:rPr>
                <w:color w:val="000000" w:themeColor="text1"/>
                <w:kern w:val="0"/>
                <w:szCs w:val="21"/>
              </w:rPr>
              <w:t>其他</w:t>
            </w:r>
          </w:p>
        </w:tc>
        <w:tc>
          <w:tcPr>
            <w:tcW w:w="4918" w:type="dxa"/>
            <w:vAlign w:val="center"/>
          </w:tcPr>
          <w:p w:rsidR="001D5CD0" w:rsidRPr="0051626C" w:rsidRDefault="001D5CD0" w:rsidP="00F22F9F">
            <w:pPr>
              <w:autoSpaceDE w:val="0"/>
              <w:autoSpaceDN w:val="0"/>
              <w:adjustRightInd w:val="0"/>
              <w:spacing w:before="29" w:line="360" w:lineRule="auto"/>
              <w:ind w:left="15"/>
              <w:jc w:val="right"/>
              <w:rPr>
                <w:color w:val="000000" w:themeColor="text1"/>
                <w:kern w:val="0"/>
                <w:szCs w:val="21"/>
              </w:rPr>
            </w:pPr>
            <w:r w:rsidRPr="0051626C">
              <w:rPr>
                <w:color w:val="000000" w:themeColor="text1"/>
                <w:kern w:val="0"/>
                <w:szCs w:val="21"/>
              </w:rPr>
              <w:t>-</w:t>
            </w:r>
          </w:p>
        </w:tc>
      </w:tr>
      <w:tr w:rsidR="004264FD" w:rsidRPr="0051626C" w:rsidTr="00FF222E">
        <w:tc>
          <w:tcPr>
            <w:tcW w:w="1110" w:type="dxa"/>
            <w:vAlign w:val="center"/>
          </w:tcPr>
          <w:p w:rsidR="001D5CD0" w:rsidRPr="0051626C" w:rsidRDefault="001D5CD0" w:rsidP="00F22F9F">
            <w:pPr>
              <w:autoSpaceDE w:val="0"/>
              <w:autoSpaceDN w:val="0"/>
              <w:adjustRightInd w:val="0"/>
              <w:spacing w:before="29" w:line="360" w:lineRule="auto"/>
              <w:ind w:left="15"/>
              <w:jc w:val="center"/>
              <w:rPr>
                <w:color w:val="000000" w:themeColor="text1"/>
                <w:szCs w:val="21"/>
              </w:rPr>
            </w:pPr>
            <w:r w:rsidRPr="0051626C">
              <w:rPr>
                <w:color w:val="000000" w:themeColor="text1"/>
                <w:szCs w:val="21"/>
              </w:rPr>
              <w:t>9</w:t>
            </w:r>
          </w:p>
        </w:tc>
        <w:tc>
          <w:tcPr>
            <w:tcW w:w="2761" w:type="dxa"/>
            <w:vAlign w:val="center"/>
          </w:tcPr>
          <w:p w:rsidR="001D5CD0" w:rsidRPr="0051626C" w:rsidRDefault="001D5CD0" w:rsidP="00F22F9F">
            <w:pPr>
              <w:autoSpaceDE w:val="0"/>
              <w:autoSpaceDN w:val="0"/>
              <w:adjustRightInd w:val="0"/>
              <w:spacing w:before="29" w:line="360" w:lineRule="auto"/>
              <w:ind w:left="15"/>
              <w:jc w:val="left"/>
              <w:rPr>
                <w:color w:val="000000" w:themeColor="text1"/>
                <w:kern w:val="0"/>
                <w:szCs w:val="21"/>
              </w:rPr>
            </w:pPr>
            <w:r w:rsidRPr="0051626C">
              <w:rPr>
                <w:color w:val="000000" w:themeColor="text1"/>
                <w:kern w:val="0"/>
                <w:szCs w:val="21"/>
              </w:rPr>
              <w:t>合计</w:t>
            </w:r>
          </w:p>
        </w:tc>
        <w:tc>
          <w:tcPr>
            <w:tcW w:w="4918" w:type="dxa"/>
            <w:vAlign w:val="center"/>
          </w:tcPr>
          <w:p w:rsidR="001D5CD0" w:rsidRPr="0051626C" w:rsidRDefault="001D5CD0" w:rsidP="00F22F9F">
            <w:pPr>
              <w:autoSpaceDE w:val="0"/>
              <w:autoSpaceDN w:val="0"/>
              <w:adjustRightInd w:val="0"/>
              <w:spacing w:before="29" w:line="360" w:lineRule="auto"/>
              <w:ind w:left="15"/>
              <w:jc w:val="right"/>
              <w:rPr>
                <w:color w:val="000000" w:themeColor="text1"/>
                <w:kern w:val="0"/>
                <w:szCs w:val="21"/>
              </w:rPr>
            </w:pPr>
            <w:r w:rsidRPr="0051626C">
              <w:rPr>
                <w:color w:val="000000" w:themeColor="text1"/>
                <w:kern w:val="0"/>
                <w:szCs w:val="21"/>
              </w:rPr>
              <w:t>23.97</w:t>
            </w:r>
          </w:p>
        </w:tc>
      </w:tr>
    </w:tbl>
    <w:p w:rsidR="001D5CD0" w:rsidRPr="0051626C" w:rsidRDefault="001D5CD0" w:rsidP="00284023">
      <w:pPr>
        <w:autoSpaceDE w:val="0"/>
        <w:autoSpaceDN w:val="0"/>
        <w:adjustRightInd w:val="0"/>
        <w:spacing w:line="360" w:lineRule="auto"/>
        <w:jc w:val="left"/>
        <w:rPr>
          <w:color w:val="000000"/>
          <w:szCs w:val="21"/>
        </w:rPr>
      </w:pPr>
      <w:r w:rsidRPr="0051626C">
        <w:rPr>
          <w:color w:val="000000"/>
          <w:szCs w:val="21"/>
        </w:rPr>
        <w:t>5.11.4</w:t>
      </w:r>
      <w:r w:rsidRPr="0051626C">
        <w:rPr>
          <w:color w:val="000000"/>
          <w:szCs w:val="21"/>
        </w:rPr>
        <w:t>报告期末持有的处于转股期的可转换债券明细</w:t>
      </w:r>
    </w:p>
    <w:p w:rsidR="001D5CD0" w:rsidRPr="00A1399F" w:rsidRDefault="001D5CD0" w:rsidP="00A1399F">
      <w:pPr>
        <w:pStyle w:val="12"/>
        <w:spacing w:line="360" w:lineRule="auto"/>
        <w:ind w:firstLine="420"/>
        <w:jc w:val="left"/>
        <w:rPr>
          <w:szCs w:val="21"/>
        </w:rPr>
      </w:pPr>
      <w:r w:rsidRPr="00A1399F">
        <w:rPr>
          <w:szCs w:val="21"/>
        </w:rPr>
        <w:t>本基金本报告期末未持有处于转股期的可转换债券。</w:t>
      </w:r>
    </w:p>
    <w:p w:rsidR="001D5CD0" w:rsidRPr="0051626C" w:rsidRDefault="001D5CD0" w:rsidP="00284023">
      <w:pPr>
        <w:autoSpaceDE w:val="0"/>
        <w:autoSpaceDN w:val="0"/>
        <w:adjustRightInd w:val="0"/>
        <w:spacing w:line="360" w:lineRule="auto"/>
        <w:jc w:val="left"/>
        <w:rPr>
          <w:color w:val="000000"/>
          <w:szCs w:val="21"/>
        </w:rPr>
      </w:pPr>
      <w:r w:rsidRPr="0051626C">
        <w:rPr>
          <w:color w:val="000000"/>
          <w:szCs w:val="21"/>
        </w:rPr>
        <w:t>5.11.5</w:t>
      </w:r>
      <w:r w:rsidRPr="0051626C">
        <w:rPr>
          <w:color w:val="000000"/>
          <w:szCs w:val="21"/>
        </w:rPr>
        <w:t>报告期末前十名股票中存在流通受限情况的说明</w:t>
      </w:r>
    </w:p>
    <w:p w:rsidR="001D5CD0" w:rsidRPr="00A1399F" w:rsidRDefault="001D5CD0" w:rsidP="00A1399F">
      <w:pPr>
        <w:pStyle w:val="12"/>
        <w:spacing w:line="360" w:lineRule="auto"/>
        <w:ind w:firstLine="420"/>
        <w:jc w:val="left"/>
        <w:rPr>
          <w:szCs w:val="21"/>
        </w:rPr>
      </w:pPr>
      <w:r w:rsidRPr="00A1399F">
        <w:rPr>
          <w:szCs w:val="21"/>
        </w:rPr>
        <w:t>本基金本报告期末未持有股票。</w:t>
      </w:r>
    </w:p>
    <w:p w:rsidR="001D5CD0" w:rsidRPr="0051626C" w:rsidRDefault="001D5CD0" w:rsidP="00284023">
      <w:pPr>
        <w:autoSpaceDE w:val="0"/>
        <w:autoSpaceDN w:val="0"/>
        <w:adjustRightInd w:val="0"/>
        <w:spacing w:line="360" w:lineRule="auto"/>
        <w:jc w:val="left"/>
        <w:rPr>
          <w:color w:val="000000"/>
          <w:szCs w:val="21"/>
        </w:rPr>
      </w:pPr>
      <w:r w:rsidRPr="0051626C">
        <w:rPr>
          <w:color w:val="000000"/>
          <w:szCs w:val="21"/>
        </w:rPr>
        <w:t>5.11.6</w:t>
      </w:r>
      <w:r w:rsidRPr="0051626C">
        <w:rPr>
          <w:color w:val="000000"/>
          <w:szCs w:val="21"/>
        </w:rPr>
        <w:t>投资组合报告附注的其他文字描述部分</w:t>
      </w:r>
    </w:p>
    <w:p w:rsidR="001D5CD0" w:rsidRPr="00A1399F" w:rsidRDefault="001D5CD0" w:rsidP="00A1399F">
      <w:pPr>
        <w:pStyle w:val="12"/>
        <w:spacing w:line="360" w:lineRule="auto"/>
        <w:ind w:firstLine="420"/>
        <w:jc w:val="left"/>
        <w:rPr>
          <w:szCs w:val="21"/>
        </w:rPr>
      </w:pPr>
      <w:r w:rsidRPr="00A1399F">
        <w:rPr>
          <w:szCs w:val="21"/>
        </w:rPr>
        <w:t>由于四舍五入的原因，分项之和与合计项之间可能存在尾差。</w:t>
      </w:r>
    </w:p>
    <w:p w:rsidR="009238DB" w:rsidRPr="0051626C" w:rsidRDefault="00473A6F" w:rsidP="00973780">
      <w:pPr>
        <w:pStyle w:val="2"/>
        <w:spacing w:before="0" w:after="0" w:line="416" w:lineRule="auto"/>
        <w:jc w:val="center"/>
        <w:rPr>
          <w:rStyle w:val="2CharCharChar"/>
          <w:rFonts w:ascii="Times New Roman" w:hAnsi="Times New Roman" w:cs="Times New Roman"/>
          <w:b/>
          <w:szCs w:val="24"/>
        </w:rPr>
      </w:pPr>
      <w:r w:rsidRPr="0051626C">
        <w:rPr>
          <w:rStyle w:val="2CharCharChar"/>
          <w:rFonts w:ascii="Times New Roman" w:hAnsi="Times New Roman" w:cs="Times New Roman"/>
          <w:b/>
          <w:szCs w:val="24"/>
        </w:rPr>
        <w:t xml:space="preserve">§6 </w:t>
      </w:r>
      <w:r w:rsidR="009238DB" w:rsidRPr="0051626C">
        <w:rPr>
          <w:rStyle w:val="2CharCharChar"/>
          <w:rFonts w:ascii="Times New Roman" w:hAnsi="Times New Roman" w:cs="Times New Roman"/>
          <w:b/>
          <w:szCs w:val="24"/>
        </w:rPr>
        <w:t>开放式基金份额变动</w:t>
      </w:r>
    </w:p>
    <w:p w:rsidR="009238DB" w:rsidRPr="0051626C" w:rsidRDefault="009238DB" w:rsidP="001A4F47">
      <w:pPr>
        <w:pStyle w:val="12"/>
        <w:wordWrap w:val="0"/>
        <w:autoSpaceDE w:val="0"/>
        <w:autoSpaceDN w:val="0"/>
        <w:adjustRightInd w:val="0"/>
        <w:spacing w:line="360" w:lineRule="auto"/>
        <w:jc w:val="right"/>
        <w:rPr>
          <w:bCs/>
          <w:color w:val="000000"/>
          <w:szCs w:val="21"/>
        </w:rPr>
      </w:pPr>
      <w:r w:rsidRPr="0051626C">
        <w:rPr>
          <w:bCs/>
          <w:color w:val="000000"/>
          <w:szCs w:val="21"/>
        </w:rPr>
        <w:t>单位：份</w:t>
      </w:r>
    </w:p>
    <w:tbl>
      <w:tblPr>
        <w:tblW w:w="0" w:type="auto"/>
        <w:tblInd w:w="108" w:type="dxa"/>
        <w:tblLayout w:type="fixed"/>
        <w:tblLook w:val="0000"/>
      </w:tblPr>
      <w:tblGrid>
        <w:gridCol w:w="3900"/>
        <w:gridCol w:w="2367"/>
        <w:gridCol w:w="2522"/>
      </w:tblGrid>
      <w:tr w:rsidR="004264FD" w:rsidRPr="0051626C" w:rsidTr="005E5BE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51626C" w:rsidRDefault="00936D40" w:rsidP="00B84643">
            <w:pPr>
              <w:autoSpaceDE w:val="0"/>
              <w:autoSpaceDN w:val="0"/>
              <w:adjustRightInd w:val="0"/>
              <w:spacing w:before="29" w:line="360" w:lineRule="auto"/>
              <w:ind w:left="17"/>
              <w:jc w:val="center"/>
              <w:rPr>
                <w:color w:val="000000" w:themeColor="text1"/>
                <w:kern w:val="0"/>
                <w:szCs w:val="21"/>
              </w:rPr>
            </w:pPr>
            <w:r w:rsidRPr="0051626C">
              <w:rPr>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51626C" w:rsidRDefault="0042785F" w:rsidP="005E5BE8">
            <w:pPr>
              <w:autoSpaceDE w:val="0"/>
              <w:autoSpaceDN w:val="0"/>
              <w:adjustRightInd w:val="0"/>
              <w:spacing w:before="29" w:line="360" w:lineRule="auto"/>
              <w:ind w:left="17"/>
              <w:jc w:val="center"/>
              <w:rPr>
                <w:color w:val="000000" w:themeColor="text1"/>
                <w:szCs w:val="21"/>
              </w:rPr>
            </w:pPr>
            <w:r w:rsidRPr="0051626C">
              <w:rPr>
                <w:color w:val="000000" w:themeColor="text1"/>
                <w:szCs w:val="21"/>
              </w:rPr>
              <w:t>华夏鼎益债券</w:t>
            </w:r>
            <w:r w:rsidRPr="0051626C">
              <w:rPr>
                <w:color w:val="000000" w:themeColor="text1"/>
                <w:szCs w:val="21"/>
              </w:rPr>
              <w:t>A</w:t>
            </w:r>
          </w:p>
        </w:tc>
        <w:tc>
          <w:tcPr>
            <w:tcW w:w="2522" w:type="dxa"/>
            <w:tcBorders>
              <w:top w:val="single" w:sz="8" w:space="0" w:color="000000"/>
              <w:left w:val="single" w:sz="8" w:space="0" w:color="000000"/>
              <w:bottom w:val="single" w:sz="8" w:space="0" w:color="000000"/>
              <w:right w:val="single" w:sz="8" w:space="0" w:color="000000"/>
            </w:tcBorders>
            <w:vAlign w:val="center"/>
          </w:tcPr>
          <w:p w:rsidR="00936D40" w:rsidRPr="0051626C" w:rsidRDefault="0042785F" w:rsidP="005E5BE8">
            <w:pPr>
              <w:autoSpaceDE w:val="0"/>
              <w:autoSpaceDN w:val="0"/>
              <w:adjustRightInd w:val="0"/>
              <w:spacing w:before="29" w:line="360" w:lineRule="auto"/>
              <w:ind w:left="17"/>
              <w:jc w:val="center"/>
              <w:rPr>
                <w:color w:val="000000" w:themeColor="text1"/>
                <w:szCs w:val="21"/>
              </w:rPr>
            </w:pPr>
            <w:r w:rsidRPr="0051626C">
              <w:rPr>
                <w:color w:val="000000" w:themeColor="text1"/>
                <w:szCs w:val="21"/>
              </w:rPr>
              <w:t>华夏鼎益债券</w:t>
            </w:r>
            <w:r w:rsidRPr="0051626C">
              <w:rPr>
                <w:color w:val="000000" w:themeColor="text1"/>
                <w:szCs w:val="21"/>
              </w:rPr>
              <w:t>I</w:t>
            </w:r>
          </w:p>
        </w:tc>
      </w:tr>
      <w:tr w:rsidR="004264FD" w:rsidRPr="0051626C" w:rsidTr="005E5BE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51626C" w:rsidRDefault="00936D40" w:rsidP="00A1276C">
            <w:pPr>
              <w:autoSpaceDE w:val="0"/>
              <w:autoSpaceDN w:val="0"/>
              <w:adjustRightInd w:val="0"/>
              <w:spacing w:before="29" w:line="360" w:lineRule="auto"/>
              <w:ind w:left="17"/>
              <w:jc w:val="left"/>
              <w:rPr>
                <w:color w:val="000000" w:themeColor="text1"/>
                <w:kern w:val="0"/>
                <w:szCs w:val="21"/>
              </w:rPr>
            </w:pPr>
            <w:r w:rsidRPr="0051626C">
              <w:rPr>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51626C" w:rsidRDefault="0042785F" w:rsidP="005E5BE8">
            <w:pPr>
              <w:autoSpaceDE w:val="0"/>
              <w:autoSpaceDN w:val="0"/>
              <w:adjustRightInd w:val="0"/>
              <w:spacing w:before="29" w:line="360" w:lineRule="auto"/>
              <w:ind w:left="17"/>
              <w:jc w:val="right"/>
              <w:rPr>
                <w:color w:val="000000" w:themeColor="text1"/>
                <w:szCs w:val="21"/>
              </w:rPr>
            </w:pPr>
            <w:r w:rsidRPr="0051626C">
              <w:rPr>
                <w:color w:val="000000" w:themeColor="text1"/>
                <w:szCs w:val="21"/>
              </w:rPr>
              <w:t>2,203,440.68</w:t>
            </w:r>
          </w:p>
        </w:tc>
        <w:tc>
          <w:tcPr>
            <w:tcW w:w="2522" w:type="dxa"/>
            <w:tcBorders>
              <w:top w:val="single" w:sz="8" w:space="0" w:color="000000"/>
              <w:left w:val="single" w:sz="8" w:space="0" w:color="000000"/>
              <w:bottom w:val="single" w:sz="8" w:space="0" w:color="000000"/>
              <w:right w:val="single" w:sz="8" w:space="0" w:color="000000"/>
            </w:tcBorders>
            <w:vAlign w:val="center"/>
          </w:tcPr>
          <w:p w:rsidR="00936D40" w:rsidRPr="0051626C" w:rsidRDefault="0042785F" w:rsidP="005E5BE8">
            <w:pPr>
              <w:autoSpaceDE w:val="0"/>
              <w:autoSpaceDN w:val="0"/>
              <w:adjustRightInd w:val="0"/>
              <w:spacing w:before="29" w:line="360" w:lineRule="auto"/>
              <w:ind w:left="17"/>
              <w:jc w:val="right"/>
              <w:rPr>
                <w:color w:val="000000" w:themeColor="text1"/>
                <w:szCs w:val="21"/>
              </w:rPr>
            </w:pPr>
            <w:r w:rsidRPr="0051626C">
              <w:rPr>
                <w:color w:val="000000" w:themeColor="text1"/>
                <w:szCs w:val="21"/>
              </w:rPr>
              <w:t>-</w:t>
            </w:r>
          </w:p>
        </w:tc>
      </w:tr>
      <w:tr w:rsidR="004264FD" w:rsidRPr="0051626C" w:rsidTr="005E5BE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51626C" w:rsidRDefault="00F72579" w:rsidP="00A1276C">
            <w:pPr>
              <w:autoSpaceDE w:val="0"/>
              <w:autoSpaceDN w:val="0"/>
              <w:adjustRightInd w:val="0"/>
              <w:spacing w:before="29" w:line="360" w:lineRule="auto"/>
              <w:ind w:left="17"/>
              <w:jc w:val="left"/>
              <w:rPr>
                <w:color w:val="000000" w:themeColor="text1"/>
                <w:kern w:val="0"/>
                <w:szCs w:val="21"/>
              </w:rPr>
            </w:pPr>
            <w:r w:rsidRPr="0051626C">
              <w:rPr>
                <w:color w:val="000000" w:themeColor="text1"/>
                <w:kern w:val="0"/>
                <w:szCs w:val="21"/>
              </w:rPr>
              <w:t>报告期</w:t>
            </w:r>
            <w:r w:rsidR="00936D40" w:rsidRPr="0051626C">
              <w:rPr>
                <w:color w:val="000000" w:themeColor="text1"/>
                <w:kern w:val="0"/>
                <w:szCs w:val="21"/>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51626C" w:rsidRDefault="0042785F" w:rsidP="005E5BE8">
            <w:pPr>
              <w:autoSpaceDE w:val="0"/>
              <w:autoSpaceDN w:val="0"/>
              <w:adjustRightInd w:val="0"/>
              <w:spacing w:before="29" w:line="360" w:lineRule="auto"/>
              <w:ind w:left="17"/>
              <w:jc w:val="right"/>
              <w:rPr>
                <w:color w:val="000000" w:themeColor="text1"/>
                <w:szCs w:val="21"/>
              </w:rPr>
            </w:pPr>
            <w:r w:rsidRPr="0051626C">
              <w:rPr>
                <w:color w:val="000000" w:themeColor="text1"/>
                <w:szCs w:val="21"/>
              </w:rPr>
              <w:t>78,999.55</w:t>
            </w:r>
          </w:p>
        </w:tc>
        <w:tc>
          <w:tcPr>
            <w:tcW w:w="2522" w:type="dxa"/>
            <w:tcBorders>
              <w:top w:val="single" w:sz="8" w:space="0" w:color="000000"/>
              <w:left w:val="single" w:sz="8" w:space="0" w:color="000000"/>
              <w:bottom w:val="single" w:sz="8" w:space="0" w:color="000000"/>
              <w:right w:val="single" w:sz="8" w:space="0" w:color="000000"/>
            </w:tcBorders>
            <w:vAlign w:val="center"/>
          </w:tcPr>
          <w:p w:rsidR="00936D40" w:rsidRPr="0051626C" w:rsidRDefault="0042785F" w:rsidP="005E5BE8">
            <w:pPr>
              <w:autoSpaceDE w:val="0"/>
              <w:autoSpaceDN w:val="0"/>
              <w:adjustRightInd w:val="0"/>
              <w:spacing w:before="29" w:line="360" w:lineRule="auto"/>
              <w:ind w:left="17"/>
              <w:jc w:val="right"/>
              <w:rPr>
                <w:color w:val="000000" w:themeColor="text1"/>
                <w:szCs w:val="21"/>
              </w:rPr>
            </w:pPr>
            <w:r w:rsidRPr="0051626C">
              <w:rPr>
                <w:color w:val="000000" w:themeColor="text1"/>
                <w:szCs w:val="21"/>
              </w:rPr>
              <w:t>-</w:t>
            </w:r>
          </w:p>
        </w:tc>
      </w:tr>
      <w:tr w:rsidR="004264FD" w:rsidRPr="0051626C" w:rsidTr="005E5BE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51626C" w:rsidRDefault="00936D40" w:rsidP="00A1276C">
            <w:pPr>
              <w:autoSpaceDE w:val="0"/>
              <w:autoSpaceDN w:val="0"/>
              <w:adjustRightInd w:val="0"/>
              <w:spacing w:before="29" w:line="360" w:lineRule="auto"/>
              <w:ind w:left="17"/>
              <w:jc w:val="left"/>
              <w:rPr>
                <w:color w:val="000000" w:themeColor="text1"/>
                <w:kern w:val="0"/>
                <w:szCs w:val="21"/>
              </w:rPr>
            </w:pPr>
            <w:r w:rsidRPr="0051626C">
              <w:rPr>
                <w:color w:val="000000" w:themeColor="text1"/>
                <w:kern w:val="0"/>
                <w:szCs w:val="21"/>
              </w:rPr>
              <w:t>减：</w:t>
            </w:r>
            <w:r w:rsidR="00F72579" w:rsidRPr="0051626C">
              <w:rPr>
                <w:color w:val="000000" w:themeColor="text1"/>
                <w:kern w:val="0"/>
                <w:szCs w:val="21"/>
              </w:rPr>
              <w:t>报告期</w:t>
            </w:r>
            <w:r w:rsidRPr="0051626C">
              <w:rPr>
                <w:color w:val="000000" w:themeColor="text1"/>
                <w:kern w:val="0"/>
                <w:szCs w:val="21"/>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51626C" w:rsidRDefault="0042785F" w:rsidP="005E5BE8">
            <w:pPr>
              <w:autoSpaceDE w:val="0"/>
              <w:autoSpaceDN w:val="0"/>
              <w:adjustRightInd w:val="0"/>
              <w:spacing w:before="29" w:line="360" w:lineRule="auto"/>
              <w:ind w:left="17"/>
              <w:jc w:val="right"/>
              <w:rPr>
                <w:color w:val="000000" w:themeColor="text1"/>
                <w:szCs w:val="21"/>
              </w:rPr>
            </w:pPr>
            <w:r w:rsidRPr="0051626C">
              <w:rPr>
                <w:color w:val="000000" w:themeColor="text1"/>
                <w:szCs w:val="21"/>
              </w:rPr>
              <w:t>2,199,974.16</w:t>
            </w:r>
          </w:p>
        </w:tc>
        <w:tc>
          <w:tcPr>
            <w:tcW w:w="2522" w:type="dxa"/>
            <w:tcBorders>
              <w:top w:val="single" w:sz="8" w:space="0" w:color="000000"/>
              <w:left w:val="single" w:sz="8" w:space="0" w:color="000000"/>
              <w:bottom w:val="single" w:sz="8" w:space="0" w:color="000000"/>
              <w:right w:val="single" w:sz="8" w:space="0" w:color="000000"/>
            </w:tcBorders>
            <w:vAlign w:val="center"/>
          </w:tcPr>
          <w:p w:rsidR="00936D40" w:rsidRPr="0051626C" w:rsidRDefault="0042785F" w:rsidP="005E5BE8">
            <w:pPr>
              <w:autoSpaceDE w:val="0"/>
              <w:autoSpaceDN w:val="0"/>
              <w:adjustRightInd w:val="0"/>
              <w:spacing w:before="29" w:line="360" w:lineRule="auto"/>
              <w:ind w:left="17"/>
              <w:jc w:val="right"/>
              <w:rPr>
                <w:color w:val="000000" w:themeColor="text1"/>
                <w:szCs w:val="21"/>
              </w:rPr>
            </w:pPr>
            <w:r w:rsidRPr="0051626C">
              <w:rPr>
                <w:color w:val="000000" w:themeColor="text1"/>
                <w:szCs w:val="21"/>
              </w:rPr>
              <w:t>-</w:t>
            </w:r>
          </w:p>
        </w:tc>
      </w:tr>
      <w:tr w:rsidR="004264FD" w:rsidRPr="0051626C" w:rsidTr="005E5BE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51626C" w:rsidRDefault="00F72579" w:rsidP="00A1276C">
            <w:pPr>
              <w:autoSpaceDE w:val="0"/>
              <w:autoSpaceDN w:val="0"/>
              <w:adjustRightInd w:val="0"/>
              <w:spacing w:before="29" w:line="360" w:lineRule="auto"/>
              <w:ind w:left="17"/>
              <w:jc w:val="left"/>
              <w:rPr>
                <w:color w:val="000000" w:themeColor="text1"/>
                <w:kern w:val="0"/>
                <w:szCs w:val="21"/>
              </w:rPr>
            </w:pPr>
            <w:r w:rsidRPr="0051626C">
              <w:rPr>
                <w:color w:val="000000" w:themeColor="text1"/>
                <w:kern w:val="0"/>
                <w:szCs w:val="21"/>
              </w:rPr>
              <w:t>报告期</w:t>
            </w:r>
            <w:r w:rsidR="00936D40" w:rsidRPr="0051626C">
              <w:rPr>
                <w:color w:val="000000" w:themeColor="text1"/>
                <w:kern w:val="0"/>
                <w:szCs w:val="21"/>
              </w:rPr>
              <w:t>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51626C" w:rsidRDefault="0042785F" w:rsidP="005E5BE8">
            <w:pPr>
              <w:autoSpaceDE w:val="0"/>
              <w:autoSpaceDN w:val="0"/>
              <w:adjustRightInd w:val="0"/>
              <w:spacing w:before="29" w:line="360" w:lineRule="auto"/>
              <w:ind w:left="17"/>
              <w:jc w:val="right"/>
              <w:rPr>
                <w:color w:val="000000" w:themeColor="text1"/>
                <w:szCs w:val="21"/>
              </w:rPr>
            </w:pPr>
            <w:r w:rsidRPr="0051626C">
              <w:rPr>
                <w:color w:val="000000" w:themeColor="text1"/>
                <w:szCs w:val="21"/>
              </w:rPr>
              <w:t>-</w:t>
            </w:r>
          </w:p>
        </w:tc>
        <w:tc>
          <w:tcPr>
            <w:tcW w:w="2522" w:type="dxa"/>
            <w:tcBorders>
              <w:top w:val="single" w:sz="8" w:space="0" w:color="000000"/>
              <w:left w:val="single" w:sz="8" w:space="0" w:color="000000"/>
              <w:bottom w:val="single" w:sz="8" w:space="0" w:color="000000"/>
              <w:right w:val="single" w:sz="8" w:space="0" w:color="000000"/>
            </w:tcBorders>
            <w:vAlign w:val="center"/>
          </w:tcPr>
          <w:p w:rsidR="00936D40" w:rsidRPr="0051626C" w:rsidRDefault="0042785F" w:rsidP="005E5BE8">
            <w:pPr>
              <w:autoSpaceDE w:val="0"/>
              <w:autoSpaceDN w:val="0"/>
              <w:adjustRightInd w:val="0"/>
              <w:spacing w:before="29" w:line="360" w:lineRule="auto"/>
              <w:ind w:left="17"/>
              <w:jc w:val="right"/>
              <w:rPr>
                <w:color w:val="000000" w:themeColor="text1"/>
                <w:szCs w:val="21"/>
              </w:rPr>
            </w:pPr>
            <w:r w:rsidRPr="0051626C">
              <w:rPr>
                <w:color w:val="000000" w:themeColor="text1"/>
                <w:szCs w:val="21"/>
              </w:rPr>
              <w:t>-</w:t>
            </w:r>
          </w:p>
        </w:tc>
      </w:tr>
      <w:tr w:rsidR="004264FD" w:rsidRPr="0051626C" w:rsidTr="005E5BE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51626C" w:rsidRDefault="00936D40" w:rsidP="00A1276C">
            <w:pPr>
              <w:autoSpaceDE w:val="0"/>
              <w:autoSpaceDN w:val="0"/>
              <w:adjustRightInd w:val="0"/>
              <w:spacing w:before="29" w:line="360" w:lineRule="auto"/>
              <w:ind w:left="17"/>
              <w:jc w:val="left"/>
              <w:rPr>
                <w:color w:val="000000" w:themeColor="text1"/>
                <w:kern w:val="0"/>
                <w:szCs w:val="21"/>
              </w:rPr>
            </w:pPr>
            <w:r w:rsidRPr="0051626C">
              <w:rPr>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51626C" w:rsidRDefault="0042785F" w:rsidP="005E5BE8">
            <w:pPr>
              <w:autoSpaceDE w:val="0"/>
              <w:autoSpaceDN w:val="0"/>
              <w:adjustRightInd w:val="0"/>
              <w:spacing w:before="29" w:line="360" w:lineRule="auto"/>
              <w:ind w:left="17"/>
              <w:jc w:val="right"/>
              <w:rPr>
                <w:color w:val="000000" w:themeColor="text1"/>
                <w:szCs w:val="21"/>
              </w:rPr>
            </w:pPr>
            <w:r w:rsidRPr="0051626C">
              <w:rPr>
                <w:color w:val="000000" w:themeColor="text1"/>
                <w:szCs w:val="21"/>
              </w:rPr>
              <w:t>82,466.07</w:t>
            </w:r>
          </w:p>
        </w:tc>
        <w:tc>
          <w:tcPr>
            <w:tcW w:w="2522" w:type="dxa"/>
            <w:tcBorders>
              <w:top w:val="single" w:sz="8" w:space="0" w:color="000000"/>
              <w:left w:val="single" w:sz="8" w:space="0" w:color="000000"/>
              <w:bottom w:val="single" w:sz="8" w:space="0" w:color="000000"/>
              <w:right w:val="single" w:sz="8" w:space="0" w:color="000000"/>
            </w:tcBorders>
            <w:vAlign w:val="center"/>
          </w:tcPr>
          <w:p w:rsidR="00936D40" w:rsidRPr="0051626C" w:rsidRDefault="0042785F" w:rsidP="005E5BE8">
            <w:pPr>
              <w:autoSpaceDE w:val="0"/>
              <w:autoSpaceDN w:val="0"/>
              <w:adjustRightInd w:val="0"/>
              <w:spacing w:before="29" w:line="360" w:lineRule="auto"/>
              <w:ind w:left="17"/>
              <w:jc w:val="right"/>
              <w:rPr>
                <w:color w:val="000000" w:themeColor="text1"/>
                <w:szCs w:val="21"/>
              </w:rPr>
            </w:pPr>
            <w:r w:rsidRPr="0051626C">
              <w:rPr>
                <w:color w:val="000000" w:themeColor="text1"/>
                <w:szCs w:val="21"/>
              </w:rPr>
              <w:t>-</w:t>
            </w:r>
          </w:p>
        </w:tc>
      </w:tr>
    </w:tbl>
    <w:p w:rsidR="00935FB1" w:rsidRPr="0051626C" w:rsidRDefault="00935FB1" w:rsidP="00973780">
      <w:pPr>
        <w:pStyle w:val="2"/>
        <w:spacing w:before="0" w:after="0" w:line="416" w:lineRule="auto"/>
        <w:jc w:val="center"/>
        <w:rPr>
          <w:rStyle w:val="2CharCharChar"/>
          <w:rFonts w:ascii="Times New Roman" w:hAnsi="Times New Roman" w:cs="Times New Roman"/>
          <w:b/>
          <w:szCs w:val="24"/>
        </w:rPr>
      </w:pPr>
      <w:r w:rsidRPr="0051626C">
        <w:rPr>
          <w:rStyle w:val="2CharCharChar"/>
          <w:rFonts w:ascii="Times New Roman" w:hAnsi="Times New Roman" w:cs="Times New Roman"/>
          <w:b/>
          <w:szCs w:val="24"/>
        </w:rPr>
        <w:t>§7</w:t>
      </w:r>
      <w:r w:rsidRPr="0051626C">
        <w:rPr>
          <w:rStyle w:val="2CharCharChar"/>
          <w:rFonts w:ascii="Times New Roman" w:hAnsi="Times New Roman" w:cs="Times New Roman"/>
          <w:b/>
          <w:szCs w:val="24"/>
        </w:rPr>
        <w:t>基金管理人运用固有资金投资本基金情况</w:t>
      </w:r>
    </w:p>
    <w:p w:rsidR="00935FB1" w:rsidRPr="0051626C" w:rsidRDefault="007A6A68" w:rsidP="00284023">
      <w:pPr>
        <w:autoSpaceDE w:val="0"/>
        <w:autoSpaceDN w:val="0"/>
        <w:adjustRightInd w:val="0"/>
        <w:spacing w:line="360" w:lineRule="auto"/>
        <w:jc w:val="left"/>
        <w:rPr>
          <w:color w:val="000000"/>
          <w:szCs w:val="21"/>
        </w:rPr>
      </w:pPr>
      <w:r>
        <w:rPr>
          <w:color w:val="000000"/>
          <w:szCs w:val="21"/>
        </w:rPr>
        <w:t>7.1</w:t>
      </w:r>
      <w:r w:rsidR="00935FB1" w:rsidRPr="0051626C">
        <w:rPr>
          <w:color w:val="000000"/>
          <w:szCs w:val="21"/>
        </w:rPr>
        <w:t>基金管理人持有本基金份额变动情况</w:t>
      </w:r>
    </w:p>
    <w:p w:rsidR="00935FB1" w:rsidRPr="00A1399F" w:rsidRDefault="00916E71" w:rsidP="00A1399F">
      <w:pPr>
        <w:pStyle w:val="12"/>
        <w:spacing w:line="360" w:lineRule="auto"/>
        <w:ind w:firstLine="420"/>
        <w:jc w:val="left"/>
        <w:rPr>
          <w:szCs w:val="21"/>
        </w:rPr>
      </w:pPr>
      <w:r w:rsidRPr="00A1399F">
        <w:rPr>
          <w:szCs w:val="21"/>
        </w:rPr>
        <w:t>本基金本报告期无基金管理人运用固有资金投资本基金的情况。</w:t>
      </w:r>
    </w:p>
    <w:p w:rsidR="00935FB1" w:rsidRPr="0051626C" w:rsidRDefault="007A6A68" w:rsidP="00284023">
      <w:pPr>
        <w:autoSpaceDE w:val="0"/>
        <w:autoSpaceDN w:val="0"/>
        <w:adjustRightInd w:val="0"/>
        <w:spacing w:line="360" w:lineRule="auto"/>
        <w:jc w:val="left"/>
        <w:rPr>
          <w:color w:val="000000"/>
          <w:szCs w:val="21"/>
        </w:rPr>
      </w:pPr>
      <w:r>
        <w:rPr>
          <w:color w:val="000000"/>
          <w:szCs w:val="21"/>
        </w:rPr>
        <w:t>7.2</w:t>
      </w:r>
      <w:r w:rsidR="00935FB1" w:rsidRPr="0051626C">
        <w:rPr>
          <w:color w:val="000000"/>
          <w:szCs w:val="21"/>
        </w:rPr>
        <w:t>基金管理人运用固有资金投资本基金交易明细</w:t>
      </w:r>
    </w:p>
    <w:p w:rsidR="00935FB1" w:rsidRPr="00A1399F" w:rsidRDefault="00935FB1" w:rsidP="00A1399F">
      <w:pPr>
        <w:pStyle w:val="12"/>
        <w:spacing w:line="360" w:lineRule="auto"/>
        <w:ind w:firstLine="420"/>
        <w:jc w:val="left"/>
        <w:rPr>
          <w:szCs w:val="21"/>
        </w:rPr>
      </w:pPr>
      <w:r w:rsidRPr="00A1399F">
        <w:rPr>
          <w:szCs w:val="21"/>
        </w:rPr>
        <w:t>本基金本报告期无基金管理人运用固有资金投资本基金的情况。</w:t>
      </w:r>
    </w:p>
    <w:p w:rsidR="00FB3C94" w:rsidRPr="0051626C" w:rsidRDefault="00FB3C94" w:rsidP="00973780">
      <w:pPr>
        <w:pStyle w:val="2"/>
        <w:spacing w:before="0" w:after="0" w:line="416" w:lineRule="auto"/>
        <w:jc w:val="center"/>
        <w:rPr>
          <w:rStyle w:val="2CharCharChar"/>
          <w:rFonts w:ascii="Times New Roman" w:hAnsi="Times New Roman" w:cs="Times New Roman"/>
          <w:b/>
          <w:szCs w:val="24"/>
        </w:rPr>
      </w:pPr>
      <w:r w:rsidRPr="0051626C">
        <w:rPr>
          <w:rStyle w:val="2CharCharChar"/>
          <w:rFonts w:ascii="Times New Roman" w:hAnsi="Times New Roman" w:cs="Times New Roman"/>
          <w:b/>
          <w:szCs w:val="24"/>
        </w:rPr>
        <w:t>§</w:t>
      </w:r>
      <w:r w:rsidR="00D13A01" w:rsidRPr="0051626C">
        <w:rPr>
          <w:rStyle w:val="2CharCharChar"/>
          <w:rFonts w:ascii="Times New Roman" w:hAnsi="Times New Roman" w:cs="Times New Roman"/>
          <w:b/>
          <w:szCs w:val="24"/>
        </w:rPr>
        <w:t>8</w:t>
      </w:r>
      <w:r w:rsidRPr="0051626C">
        <w:rPr>
          <w:rStyle w:val="2CharCharChar"/>
          <w:rFonts w:ascii="Times New Roman" w:hAnsi="Times New Roman" w:cs="Times New Roman"/>
          <w:b/>
          <w:szCs w:val="24"/>
        </w:rPr>
        <w:t>影响投资者决策的其他重要信息</w:t>
      </w:r>
    </w:p>
    <w:p w:rsidR="0006081F" w:rsidRPr="0051626C" w:rsidRDefault="007A6A68" w:rsidP="0006081F">
      <w:pPr>
        <w:autoSpaceDE w:val="0"/>
        <w:autoSpaceDN w:val="0"/>
        <w:adjustRightInd w:val="0"/>
        <w:spacing w:line="360" w:lineRule="auto"/>
        <w:jc w:val="left"/>
        <w:rPr>
          <w:color w:val="000000"/>
          <w:szCs w:val="21"/>
        </w:rPr>
      </w:pPr>
      <w:r>
        <w:rPr>
          <w:color w:val="000000"/>
          <w:szCs w:val="21"/>
        </w:rPr>
        <w:t>8.1</w:t>
      </w:r>
      <w:r w:rsidR="0006081F" w:rsidRPr="0051626C">
        <w:rPr>
          <w:color w:val="000000"/>
          <w:szCs w:val="21"/>
        </w:rPr>
        <w:t>报告期内单一投资者持有基金份额比例达到或超过</w:t>
      </w:r>
      <w:r w:rsidR="0006081F" w:rsidRPr="0051626C">
        <w:rPr>
          <w:color w:val="000000"/>
          <w:szCs w:val="21"/>
        </w:rPr>
        <w:t>20%</w:t>
      </w:r>
      <w:r w:rsidR="0006081F" w:rsidRPr="0051626C">
        <w:rPr>
          <w:color w:val="000000"/>
          <w:szCs w:val="21"/>
        </w:rPr>
        <w:t>的情况</w:t>
      </w:r>
    </w:p>
    <w:tbl>
      <w:tblPr>
        <w:tblStyle w:val="af2"/>
        <w:tblW w:w="8789" w:type="dxa"/>
        <w:tblInd w:w="108" w:type="dxa"/>
        <w:tblLayout w:type="fixed"/>
        <w:tblLook w:val="04A0"/>
      </w:tblPr>
      <w:tblGrid>
        <w:gridCol w:w="709"/>
        <w:gridCol w:w="709"/>
        <w:gridCol w:w="1276"/>
        <w:gridCol w:w="1417"/>
        <w:gridCol w:w="1134"/>
        <w:gridCol w:w="1418"/>
        <w:gridCol w:w="1134"/>
        <w:gridCol w:w="992"/>
      </w:tblGrid>
      <w:tr w:rsidR="0006081F" w:rsidRPr="0051626C" w:rsidTr="00B04C8C">
        <w:tc>
          <w:tcPr>
            <w:tcW w:w="709" w:type="dxa"/>
            <w:vMerge w:val="restart"/>
            <w:vAlign w:val="center"/>
          </w:tcPr>
          <w:p w:rsidR="0006081F" w:rsidRPr="0051626C" w:rsidRDefault="0006081F" w:rsidP="00581644">
            <w:pPr>
              <w:pStyle w:val="af7"/>
              <w:jc w:val="center"/>
              <w:rPr>
                <w:rFonts w:ascii="Times New Roman" w:eastAsia="宋体" w:hAnsi="Times New Roman" w:cs="Times New Roman"/>
              </w:rPr>
            </w:pPr>
            <w:r w:rsidRPr="0051626C">
              <w:rPr>
                <w:rFonts w:ascii="Times New Roman" w:eastAsia="宋体" w:hAnsi="Times New Roman" w:cs="Times New Roman"/>
              </w:rPr>
              <w:t>投资者类别</w:t>
            </w:r>
          </w:p>
        </w:tc>
        <w:tc>
          <w:tcPr>
            <w:tcW w:w="5954" w:type="dxa"/>
            <w:gridSpan w:val="5"/>
            <w:vAlign w:val="center"/>
          </w:tcPr>
          <w:p w:rsidR="0006081F" w:rsidRPr="0051626C" w:rsidRDefault="0006081F" w:rsidP="00581644">
            <w:pPr>
              <w:pStyle w:val="af7"/>
              <w:jc w:val="center"/>
              <w:rPr>
                <w:rFonts w:ascii="Times New Roman" w:eastAsia="宋体" w:hAnsi="Times New Roman" w:cs="Times New Roman"/>
              </w:rPr>
            </w:pPr>
            <w:r w:rsidRPr="0051626C">
              <w:rPr>
                <w:rFonts w:ascii="Times New Roman" w:eastAsia="宋体" w:hAnsi="Times New Roman" w:cs="Times New Roman"/>
              </w:rPr>
              <w:t>报告期内持有基金份额变化情况</w:t>
            </w:r>
          </w:p>
        </w:tc>
        <w:tc>
          <w:tcPr>
            <w:tcW w:w="2126" w:type="dxa"/>
            <w:gridSpan w:val="2"/>
            <w:vAlign w:val="center"/>
          </w:tcPr>
          <w:p w:rsidR="0006081F" w:rsidRPr="0051626C" w:rsidRDefault="0006081F" w:rsidP="00581644">
            <w:pPr>
              <w:pStyle w:val="af7"/>
              <w:jc w:val="center"/>
              <w:rPr>
                <w:rFonts w:ascii="Times New Roman" w:eastAsia="宋体" w:hAnsi="Times New Roman" w:cs="Times New Roman"/>
              </w:rPr>
            </w:pPr>
            <w:r w:rsidRPr="0051626C">
              <w:rPr>
                <w:rFonts w:ascii="Times New Roman" w:eastAsia="宋体" w:hAnsi="Times New Roman" w:cs="Times New Roman"/>
              </w:rPr>
              <w:t>报告期末持有基金情况</w:t>
            </w:r>
          </w:p>
        </w:tc>
      </w:tr>
      <w:tr w:rsidR="0006081F" w:rsidRPr="0051626C" w:rsidTr="000F0024">
        <w:tc>
          <w:tcPr>
            <w:tcW w:w="709" w:type="dxa"/>
            <w:vMerge/>
            <w:vAlign w:val="center"/>
          </w:tcPr>
          <w:p w:rsidR="0006081F" w:rsidRPr="0051626C" w:rsidRDefault="0006081F" w:rsidP="00581644">
            <w:pPr>
              <w:autoSpaceDE w:val="0"/>
              <w:autoSpaceDN w:val="0"/>
              <w:adjustRightInd w:val="0"/>
              <w:jc w:val="center"/>
              <w:rPr>
                <w:b/>
                <w:bCs/>
                <w:color w:val="000000" w:themeColor="text1"/>
                <w:szCs w:val="21"/>
              </w:rPr>
            </w:pPr>
          </w:p>
        </w:tc>
        <w:tc>
          <w:tcPr>
            <w:tcW w:w="709" w:type="dxa"/>
            <w:vAlign w:val="center"/>
          </w:tcPr>
          <w:p w:rsidR="0006081F" w:rsidRPr="0051626C" w:rsidRDefault="0006081F" w:rsidP="00581644">
            <w:pPr>
              <w:pStyle w:val="af7"/>
              <w:jc w:val="center"/>
              <w:rPr>
                <w:rFonts w:ascii="Times New Roman" w:eastAsia="宋体" w:hAnsi="Times New Roman" w:cs="Times New Roman"/>
              </w:rPr>
            </w:pPr>
            <w:r w:rsidRPr="0051626C">
              <w:rPr>
                <w:rFonts w:ascii="Times New Roman" w:eastAsia="宋体" w:hAnsi="Times New Roman" w:cs="Times New Roman"/>
              </w:rPr>
              <w:t>序号</w:t>
            </w:r>
          </w:p>
        </w:tc>
        <w:tc>
          <w:tcPr>
            <w:tcW w:w="1276" w:type="dxa"/>
            <w:vAlign w:val="center"/>
          </w:tcPr>
          <w:p w:rsidR="0006081F" w:rsidRPr="0051626C" w:rsidRDefault="0006081F" w:rsidP="00581644">
            <w:pPr>
              <w:pStyle w:val="af7"/>
              <w:jc w:val="center"/>
              <w:rPr>
                <w:rFonts w:ascii="Times New Roman" w:eastAsia="宋体" w:hAnsi="Times New Roman" w:cs="Times New Roman"/>
              </w:rPr>
            </w:pPr>
            <w:r w:rsidRPr="0051626C">
              <w:rPr>
                <w:rFonts w:ascii="Times New Roman" w:eastAsia="宋体" w:hAnsi="Times New Roman" w:cs="Times New Roman"/>
              </w:rPr>
              <w:t>持有基金份额比例达到或者超过</w:t>
            </w:r>
            <w:r w:rsidRPr="0051626C">
              <w:rPr>
                <w:rFonts w:ascii="Times New Roman" w:eastAsia="宋体" w:hAnsi="Times New Roman" w:cs="Times New Roman"/>
              </w:rPr>
              <w:t>20%</w:t>
            </w:r>
            <w:r w:rsidRPr="0051626C">
              <w:rPr>
                <w:rFonts w:ascii="Times New Roman" w:eastAsia="宋体" w:hAnsi="Times New Roman" w:cs="Times New Roman"/>
              </w:rPr>
              <w:t>的时间区间</w:t>
            </w:r>
          </w:p>
        </w:tc>
        <w:tc>
          <w:tcPr>
            <w:tcW w:w="1417" w:type="dxa"/>
            <w:vAlign w:val="center"/>
          </w:tcPr>
          <w:p w:rsidR="0006081F" w:rsidRPr="0051626C" w:rsidRDefault="0006081F" w:rsidP="00581644">
            <w:pPr>
              <w:pStyle w:val="af7"/>
              <w:jc w:val="center"/>
              <w:rPr>
                <w:rFonts w:ascii="Times New Roman" w:eastAsia="宋体" w:hAnsi="Times New Roman" w:cs="Times New Roman"/>
              </w:rPr>
            </w:pPr>
            <w:r w:rsidRPr="0051626C">
              <w:rPr>
                <w:rFonts w:ascii="Times New Roman" w:eastAsia="宋体" w:hAnsi="Times New Roman" w:cs="Times New Roman"/>
              </w:rPr>
              <w:t>期初份额</w:t>
            </w:r>
          </w:p>
        </w:tc>
        <w:tc>
          <w:tcPr>
            <w:tcW w:w="1134" w:type="dxa"/>
            <w:vAlign w:val="center"/>
          </w:tcPr>
          <w:p w:rsidR="0006081F" w:rsidRPr="0051626C" w:rsidRDefault="0006081F" w:rsidP="00581644">
            <w:pPr>
              <w:pStyle w:val="af7"/>
              <w:jc w:val="center"/>
              <w:rPr>
                <w:rFonts w:ascii="Times New Roman" w:eastAsia="宋体" w:hAnsi="Times New Roman" w:cs="Times New Roman"/>
              </w:rPr>
            </w:pPr>
            <w:r w:rsidRPr="0051626C">
              <w:rPr>
                <w:rFonts w:ascii="Times New Roman" w:eastAsia="宋体" w:hAnsi="Times New Roman" w:cs="Times New Roman"/>
              </w:rPr>
              <w:t>申购份额</w:t>
            </w:r>
          </w:p>
        </w:tc>
        <w:tc>
          <w:tcPr>
            <w:tcW w:w="1418" w:type="dxa"/>
            <w:vAlign w:val="center"/>
          </w:tcPr>
          <w:p w:rsidR="0006081F" w:rsidRPr="0051626C" w:rsidRDefault="0006081F" w:rsidP="00581644">
            <w:pPr>
              <w:pStyle w:val="af7"/>
              <w:jc w:val="center"/>
              <w:rPr>
                <w:rFonts w:ascii="Times New Roman" w:eastAsia="宋体" w:hAnsi="Times New Roman" w:cs="Times New Roman"/>
              </w:rPr>
            </w:pPr>
            <w:r w:rsidRPr="0051626C">
              <w:rPr>
                <w:rFonts w:ascii="Times New Roman" w:eastAsia="宋体" w:hAnsi="Times New Roman" w:cs="Times New Roman"/>
              </w:rPr>
              <w:t>赎回份额</w:t>
            </w:r>
          </w:p>
        </w:tc>
        <w:tc>
          <w:tcPr>
            <w:tcW w:w="1134" w:type="dxa"/>
            <w:vAlign w:val="center"/>
          </w:tcPr>
          <w:p w:rsidR="0006081F" w:rsidRPr="0051626C" w:rsidRDefault="0006081F" w:rsidP="00581644">
            <w:pPr>
              <w:pStyle w:val="af7"/>
              <w:jc w:val="center"/>
              <w:rPr>
                <w:rFonts w:ascii="Times New Roman" w:eastAsia="宋体" w:hAnsi="Times New Roman" w:cs="Times New Roman"/>
              </w:rPr>
            </w:pPr>
            <w:r w:rsidRPr="0051626C">
              <w:rPr>
                <w:rFonts w:ascii="Times New Roman" w:eastAsia="宋体" w:hAnsi="Times New Roman" w:cs="Times New Roman"/>
              </w:rPr>
              <w:t>持有份额</w:t>
            </w:r>
          </w:p>
        </w:tc>
        <w:tc>
          <w:tcPr>
            <w:tcW w:w="992" w:type="dxa"/>
            <w:vAlign w:val="center"/>
          </w:tcPr>
          <w:p w:rsidR="0006081F" w:rsidRPr="0051626C" w:rsidRDefault="0006081F" w:rsidP="00581644">
            <w:pPr>
              <w:pStyle w:val="af7"/>
              <w:jc w:val="center"/>
              <w:rPr>
                <w:rFonts w:ascii="Times New Roman" w:eastAsia="宋体" w:hAnsi="Times New Roman" w:cs="Times New Roman"/>
              </w:rPr>
            </w:pPr>
            <w:r w:rsidRPr="0051626C">
              <w:rPr>
                <w:rFonts w:ascii="Times New Roman" w:eastAsia="宋体" w:hAnsi="Times New Roman" w:cs="Times New Roman"/>
              </w:rPr>
              <w:t>份额占比</w:t>
            </w:r>
          </w:p>
        </w:tc>
      </w:tr>
      <w:tr w:rsidR="008D4979" w:rsidTr="000F0024">
        <w:tc>
          <w:tcPr>
            <w:tcW w:w="709" w:type="dxa"/>
          </w:tcPr>
          <w:p w:rsidR="008D4979" w:rsidRDefault="008D4979"/>
          <w:p w:rsidR="008D4979" w:rsidRDefault="00AC6EA2">
            <w:r>
              <w:t>机构</w:t>
            </w:r>
          </w:p>
        </w:tc>
        <w:tc>
          <w:tcPr>
            <w:tcW w:w="709" w:type="dxa"/>
            <w:vAlign w:val="center"/>
          </w:tcPr>
          <w:p w:rsidR="008D4979" w:rsidRDefault="00AC6EA2">
            <w:pPr>
              <w:jc w:val="center"/>
            </w:pPr>
            <w:r>
              <w:t>1</w:t>
            </w:r>
          </w:p>
        </w:tc>
        <w:tc>
          <w:tcPr>
            <w:tcW w:w="1276" w:type="dxa"/>
            <w:vAlign w:val="center"/>
          </w:tcPr>
          <w:p w:rsidR="008D4979" w:rsidRDefault="00AC6EA2">
            <w:pPr>
              <w:jc w:val="center"/>
            </w:pPr>
            <w:r>
              <w:t>2017-10-01</w:t>
            </w:r>
            <w:r>
              <w:t>至</w:t>
            </w:r>
            <w:r>
              <w:t>2017-12-06</w:t>
            </w:r>
          </w:p>
        </w:tc>
        <w:tc>
          <w:tcPr>
            <w:tcW w:w="1417" w:type="dxa"/>
            <w:vAlign w:val="center"/>
          </w:tcPr>
          <w:p w:rsidR="008D4979" w:rsidRDefault="00AC6EA2">
            <w:pPr>
              <w:jc w:val="right"/>
            </w:pPr>
            <w:r>
              <w:t>2,122,209.25</w:t>
            </w:r>
          </w:p>
        </w:tc>
        <w:tc>
          <w:tcPr>
            <w:tcW w:w="1134" w:type="dxa"/>
            <w:vAlign w:val="center"/>
          </w:tcPr>
          <w:p w:rsidR="008D4979" w:rsidRDefault="00AC6EA2">
            <w:pPr>
              <w:jc w:val="right"/>
            </w:pPr>
            <w:r>
              <w:t>-</w:t>
            </w:r>
          </w:p>
        </w:tc>
        <w:tc>
          <w:tcPr>
            <w:tcW w:w="1418" w:type="dxa"/>
            <w:vAlign w:val="center"/>
          </w:tcPr>
          <w:p w:rsidR="008D4979" w:rsidRDefault="00AC6EA2">
            <w:pPr>
              <w:jc w:val="right"/>
            </w:pPr>
            <w:r>
              <w:t>2,122,209.25</w:t>
            </w:r>
          </w:p>
        </w:tc>
        <w:tc>
          <w:tcPr>
            <w:tcW w:w="1134" w:type="dxa"/>
            <w:vAlign w:val="center"/>
          </w:tcPr>
          <w:p w:rsidR="008D4979" w:rsidRDefault="00AC6EA2">
            <w:pPr>
              <w:jc w:val="right"/>
            </w:pPr>
            <w:r>
              <w:t>-</w:t>
            </w:r>
          </w:p>
        </w:tc>
        <w:tc>
          <w:tcPr>
            <w:tcW w:w="992" w:type="dxa"/>
            <w:vAlign w:val="center"/>
          </w:tcPr>
          <w:p w:rsidR="008D4979" w:rsidRDefault="00AC6EA2">
            <w:pPr>
              <w:jc w:val="right"/>
            </w:pPr>
            <w:r>
              <w:t>-</w:t>
            </w:r>
          </w:p>
        </w:tc>
      </w:tr>
      <w:tr w:rsidR="008D4979" w:rsidTr="000F0024">
        <w:tc>
          <w:tcPr>
            <w:tcW w:w="709" w:type="dxa"/>
          </w:tcPr>
          <w:p w:rsidR="008D4979" w:rsidRDefault="008D4979"/>
          <w:p w:rsidR="008D4979" w:rsidRDefault="00AC6EA2">
            <w:r>
              <w:t>个人</w:t>
            </w:r>
          </w:p>
        </w:tc>
        <w:tc>
          <w:tcPr>
            <w:tcW w:w="709" w:type="dxa"/>
            <w:vAlign w:val="center"/>
          </w:tcPr>
          <w:p w:rsidR="008D4979" w:rsidRDefault="00AC6EA2">
            <w:pPr>
              <w:jc w:val="center"/>
            </w:pPr>
            <w:r>
              <w:t>1</w:t>
            </w:r>
          </w:p>
        </w:tc>
        <w:tc>
          <w:tcPr>
            <w:tcW w:w="1276" w:type="dxa"/>
            <w:vAlign w:val="center"/>
          </w:tcPr>
          <w:p w:rsidR="008D4979" w:rsidRDefault="00AC6EA2">
            <w:pPr>
              <w:jc w:val="center"/>
            </w:pPr>
            <w:r>
              <w:t>2017-12-07</w:t>
            </w:r>
            <w:r>
              <w:t>至</w:t>
            </w:r>
            <w:r>
              <w:t>2017-12-28</w:t>
            </w:r>
          </w:p>
        </w:tc>
        <w:tc>
          <w:tcPr>
            <w:tcW w:w="1417" w:type="dxa"/>
            <w:vAlign w:val="center"/>
          </w:tcPr>
          <w:p w:rsidR="008D4979" w:rsidRDefault="00AC6EA2">
            <w:pPr>
              <w:jc w:val="right"/>
            </w:pPr>
            <w:r>
              <w:t>49,392.47</w:t>
            </w:r>
          </w:p>
        </w:tc>
        <w:tc>
          <w:tcPr>
            <w:tcW w:w="1134" w:type="dxa"/>
            <w:vAlign w:val="center"/>
          </w:tcPr>
          <w:p w:rsidR="008D4979" w:rsidRDefault="00AC6EA2">
            <w:pPr>
              <w:jc w:val="right"/>
            </w:pPr>
            <w:r>
              <w:t>-</w:t>
            </w:r>
          </w:p>
        </w:tc>
        <w:tc>
          <w:tcPr>
            <w:tcW w:w="1418" w:type="dxa"/>
            <w:vAlign w:val="center"/>
          </w:tcPr>
          <w:p w:rsidR="008D4979" w:rsidRDefault="00AC6EA2">
            <w:pPr>
              <w:jc w:val="right"/>
            </w:pPr>
            <w:r>
              <w:t>-</w:t>
            </w:r>
          </w:p>
        </w:tc>
        <w:tc>
          <w:tcPr>
            <w:tcW w:w="1134" w:type="dxa"/>
            <w:vAlign w:val="center"/>
          </w:tcPr>
          <w:p w:rsidR="008D4979" w:rsidRDefault="00AC6EA2">
            <w:pPr>
              <w:jc w:val="right"/>
            </w:pPr>
            <w:r>
              <w:t>49,392.47</w:t>
            </w:r>
          </w:p>
        </w:tc>
        <w:tc>
          <w:tcPr>
            <w:tcW w:w="992" w:type="dxa"/>
            <w:vAlign w:val="center"/>
          </w:tcPr>
          <w:p w:rsidR="008D4979" w:rsidRDefault="00AC6EA2">
            <w:pPr>
              <w:jc w:val="right"/>
            </w:pPr>
            <w:r>
              <w:t>59.89%</w:t>
            </w:r>
          </w:p>
        </w:tc>
      </w:tr>
      <w:tr w:rsidR="0006081F" w:rsidRPr="0051626C" w:rsidTr="0006081F">
        <w:tc>
          <w:tcPr>
            <w:tcW w:w="8789" w:type="dxa"/>
            <w:gridSpan w:val="8"/>
            <w:vAlign w:val="center"/>
          </w:tcPr>
          <w:p w:rsidR="0006081F" w:rsidRPr="0051626C" w:rsidRDefault="0006081F" w:rsidP="00E62546">
            <w:pPr>
              <w:pStyle w:val="af7"/>
              <w:jc w:val="center"/>
              <w:rPr>
                <w:rFonts w:ascii="Times New Roman" w:eastAsia="宋体" w:hAnsi="Times New Roman" w:cs="Times New Roman"/>
              </w:rPr>
            </w:pPr>
            <w:r w:rsidRPr="0051626C">
              <w:rPr>
                <w:rFonts w:ascii="Times New Roman" w:eastAsia="宋体" w:hAnsi="Times New Roman" w:cs="Times New Roman"/>
              </w:rPr>
              <w:t>产品特有风险</w:t>
            </w:r>
          </w:p>
        </w:tc>
      </w:tr>
      <w:tr w:rsidR="0006081F" w:rsidRPr="0051626C" w:rsidTr="00781786">
        <w:tc>
          <w:tcPr>
            <w:tcW w:w="8789" w:type="dxa"/>
            <w:gridSpan w:val="8"/>
            <w:vAlign w:val="center"/>
          </w:tcPr>
          <w:p w:rsidR="008D4979" w:rsidRDefault="00AC6EA2">
            <w:pPr>
              <w:pStyle w:val="af7"/>
              <w:jc w:val="both"/>
              <w:rPr>
                <w:rFonts w:ascii="Times New Roman" w:eastAsia="宋体" w:hAnsi="Times New Roman" w:cs="Times New Roman"/>
              </w:rPr>
            </w:pPr>
            <w:r>
              <w:rPr>
                <w:rFonts w:ascii="Times New Roman" w:eastAsia="宋体" w:hAnsi="Times New Roman" w:cs="Times New Roman"/>
              </w:rPr>
              <w:t>本基金在报告期内存在单一投资者持有基金份额比例达到或者超过基金总份额</w:t>
            </w:r>
            <w:r>
              <w:rPr>
                <w:rFonts w:ascii="Times New Roman" w:eastAsia="宋体" w:hAnsi="Times New Roman" w:cs="Times New Roman"/>
              </w:rPr>
              <w:t>20%</w:t>
            </w:r>
            <w:r>
              <w:rPr>
                <w:rFonts w:ascii="Times New Roman" w:eastAsia="宋体" w:hAnsi="Times New Roman" w:cs="Times New Roman"/>
              </w:rPr>
              <w:t>的情形，在市场流动性不足的情况下，如遇投资者巨额赎回或集中赎回，基金管理人可能无法以合理的价格及时变现基金资产，有可能对基金净值产生一定的影响，甚至可能引发基金的流动性风险。</w:t>
            </w:r>
          </w:p>
          <w:p w:rsidR="0006081F" w:rsidRPr="0051626C" w:rsidRDefault="0006081F" w:rsidP="00781786">
            <w:pPr>
              <w:pStyle w:val="af7"/>
              <w:jc w:val="both"/>
              <w:rPr>
                <w:rFonts w:ascii="Times New Roman" w:eastAsia="宋体" w:hAnsi="Times New Roman" w:cs="Times New Roman"/>
              </w:rPr>
            </w:pPr>
            <w:r w:rsidRPr="0051626C">
              <w:rPr>
                <w:rFonts w:ascii="Times New Roman" w:eastAsia="宋体" w:hAnsi="Times New Roman" w:cs="Times New Roman"/>
              </w:rPr>
              <w:t>在特定情况下，若持有基金份额占比较高的投资者大量赎回本基金，可能导致在其赎回后本基金资产规模持续低于</w:t>
            </w:r>
            <w:r w:rsidRPr="0051626C">
              <w:rPr>
                <w:rFonts w:ascii="Times New Roman" w:eastAsia="宋体" w:hAnsi="Times New Roman" w:cs="Times New Roman"/>
              </w:rPr>
              <w:t>5000</w:t>
            </w:r>
            <w:r w:rsidRPr="0051626C">
              <w:rPr>
                <w:rFonts w:ascii="Times New Roman" w:eastAsia="宋体" w:hAnsi="Times New Roman" w:cs="Times New Roman"/>
              </w:rPr>
              <w:t>万元，面临转换运作方式、与其他基金合并或者终止基金合同等情形。</w:t>
            </w:r>
          </w:p>
        </w:tc>
      </w:tr>
    </w:tbl>
    <w:p w:rsidR="0006081F" w:rsidRPr="0051626C" w:rsidRDefault="007A6A68" w:rsidP="0006081F">
      <w:pPr>
        <w:autoSpaceDE w:val="0"/>
        <w:autoSpaceDN w:val="0"/>
        <w:adjustRightInd w:val="0"/>
        <w:spacing w:line="360" w:lineRule="auto"/>
        <w:jc w:val="left"/>
        <w:rPr>
          <w:color w:val="000000"/>
          <w:szCs w:val="21"/>
        </w:rPr>
      </w:pPr>
      <w:r>
        <w:rPr>
          <w:color w:val="000000"/>
          <w:szCs w:val="21"/>
        </w:rPr>
        <w:t>8.2</w:t>
      </w:r>
      <w:r w:rsidR="0006081F" w:rsidRPr="0051626C">
        <w:rPr>
          <w:color w:val="000000"/>
          <w:szCs w:val="21"/>
        </w:rPr>
        <w:t>影响投资者决策的其他重要信息</w:t>
      </w:r>
    </w:p>
    <w:p w:rsidR="008D4979" w:rsidRDefault="00AC6EA2">
      <w:pPr>
        <w:pStyle w:val="12"/>
        <w:spacing w:line="360" w:lineRule="auto"/>
        <w:ind w:firstLine="420"/>
        <w:jc w:val="left"/>
        <w:rPr>
          <w:szCs w:val="21"/>
        </w:rPr>
      </w:pPr>
      <w:r>
        <w:rPr>
          <w:szCs w:val="21"/>
        </w:rPr>
        <w:t>1</w:t>
      </w:r>
      <w:r>
        <w:rPr>
          <w:szCs w:val="21"/>
        </w:rPr>
        <w:t>、报告期内披露的主要事项</w:t>
      </w:r>
    </w:p>
    <w:p w:rsidR="008D4979" w:rsidRDefault="00AC6EA2">
      <w:pPr>
        <w:pStyle w:val="12"/>
        <w:spacing w:line="360" w:lineRule="auto"/>
        <w:ind w:firstLine="420"/>
        <w:jc w:val="left"/>
        <w:rPr>
          <w:szCs w:val="21"/>
        </w:rPr>
      </w:pPr>
      <w:r>
        <w:rPr>
          <w:szCs w:val="21"/>
        </w:rPr>
        <w:t>2017</w:t>
      </w:r>
      <w:r>
        <w:rPr>
          <w:szCs w:val="21"/>
        </w:rPr>
        <w:t>年</w:t>
      </w:r>
      <w:r>
        <w:rPr>
          <w:szCs w:val="21"/>
        </w:rPr>
        <w:t>11</w:t>
      </w:r>
      <w:r>
        <w:rPr>
          <w:szCs w:val="21"/>
        </w:rPr>
        <w:t>月</w:t>
      </w:r>
      <w:r>
        <w:rPr>
          <w:szCs w:val="21"/>
        </w:rPr>
        <w:t>23</w:t>
      </w:r>
      <w:r>
        <w:rPr>
          <w:szCs w:val="21"/>
        </w:rPr>
        <w:t>日发布关于华夏鼎益债券型证券投资基金暂停申购业务的公告。</w:t>
      </w:r>
    </w:p>
    <w:p w:rsidR="008D4979" w:rsidRDefault="00AC6EA2">
      <w:pPr>
        <w:pStyle w:val="12"/>
        <w:spacing w:line="360" w:lineRule="auto"/>
        <w:ind w:firstLine="420"/>
        <w:jc w:val="left"/>
        <w:rPr>
          <w:szCs w:val="21"/>
        </w:rPr>
      </w:pPr>
      <w:r>
        <w:rPr>
          <w:szCs w:val="21"/>
        </w:rPr>
        <w:t>2017</w:t>
      </w:r>
      <w:r>
        <w:rPr>
          <w:szCs w:val="21"/>
        </w:rPr>
        <w:t>年</w:t>
      </w:r>
      <w:r>
        <w:rPr>
          <w:szCs w:val="21"/>
        </w:rPr>
        <w:t>11</w:t>
      </w:r>
      <w:r>
        <w:rPr>
          <w:szCs w:val="21"/>
        </w:rPr>
        <w:t>月</w:t>
      </w:r>
      <w:r>
        <w:rPr>
          <w:szCs w:val="21"/>
        </w:rPr>
        <w:t>25</w:t>
      </w:r>
      <w:r>
        <w:rPr>
          <w:szCs w:val="21"/>
        </w:rPr>
        <w:t>日发布华夏基金管理有限公司关于以通讯方式召开华夏鼎益债券型证券投资基金基金份额持有人大会的公告。</w:t>
      </w:r>
    </w:p>
    <w:p w:rsidR="008D4979" w:rsidRDefault="00AC6EA2">
      <w:pPr>
        <w:pStyle w:val="12"/>
        <w:spacing w:line="360" w:lineRule="auto"/>
        <w:ind w:firstLine="420"/>
        <w:jc w:val="left"/>
        <w:rPr>
          <w:szCs w:val="21"/>
        </w:rPr>
      </w:pPr>
      <w:r>
        <w:rPr>
          <w:szCs w:val="21"/>
        </w:rPr>
        <w:t>2017</w:t>
      </w:r>
      <w:r>
        <w:rPr>
          <w:szCs w:val="21"/>
        </w:rPr>
        <w:t>年</w:t>
      </w:r>
      <w:r>
        <w:rPr>
          <w:szCs w:val="21"/>
        </w:rPr>
        <w:t>11</w:t>
      </w:r>
      <w:r>
        <w:rPr>
          <w:szCs w:val="21"/>
        </w:rPr>
        <w:t>月</w:t>
      </w:r>
      <w:r>
        <w:rPr>
          <w:szCs w:val="21"/>
        </w:rPr>
        <w:t>27</w:t>
      </w:r>
      <w:r>
        <w:rPr>
          <w:szCs w:val="21"/>
        </w:rPr>
        <w:t>日发布华夏基金管理有限公司关于以通讯方式召开华夏鼎益债券型证券投资基金基金份额持有人大会的第一次提示性公告。</w:t>
      </w:r>
    </w:p>
    <w:p w:rsidR="008D4979" w:rsidRDefault="00AC6EA2">
      <w:pPr>
        <w:pStyle w:val="12"/>
        <w:spacing w:line="360" w:lineRule="auto"/>
        <w:ind w:firstLine="420"/>
        <w:jc w:val="left"/>
        <w:rPr>
          <w:szCs w:val="21"/>
        </w:rPr>
      </w:pPr>
      <w:r>
        <w:rPr>
          <w:szCs w:val="21"/>
        </w:rPr>
        <w:t>2017</w:t>
      </w:r>
      <w:r>
        <w:rPr>
          <w:szCs w:val="21"/>
        </w:rPr>
        <w:t>年</w:t>
      </w:r>
      <w:r>
        <w:rPr>
          <w:szCs w:val="21"/>
        </w:rPr>
        <w:t>11</w:t>
      </w:r>
      <w:r>
        <w:rPr>
          <w:szCs w:val="21"/>
        </w:rPr>
        <w:t>月</w:t>
      </w:r>
      <w:r>
        <w:rPr>
          <w:szCs w:val="21"/>
        </w:rPr>
        <w:t>28</w:t>
      </w:r>
      <w:r>
        <w:rPr>
          <w:szCs w:val="21"/>
        </w:rPr>
        <w:t>日发布华夏基金管理有限公司关于以通讯方式召开华夏鼎益债券型证券投资基金基金份额持有人大会的第二次提示性公告。</w:t>
      </w:r>
    </w:p>
    <w:p w:rsidR="008D4979" w:rsidRDefault="00AC6EA2">
      <w:pPr>
        <w:pStyle w:val="12"/>
        <w:spacing w:line="360" w:lineRule="auto"/>
        <w:ind w:firstLine="420"/>
        <w:jc w:val="left"/>
        <w:rPr>
          <w:szCs w:val="21"/>
        </w:rPr>
      </w:pPr>
      <w:r>
        <w:rPr>
          <w:szCs w:val="21"/>
        </w:rPr>
        <w:t>2017</w:t>
      </w:r>
      <w:r>
        <w:rPr>
          <w:szCs w:val="21"/>
        </w:rPr>
        <w:t>年</w:t>
      </w:r>
      <w:r>
        <w:rPr>
          <w:szCs w:val="21"/>
        </w:rPr>
        <w:t>12</w:t>
      </w:r>
      <w:r>
        <w:rPr>
          <w:szCs w:val="21"/>
        </w:rPr>
        <w:t>月</w:t>
      </w:r>
      <w:r>
        <w:rPr>
          <w:szCs w:val="21"/>
        </w:rPr>
        <w:t>27</w:t>
      </w:r>
      <w:r>
        <w:rPr>
          <w:szCs w:val="21"/>
        </w:rPr>
        <w:t>日发布华夏鼎益债券型证券投资基金基金份额持有人大会表决结果暨决议生效公告。</w:t>
      </w:r>
    </w:p>
    <w:p w:rsidR="008D4979" w:rsidRDefault="00AC6EA2">
      <w:pPr>
        <w:pStyle w:val="12"/>
        <w:spacing w:line="360" w:lineRule="auto"/>
        <w:ind w:firstLine="420"/>
        <w:jc w:val="left"/>
        <w:rPr>
          <w:szCs w:val="21"/>
        </w:rPr>
      </w:pPr>
      <w:r>
        <w:rPr>
          <w:szCs w:val="21"/>
        </w:rPr>
        <w:t>2</w:t>
      </w:r>
      <w:r>
        <w:rPr>
          <w:szCs w:val="21"/>
        </w:rPr>
        <w:t>、其他相关信息</w:t>
      </w:r>
    </w:p>
    <w:p w:rsidR="008D4979" w:rsidRDefault="00AC6EA2">
      <w:pPr>
        <w:pStyle w:val="12"/>
        <w:spacing w:line="360" w:lineRule="auto"/>
        <w:ind w:firstLine="420"/>
        <w:jc w:val="left"/>
        <w:rPr>
          <w:szCs w:val="21"/>
        </w:rPr>
      </w:pPr>
      <w:r>
        <w:rPr>
          <w:szCs w:val="21"/>
        </w:rPr>
        <w:t>华夏基金管理有限公司成立于</w:t>
      </w:r>
      <w:r>
        <w:rPr>
          <w:szCs w:val="21"/>
        </w:rPr>
        <w:t>1998</w:t>
      </w:r>
      <w:r>
        <w:rPr>
          <w:szCs w:val="21"/>
        </w:rPr>
        <w:t>年</w:t>
      </w:r>
      <w:r>
        <w:rPr>
          <w:szCs w:val="21"/>
        </w:rPr>
        <w:t>4</w:t>
      </w:r>
      <w:r>
        <w:rPr>
          <w:szCs w:val="21"/>
        </w:rPr>
        <w:t>月</w:t>
      </w:r>
      <w:r>
        <w:rPr>
          <w:szCs w:val="21"/>
        </w:rPr>
        <w:t>9</w:t>
      </w:r>
      <w:r>
        <w:rPr>
          <w:szCs w:val="21"/>
        </w:rPr>
        <w:t>日，是经中国证监会批准成立的首批全国性基金管理公司之一。公司总部设在北京，在北京、上海、深圳、成都、南京、杭州、广州和青岛设有分公司，在香港、深圳、上海设有子公司。公司是首批全国社保基金管理人、首批企业年金基金管理人、境内首批</w:t>
      </w:r>
      <w:r>
        <w:rPr>
          <w:szCs w:val="21"/>
        </w:rPr>
        <w:t>QDII</w:t>
      </w:r>
      <w:r>
        <w:rPr>
          <w:szCs w:val="21"/>
        </w:rPr>
        <w:t>基金管理人、境内首只</w:t>
      </w:r>
      <w:r>
        <w:rPr>
          <w:szCs w:val="21"/>
        </w:rPr>
        <w:t>ETF</w:t>
      </w:r>
      <w:r>
        <w:rPr>
          <w:szCs w:val="21"/>
        </w:rPr>
        <w:t>基金管理人、境内首只沪港通</w:t>
      </w:r>
      <w:r>
        <w:rPr>
          <w:szCs w:val="21"/>
        </w:rPr>
        <w:t>ETF</w:t>
      </w:r>
      <w:r>
        <w:rPr>
          <w:szCs w:val="21"/>
        </w:rPr>
        <w:t>基金管理人、首批内地与香港基金互认基金管理人、首批基本养老保险基金投资管理人资格、首家加入联合国责任投资原则组织的公募基金公司、首批公募</w:t>
      </w:r>
      <w:r>
        <w:rPr>
          <w:szCs w:val="21"/>
        </w:rPr>
        <w:t>FOF</w:t>
      </w:r>
      <w:r>
        <w:rPr>
          <w:szCs w:val="21"/>
        </w:rPr>
        <w:t>基金管理人，以及特定客户资产管理人、保险资金投资管理人，香港子公司是首批</w:t>
      </w:r>
      <w:r>
        <w:rPr>
          <w:szCs w:val="21"/>
        </w:rPr>
        <w:t>RQFII</w:t>
      </w:r>
      <w:r>
        <w:rPr>
          <w:szCs w:val="21"/>
        </w:rPr>
        <w:t>基金管理人。华夏基金是业务领域最广泛的基金管理公司之一。</w:t>
      </w:r>
      <w:r>
        <w:rPr>
          <w:szCs w:val="21"/>
        </w:rPr>
        <w:t xml:space="preserve"> </w:t>
      </w:r>
    </w:p>
    <w:p w:rsidR="008D4979" w:rsidRDefault="00AC6EA2">
      <w:pPr>
        <w:pStyle w:val="12"/>
        <w:spacing w:line="360" w:lineRule="auto"/>
        <w:ind w:firstLine="420"/>
        <w:jc w:val="left"/>
        <w:rPr>
          <w:szCs w:val="21"/>
        </w:rPr>
      </w:pPr>
      <w:r>
        <w:rPr>
          <w:szCs w:val="21"/>
        </w:rPr>
        <w:t>华夏基金以深入的投资研究为基础，尽力捕捉市场机会，为投资人谋求良好的回报。根据银河证券基金研究中心基金业绩统计报告，在基金分类排名中（截至</w:t>
      </w:r>
      <w:r>
        <w:rPr>
          <w:szCs w:val="21"/>
        </w:rPr>
        <w:t>2017</w:t>
      </w:r>
      <w:r>
        <w:rPr>
          <w:szCs w:val="21"/>
        </w:rPr>
        <w:t>年</w:t>
      </w:r>
      <w:r>
        <w:rPr>
          <w:szCs w:val="21"/>
        </w:rPr>
        <w:t>12</w:t>
      </w:r>
      <w:r>
        <w:rPr>
          <w:szCs w:val="21"/>
        </w:rPr>
        <w:t>月</w:t>
      </w:r>
      <w:r>
        <w:rPr>
          <w:szCs w:val="21"/>
        </w:rPr>
        <w:t>31</w:t>
      </w:r>
      <w:r>
        <w:rPr>
          <w:szCs w:val="21"/>
        </w:rPr>
        <w:t>日数据），华夏大盘精选混合在</w:t>
      </w:r>
      <w:r>
        <w:rPr>
          <w:szCs w:val="21"/>
        </w:rPr>
        <w:t>135</w:t>
      </w:r>
      <w:r>
        <w:rPr>
          <w:szCs w:val="21"/>
        </w:rPr>
        <w:t>只混合偏股型基金中排名第</w:t>
      </w:r>
      <w:r>
        <w:rPr>
          <w:szCs w:val="21"/>
        </w:rPr>
        <w:t>7</w:t>
      </w:r>
      <w:r>
        <w:rPr>
          <w:szCs w:val="21"/>
        </w:rPr>
        <w:t>，华夏消费升级混合</w:t>
      </w:r>
      <w:r>
        <w:rPr>
          <w:szCs w:val="21"/>
        </w:rPr>
        <w:t>A</w:t>
      </w:r>
      <w:r>
        <w:rPr>
          <w:szCs w:val="21"/>
        </w:rPr>
        <w:t>在</w:t>
      </w:r>
      <w:r>
        <w:rPr>
          <w:szCs w:val="21"/>
        </w:rPr>
        <w:t>263</w:t>
      </w:r>
      <w:r>
        <w:rPr>
          <w:szCs w:val="21"/>
        </w:rPr>
        <w:t>只灵活配置型基金（股票上下限</w:t>
      </w:r>
      <w:r>
        <w:rPr>
          <w:szCs w:val="21"/>
        </w:rPr>
        <w:t>0-95%+</w:t>
      </w:r>
      <w:r>
        <w:rPr>
          <w:szCs w:val="21"/>
        </w:rPr>
        <w:t>基准股票比例</w:t>
      </w:r>
      <w:r>
        <w:rPr>
          <w:szCs w:val="21"/>
        </w:rPr>
        <w:t>30%-60%</w:t>
      </w:r>
      <w:r>
        <w:rPr>
          <w:szCs w:val="21"/>
        </w:rPr>
        <w:t>）（</w:t>
      </w:r>
      <w:r>
        <w:rPr>
          <w:szCs w:val="21"/>
        </w:rPr>
        <w:t>A</w:t>
      </w:r>
      <w:r>
        <w:rPr>
          <w:szCs w:val="21"/>
        </w:rPr>
        <w:t>类）中排名第</w:t>
      </w:r>
      <w:r>
        <w:rPr>
          <w:szCs w:val="21"/>
        </w:rPr>
        <w:t>10</w:t>
      </w:r>
      <w:r>
        <w:rPr>
          <w:szCs w:val="21"/>
        </w:rPr>
        <w:t>；华夏回报混合</w:t>
      </w:r>
      <w:r>
        <w:rPr>
          <w:szCs w:val="21"/>
        </w:rPr>
        <w:t>A</w:t>
      </w:r>
      <w:r>
        <w:rPr>
          <w:szCs w:val="21"/>
        </w:rPr>
        <w:t>和华夏回报二号混合分别在</w:t>
      </w:r>
      <w:r>
        <w:rPr>
          <w:szCs w:val="21"/>
        </w:rPr>
        <w:t>174</w:t>
      </w:r>
      <w:r>
        <w:rPr>
          <w:szCs w:val="21"/>
        </w:rPr>
        <w:t>只绝对收益目标基金（</w:t>
      </w:r>
      <w:r>
        <w:rPr>
          <w:szCs w:val="21"/>
        </w:rPr>
        <w:t>A</w:t>
      </w:r>
      <w:r>
        <w:rPr>
          <w:szCs w:val="21"/>
        </w:rPr>
        <w:t>类）中排名第</w:t>
      </w:r>
      <w:r>
        <w:rPr>
          <w:szCs w:val="21"/>
        </w:rPr>
        <w:t>3</w:t>
      </w:r>
      <w:r>
        <w:rPr>
          <w:szCs w:val="21"/>
        </w:rPr>
        <w:t>和第</w:t>
      </w:r>
      <w:r>
        <w:rPr>
          <w:szCs w:val="21"/>
        </w:rPr>
        <w:t>4</w:t>
      </w:r>
      <w:r>
        <w:rPr>
          <w:szCs w:val="21"/>
        </w:rPr>
        <w:t>；华夏安康债券</w:t>
      </w:r>
      <w:r>
        <w:rPr>
          <w:szCs w:val="21"/>
        </w:rPr>
        <w:t xml:space="preserve">A </w:t>
      </w:r>
      <w:r>
        <w:rPr>
          <w:szCs w:val="21"/>
        </w:rPr>
        <w:t>在</w:t>
      </w:r>
      <w:r>
        <w:rPr>
          <w:szCs w:val="21"/>
        </w:rPr>
        <w:t>177</w:t>
      </w:r>
      <w:r>
        <w:rPr>
          <w:szCs w:val="21"/>
        </w:rPr>
        <w:t>只普通债券型基金（二级</w:t>
      </w:r>
      <w:r>
        <w:rPr>
          <w:szCs w:val="21"/>
        </w:rPr>
        <w:t>A</w:t>
      </w:r>
      <w:r>
        <w:rPr>
          <w:szCs w:val="21"/>
        </w:rPr>
        <w:t>类）中排名第</w:t>
      </w:r>
      <w:r>
        <w:rPr>
          <w:szCs w:val="21"/>
        </w:rPr>
        <w:t>7</w:t>
      </w:r>
      <w:r>
        <w:rPr>
          <w:szCs w:val="21"/>
        </w:rPr>
        <w:t>；华夏可转债增强债券</w:t>
      </w:r>
      <w:r>
        <w:rPr>
          <w:szCs w:val="21"/>
        </w:rPr>
        <w:t>A</w:t>
      </w:r>
      <w:r>
        <w:rPr>
          <w:szCs w:val="21"/>
        </w:rPr>
        <w:t>在</w:t>
      </w:r>
      <w:r>
        <w:rPr>
          <w:szCs w:val="21"/>
        </w:rPr>
        <w:t>17</w:t>
      </w:r>
      <w:r>
        <w:rPr>
          <w:szCs w:val="21"/>
        </w:rPr>
        <w:t>只可转换债券型基金（</w:t>
      </w:r>
      <w:r>
        <w:rPr>
          <w:szCs w:val="21"/>
        </w:rPr>
        <w:t>A</w:t>
      </w:r>
      <w:r>
        <w:rPr>
          <w:szCs w:val="21"/>
        </w:rPr>
        <w:t>类）中排名第</w:t>
      </w:r>
      <w:r>
        <w:rPr>
          <w:szCs w:val="21"/>
        </w:rPr>
        <w:t>5</w:t>
      </w:r>
      <w:r>
        <w:rPr>
          <w:szCs w:val="21"/>
        </w:rPr>
        <w:t>；华夏理财</w:t>
      </w:r>
      <w:r>
        <w:rPr>
          <w:szCs w:val="21"/>
        </w:rPr>
        <w:t>30</w:t>
      </w:r>
      <w:r>
        <w:rPr>
          <w:szCs w:val="21"/>
        </w:rPr>
        <w:t>天债券</w:t>
      </w:r>
      <w:r>
        <w:rPr>
          <w:szCs w:val="21"/>
        </w:rPr>
        <w:t>A</w:t>
      </w:r>
      <w:r>
        <w:rPr>
          <w:szCs w:val="21"/>
        </w:rPr>
        <w:t>在</w:t>
      </w:r>
      <w:r>
        <w:rPr>
          <w:szCs w:val="21"/>
        </w:rPr>
        <w:t>39</w:t>
      </w:r>
      <w:r>
        <w:rPr>
          <w:szCs w:val="21"/>
        </w:rPr>
        <w:t>只短期理财债券型基金（</w:t>
      </w:r>
      <w:r>
        <w:rPr>
          <w:szCs w:val="21"/>
        </w:rPr>
        <w:t>A</w:t>
      </w:r>
      <w:r>
        <w:rPr>
          <w:szCs w:val="21"/>
        </w:rPr>
        <w:t>类）中排名第</w:t>
      </w:r>
      <w:r>
        <w:rPr>
          <w:szCs w:val="21"/>
        </w:rPr>
        <w:t>8</w:t>
      </w:r>
      <w:r>
        <w:rPr>
          <w:szCs w:val="21"/>
        </w:rPr>
        <w:t>；华夏全球股票</w:t>
      </w:r>
      <w:r>
        <w:rPr>
          <w:szCs w:val="21"/>
        </w:rPr>
        <w:t>(QDII)</w:t>
      </w:r>
      <w:r>
        <w:rPr>
          <w:szCs w:val="21"/>
        </w:rPr>
        <w:t>在</w:t>
      </w:r>
      <w:r>
        <w:rPr>
          <w:szCs w:val="21"/>
        </w:rPr>
        <w:t>56</w:t>
      </w:r>
      <w:r>
        <w:rPr>
          <w:szCs w:val="21"/>
        </w:rPr>
        <w:t>只</w:t>
      </w:r>
      <w:r>
        <w:rPr>
          <w:szCs w:val="21"/>
        </w:rPr>
        <w:t>QDII</w:t>
      </w:r>
      <w:r>
        <w:rPr>
          <w:szCs w:val="21"/>
        </w:rPr>
        <w:t>股票型基金（</w:t>
      </w:r>
      <w:r>
        <w:rPr>
          <w:szCs w:val="21"/>
        </w:rPr>
        <w:t>A</w:t>
      </w:r>
      <w:r>
        <w:rPr>
          <w:szCs w:val="21"/>
        </w:rPr>
        <w:t>类）中排名第</w:t>
      </w:r>
      <w:r>
        <w:rPr>
          <w:szCs w:val="21"/>
        </w:rPr>
        <w:t>4</w:t>
      </w:r>
      <w:r>
        <w:rPr>
          <w:szCs w:val="21"/>
        </w:rPr>
        <w:t>；华夏收益债券</w:t>
      </w:r>
      <w:r>
        <w:rPr>
          <w:szCs w:val="21"/>
        </w:rPr>
        <w:t>(QDII)A</w:t>
      </w:r>
      <w:r>
        <w:rPr>
          <w:szCs w:val="21"/>
        </w:rPr>
        <w:t>及华夏大中华信用债券</w:t>
      </w:r>
      <w:r>
        <w:rPr>
          <w:szCs w:val="21"/>
        </w:rPr>
        <w:t>(QDII)A</w:t>
      </w:r>
      <w:r>
        <w:rPr>
          <w:szCs w:val="21"/>
        </w:rPr>
        <w:t>分别在</w:t>
      </w:r>
      <w:r>
        <w:rPr>
          <w:szCs w:val="21"/>
        </w:rPr>
        <w:t>15</w:t>
      </w:r>
      <w:r>
        <w:rPr>
          <w:szCs w:val="21"/>
        </w:rPr>
        <w:t>只</w:t>
      </w:r>
      <w:r>
        <w:rPr>
          <w:szCs w:val="21"/>
        </w:rPr>
        <w:t>QDII</w:t>
      </w:r>
      <w:r>
        <w:rPr>
          <w:szCs w:val="21"/>
        </w:rPr>
        <w:t>债券型基金（</w:t>
      </w:r>
      <w:r>
        <w:rPr>
          <w:szCs w:val="21"/>
        </w:rPr>
        <w:t>A</w:t>
      </w:r>
      <w:r>
        <w:rPr>
          <w:szCs w:val="21"/>
        </w:rPr>
        <w:t>类）中排名第</w:t>
      </w:r>
      <w:r>
        <w:rPr>
          <w:szCs w:val="21"/>
        </w:rPr>
        <w:t>1</w:t>
      </w:r>
      <w:r>
        <w:rPr>
          <w:szCs w:val="21"/>
        </w:rPr>
        <w:t>和第</w:t>
      </w:r>
      <w:r>
        <w:rPr>
          <w:szCs w:val="21"/>
        </w:rPr>
        <w:t>3</w:t>
      </w:r>
      <w:r>
        <w:rPr>
          <w:szCs w:val="21"/>
        </w:rPr>
        <w:t>。</w:t>
      </w:r>
    </w:p>
    <w:p w:rsidR="0006081F" w:rsidRPr="00A1399F" w:rsidRDefault="0006081F" w:rsidP="00A1399F">
      <w:pPr>
        <w:pStyle w:val="12"/>
        <w:spacing w:line="360" w:lineRule="auto"/>
        <w:ind w:firstLine="420"/>
        <w:jc w:val="left"/>
        <w:rPr>
          <w:szCs w:val="21"/>
        </w:rPr>
      </w:pPr>
      <w:r w:rsidRPr="00A1399F">
        <w:rPr>
          <w:szCs w:val="21"/>
        </w:rPr>
        <w:t>在客户服务方面，</w:t>
      </w:r>
      <w:r w:rsidRPr="00A1399F">
        <w:rPr>
          <w:szCs w:val="21"/>
        </w:rPr>
        <w:t>4</w:t>
      </w:r>
      <w:r w:rsidRPr="00A1399F">
        <w:rPr>
          <w:szCs w:val="21"/>
        </w:rPr>
        <w:t>季度，华夏基金继续以客户需求为导向，努力提高客户使用的便利性和服务体验：（</w:t>
      </w:r>
      <w:r w:rsidRPr="00A1399F">
        <w:rPr>
          <w:szCs w:val="21"/>
        </w:rPr>
        <w:t>1</w:t>
      </w:r>
      <w:r w:rsidRPr="00A1399F">
        <w:rPr>
          <w:szCs w:val="21"/>
        </w:rPr>
        <w:t>）企业理财微信端、基金管家</w:t>
      </w:r>
      <w:r w:rsidRPr="00A1399F">
        <w:rPr>
          <w:szCs w:val="21"/>
        </w:rPr>
        <w:t>APP</w:t>
      </w:r>
      <w:r w:rsidRPr="00A1399F">
        <w:rPr>
          <w:szCs w:val="21"/>
        </w:rPr>
        <w:t>固定业务自助办理功能陆续上线，为客户提供了更丰富的基金投资方式和更便捷的业务办理平台；（</w:t>
      </w:r>
      <w:r w:rsidRPr="00A1399F">
        <w:rPr>
          <w:szCs w:val="21"/>
        </w:rPr>
        <w:t>2</w:t>
      </w:r>
      <w:r w:rsidRPr="00A1399F">
        <w:rPr>
          <w:szCs w:val="21"/>
        </w:rPr>
        <w:t>）与嘉实财富、基煜基金、上海华信证券等多家基金销售机构合作，为客户提供更多理财渠道，进一步提升客户体验；（</w:t>
      </w:r>
      <w:r w:rsidRPr="00A1399F">
        <w:rPr>
          <w:szCs w:val="21"/>
        </w:rPr>
        <w:t>3</w:t>
      </w:r>
      <w:r w:rsidRPr="00A1399F">
        <w:rPr>
          <w:szCs w:val="21"/>
        </w:rPr>
        <w:t>）开展</w:t>
      </w:r>
      <w:r w:rsidRPr="00A1399F">
        <w:rPr>
          <w:szCs w:val="21"/>
        </w:rPr>
        <w:t>“FOF</w:t>
      </w:r>
      <w:r w:rsidRPr="00A1399F">
        <w:rPr>
          <w:szCs w:val="21"/>
        </w:rPr>
        <w:t>基金知识大挑战</w:t>
      </w:r>
      <w:r w:rsidRPr="00A1399F">
        <w:rPr>
          <w:szCs w:val="21"/>
        </w:rPr>
        <w:t>”</w:t>
      </w:r>
      <w:r w:rsidRPr="00A1399F">
        <w:rPr>
          <w:szCs w:val="21"/>
        </w:rPr>
        <w:t>、</w:t>
      </w:r>
      <w:r w:rsidRPr="00A1399F">
        <w:rPr>
          <w:szCs w:val="21"/>
        </w:rPr>
        <w:t>“QDII</w:t>
      </w:r>
      <w:r w:rsidRPr="00A1399F">
        <w:rPr>
          <w:szCs w:val="21"/>
        </w:rPr>
        <w:t>基金知识大闯关</w:t>
      </w:r>
      <w:r w:rsidRPr="00A1399F">
        <w:rPr>
          <w:szCs w:val="21"/>
        </w:rPr>
        <w:t>”</w:t>
      </w:r>
      <w:r w:rsidRPr="00A1399F">
        <w:rPr>
          <w:szCs w:val="21"/>
        </w:rPr>
        <w:t>、</w:t>
      </w:r>
      <w:r w:rsidRPr="00A1399F">
        <w:rPr>
          <w:szCs w:val="21"/>
        </w:rPr>
        <w:t>“</w:t>
      </w:r>
      <w:r w:rsidRPr="00A1399F">
        <w:rPr>
          <w:szCs w:val="21"/>
        </w:rPr>
        <w:t>和老乡一起分红包</w:t>
      </w:r>
      <w:r w:rsidRPr="00A1399F">
        <w:rPr>
          <w:szCs w:val="21"/>
        </w:rPr>
        <w:t>”</w:t>
      </w:r>
      <w:r w:rsidRPr="00A1399F">
        <w:rPr>
          <w:szCs w:val="21"/>
        </w:rPr>
        <w:t>、</w:t>
      </w:r>
      <w:r w:rsidRPr="00A1399F">
        <w:rPr>
          <w:szCs w:val="21"/>
        </w:rPr>
        <w:t>“</w:t>
      </w:r>
      <w:r w:rsidRPr="00A1399F">
        <w:rPr>
          <w:szCs w:val="21"/>
        </w:rPr>
        <w:t>货家三兄弟迎新年</w:t>
      </w:r>
      <w:r w:rsidRPr="00A1399F">
        <w:rPr>
          <w:szCs w:val="21"/>
        </w:rPr>
        <w:t>”</w:t>
      </w:r>
      <w:r w:rsidRPr="00A1399F">
        <w:rPr>
          <w:szCs w:val="21"/>
        </w:rPr>
        <w:t>等活动，为客户提供多样化的投资者教育和关怀服务。</w:t>
      </w:r>
    </w:p>
    <w:p w:rsidR="009238DB" w:rsidRPr="0051626C" w:rsidRDefault="009238DB" w:rsidP="00973780">
      <w:pPr>
        <w:pStyle w:val="2"/>
        <w:spacing w:before="0" w:after="0" w:line="416" w:lineRule="auto"/>
        <w:jc w:val="center"/>
        <w:rPr>
          <w:rStyle w:val="2CharCharChar"/>
          <w:rFonts w:ascii="Times New Roman" w:hAnsi="Times New Roman" w:cs="Times New Roman"/>
          <w:b/>
          <w:szCs w:val="24"/>
        </w:rPr>
      </w:pPr>
      <w:r w:rsidRPr="0051626C">
        <w:rPr>
          <w:rStyle w:val="2CharCharChar"/>
          <w:rFonts w:ascii="Times New Roman" w:hAnsi="Times New Roman" w:cs="Times New Roman"/>
          <w:b/>
          <w:szCs w:val="24"/>
        </w:rPr>
        <w:t>§</w:t>
      </w:r>
      <w:r w:rsidR="00A14399" w:rsidRPr="0051626C">
        <w:rPr>
          <w:rStyle w:val="2CharCharChar"/>
          <w:rFonts w:ascii="Times New Roman" w:hAnsi="Times New Roman" w:cs="Times New Roman"/>
          <w:b/>
          <w:szCs w:val="24"/>
        </w:rPr>
        <w:t>9</w:t>
      </w:r>
      <w:bookmarkStart w:id="0" w:name="_GoBack"/>
      <w:bookmarkEnd w:id="0"/>
      <w:r w:rsidRPr="0051626C">
        <w:rPr>
          <w:rStyle w:val="2CharCharChar"/>
          <w:rFonts w:ascii="Times New Roman" w:hAnsi="Times New Roman" w:cs="Times New Roman"/>
          <w:b/>
          <w:szCs w:val="24"/>
        </w:rPr>
        <w:t>备查文件目录</w:t>
      </w:r>
    </w:p>
    <w:p w:rsidR="00FB3C94" w:rsidRPr="0051626C" w:rsidRDefault="00A14399" w:rsidP="00FC13C8">
      <w:pPr>
        <w:autoSpaceDE w:val="0"/>
        <w:autoSpaceDN w:val="0"/>
        <w:adjustRightInd w:val="0"/>
        <w:spacing w:line="360" w:lineRule="auto"/>
        <w:jc w:val="left"/>
        <w:rPr>
          <w:color w:val="000000"/>
          <w:szCs w:val="21"/>
        </w:rPr>
      </w:pPr>
      <w:r w:rsidRPr="0051626C">
        <w:rPr>
          <w:color w:val="000000"/>
          <w:szCs w:val="21"/>
        </w:rPr>
        <w:t>9.</w:t>
      </w:r>
      <w:r w:rsidR="00D13A01" w:rsidRPr="0051626C">
        <w:rPr>
          <w:color w:val="000000"/>
          <w:szCs w:val="21"/>
        </w:rPr>
        <w:t>1</w:t>
      </w:r>
      <w:r w:rsidR="00FB3C94" w:rsidRPr="0051626C">
        <w:rPr>
          <w:color w:val="000000"/>
          <w:szCs w:val="21"/>
        </w:rPr>
        <w:t>备查文件目录</w:t>
      </w:r>
    </w:p>
    <w:p w:rsidR="008D4979" w:rsidRDefault="00AC6EA2">
      <w:pPr>
        <w:pStyle w:val="12"/>
        <w:spacing w:line="360" w:lineRule="auto"/>
        <w:jc w:val="left"/>
        <w:rPr>
          <w:szCs w:val="21"/>
        </w:rPr>
      </w:pPr>
      <w:r>
        <w:rPr>
          <w:szCs w:val="21"/>
        </w:rPr>
        <w:t>9.1.1</w:t>
      </w:r>
      <w:r>
        <w:rPr>
          <w:szCs w:val="21"/>
        </w:rPr>
        <w:t>中国证监会准予基金注册的文件；</w:t>
      </w:r>
    </w:p>
    <w:p w:rsidR="008D4979" w:rsidRDefault="00AC6EA2">
      <w:pPr>
        <w:pStyle w:val="12"/>
        <w:spacing w:line="360" w:lineRule="auto"/>
        <w:jc w:val="left"/>
        <w:rPr>
          <w:szCs w:val="21"/>
        </w:rPr>
      </w:pPr>
      <w:r>
        <w:rPr>
          <w:szCs w:val="21"/>
        </w:rPr>
        <w:t>9.1.2</w:t>
      </w:r>
      <w:r>
        <w:rPr>
          <w:szCs w:val="21"/>
        </w:rPr>
        <w:t>《华夏鼎益债券型证券投资基金基金合同》；</w:t>
      </w:r>
    </w:p>
    <w:p w:rsidR="008D4979" w:rsidRDefault="00AC6EA2">
      <w:pPr>
        <w:pStyle w:val="12"/>
        <w:spacing w:line="360" w:lineRule="auto"/>
        <w:jc w:val="left"/>
        <w:rPr>
          <w:szCs w:val="21"/>
        </w:rPr>
      </w:pPr>
      <w:r>
        <w:rPr>
          <w:szCs w:val="21"/>
        </w:rPr>
        <w:t>9.1.3</w:t>
      </w:r>
      <w:r>
        <w:rPr>
          <w:szCs w:val="21"/>
        </w:rPr>
        <w:t>《华夏鼎益债券型证券投资基金托管协议》；</w:t>
      </w:r>
    </w:p>
    <w:p w:rsidR="008D4979" w:rsidRDefault="00AC6EA2">
      <w:pPr>
        <w:pStyle w:val="12"/>
        <w:spacing w:line="360" w:lineRule="auto"/>
        <w:jc w:val="left"/>
        <w:rPr>
          <w:szCs w:val="21"/>
        </w:rPr>
      </w:pPr>
      <w:r>
        <w:rPr>
          <w:szCs w:val="21"/>
        </w:rPr>
        <w:t>9.1.4</w:t>
      </w:r>
      <w:r>
        <w:rPr>
          <w:szCs w:val="21"/>
        </w:rPr>
        <w:t>法律意见书；</w:t>
      </w:r>
    </w:p>
    <w:p w:rsidR="008D4979" w:rsidRDefault="00AC6EA2">
      <w:pPr>
        <w:pStyle w:val="12"/>
        <w:spacing w:line="360" w:lineRule="auto"/>
        <w:jc w:val="left"/>
        <w:rPr>
          <w:szCs w:val="21"/>
        </w:rPr>
      </w:pPr>
      <w:r>
        <w:rPr>
          <w:szCs w:val="21"/>
        </w:rPr>
        <w:t>9.1.5</w:t>
      </w:r>
      <w:r>
        <w:rPr>
          <w:szCs w:val="21"/>
        </w:rPr>
        <w:t>基金管理人业务资格批件、营业执照；</w:t>
      </w:r>
    </w:p>
    <w:p w:rsidR="00F11783" w:rsidRPr="00A1399F" w:rsidRDefault="00FB3C94" w:rsidP="00A1399F">
      <w:pPr>
        <w:pStyle w:val="12"/>
        <w:spacing w:line="360" w:lineRule="auto"/>
        <w:jc w:val="left"/>
        <w:rPr>
          <w:szCs w:val="21"/>
        </w:rPr>
      </w:pPr>
      <w:r w:rsidRPr="00A1399F">
        <w:rPr>
          <w:szCs w:val="21"/>
        </w:rPr>
        <w:t>9.1.6</w:t>
      </w:r>
      <w:r w:rsidRPr="00A1399F">
        <w:rPr>
          <w:szCs w:val="21"/>
        </w:rPr>
        <w:t>基金托管人业务资格批件、营业执照。</w:t>
      </w:r>
    </w:p>
    <w:p w:rsidR="00FB3C94" w:rsidRPr="0051626C" w:rsidRDefault="00D13A01" w:rsidP="00284023">
      <w:pPr>
        <w:autoSpaceDE w:val="0"/>
        <w:autoSpaceDN w:val="0"/>
        <w:adjustRightInd w:val="0"/>
        <w:spacing w:line="360" w:lineRule="auto"/>
        <w:jc w:val="left"/>
        <w:rPr>
          <w:color w:val="000000"/>
          <w:szCs w:val="21"/>
        </w:rPr>
      </w:pPr>
      <w:r w:rsidRPr="0051626C">
        <w:rPr>
          <w:color w:val="000000"/>
          <w:szCs w:val="21"/>
        </w:rPr>
        <w:t>9.2</w:t>
      </w:r>
      <w:r w:rsidR="00FB3C94" w:rsidRPr="0051626C">
        <w:rPr>
          <w:color w:val="000000"/>
          <w:szCs w:val="21"/>
        </w:rPr>
        <w:t>存放地点</w:t>
      </w:r>
    </w:p>
    <w:p w:rsidR="00F11783" w:rsidRPr="00A1399F" w:rsidRDefault="00FB3C94" w:rsidP="00A1399F">
      <w:pPr>
        <w:pStyle w:val="12"/>
        <w:spacing w:line="360" w:lineRule="auto"/>
        <w:ind w:firstLine="420"/>
        <w:jc w:val="left"/>
        <w:rPr>
          <w:szCs w:val="21"/>
        </w:rPr>
      </w:pPr>
      <w:r w:rsidRPr="00A1399F">
        <w:rPr>
          <w:szCs w:val="21"/>
        </w:rPr>
        <w:t>备查文件存放于基金管理人和</w:t>
      </w:r>
      <w:r w:rsidRPr="00A1399F">
        <w:rPr>
          <w:szCs w:val="21"/>
        </w:rPr>
        <w:t>/</w:t>
      </w:r>
      <w:r w:rsidRPr="00A1399F">
        <w:rPr>
          <w:szCs w:val="21"/>
        </w:rPr>
        <w:t>或基金托管人的住所。</w:t>
      </w:r>
    </w:p>
    <w:p w:rsidR="00FB3C94" w:rsidRPr="0051626C" w:rsidRDefault="00D13A01" w:rsidP="00284023">
      <w:pPr>
        <w:autoSpaceDE w:val="0"/>
        <w:autoSpaceDN w:val="0"/>
        <w:adjustRightInd w:val="0"/>
        <w:spacing w:line="360" w:lineRule="auto"/>
        <w:jc w:val="left"/>
        <w:rPr>
          <w:color w:val="000000"/>
          <w:szCs w:val="21"/>
        </w:rPr>
      </w:pPr>
      <w:r w:rsidRPr="0051626C">
        <w:rPr>
          <w:color w:val="000000"/>
          <w:szCs w:val="21"/>
        </w:rPr>
        <w:t>9.3</w:t>
      </w:r>
      <w:r w:rsidR="00FB3C94" w:rsidRPr="0051626C">
        <w:rPr>
          <w:color w:val="000000"/>
          <w:szCs w:val="21"/>
        </w:rPr>
        <w:t>查阅方式</w:t>
      </w:r>
    </w:p>
    <w:p w:rsidR="00FB3C94" w:rsidRPr="00A1399F" w:rsidRDefault="00FB3C94" w:rsidP="00A1399F">
      <w:pPr>
        <w:pStyle w:val="12"/>
        <w:spacing w:line="360" w:lineRule="auto"/>
        <w:ind w:firstLine="420"/>
        <w:jc w:val="left"/>
        <w:rPr>
          <w:szCs w:val="21"/>
        </w:rPr>
      </w:pPr>
      <w:r w:rsidRPr="00A1399F">
        <w:rPr>
          <w:szCs w:val="21"/>
        </w:rPr>
        <w:t>投资者可到基金管理人和</w:t>
      </w:r>
      <w:r w:rsidRPr="00A1399F">
        <w:rPr>
          <w:szCs w:val="21"/>
        </w:rPr>
        <w:t>/</w:t>
      </w:r>
      <w:r w:rsidRPr="00A1399F">
        <w:rPr>
          <w:szCs w:val="21"/>
        </w:rPr>
        <w:t>或基金托管人的住所免费查阅备查文件。在支付工本费后，投资者可在合理时间内取得备查文件的复制件或复印件。</w:t>
      </w:r>
    </w:p>
    <w:p w:rsidR="00FB3C94" w:rsidRPr="0051626C" w:rsidRDefault="00FB3C94" w:rsidP="00FB3C94">
      <w:pPr>
        <w:spacing w:line="360" w:lineRule="auto"/>
        <w:ind w:left="840"/>
        <w:jc w:val="right"/>
        <w:rPr>
          <w:color w:val="000000" w:themeColor="text1"/>
          <w:szCs w:val="21"/>
        </w:rPr>
      </w:pPr>
    </w:p>
    <w:p w:rsidR="00AF3AF9" w:rsidRPr="0051626C" w:rsidRDefault="00AF3AF9" w:rsidP="00053FFD">
      <w:pPr>
        <w:spacing w:line="360" w:lineRule="auto"/>
        <w:ind w:left="840"/>
        <w:jc w:val="center"/>
        <w:rPr>
          <w:b/>
          <w:color w:val="000000" w:themeColor="text1"/>
          <w:szCs w:val="21"/>
        </w:rPr>
      </w:pPr>
    </w:p>
    <w:p w:rsidR="00FB3C94" w:rsidRPr="0051626C" w:rsidRDefault="00FB3C94" w:rsidP="00B1493B">
      <w:pPr>
        <w:spacing w:line="360" w:lineRule="auto"/>
        <w:jc w:val="right"/>
        <w:rPr>
          <w:color w:val="000000"/>
          <w:szCs w:val="21"/>
        </w:rPr>
      </w:pPr>
      <w:r w:rsidRPr="0051626C">
        <w:rPr>
          <w:color w:val="000000"/>
          <w:szCs w:val="21"/>
        </w:rPr>
        <w:t>华夏基金管理有限公司</w:t>
      </w:r>
    </w:p>
    <w:p w:rsidR="009238DB" w:rsidRPr="0051626C" w:rsidRDefault="00D04410" w:rsidP="00B1493B">
      <w:pPr>
        <w:spacing w:line="360" w:lineRule="auto"/>
        <w:jc w:val="right"/>
        <w:rPr>
          <w:color w:val="000000"/>
          <w:szCs w:val="21"/>
        </w:rPr>
      </w:pPr>
      <w:r w:rsidRPr="0051626C">
        <w:rPr>
          <w:color w:val="000000"/>
          <w:szCs w:val="21"/>
        </w:rPr>
        <w:t>二〇一八年一月二十二日</w:t>
      </w:r>
    </w:p>
    <w:sectPr w:rsidR="009238DB" w:rsidRPr="0051626C" w:rsidSect="00973780">
      <w:headerReference w:type="default" r:id="rId10"/>
      <w:footerReference w:type="even" r:id="rId11"/>
      <w:footerReference w:type="default" r:id="rId12"/>
      <w:pgSz w:w="11906" w:h="16838"/>
      <w:pgMar w:top="1440" w:right="1286"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6F6" w:rsidRDefault="002966F6">
      <w:r>
        <w:separator/>
      </w:r>
    </w:p>
  </w:endnote>
  <w:endnote w:type="continuationSeparator" w:id="1">
    <w:p w:rsidR="002966F6" w:rsidRDefault="002966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01E" w:rsidRDefault="004A6AA9">
    <w:pPr>
      <w:pStyle w:val="a6"/>
      <w:framePr w:wrap="around" w:vAnchor="text" w:hAnchor="margin" w:xAlign="center" w:y="1"/>
      <w:rPr>
        <w:rStyle w:val="a7"/>
      </w:rPr>
    </w:pPr>
    <w:r>
      <w:rPr>
        <w:rStyle w:val="a7"/>
      </w:rPr>
      <w:fldChar w:fldCharType="begin"/>
    </w:r>
    <w:r w:rsidR="006C501E">
      <w:rPr>
        <w:rStyle w:val="a7"/>
      </w:rPr>
      <w:instrText xml:space="preserve">PAGE  </w:instrText>
    </w:r>
    <w:r>
      <w:rPr>
        <w:rStyle w:val="a7"/>
      </w:rPr>
      <w:fldChar w:fldCharType="end"/>
    </w:r>
  </w:p>
  <w:p w:rsidR="006C501E" w:rsidRDefault="006C501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151964"/>
      <w:docPartObj>
        <w:docPartGallery w:val="Page Numbers (Bottom of Page)"/>
        <w:docPartUnique/>
      </w:docPartObj>
    </w:sdtPr>
    <w:sdtContent>
      <w:p w:rsidR="006C501E" w:rsidRDefault="004A6AA9">
        <w:pPr>
          <w:pStyle w:val="a6"/>
          <w:jc w:val="center"/>
        </w:pPr>
        <w:r>
          <w:fldChar w:fldCharType="begin"/>
        </w:r>
        <w:r w:rsidR="006C501E">
          <w:instrText>PAGE   \* MERGEFORMAT</w:instrText>
        </w:r>
        <w:r>
          <w:fldChar w:fldCharType="separate"/>
        </w:r>
        <w:r w:rsidR="002C4C31" w:rsidRPr="002C4C31">
          <w:rPr>
            <w:noProof/>
            <w:lang w:val="zh-CN"/>
          </w:rPr>
          <w:t>1</w:t>
        </w:r>
        <w:r>
          <w:fldChar w:fldCharType="end"/>
        </w:r>
      </w:p>
    </w:sdtContent>
  </w:sdt>
  <w:p w:rsidR="006C501E" w:rsidRDefault="006C501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6F6" w:rsidRDefault="002966F6">
      <w:r>
        <w:separator/>
      </w:r>
    </w:p>
  </w:footnote>
  <w:footnote w:type="continuationSeparator" w:id="1">
    <w:p w:rsidR="002966F6" w:rsidRDefault="002966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01E" w:rsidRPr="0063693D" w:rsidRDefault="006C501E" w:rsidP="001207F2">
    <w:pPr>
      <w:pStyle w:val="a9"/>
      <w:pBdr>
        <w:bottom w:val="single" w:sz="6" w:space="0" w:color="auto"/>
      </w:pBdr>
      <w:jc w:val="right"/>
    </w:pPr>
    <w:r w:rsidRPr="0063693D">
      <w:t>华夏鼎益债券型证券投资基金</w:t>
    </w:r>
    <w:r w:rsidRPr="0063693D">
      <w:t>2017</w:t>
    </w:r>
    <w:r w:rsidRPr="0063693D">
      <w:t>年第</w:t>
    </w:r>
    <w:r w:rsidRPr="0063693D">
      <w:t>4</w:t>
    </w:r>
    <w:r w:rsidRPr="0063693D">
      <w:t>季度报告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337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187"/>
    <w:rsid w:val="0000059C"/>
    <w:rsid w:val="000008B1"/>
    <w:rsid w:val="0000403B"/>
    <w:rsid w:val="00007441"/>
    <w:rsid w:val="00007F1F"/>
    <w:rsid w:val="00010A83"/>
    <w:rsid w:val="000137C1"/>
    <w:rsid w:val="0001579C"/>
    <w:rsid w:val="00015D73"/>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510AB"/>
    <w:rsid w:val="00052833"/>
    <w:rsid w:val="00053FFD"/>
    <w:rsid w:val="00056D5C"/>
    <w:rsid w:val="0006081F"/>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4705"/>
    <w:rsid w:val="000C5956"/>
    <w:rsid w:val="000C757F"/>
    <w:rsid w:val="000C7DD4"/>
    <w:rsid w:val="000D0474"/>
    <w:rsid w:val="000D1164"/>
    <w:rsid w:val="000D1BBE"/>
    <w:rsid w:val="000D3773"/>
    <w:rsid w:val="000D4DE9"/>
    <w:rsid w:val="000D6660"/>
    <w:rsid w:val="000D6BA0"/>
    <w:rsid w:val="000D7ECA"/>
    <w:rsid w:val="000E2927"/>
    <w:rsid w:val="000E2F81"/>
    <w:rsid w:val="000E3726"/>
    <w:rsid w:val="000E39DB"/>
    <w:rsid w:val="000E7255"/>
    <w:rsid w:val="000F0024"/>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3DB8"/>
    <w:rsid w:val="00134734"/>
    <w:rsid w:val="00134CBE"/>
    <w:rsid w:val="001360A3"/>
    <w:rsid w:val="0013701E"/>
    <w:rsid w:val="001378DA"/>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2B44"/>
    <w:rsid w:val="00185B68"/>
    <w:rsid w:val="00186199"/>
    <w:rsid w:val="001874E3"/>
    <w:rsid w:val="00194155"/>
    <w:rsid w:val="001A0417"/>
    <w:rsid w:val="001A0B71"/>
    <w:rsid w:val="001A1389"/>
    <w:rsid w:val="001A3016"/>
    <w:rsid w:val="001A3914"/>
    <w:rsid w:val="001A4F47"/>
    <w:rsid w:val="001A5FA6"/>
    <w:rsid w:val="001A68D9"/>
    <w:rsid w:val="001B053A"/>
    <w:rsid w:val="001B0C78"/>
    <w:rsid w:val="001B151C"/>
    <w:rsid w:val="001B1A13"/>
    <w:rsid w:val="001B1A6E"/>
    <w:rsid w:val="001B22BA"/>
    <w:rsid w:val="001C2045"/>
    <w:rsid w:val="001C5040"/>
    <w:rsid w:val="001C715A"/>
    <w:rsid w:val="001D0F6A"/>
    <w:rsid w:val="001D2FA5"/>
    <w:rsid w:val="001D3394"/>
    <w:rsid w:val="001D3D57"/>
    <w:rsid w:val="001D4980"/>
    <w:rsid w:val="001D5045"/>
    <w:rsid w:val="001D5A44"/>
    <w:rsid w:val="001D5CD0"/>
    <w:rsid w:val="001D6F37"/>
    <w:rsid w:val="001D724B"/>
    <w:rsid w:val="001E023C"/>
    <w:rsid w:val="001E0BA5"/>
    <w:rsid w:val="001F03E1"/>
    <w:rsid w:val="001F1F19"/>
    <w:rsid w:val="001F2BD1"/>
    <w:rsid w:val="001F3080"/>
    <w:rsid w:val="001F3CC6"/>
    <w:rsid w:val="001F5F5F"/>
    <w:rsid w:val="00205064"/>
    <w:rsid w:val="0020548A"/>
    <w:rsid w:val="00206BBF"/>
    <w:rsid w:val="00211668"/>
    <w:rsid w:val="002118A6"/>
    <w:rsid w:val="002122FF"/>
    <w:rsid w:val="002125F7"/>
    <w:rsid w:val="0021288A"/>
    <w:rsid w:val="002150AC"/>
    <w:rsid w:val="0021650B"/>
    <w:rsid w:val="002210EB"/>
    <w:rsid w:val="00221938"/>
    <w:rsid w:val="00222262"/>
    <w:rsid w:val="00222ABD"/>
    <w:rsid w:val="002230A8"/>
    <w:rsid w:val="00226BB3"/>
    <w:rsid w:val="00227D20"/>
    <w:rsid w:val="00231BCE"/>
    <w:rsid w:val="0023336A"/>
    <w:rsid w:val="002359EB"/>
    <w:rsid w:val="0023649E"/>
    <w:rsid w:val="00240650"/>
    <w:rsid w:val="00241740"/>
    <w:rsid w:val="00241BA9"/>
    <w:rsid w:val="002424E4"/>
    <w:rsid w:val="00243122"/>
    <w:rsid w:val="002437F5"/>
    <w:rsid w:val="00244DB1"/>
    <w:rsid w:val="00245012"/>
    <w:rsid w:val="0024504E"/>
    <w:rsid w:val="0024651F"/>
    <w:rsid w:val="00246874"/>
    <w:rsid w:val="00246D81"/>
    <w:rsid w:val="00247642"/>
    <w:rsid w:val="00250869"/>
    <w:rsid w:val="00250C84"/>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7DD"/>
    <w:rsid w:val="00282FF2"/>
    <w:rsid w:val="00283483"/>
    <w:rsid w:val="00284023"/>
    <w:rsid w:val="002844B5"/>
    <w:rsid w:val="0028459B"/>
    <w:rsid w:val="00285618"/>
    <w:rsid w:val="002872F8"/>
    <w:rsid w:val="00290EEA"/>
    <w:rsid w:val="00291E9A"/>
    <w:rsid w:val="002966F6"/>
    <w:rsid w:val="00296E4A"/>
    <w:rsid w:val="002976E5"/>
    <w:rsid w:val="002A1F14"/>
    <w:rsid w:val="002A2678"/>
    <w:rsid w:val="002A3369"/>
    <w:rsid w:val="002A4B8A"/>
    <w:rsid w:val="002A5161"/>
    <w:rsid w:val="002A5C0F"/>
    <w:rsid w:val="002A6385"/>
    <w:rsid w:val="002A7929"/>
    <w:rsid w:val="002B32B9"/>
    <w:rsid w:val="002B41D7"/>
    <w:rsid w:val="002B5240"/>
    <w:rsid w:val="002B6A13"/>
    <w:rsid w:val="002C0904"/>
    <w:rsid w:val="002C0F67"/>
    <w:rsid w:val="002C1E84"/>
    <w:rsid w:val="002C36C3"/>
    <w:rsid w:val="002C4C31"/>
    <w:rsid w:val="002C77CC"/>
    <w:rsid w:val="002D2A00"/>
    <w:rsid w:val="002D5199"/>
    <w:rsid w:val="002E04B8"/>
    <w:rsid w:val="002E2862"/>
    <w:rsid w:val="002E356A"/>
    <w:rsid w:val="002E4C01"/>
    <w:rsid w:val="002F0516"/>
    <w:rsid w:val="002F22D2"/>
    <w:rsid w:val="002F4C7E"/>
    <w:rsid w:val="002F778A"/>
    <w:rsid w:val="00302187"/>
    <w:rsid w:val="003028D8"/>
    <w:rsid w:val="0030290F"/>
    <w:rsid w:val="00302DE9"/>
    <w:rsid w:val="00303869"/>
    <w:rsid w:val="00303F1D"/>
    <w:rsid w:val="00305084"/>
    <w:rsid w:val="00311ABF"/>
    <w:rsid w:val="00314A81"/>
    <w:rsid w:val="00314DD2"/>
    <w:rsid w:val="003158E6"/>
    <w:rsid w:val="00315A7C"/>
    <w:rsid w:val="00317211"/>
    <w:rsid w:val="00317705"/>
    <w:rsid w:val="003204E9"/>
    <w:rsid w:val="003232AA"/>
    <w:rsid w:val="00323A10"/>
    <w:rsid w:val="00323E6A"/>
    <w:rsid w:val="00323F25"/>
    <w:rsid w:val="0032424A"/>
    <w:rsid w:val="00324A71"/>
    <w:rsid w:val="003303E3"/>
    <w:rsid w:val="00334656"/>
    <w:rsid w:val="00337A86"/>
    <w:rsid w:val="0034147B"/>
    <w:rsid w:val="00341889"/>
    <w:rsid w:val="003426CE"/>
    <w:rsid w:val="00343016"/>
    <w:rsid w:val="0034447B"/>
    <w:rsid w:val="00351704"/>
    <w:rsid w:val="003570C8"/>
    <w:rsid w:val="00367770"/>
    <w:rsid w:val="00370BEA"/>
    <w:rsid w:val="00371424"/>
    <w:rsid w:val="00371FF4"/>
    <w:rsid w:val="00372209"/>
    <w:rsid w:val="00374C4E"/>
    <w:rsid w:val="003771ED"/>
    <w:rsid w:val="0037768B"/>
    <w:rsid w:val="00381791"/>
    <w:rsid w:val="00382E6F"/>
    <w:rsid w:val="00387C00"/>
    <w:rsid w:val="003968CD"/>
    <w:rsid w:val="00397960"/>
    <w:rsid w:val="00397F75"/>
    <w:rsid w:val="003A2008"/>
    <w:rsid w:val="003A31F1"/>
    <w:rsid w:val="003A3BC4"/>
    <w:rsid w:val="003A4AA3"/>
    <w:rsid w:val="003B405E"/>
    <w:rsid w:val="003B4843"/>
    <w:rsid w:val="003B494E"/>
    <w:rsid w:val="003B565C"/>
    <w:rsid w:val="003C3C8C"/>
    <w:rsid w:val="003C6E9E"/>
    <w:rsid w:val="003C792F"/>
    <w:rsid w:val="003D117A"/>
    <w:rsid w:val="003D36B2"/>
    <w:rsid w:val="003D42D5"/>
    <w:rsid w:val="003D4C3C"/>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FEC"/>
    <w:rsid w:val="004425E8"/>
    <w:rsid w:val="00443C8F"/>
    <w:rsid w:val="00447BC6"/>
    <w:rsid w:val="004501CE"/>
    <w:rsid w:val="00452481"/>
    <w:rsid w:val="00453832"/>
    <w:rsid w:val="00454A0F"/>
    <w:rsid w:val="0046335D"/>
    <w:rsid w:val="00463C2C"/>
    <w:rsid w:val="00466BBC"/>
    <w:rsid w:val="004733AC"/>
    <w:rsid w:val="004734F0"/>
    <w:rsid w:val="00473A6F"/>
    <w:rsid w:val="00483271"/>
    <w:rsid w:val="004906F0"/>
    <w:rsid w:val="0049210E"/>
    <w:rsid w:val="0049297D"/>
    <w:rsid w:val="0049327D"/>
    <w:rsid w:val="0049405D"/>
    <w:rsid w:val="0049455C"/>
    <w:rsid w:val="00495A03"/>
    <w:rsid w:val="004A0C88"/>
    <w:rsid w:val="004A135B"/>
    <w:rsid w:val="004A1BE1"/>
    <w:rsid w:val="004A4980"/>
    <w:rsid w:val="004A4F68"/>
    <w:rsid w:val="004A63CB"/>
    <w:rsid w:val="004A67B0"/>
    <w:rsid w:val="004A6AA9"/>
    <w:rsid w:val="004A6FB2"/>
    <w:rsid w:val="004B0847"/>
    <w:rsid w:val="004B0E6D"/>
    <w:rsid w:val="004B16E8"/>
    <w:rsid w:val="004C0541"/>
    <w:rsid w:val="004C3A16"/>
    <w:rsid w:val="004C634A"/>
    <w:rsid w:val="004C660B"/>
    <w:rsid w:val="004D050C"/>
    <w:rsid w:val="004D23D9"/>
    <w:rsid w:val="004D29A9"/>
    <w:rsid w:val="004D3537"/>
    <w:rsid w:val="004D4D4E"/>
    <w:rsid w:val="004D614E"/>
    <w:rsid w:val="004D650F"/>
    <w:rsid w:val="004E2133"/>
    <w:rsid w:val="004E4E04"/>
    <w:rsid w:val="004E6CBA"/>
    <w:rsid w:val="004F521C"/>
    <w:rsid w:val="00502CD8"/>
    <w:rsid w:val="0050361C"/>
    <w:rsid w:val="00503ABF"/>
    <w:rsid w:val="00506A40"/>
    <w:rsid w:val="0051064F"/>
    <w:rsid w:val="005122FD"/>
    <w:rsid w:val="00513A0E"/>
    <w:rsid w:val="00515D7B"/>
    <w:rsid w:val="00515F29"/>
    <w:rsid w:val="0051626C"/>
    <w:rsid w:val="0052009E"/>
    <w:rsid w:val="005205AB"/>
    <w:rsid w:val="0053010D"/>
    <w:rsid w:val="00530161"/>
    <w:rsid w:val="005450F7"/>
    <w:rsid w:val="00545A0B"/>
    <w:rsid w:val="0054672F"/>
    <w:rsid w:val="00547FA4"/>
    <w:rsid w:val="005536D4"/>
    <w:rsid w:val="00553EC8"/>
    <w:rsid w:val="005564EE"/>
    <w:rsid w:val="00557393"/>
    <w:rsid w:val="00557D4A"/>
    <w:rsid w:val="0056176B"/>
    <w:rsid w:val="00561889"/>
    <w:rsid w:val="005621F6"/>
    <w:rsid w:val="0056291C"/>
    <w:rsid w:val="005634A4"/>
    <w:rsid w:val="005668D3"/>
    <w:rsid w:val="00566EBD"/>
    <w:rsid w:val="0057154B"/>
    <w:rsid w:val="005742DB"/>
    <w:rsid w:val="00576A51"/>
    <w:rsid w:val="00577209"/>
    <w:rsid w:val="005800A9"/>
    <w:rsid w:val="00581139"/>
    <w:rsid w:val="00581644"/>
    <w:rsid w:val="00581645"/>
    <w:rsid w:val="0058694E"/>
    <w:rsid w:val="005875F9"/>
    <w:rsid w:val="00592B77"/>
    <w:rsid w:val="00593A35"/>
    <w:rsid w:val="00593C74"/>
    <w:rsid w:val="00597D8B"/>
    <w:rsid w:val="005A46FF"/>
    <w:rsid w:val="005A557E"/>
    <w:rsid w:val="005A63FD"/>
    <w:rsid w:val="005B462A"/>
    <w:rsid w:val="005B5137"/>
    <w:rsid w:val="005B6047"/>
    <w:rsid w:val="005C0ED7"/>
    <w:rsid w:val="005C5409"/>
    <w:rsid w:val="005C62A5"/>
    <w:rsid w:val="005C6FF7"/>
    <w:rsid w:val="005C7C75"/>
    <w:rsid w:val="005C7D00"/>
    <w:rsid w:val="005D01A4"/>
    <w:rsid w:val="005D0BAB"/>
    <w:rsid w:val="005D1893"/>
    <w:rsid w:val="005D26E9"/>
    <w:rsid w:val="005D2CAA"/>
    <w:rsid w:val="005D4CBA"/>
    <w:rsid w:val="005E01A3"/>
    <w:rsid w:val="005E0354"/>
    <w:rsid w:val="005E5BE8"/>
    <w:rsid w:val="005E6C62"/>
    <w:rsid w:val="005E6F13"/>
    <w:rsid w:val="005E726C"/>
    <w:rsid w:val="005F293E"/>
    <w:rsid w:val="005F43B9"/>
    <w:rsid w:val="005F44D5"/>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F44"/>
    <w:rsid w:val="006149D4"/>
    <w:rsid w:val="006160BD"/>
    <w:rsid w:val="00620EDB"/>
    <w:rsid w:val="006220CA"/>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51B78"/>
    <w:rsid w:val="0065237A"/>
    <w:rsid w:val="00652FF5"/>
    <w:rsid w:val="0065303C"/>
    <w:rsid w:val="00653246"/>
    <w:rsid w:val="00654382"/>
    <w:rsid w:val="00655AFD"/>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A4828"/>
    <w:rsid w:val="006A7C09"/>
    <w:rsid w:val="006B046C"/>
    <w:rsid w:val="006B252F"/>
    <w:rsid w:val="006B3940"/>
    <w:rsid w:val="006C168D"/>
    <w:rsid w:val="006C4033"/>
    <w:rsid w:val="006C501E"/>
    <w:rsid w:val="006C5BC9"/>
    <w:rsid w:val="006C642C"/>
    <w:rsid w:val="006D462B"/>
    <w:rsid w:val="006D7386"/>
    <w:rsid w:val="006E0DAD"/>
    <w:rsid w:val="006E313F"/>
    <w:rsid w:val="006E43CE"/>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0C9"/>
    <w:rsid w:val="0072678C"/>
    <w:rsid w:val="00732D1D"/>
    <w:rsid w:val="00734635"/>
    <w:rsid w:val="007350D4"/>
    <w:rsid w:val="00736034"/>
    <w:rsid w:val="00737E79"/>
    <w:rsid w:val="00740707"/>
    <w:rsid w:val="0074120F"/>
    <w:rsid w:val="00742FD7"/>
    <w:rsid w:val="00743764"/>
    <w:rsid w:val="00743B2D"/>
    <w:rsid w:val="00747930"/>
    <w:rsid w:val="0075060E"/>
    <w:rsid w:val="00752E8B"/>
    <w:rsid w:val="007541BB"/>
    <w:rsid w:val="00754D62"/>
    <w:rsid w:val="00756CFF"/>
    <w:rsid w:val="00757FD7"/>
    <w:rsid w:val="00761B7A"/>
    <w:rsid w:val="00764CC1"/>
    <w:rsid w:val="007651E5"/>
    <w:rsid w:val="00765256"/>
    <w:rsid w:val="007661D4"/>
    <w:rsid w:val="007661FD"/>
    <w:rsid w:val="00766A7C"/>
    <w:rsid w:val="007677A1"/>
    <w:rsid w:val="00767A27"/>
    <w:rsid w:val="0077111A"/>
    <w:rsid w:val="00775419"/>
    <w:rsid w:val="007763A5"/>
    <w:rsid w:val="0078105B"/>
    <w:rsid w:val="00781786"/>
    <w:rsid w:val="00782B50"/>
    <w:rsid w:val="00784FE0"/>
    <w:rsid w:val="007858B1"/>
    <w:rsid w:val="0078648E"/>
    <w:rsid w:val="00791A3A"/>
    <w:rsid w:val="00791D9C"/>
    <w:rsid w:val="007966E6"/>
    <w:rsid w:val="007A391B"/>
    <w:rsid w:val="007A4409"/>
    <w:rsid w:val="007A4F37"/>
    <w:rsid w:val="007A5241"/>
    <w:rsid w:val="007A59B8"/>
    <w:rsid w:val="007A6A68"/>
    <w:rsid w:val="007B06C7"/>
    <w:rsid w:val="007B3D06"/>
    <w:rsid w:val="007B42F5"/>
    <w:rsid w:val="007B5157"/>
    <w:rsid w:val="007B5CD8"/>
    <w:rsid w:val="007B6650"/>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038"/>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1BBD"/>
    <w:rsid w:val="00814530"/>
    <w:rsid w:val="00815386"/>
    <w:rsid w:val="00821F9C"/>
    <w:rsid w:val="00825570"/>
    <w:rsid w:val="00826403"/>
    <w:rsid w:val="00827990"/>
    <w:rsid w:val="00834CA6"/>
    <w:rsid w:val="0083623B"/>
    <w:rsid w:val="00836C5A"/>
    <w:rsid w:val="00837E59"/>
    <w:rsid w:val="00842100"/>
    <w:rsid w:val="008423BF"/>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31C6"/>
    <w:rsid w:val="008738B5"/>
    <w:rsid w:val="00874AB5"/>
    <w:rsid w:val="00877671"/>
    <w:rsid w:val="00877A13"/>
    <w:rsid w:val="008869BC"/>
    <w:rsid w:val="00887DDD"/>
    <w:rsid w:val="00887DE6"/>
    <w:rsid w:val="00887E9F"/>
    <w:rsid w:val="008908AA"/>
    <w:rsid w:val="00890E08"/>
    <w:rsid w:val="008926E3"/>
    <w:rsid w:val="00893556"/>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418"/>
    <w:rsid w:val="008B7F4A"/>
    <w:rsid w:val="008C04E1"/>
    <w:rsid w:val="008C04FE"/>
    <w:rsid w:val="008C1F6C"/>
    <w:rsid w:val="008C2F50"/>
    <w:rsid w:val="008C3109"/>
    <w:rsid w:val="008C5312"/>
    <w:rsid w:val="008C5DBD"/>
    <w:rsid w:val="008C61D6"/>
    <w:rsid w:val="008C6FA9"/>
    <w:rsid w:val="008D4979"/>
    <w:rsid w:val="008D49AF"/>
    <w:rsid w:val="008D4A2B"/>
    <w:rsid w:val="008D4A9F"/>
    <w:rsid w:val="008D6294"/>
    <w:rsid w:val="008E1FE0"/>
    <w:rsid w:val="008E3939"/>
    <w:rsid w:val="008E3DDD"/>
    <w:rsid w:val="008F0212"/>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C30"/>
    <w:rsid w:val="00920D98"/>
    <w:rsid w:val="0092108C"/>
    <w:rsid w:val="009211C2"/>
    <w:rsid w:val="00922D49"/>
    <w:rsid w:val="009238DB"/>
    <w:rsid w:val="00925E37"/>
    <w:rsid w:val="00925EDD"/>
    <w:rsid w:val="00927F49"/>
    <w:rsid w:val="00930079"/>
    <w:rsid w:val="00930966"/>
    <w:rsid w:val="00932F64"/>
    <w:rsid w:val="0093492E"/>
    <w:rsid w:val="00935FB1"/>
    <w:rsid w:val="00936075"/>
    <w:rsid w:val="00936D40"/>
    <w:rsid w:val="00937ABF"/>
    <w:rsid w:val="00937DB1"/>
    <w:rsid w:val="0094520E"/>
    <w:rsid w:val="009463CC"/>
    <w:rsid w:val="0094687A"/>
    <w:rsid w:val="00950413"/>
    <w:rsid w:val="0095078E"/>
    <w:rsid w:val="00950C89"/>
    <w:rsid w:val="00952404"/>
    <w:rsid w:val="00952A72"/>
    <w:rsid w:val="009542B3"/>
    <w:rsid w:val="009550A8"/>
    <w:rsid w:val="00955FF2"/>
    <w:rsid w:val="0095693D"/>
    <w:rsid w:val="00956B0D"/>
    <w:rsid w:val="009570A1"/>
    <w:rsid w:val="0096260B"/>
    <w:rsid w:val="009631C1"/>
    <w:rsid w:val="00970C69"/>
    <w:rsid w:val="00973780"/>
    <w:rsid w:val="00973B57"/>
    <w:rsid w:val="00973E0D"/>
    <w:rsid w:val="0097403F"/>
    <w:rsid w:val="00976797"/>
    <w:rsid w:val="00980C0C"/>
    <w:rsid w:val="00982E47"/>
    <w:rsid w:val="00982ED6"/>
    <w:rsid w:val="00983E7D"/>
    <w:rsid w:val="00991642"/>
    <w:rsid w:val="0099260C"/>
    <w:rsid w:val="009942F4"/>
    <w:rsid w:val="00995B3C"/>
    <w:rsid w:val="00996BCA"/>
    <w:rsid w:val="009A045B"/>
    <w:rsid w:val="009A0513"/>
    <w:rsid w:val="009A2283"/>
    <w:rsid w:val="009A31AF"/>
    <w:rsid w:val="009A3507"/>
    <w:rsid w:val="009A529F"/>
    <w:rsid w:val="009A5C1D"/>
    <w:rsid w:val="009A6018"/>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3A02"/>
    <w:rsid w:val="009E549D"/>
    <w:rsid w:val="009E54AF"/>
    <w:rsid w:val="009E5C59"/>
    <w:rsid w:val="009E6BB8"/>
    <w:rsid w:val="009F1CC3"/>
    <w:rsid w:val="009F26F2"/>
    <w:rsid w:val="009F3E1E"/>
    <w:rsid w:val="009F4CC5"/>
    <w:rsid w:val="009F6550"/>
    <w:rsid w:val="00A003BE"/>
    <w:rsid w:val="00A00870"/>
    <w:rsid w:val="00A02F51"/>
    <w:rsid w:val="00A0347E"/>
    <w:rsid w:val="00A0360B"/>
    <w:rsid w:val="00A03841"/>
    <w:rsid w:val="00A0520F"/>
    <w:rsid w:val="00A05ACE"/>
    <w:rsid w:val="00A06788"/>
    <w:rsid w:val="00A06A16"/>
    <w:rsid w:val="00A104A4"/>
    <w:rsid w:val="00A10D63"/>
    <w:rsid w:val="00A115BC"/>
    <w:rsid w:val="00A11776"/>
    <w:rsid w:val="00A1276C"/>
    <w:rsid w:val="00A1399F"/>
    <w:rsid w:val="00A14098"/>
    <w:rsid w:val="00A14304"/>
    <w:rsid w:val="00A14399"/>
    <w:rsid w:val="00A14C46"/>
    <w:rsid w:val="00A15410"/>
    <w:rsid w:val="00A15524"/>
    <w:rsid w:val="00A15EE9"/>
    <w:rsid w:val="00A16675"/>
    <w:rsid w:val="00A1724E"/>
    <w:rsid w:val="00A20263"/>
    <w:rsid w:val="00A2168F"/>
    <w:rsid w:val="00A26437"/>
    <w:rsid w:val="00A30E4D"/>
    <w:rsid w:val="00A32410"/>
    <w:rsid w:val="00A32B48"/>
    <w:rsid w:val="00A36D00"/>
    <w:rsid w:val="00A401E3"/>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37B9"/>
    <w:rsid w:val="00A75705"/>
    <w:rsid w:val="00A75BE1"/>
    <w:rsid w:val="00A76E16"/>
    <w:rsid w:val="00A8187C"/>
    <w:rsid w:val="00A82C9E"/>
    <w:rsid w:val="00A8324F"/>
    <w:rsid w:val="00A85142"/>
    <w:rsid w:val="00A95B37"/>
    <w:rsid w:val="00A96B6F"/>
    <w:rsid w:val="00AA0CE8"/>
    <w:rsid w:val="00AA27B1"/>
    <w:rsid w:val="00AA35FD"/>
    <w:rsid w:val="00AA3DB7"/>
    <w:rsid w:val="00AA58C5"/>
    <w:rsid w:val="00AA5EF2"/>
    <w:rsid w:val="00AA5F63"/>
    <w:rsid w:val="00AA7EBD"/>
    <w:rsid w:val="00AB69EF"/>
    <w:rsid w:val="00AC11D4"/>
    <w:rsid w:val="00AC11DC"/>
    <w:rsid w:val="00AC3E87"/>
    <w:rsid w:val="00AC3FA9"/>
    <w:rsid w:val="00AC4514"/>
    <w:rsid w:val="00AC469F"/>
    <w:rsid w:val="00AC6EA2"/>
    <w:rsid w:val="00AD0611"/>
    <w:rsid w:val="00AD0E29"/>
    <w:rsid w:val="00AD0E4F"/>
    <w:rsid w:val="00AD26D7"/>
    <w:rsid w:val="00AD3905"/>
    <w:rsid w:val="00AD4555"/>
    <w:rsid w:val="00AD4A31"/>
    <w:rsid w:val="00AD5638"/>
    <w:rsid w:val="00AD7214"/>
    <w:rsid w:val="00AE1066"/>
    <w:rsid w:val="00AE12A4"/>
    <w:rsid w:val="00AE2E1B"/>
    <w:rsid w:val="00AE4DA1"/>
    <w:rsid w:val="00AE5129"/>
    <w:rsid w:val="00AE5645"/>
    <w:rsid w:val="00AF1D6B"/>
    <w:rsid w:val="00AF24AA"/>
    <w:rsid w:val="00AF3AF9"/>
    <w:rsid w:val="00AF3E5F"/>
    <w:rsid w:val="00AF3EFD"/>
    <w:rsid w:val="00AF44C1"/>
    <w:rsid w:val="00AF4F09"/>
    <w:rsid w:val="00AF643E"/>
    <w:rsid w:val="00AF79C8"/>
    <w:rsid w:val="00B00FA8"/>
    <w:rsid w:val="00B011B0"/>
    <w:rsid w:val="00B0391C"/>
    <w:rsid w:val="00B047F6"/>
    <w:rsid w:val="00B04C8C"/>
    <w:rsid w:val="00B06019"/>
    <w:rsid w:val="00B0700F"/>
    <w:rsid w:val="00B1493B"/>
    <w:rsid w:val="00B15119"/>
    <w:rsid w:val="00B17169"/>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6220"/>
    <w:rsid w:val="00B464EA"/>
    <w:rsid w:val="00B47574"/>
    <w:rsid w:val="00B5211E"/>
    <w:rsid w:val="00B5430C"/>
    <w:rsid w:val="00B54782"/>
    <w:rsid w:val="00B56A90"/>
    <w:rsid w:val="00B5711C"/>
    <w:rsid w:val="00B57BCF"/>
    <w:rsid w:val="00B57E36"/>
    <w:rsid w:val="00B60209"/>
    <w:rsid w:val="00B606A3"/>
    <w:rsid w:val="00B63B6A"/>
    <w:rsid w:val="00B65D6F"/>
    <w:rsid w:val="00B673F3"/>
    <w:rsid w:val="00B67A25"/>
    <w:rsid w:val="00B7354A"/>
    <w:rsid w:val="00B7435B"/>
    <w:rsid w:val="00B74446"/>
    <w:rsid w:val="00B74A6D"/>
    <w:rsid w:val="00B74B59"/>
    <w:rsid w:val="00B77142"/>
    <w:rsid w:val="00B8024E"/>
    <w:rsid w:val="00B80C3A"/>
    <w:rsid w:val="00B81247"/>
    <w:rsid w:val="00B84643"/>
    <w:rsid w:val="00B87130"/>
    <w:rsid w:val="00B90452"/>
    <w:rsid w:val="00B90780"/>
    <w:rsid w:val="00B916D6"/>
    <w:rsid w:val="00B91AD8"/>
    <w:rsid w:val="00B9209B"/>
    <w:rsid w:val="00B9240D"/>
    <w:rsid w:val="00B924D2"/>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34D0"/>
    <w:rsid w:val="00BD43BB"/>
    <w:rsid w:val="00BD72C1"/>
    <w:rsid w:val="00BD7ADE"/>
    <w:rsid w:val="00BE1A85"/>
    <w:rsid w:val="00BE46ED"/>
    <w:rsid w:val="00BE4FD1"/>
    <w:rsid w:val="00BE642D"/>
    <w:rsid w:val="00BE6D7A"/>
    <w:rsid w:val="00BF2511"/>
    <w:rsid w:val="00BF377F"/>
    <w:rsid w:val="00BF3F88"/>
    <w:rsid w:val="00BF57BE"/>
    <w:rsid w:val="00C0042B"/>
    <w:rsid w:val="00C02E58"/>
    <w:rsid w:val="00C030B6"/>
    <w:rsid w:val="00C04B38"/>
    <w:rsid w:val="00C067B7"/>
    <w:rsid w:val="00C10A09"/>
    <w:rsid w:val="00C121BC"/>
    <w:rsid w:val="00C14D92"/>
    <w:rsid w:val="00C15380"/>
    <w:rsid w:val="00C16739"/>
    <w:rsid w:val="00C17F3F"/>
    <w:rsid w:val="00C23BA2"/>
    <w:rsid w:val="00C260A2"/>
    <w:rsid w:val="00C30DEC"/>
    <w:rsid w:val="00C31142"/>
    <w:rsid w:val="00C31DEF"/>
    <w:rsid w:val="00C338EB"/>
    <w:rsid w:val="00C35BB7"/>
    <w:rsid w:val="00C36B35"/>
    <w:rsid w:val="00C36FF2"/>
    <w:rsid w:val="00C400CD"/>
    <w:rsid w:val="00C41617"/>
    <w:rsid w:val="00C4309A"/>
    <w:rsid w:val="00C43F23"/>
    <w:rsid w:val="00C43FF1"/>
    <w:rsid w:val="00C45494"/>
    <w:rsid w:val="00C50CA0"/>
    <w:rsid w:val="00C52D18"/>
    <w:rsid w:val="00C54DC1"/>
    <w:rsid w:val="00C559CE"/>
    <w:rsid w:val="00C55E19"/>
    <w:rsid w:val="00C563AD"/>
    <w:rsid w:val="00C563BF"/>
    <w:rsid w:val="00C56EF8"/>
    <w:rsid w:val="00C57512"/>
    <w:rsid w:val="00C57607"/>
    <w:rsid w:val="00C61133"/>
    <w:rsid w:val="00C620C1"/>
    <w:rsid w:val="00C64009"/>
    <w:rsid w:val="00C7016D"/>
    <w:rsid w:val="00C754C7"/>
    <w:rsid w:val="00C767B3"/>
    <w:rsid w:val="00C76C07"/>
    <w:rsid w:val="00C80F23"/>
    <w:rsid w:val="00C850A3"/>
    <w:rsid w:val="00C86ADA"/>
    <w:rsid w:val="00C87568"/>
    <w:rsid w:val="00C9081C"/>
    <w:rsid w:val="00C92451"/>
    <w:rsid w:val="00C9272C"/>
    <w:rsid w:val="00C97764"/>
    <w:rsid w:val="00C97C9B"/>
    <w:rsid w:val="00CA344C"/>
    <w:rsid w:val="00CA6B2A"/>
    <w:rsid w:val="00CA7CF8"/>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0444"/>
    <w:rsid w:val="00D11D4F"/>
    <w:rsid w:val="00D13A01"/>
    <w:rsid w:val="00D15733"/>
    <w:rsid w:val="00D20364"/>
    <w:rsid w:val="00D2130C"/>
    <w:rsid w:val="00D22784"/>
    <w:rsid w:val="00D26746"/>
    <w:rsid w:val="00D26DDD"/>
    <w:rsid w:val="00D27BDC"/>
    <w:rsid w:val="00D3194F"/>
    <w:rsid w:val="00D33751"/>
    <w:rsid w:val="00D37343"/>
    <w:rsid w:val="00D37495"/>
    <w:rsid w:val="00D41727"/>
    <w:rsid w:val="00D427E4"/>
    <w:rsid w:val="00D45F1B"/>
    <w:rsid w:val="00D52289"/>
    <w:rsid w:val="00D55A37"/>
    <w:rsid w:val="00D55B7E"/>
    <w:rsid w:val="00D64354"/>
    <w:rsid w:val="00D66685"/>
    <w:rsid w:val="00D70D35"/>
    <w:rsid w:val="00D71351"/>
    <w:rsid w:val="00D71997"/>
    <w:rsid w:val="00D72993"/>
    <w:rsid w:val="00D753E9"/>
    <w:rsid w:val="00D777B9"/>
    <w:rsid w:val="00D77E2E"/>
    <w:rsid w:val="00D8171B"/>
    <w:rsid w:val="00D82273"/>
    <w:rsid w:val="00D82FA5"/>
    <w:rsid w:val="00D84598"/>
    <w:rsid w:val="00D84A3E"/>
    <w:rsid w:val="00D84A4B"/>
    <w:rsid w:val="00D84B45"/>
    <w:rsid w:val="00D857AE"/>
    <w:rsid w:val="00D8623D"/>
    <w:rsid w:val="00D867FB"/>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0625"/>
    <w:rsid w:val="00DA134E"/>
    <w:rsid w:val="00DA13F3"/>
    <w:rsid w:val="00DA2DE3"/>
    <w:rsid w:val="00DA64AF"/>
    <w:rsid w:val="00DB1F4F"/>
    <w:rsid w:val="00DB2AC7"/>
    <w:rsid w:val="00DB704C"/>
    <w:rsid w:val="00DC0FC6"/>
    <w:rsid w:val="00DC693B"/>
    <w:rsid w:val="00DC7C77"/>
    <w:rsid w:val="00DD0436"/>
    <w:rsid w:val="00DD0F5D"/>
    <w:rsid w:val="00DD426D"/>
    <w:rsid w:val="00DD74FC"/>
    <w:rsid w:val="00DE0DB6"/>
    <w:rsid w:val="00DE117F"/>
    <w:rsid w:val="00DE1769"/>
    <w:rsid w:val="00DE1A17"/>
    <w:rsid w:val="00DE226E"/>
    <w:rsid w:val="00DE44C8"/>
    <w:rsid w:val="00DE64CC"/>
    <w:rsid w:val="00DE6AA9"/>
    <w:rsid w:val="00DE7B30"/>
    <w:rsid w:val="00DF20C7"/>
    <w:rsid w:val="00DF4D0C"/>
    <w:rsid w:val="00DF5C20"/>
    <w:rsid w:val="00DF5FAD"/>
    <w:rsid w:val="00DF7D81"/>
    <w:rsid w:val="00E02DEB"/>
    <w:rsid w:val="00E042A1"/>
    <w:rsid w:val="00E0476C"/>
    <w:rsid w:val="00E0576B"/>
    <w:rsid w:val="00E067EA"/>
    <w:rsid w:val="00E06D18"/>
    <w:rsid w:val="00E104FA"/>
    <w:rsid w:val="00E1320D"/>
    <w:rsid w:val="00E16022"/>
    <w:rsid w:val="00E1738C"/>
    <w:rsid w:val="00E174FF"/>
    <w:rsid w:val="00E205AA"/>
    <w:rsid w:val="00E22296"/>
    <w:rsid w:val="00E27360"/>
    <w:rsid w:val="00E27C04"/>
    <w:rsid w:val="00E30713"/>
    <w:rsid w:val="00E30EDF"/>
    <w:rsid w:val="00E31FBA"/>
    <w:rsid w:val="00E328E2"/>
    <w:rsid w:val="00E336BB"/>
    <w:rsid w:val="00E3384E"/>
    <w:rsid w:val="00E36028"/>
    <w:rsid w:val="00E374C8"/>
    <w:rsid w:val="00E4042D"/>
    <w:rsid w:val="00E4135D"/>
    <w:rsid w:val="00E43750"/>
    <w:rsid w:val="00E4425C"/>
    <w:rsid w:val="00E508EB"/>
    <w:rsid w:val="00E521E3"/>
    <w:rsid w:val="00E53B7A"/>
    <w:rsid w:val="00E550C9"/>
    <w:rsid w:val="00E55405"/>
    <w:rsid w:val="00E5645D"/>
    <w:rsid w:val="00E62546"/>
    <w:rsid w:val="00E627A4"/>
    <w:rsid w:val="00E6280E"/>
    <w:rsid w:val="00E62C9C"/>
    <w:rsid w:val="00E630EE"/>
    <w:rsid w:val="00E67A61"/>
    <w:rsid w:val="00E70455"/>
    <w:rsid w:val="00E73221"/>
    <w:rsid w:val="00E75116"/>
    <w:rsid w:val="00E763EB"/>
    <w:rsid w:val="00E77347"/>
    <w:rsid w:val="00E80A5B"/>
    <w:rsid w:val="00E8342F"/>
    <w:rsid w:val="00E84632"/>
    <w:rsid w:val="00E847EE"/>
    <w:rsid w:val="00E876F9"/>
    <w:rsid w:val="00E96A72"/>
    <w:rsid w:val="00E96B52"/>
    <w:rsid w:val="00EA01F7"/>
    <w:rsid w:val="00EA026C"/>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4E8F"/>
    <w:rsid w:val="00ED7C8C"/>
    <w:rsid w:val="00ED7DDB"/>
    <w:rsid w:val="00EE2410"/>
    <w:rsid w:val="00EE431B"/>
    <w:rsid w:val="00EE4874"/>
    <w:rsid w:val="00EE53E5"/>
    <w:rsid w:val="00EE6654"/>
    <w:rsid w:val="00EE6662"/>
    <w:rsid w:val="00EE73FB"/>
    <w:rsid w:val="00EE7BF0"/>
    <w:rsid w:val="00EF17C0"/>
    <w:rsid w:val="00EF2674"/>
    <w:rsid w:val="00EF3163"/>
    <w:rsid w:val="00EF556F"/>
    <w:rsid w:val="00EF7D07"/>
    <w:rsid w:val="00F0181C"/>
    <w:rsid w:val="00F02F45"/>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32728"/>
    <w:rsid w:val="00F32857"/>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0AB6"/>
    <w:rsid w:val="00F62FDE"/>
    <w:rsid w:val="00F654E6"/>
    <w:rsid w:val="00F662CD"/>
    <w:rsid w:val="00F67E39"/>
    <w:rsid w:val="00F703A8"/>
    <w:rsid w:val="00F707F1"/>
    <w:rsid w:val="00F7094A"/>
    <w:rsid w:val="00F710BE"/>
    <w:rsid w:val="00F72579"/>
    <w:rsid w:val="00F804B9"/>
    <w:rsid w:val="00F80AE2"/>
    <w:rsid w:val="00F83FF9"/>
    <w:rsid w:val="00F870C3"/>
    <w:rsid w:val="00F91908"/>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7D41"/>
    <w:rsid w:val="00FE0072"/>
    <w:rsid w:val="00FE0C71"/>
    <w:rsid w:val="00FE0E51"/>
    <w:rsid w:val="00FE1E47"/>
    <w:rsid w:val="00FE275D"/>
    <w:rsid w:val="00FE65AC"/>
    <w:rsid w:val="00FE7FBD"/>
    <w:rsid w:val="00FF0233"/>
    <w:rsid w:val="00FF10BC"/>
    <w:rsid w:val="00FF222E"/>
    <w:rsid w:val="00FF3FBD"/>
    <w:rsid w:val="00FF5DCF"/>
    <w:rsid w:val="00FF64A7"/>
    <w:rsid w:val="00FF699B"/>
    <w:rsid w:val="00FF6ADB"/>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aliases w:val="2,Chapter X.X. Statement,Header 2,Level 2 Head,h2,heading 2,l2,标题 2 Char Char"/>
    <w:basedOn w:val="a"/>
    <w:next w:val="a0"/>
    <w:link w:val="2Char"/>
    <w:qFormat/>
    <w:rsid w:val="006A4828"/>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Char"/>
    <w:qFormat/>
    <w:rsid w:val="00973780"/>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link w:val="Char0"/>
    <w:uiPriority w:val="99"/>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0">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1"/>
    <w:uiPriority w:val="99"/>
    <w:rsid w:val="005F44D5"/>
    <w:pP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2"/>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1">
    <w:name w:val="页眉 Char"/>
    <w:basedOn w:val="a1"/>
    <w:link w:val="a9"/>
    <w:uiPriority w:val="99"/>
    <w:rsid w:val="005F44D5"/>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2">
    <w:name w:val="日期 Char"/>
    <w:basedOn w:val="a1"/>
    <w:link w:val="ac"/>
    <w:rsid w:val="00D66685"/>
    <w:rPr>
      <w:kern w:val="2"/>
      <w:sz w:val="24"/>
    </w:rPr>
  </w:style>
  <w:style w:type="character" w:styleId="af6">
    <w:name w:val="Strong"/>
    <w:basedOn w:val="a1"/>
    <w:uiPriority w:val="22"/>
    <w:qFormat/>
    <w:rsid w:val="006016F2"/>
    <w:rPr>
      <w:b/>
      <w:bCs/>
    </w:rPr>
  </w:style>
  <w:style w:type="character" w:customStyle="1" w:styleId="Char0">
    <w:name w:val="页脚 Char"/>
    <w:basedOn w:val="a1"/>
    <w:link w:val="a6"/>
    <w:uiPriority w:val="99"/>
    <w:rsid w:val="00973780"/>
    <w:rPr>
      <w:kern w:val="2"/>
      <w:sz w:val="18"/>
      <w:szCs w:val="18"/>
    </w:rPr>
  </w:style>
  <w:style w:type="character" w:customStyle="1" w:styleId="2CharCharChar">
    <w:name w:val="标题 2 Char Char Char"/>
    <w:rsid w:val="00973780"/>
    <w:rPr>
      <w:rFonts w:ascii="Arial" w:eastAsia="宋体" w:hAnsi="Arial"/>
      <w:b/>
      <w:kern w:val="2"/>
      <w:sz w:val="28"/>
      <w:szCs w:val="28"/>
      <w:lang w:val="en-US" w:eastAsia="zh-CN" w:bidi="ar-SA"/>
    </w:rPr>
  </w:style>
  <w:style w:type="character" w:customStyle="1" w:styleId="3Char">
    <w:name w:val="标题 3 Char"/>
    <w:basedOn w:val="a1"/>
    <w:link w:val="3"/>
    <w:rsid w:val="00973780"/>
    <w:rPr>
      <w:b/>
      <w:bCs/>
      <w:kern w:val="2"/>
      <w:sz w:val="32"/>
      <w:szCs w:val="32"/>
    </w:rPr>
  </w:style>
  <w:style w:type="paragraph" w:customStyle="1" w:styleId="31">
    <w:name w:val="正文_3"/>
    <w:qFormat/>
    <w:rsid w:val="00973780"/>
    <w:pPr>
      <w:widowControl w:val="0"/>
      <w:jc w:val="both"/>
    </w:pPr>
    <w:rPr>
      <w:kern w:val="2"/>
      <w:sz w:val="21"/>
      <w:szCs w:val="24"/>
    </w:rPr>
  </w:style>
  <w:style w:type="paragraph" w:customStyle="1" w:styleId="12">
    <w:name w:val="正文_1"/>
    <w:qFormat/>
    <w:rsid w:val="00284023"/>
    <w:pPr>
      <w:widowControl w:val="0"/>
      <w:jc w:val="both"/>
    </w:pPr>
    <w:rPr>
      <w:kern w:val="2"/>
      <w:sz w:val="21"/>
      <w:szCs w:val="24"/>
    </w:rPr>
  </w:style>
  <w:style w:type="paragraph" w:customStyle="1" w:styleId="4">
    <w:name w:val="样式4"/>
    <w:basedOn w:val="a"/>
    <w:link w:val="4Char"/>
    <w:qFormat/>
    <w:rsid w:val="00A401E3"/>
    <w:pPr>
      <w:keepNext/>
      <w:keepLines/>
      <w:widowControl/>
      <w:spacing w:before="40" w:after="50"/>
      <w:ind w:firstLine="360"/>
      <w:jc w:val="left"/>
      <w:outlineLvl w:val="3"/>
    </w:pPr>
    <w:rPr>
      <w:rFonts w:asciiTheme="majorHAnsi" w:eastAsiaTheme="majorEastAsia" w:hAnsiTheme="majorHAnsi" w:cstheme="majorBidi"/>
      <w:b/>
      <w:bCs/>
      <w:sz w:val="22"/>
    </w:rPr>
  </w:style>
  <w:style w:type="character" w:customStyle="1" w:styleId="4Char">
    <w:name w:val="样式4 Char"/>
    <w:basedOn w:val="a1"/>
    <w:link w:val="4"/>
    <w:rsid w:val="00A401E3"/>
    <w:rPr>
      <w:rFonts w:asciiTheme="majorHAnsi" w:eastAsiaTheme="majorEastAsia" w:hAnsiTheme="majorHAnsi" w:cstheme="majorBidi"/>
      <w:b/>
      <w:bCs/>
      <w:kern w:val="2"/>
      <w:sz w:val="22"/>
      <w:szCs w:val="24"/>
    </w:rPr>
  </w:style>
  <w:style w:type="paragraph" w:styleId="af7">
    <w:name w:val="No Spacing"/>
    <w:basedOn w:val="a"/>
    <w:link w:val="Char6"/>
    <w:uiPriority w:val="1"/>
    <w:qFormat/>
    <w:rsid w:val="00A401E3"/>
    <w:pPr>
      <w:widowControl/>
      <w:jc w:val="left"/>
    </w:pPr>
    <w:rPr>
      <w:rFonts w:asciiTheme="minorHAnsi" w:eastAsiaTheme="minorEastAsia" w:hAnsiTheme="minorHAnsi" w:cstheme="minorBidi"/>
      <w:szCs w:val="21"/>
    </w:rPr>
  </w:style>
  <w:style w:type="character" w:customStyle="1" w:styleId="Char6">
    <w:name w:val="无间隔 Char"/>
    <w:basedOn w:val="a1"/>
    <w:link w:val="af7"/>
    <w:uiPriority w:val="1"/>
    <w:rsid w:val="00A401E3"/>
    <w:rPr>
      <w:rFonts w:asciiTheme="minorHAnsi" w:eastAsiaTheme="minorEastAsia" w:hAnsiTheme="minorHAnsi" w:cstheme="minorBidi"/>
      <w:kern w:val="2"/>
      <w:sz w:val="21"/>
      <w:szCs w:val="21"/>
    </w:rPr>
  </w:style>
  <w:style w:type="paragraph" w:customStyle="1" w:styleId="new">
    <w:name w:val="正文new"/>
    <w:basedOn w:val="a"/>
    <w:link w:val="newChar"/>
    <w:qFormat/>
    <w:rsid w:val="00A401E3"/>
    <w:pPr>
      <w:widowControl/>
      <w:spacing w:line="360" w:lineRule="auto"/>
      <w:ind w:firstLine="360"/>
      <w:jc w:val="left"/>
    </w:pPr>
    <w:rPr>
      <w:rFonts w:asciiTheme="minorEastAsia" w:eastAsiaTheme="minorEastAsia" w:hAnsiTheme="minorEastAsia" w:cstheme="minorBidi"/>
      <w:szCs w:val="21"/>
    </w:rPr>
  </w:style>
  <w:style w:type="character" w:customStyle="1" w:styleId="newChar">
    <w:name w:val="正文new Char"/>
    <w:basedOn w:val="a1"/>
    <w:link w:val="new"/>
    <w:rsid w:val="00A401E3"/>
    <w:rPr>
      <w:rFonts w:asciiTheme="minorEastAsia" w:eastAsiaTheme="minorEastAsia" w:hAnsiTheme="minorEastAsia" w:cstheme="minorBidi"/>
      <w:kern w:val="2"/>
      <w:sz w:val="21"/>
      <w:szCs w:val="21"/>
    </w:rPr>
  </w:style>
  <w:style w:type="paragraph" w:customStyle="1" w:styleId="xx">
    <w:name w:val="x.x三级"/>
    <w:basedOn w:val="a"/>
    <w:link w:val="xxChar"/>
    <w:qFormat/>
    <w:rsid w:val="0006081F"/>
    <w:pPr>
      <w:keepNext/>
      <w:keepLines/>
      <w:widowControl/>
      <w:spacing w:before="260" w:after="260"/>
      <w:ind w:firstLine="360"/>
      <w:jc w:val="left"/>
      <w:outlineLvl w:val="2"/>
    </w:pPr>
    <w:rPr>
      <w:rFonts w:asciiTheme="minorEastAsia" w:hAnsiTheme="minorEastAsia" w:cstheme="minorBidi"/>
      <w:b/>
      <w:bCs/>
      <w:sz w:val="24"/>
    </w:rPr>
  </w:style>
  <w:style w:type="character" w:customStyle="1" w:styleId="xxChar">
    <w:name w:val="x.x三级 Char"/>
    <w:basedOn w:val="a1"/>
    <w:link w:val="xx"/>
    <w:rsid w:val="0006081F"/>
    <w:rPr>
      <w:rFonts w:asciiTheme="minorEastAsia" w:hAnsiTheme="minorEastAsia" w:cstheme="minorBidi"/>
      <w:b/>
      <w:bCs/>
      <w:kern w:val="2"/>
      <w:sz w:val="24"/>
      <w:szCs w:val="24"/>
    </w:rPr>
  </w:style>
  <w:style w:type="character" w:customStyle="1" w:styleId="2Char">
    <w:name w:val="标题 2 Char"/>
    <w:aliases w:val="2 Char,Chapter X.X. Statement Char,Header 2 Char,Level 2 Head Char,h2 Char,heading 2 Char,l2 Char,标题 2 Char Char Char1"/>
    <w:basedOn w:val="a1"/>
    <w:link w:val="2"/>
    <w:uiPriority w:val="99"/>
    <w:rsid w:val="0051626C"/>
    <w:rPr>
      <w:rFonts w:ascii="Arial" w:hAnsi="Arial" w:cs="Arial"/>
      <w:b/>
      <w:bCs/>
      <w:kern w:val="2"/>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Pr>
      <w:rFonts w:ascii="宋体" w:hAnsi="Courier New"/>
      <w:szCs w:val="21"/>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1"/>
  </w:style>
  <w:style w:type="character" w:styleId="a8">
    <w:name w:val="Hyperlink"/>
    <w:basedOn w:val="a1"/>
    <w:rPr>
      <w:color w:val="0000FF"/>
      <w:u w:val="single"/>
    </w:rPr>
  </w:style>
  <w:style w:type="paragraph" w:styleId="30">
    <w:name w:val="Body Text Indent 3"/>
    <w:basedOn w:val="a"/>
    <w:pPr>
      <w:spacing w:line="560" w:lineRule="exact"/>
      <w:ind w:firstLineChars="200" w:firstLine="420"/>
    </w:pPr>
    <w:rPr>
      <w:rFonts w:ascii="Arial" w:hAnsi="Arial" w:cs="Arial"/>
      <w:color w:val="FF0000"/>
    </w:rPr>
  </w:style>
  <w:style w:type="paragraph" w:styleId="a9">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character" w:customStyle="1" w:styleId="10">
    <w:name w:val="已访问的超链接"/>
    <w:basedOn w:val="a1"/>
    <w:rPr>
      <w:color w:val="800080"/>
      <w:u w:val="single"/>
    </w:rPr>
  </w:style>
  <w:style w:type="paragraph" w:styleId="aa">
    <w:name w:val="List"/>
    <w:basedOn w:val="ab"/>
    <w:pPr>
      <w:spacing w:after="220" w:line="220" w:lineRule="atLeast"/>
      <w:ind w:left="1440" w:hanging="360"/>
    </w:pPr>
    <w:rPr>
      <w:szCs w:val="20"/>
    </w:rPr>
  </w:style>
  <w:style w:type="paragraph" w:styleId="ab">
    <w:name w:val="Body Text"/>
    <w:basedOn w:val="a"/>
    <w:pPr>
      <w:spacing w:after="120"/>
    </w:pPr>
  </w:style>
  <w:style w:type="paragraph" w:styleId="ac">
    <w:name w:val="Date"/>
    <w:basedOn w:val="a"/>
    <w:next w:val="a"/>
    <w:link w:val="Char2"/>
    <w:rPr>
      <w:sz w:val="24"/>
      <w:szCs w:val="20"/>
    </w:rPr>
  </w:style>
  <w:style w:type="character" w:customStyle="1" w:styleId="c1">
    <w:name w:val="c1"/>
    <w:basedOn w:val="a1"/>
    <w:rPr>
      <w:color w:val="000000"/>
      <w:sz w:val="18"/>
      <w:szCs w:val="18"/>
    </w:rPr>
  </w:style>
  <w:style w:type="paragraph" w:styleId="11">
    <w:name w:val="index 1"/>
    <w:basedOn w:val="a"/>
    <w:next w:val="a"/>
    <w:autoRedefine/>
    <w:semiHidden/>
    <w:pPr>
      <w:jc w:val="right"/>
    </w:pPr>
    <w:rPr>
      <w:color w:val="008000"/>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Pr>
      <w:sz w:val="18"/>
      <w:szCs w:val="18"/>
    </w:rPr>
  </w:style>
  <w:style w:type="character" w:styleId="ae">
    <w:name w:val="annotation reference"/>
    <w:basedOn w:val="a1"/>
    <w:semiHidden/>
    <w:rPr>
      <w:sz w:val="21"/>
      <w:szCs w:val="21"/>
    </w:rPr>
  </w:style>
  <w:style w:type="paragraph" w:styleId="af">
    <w:name w:val="annotation text"/>
    <w:basedOn w:val="a"/>
    <w:semiHidden/>
    <w:pPr>
      <w:jc w:val="left"/>
    </w:pPr>
  </w:style>
  <w:style w:type="paragraph" w:styleId="af0">
    <w:name w:val="annotation subject"/>
    <w:basedOn w:val="af"/>
    <w:next w:val="af"/>
    <w:semiHidden/>
    <w:rPr>
      <w:b/>
      <w:bCs/>
    </w:rPr>
  </w:style>
  <w:style w:type="paragraph" w:customStyle="1" w:styleId="Char3">
    <w:name w:val="Char"/>
    <w:basedOn w:val="a"/>
  </w:style>
  <w:style w:type="paragraph" w:styleId="af1">
    <w:name w:val="Document Map"/>
    <w:basedOn w:val="a"/>
    <w:semiHidden/>
    <w:rsid w:val="000A549A"/>
    <w:pPr>
      <w:shd w:val="clear" w:color="auto" w:fill="000080"/>
    </w:pPr>
  </w:style>
  <w:style w:type="table" w:styleId="af2">
    <w:name w:val="Table Grid"/>
    <w:basedOn w:val="a2"/>
    <w:uiPriority w:val="99"/>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1">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2">
    <w:name w:val="日期 Char"/>
    <w:basedOn w:val="a1"/>
    <w:link w:val="ac"/>
    <w:rsid w:val="00D66685"/>
    <w:rPr>
      <w:kern w:val="2"/>
      <w:sz w:val="24"/>
    </w:rPr>
  </w:style>
</w:styles>
</file>

<file path=word/webSettings.xml><?xml version="1.0" encoding="utf-8"?>
<w:webSettings xmlns:r="http://schemas.openxmlformats.org/officeDocument/2006/relationships" xmlns:w="http://schemas.openxmlformats.org/wordprocessingml/2006/main">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9EEFF-5FC9-4C36-8D92-22D17097C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0</TotalTime>
  <Pages>3</Pages>
  <Words>1013</Words>
  <Characters>5779</Characters>
  <Application>Microsoft Office Word</Application>
  <DocSecurity>4</DocSecurity>
  <Lines>48</Lines>
  <Paragraphs>13</Paragraphs>
  <ScaleCrop>false</ScaleCrop>
  <Company>TRT. Ltd. Co.</Company>
  <LinksUpToDate>false</LinksUpToDate>
  <CharactersWithSpaces>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ZHONGM</cp:lastModifiedBy>
  <cp:revision>2</cp:revision>
  <cp:lastPrinted>2007-07-19T00:46:00Z</cp:lastPrinted>
  <dcterms:created xsi:type="dcterms:W3CDTF">2018-01-21T14:38:00Z</dcterms:created>
  <dcterms:modified xsi:type="dcterms:W3CDTF">2018-01-21T14:38:00Z</dcterms:modified>
</cp:coreProperties>
</file>