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00" w:rsidRDefault="00086900">
      <w:pPr>
        <w:autoSpaceDE w:val="0"/>
        <w:autoSpaceDN w:val="0"/>
        <w:adjustRightInd w:val="0"/>
        <w:spacing w:line="360" w:lineRule="auto"/>
        <w:jc w:val="left"/>
        <w:rPr>
          <w:rFonts w:eastAsiaTheme="minorEastAsia"/>
          <w:color w:val="000000" w:themeColor="text1"/>
          <w:kern w:val="0"/>
          <w:szCs w:val="21"/>
        </w:rPr>
      </w:pPr>
    </w:p>
    <w:p w:rsidR="00086900" w:rsidRDefault="00086900">
      <w:pPr>
        <w:autoSpaceDE w:val="0"/>
        <w:autoSpaceDN w:val="0"/>
        <w:adjustRightInd w:val="0"/>
        <w:spacing w:line="360" w:lineRule="auto"/>
        <w:jc w:val="left"/>
        <w:rPr>
          <w:rFonts w:eastAsiaTheme="minorEastAsia"/>
          <w:color w:val="000000" w:themeColor="text1"/>
          <w:kern w:val="0"/>
          <w:szCs w:val="21"/>
        </w:rPr>
      </w:pPr>
    </w:p>
    <w:p w:rsidR="00086900" w:rsidRDefault="00086900">
      <w:pPr>
        <w:autoSpaceDE w:val="0"/>
        <w:autoSpaceDN w:val="0"/>
        <w:adjustRightInd w:val="0"/>
        <w:spacing w:line="360" w:lineRule="auto"/>
        <w:jc w:val="left"/>
        <w:rPr>
          <w:rFonts w:eastAsiaTheme="minorEastAsia"/>
          <w:color w:val="000000" w:themeColor="text1"/>
          <w:kern w:val="0"/>
          <w:szCs w:val="21"/>
        </w:rPr>
      </w:pPr>
    </w:p>
    <w:p w:rsidR="00086900" w:rsidRDefault="00086900">
      <w:pPr>
        <w:autoSpaceDE w:val="0"/>
        <w:autoSpaceDN w:val="0"/>
        <w:adjustRightInd w:val="0"/>
        <w:spacing w:line="360" w:lineRule="auto"/>
        <w:jc w:val="left"/>
        <w:rPr>
          <w:rFonts w:eastAsiaTheme="minorEastAsia"/>
          <w:color w:val="000000" w:themeColor="text1"/>
          <w:kern w:val="0"/>
          <w:szCs w:val="21"/>
        </w:rPr>
      </w:pPr>
    </w:p>
    <w:p w:rsidR="00086900" w:rsidRDefault="00086900">
      <w:pPr>
        <w:autoSpaceDE w:val="0"/>
        <w:autoSpaceDN w:val="0"/>
        <w:adjustRightInd w:val="0"/>
        <w:spacing w:line="360" w:lineRule="auto"/>
        <w:jc w:val="left"/>
        <w:rPr>
          <w:rFonts w:eastAsiaTheme="minorEastAsia"/>
          <w:color w:val="000000" w:themeColor="text1"/>
          <w:kern w:val="0"/>
          <w:szCs w:val="21"/>
        </w:rPr>
      </w:pPr>
    </w:p>
    <w:p w:rsidR="00086900" w:rsidRDefault="00FD1A01">
      <w:pPr>
        <w:spacing w:line="360" w:lineRule="auto"/>
        <w:jc w:val="center"/>
        <w:rPr>
          <w:rFonts w:eastAsiaTheme="minorEastAsia"/>
          <w:b/>
          <w:color w:val="000000" w:themeColor="text1"/>
          <w:sz w:val="36"/>
          <w:szCs w:val="36"/>
        </w:rPr>
      </w:pPr>
      <w:r>
        <w:rPr>
          <w:rFonts w:eastAsiaTheme="minorEastAsia"/>
          <w:b/>
          <w:color w:val="000000" w:themeColor="text1"/>
          <w:sz w:val="36"/>
          <w:szCs w:val="36"/>
        </w:rPr>
        <w:t>华安乐惠保本混合型证券投资基金</w:t>
      </w:r>
    </w:p>
    <w:p w:rsidR="00086900" w:rsidRDefault="00FD1A01">
      <w:pPr>
        <w:spacing w:line="360" w:lineRule="auto"/>
        <w:jc w:val="center"/>
        <w:rPr>
          <w:rFonts w:eastAsiaTheme="minorEastAsia"/>
          <w:b/>
          <w:color w:val="000000" w:themeColor="text1"/>
          <w:sz w:val="36"/>
          <w:szCs w:val="36"/>
        </w:rPr>
      </w:pPr>
      <w:r>
        <w:rPr>
          <w:rFonts w:eastAsiaTheme="minorEastAsia"/>
          <w:b/>
          <w:color w:val="000000" w:themeColor="text1"/>
          <w:sz w:val="36"/>
          <w:szCs w:val="36"/>
        </w:rPr>
        <w:t>2017</w:t>
      </w:r>
      <w:r>
        <w:rPr>
          <w:rFonts w:eastAsiaTheme="minorEastAsia"/>
          <w:b/>
          <w:color w:val="000000" w:themeColor="text1"/>
          <w:sz w:val="36"/>
          <w:szCs w:val="36"/>
        </w:rPr>
        <w:t>年第</w:t>
      </w:r>
      <w:r>
        <w:rPr>
          <w:rFonts w:eastAsiaTheme="minorEastAsia"/>
          <w:b/>
          <w:color w:val="000000" w:themeColor="text1"/>
          <w:sz w:val="36"/>
          <w:szCs w:val="36"/>
        </w:rPr>
        <w:t>4</w:t>
      </w:r>
      <w:r>
        <w:rPr>
          <w:rFonts w:eastAsiaTheme="minorEastAsia"/>
          <w:b/>
          <w:color w:val="000000" w:themeColor="text1"/>
          <w:sz w:val="36"/>
          <w:szCs w:val="36"/>
        </w:rPr>
        <w:t>季度报告</w:t>
      </w:r>
    </w:p>
    <w:p w:rsidR="00086900" w:rsidRDefault="00FD1A01">
      <w:pPr>
        <w:spacing w:line="360" w:lineRule="auto"/>
        <w:jc w:val="center"/>
        <w:rPr>
          <w:rFonts w:eastAsiaTheme="minorEastAsia"/>
          <w:b/>
          <w:color w:val="000000" w:themeColor="text1"/>
          <w:szCs w:val="21"/>
        </w:rPr>
      </w:pPr>
      <w:r>
        <w:rPr>
          <w:rFonts w:eastAsiaTheme="minorEastAsia"/>
          <w:b/>
          <w:color w:val="000000" w:themeColor="text1"/>
          <w:sz w:val="36"/>
          <w:szCs w:val="36"/>
        </w:rPr>
        <w:t>2017</w:t>
      </w:r>
      <w:r>
        <w:rPr>
          <w:rFonts w:eastAsiaTheme="minorEastAsia"/>
          <w:b/>
          <w:color w:val="000000" w:themeColor="text1"/>
          <w:sz w:val="36"/>
          <w:szCs w:val="36"/>
        </w:rPr>
        <w:t>年</w:t>
      </w:r>
      <w:r>
        <w:rPr>
          <w:rFonts w:eastAsiaTheme="minorEastAsia"/>
          <w:b/>
          <w:color w:val="000000" w:themeColor="text1"/>
          <w:sz w:val="36"/>
          <w:szCs w:val="36"/>
        </w:rPr>
        <w:t>12</w:t>
      </w:r>
      <w:r>
        <w:rPr>
          <w:rFonts w:eastAsiaTheme="minorEastAsia"/>
          <w:b/>
          <w:color w:val="000000" w:themeColor="text1"/>
          <w:sz w:val="36"/>
          <w:szCs w:val="36"/>
        </w:rPr>
        <w:t>月</w:t>
      </w:r>
      <w:r>
        <w:rPr>
          <w:rFonts w:eastAsiaTheme="minorEastAsia"/>
          <w:b/>
          <w:color w:val="000000" w:themeColor="text1"/>
          <w:sz w:val="36"/>
          <w:szCs w:val="36"/>
        </w:rPr>
        <w:t>31</w:t>
      </w:r>
      <w:r>
        <w:rPr>
          <w:rFonts w:eastAsiaTheme="minorEastAsia"/>
          <w:b/>
          <w:color w:val="000000" w:themeColor="text1"/>
          <w:sz w:val="36"/>
          <w:szCs w:val="36"/>
        </w:rPr>
        <w:t>日</w:t>
      </w: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jc w:val="center"/>
        <w:rPr>
          <w:rFonts w:eastAsiaTheme="minorEastAsia"/>
          <w:b/>
          <w:color w:val="000000" w:themeColor="text1"/>
          <w:szCs w:val="21"/>
        </w:rPr>
      </w:pPr>
    </w:p>
    <w:p w:rsidR="00086900" w:rsidRDefault="00086900">
      <w:pPr>
        <w:spacing w:line="360" w:lineRule="auto"/>
        <w:rPr>
          <w:rFonts w:eastAsiaTheme="minorEastAsia"/>
          <w:b/>
          <w:color w:val="000000" w:themeColor="text1"/>
          <w:szCs w:val="21"/>
        </w:rPr>
      </w:pPr>
    </w:p>
    <w:p w:rsidR="00086900" w:rsidRDefault="00FD1A01">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基金管理人：华安基金管理有限公司</w:t>
      </w:r>
    </w:p>
    <w:p w:rsidR="00086900" w:rsidRDefault="00FD1A01">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基金托管人：中国民生银行股份有限公司</w:t>
      </w:r>
    </w:p>
    <w:p w:rsidR="00086900" w:rsidRDefault="00FD1A01">
      <w:pPr>
        <w:spacing w:line="360" w:lineRule="auto"/>
        <w:ind w:firstLineChars="900" w:firstLine="2168"/>
        <w:rPr>
          <w:rFonts w:eastAsiaTheme="minorEastAsia"/>
          <w:color w:val="000000" w:themeColor="text1"/>
          <w:szCs w:val="21"/>
        </w:rPr>
        <w:sectPr w:rsidR="00086900">
          <w:headerReference w:type="default" r:id="rId8"/>
          <w:footerReference w:type="default" r:id="rId9"/>
          <w:pgSz w:w="11926" w:h="15840"/>
          <w:pgMar w:top="1418" w:right="1418" w:bottom="851" w:left="1418" w:header="851" w:footer="992" w:gutter="0"/>
          <w:cols w:space="720"/>
        </w:sectPr>
      </w:pPr>
      <w:r>
        <w:rPr>
          <w:rFonts w:eastAsiaTheme="minorEastAsia"/>
          <w:b/>
          <w:color w:val="000000" w:themeColor="text1"/>
          <w:sz w:val="24"/>
        </w:rPr>
        <w:t>报告送出日期：二〇一八年一月二十二日</w:t>
      </w:r>
    </w:p>
    <w:p w:rsidR="00086900" w:rsidRDefault="00FD1A01" w:rsidP="00FD1A01">
      <w:pPr>
        <w:pStyle w:val="1"/>
        <w:spacing w:beforeLines="100" w:afterLines="100" w:line="360" w:lineRule="auto"/>
        <w:jc w:val="center"/>
        <w:rPr>
          <w:rFonts w:eastAsiaTheme="minorEastAsia"/>
          <w:b w:val="0"/>
          <w:color w:val="000000" w:themeColor="text1"/>
          <w:kern w:val="0"/>
          <w:sz w:val="21"/>
          <w:szCs w:val="21"/>
        </w:rPr>
      </w:pPr>
      <w:r>
        <w:rPr>
          <w:rFonts w:eastAsiaTheme="minorEastAsia"/>
          <w:color w:val="000000" w:themeColor="text1"/>
          <w:kern w:val="0"/>
          <w:sz w:val="21"/>
          <w:szCs w:val="21"/>
        </w:rPr>
        <w:lastRenderedPageBreak/>
        <w:t xml:space="preserve">§1 </w:t>
      </w:r>
      <w:r>
        <w:rPr>
          <w:rFonts w:eastAsiaTheme="minorEastAsia"/>
          <w:color w:val="000000" w:themeColor="text1"/>
          <w:kern w:val="0"/>
          <w:sz w:val="21"/>
          <w:szCs w:val="21"/>
        </w:rPr>
        <w:t xml:space="preserve"> </w:t>
      </w:r>
      <w:r>
        <w:rPr>
          <w:rFonts w:eastAsiaTheme="minorEastAsia"/>
          <w:color w:val="000000" w:themeColor="text1"/>
          <w:kern w:val="0"/>
          <w:sz w:val="21"/>
          <w:szCs w:val="21"/>
        </w:rPr>
        <w:t>重要提示</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基金托管人中国民生银行股份有限公司根据本基金合同规定，于</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15</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日起至</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日止。</w:t>
      </w:r>
    </w:p>
    <w:p w:rsidR="00086900" w:rsidRDefault="00FD1A01" w:rsidP="00FD1A01">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§2  </w:t>
      </w:r>
      <w:r>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739"/>
        <w:gridCol w:w="2740"/>
      </w:tblGrid>
      <w:tr w:rsidR="00086900">
        <w:tc>
          <w:tcPr>
            <w:tcW w:w="2835"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基金简称</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华安乐惠保本混合</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002238</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契约型开放式</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基金合同生效日</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2015</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30</w:t>
            </w:r>
            <w:r>
              <w:rPr>
                <w:rFonts w:eastAsiaTheme="minorEastAsia"/>
                <w:color w:val="000000" w:themeColor="text1"/>
                <w:kern w:val="0"/>
                <w:szCs w:val="21"/>
              </w:rPr>
              <w:t>日</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报告期末基金份额总额</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3,573,973,974.33</w:t>
            </w:r>
            <w:r>
              <w:rPr>
                <w:rFonts w:eastAsiaTheme="minorEastAsia"/>
                <w:color w:val="000000" w:themeColor="text1"/>
                <w:kern w:val="0"/>
                <w:szCs w:val="21"/>
              </w:rPr>
              <w:t>份</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投资目标</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通过运用投资组合保险技术，有效控制本金损失的风险，在本金安全的基础上力争实现基金资产的稳定增值。</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投资策略</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本基金采用基于</w:t>
            </w:r>
            <w:r>
              <w:rPr>
                <w:rFonts w:eastAsiaTheme="minorEastAsia"/>
                <w:color w:val="000000" w:themeColor="text1"/>
                <w:kern w:val="0"/>
                <w:szCs w:val="21"/>
              </w:rPr>
              <w:t>VaR</w:t>
            </w:r>
            <w:r>
              <w:rPr>
                <w:rFonts w:eastAsiaTheme="minorEastAsia"/>
                <w:color w:val="000000" w:themeColor="text1"/>
                <w:kern w:val="0"/>
                <w:szCs w:val="21"/>
              </w:rPr>
              <w:t>的风险乘数全程可变的</w:t>
            </w:r>
            <w:r>
              <w:rPr>
                <w:rFonts w:eastAsiaTheme="minorEastAsia"/>
                <w:color w:val="000000" w:themeColor="text1"/>
                <w:kern w:val="0"/>
                <w:szCs w:val="21"/>
              </w:rPr>
              <w:t>CPPI</w:t>
            </w:r>
            <w:r>
              <w:rPr>
                <w:rFonts w:eastAsiaTheme="minorEastAsia"/>
                <w:color w:val="000000" w:themeColor="text1"/>
                <w:kern w:val="0"/>
                <w:szCs w:val="21"/>
              </w:rPr>
              <w:t>策略（恒定比例组合保险策略）。基金管理人主要通过数量分析，根据市场的波动来调整和修正安全垫放大倍数（即风险乘数），动态调整固定收益类资产与权益类资产的投资比例，以确保基金在一段时间以后其价值不低于事先设定的某一目标价值，从而实现投资组合的保本增值目标。同时，本基金将通过对宏观经济、国家政策等可能影响证券市场</w:t>
            </w:r>
            <w:r>
              <w:rPr>
                <w:rFonts w:eastAsiaTheme="minorEastAsia"/>
                <w:color w:val="000000" w:themeColor="text1"/>
                <w:kern w:val="0"/>
                <w:szCs w:val="21"/>
              </w:rPr>
              <w:lastRenderedPageBreak/>
              <w:t>的重要因素的研究和预测，分析和比较不同证券子市场和不同金融工具的收益及风险特征，确定具体的投资券种选择，积极寻找各种可能的套利和价值增长机会。</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业绩比较</w:t>
            </w:r>
            <w:r>
              <w:rPr>
                <w:rFonts w:eastAsiaTheme="minorEastAsia"/>
                <w:color w:val="000000" w:themeColor="text1"/>
                <w:kern w:val="0"/>
                <w:szCs w:val="21"/>
              </w:rPr>
              <w:t>基准</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人民币两年期银行定期存款收益率（税后）</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风险收益特征</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本基金为保本混合型基金，属于证券投资基金中的低风险品种。</w:t>
            </w:r>
          </w:p>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投资者投资于保本基金并不等于将资金作为存款放在银行或存款类金融机构，保本基金在极端情况下仍然存在本金损失的风险。</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华安基金管理有限公司</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基金托管人</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中国民生银行股份有限公司</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基金保证人</w:t>
            </w:r>
          </w:p>
        </w:tc>
        <w:tc>
          <w:tcPr>
            <w:tcW w:w="5479" w:type="dxa"/>
            <w:gridSpan w:val="2"/>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中国投融资担保股份有限公司</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hint="eastAsia"/>
                <w:color w:val="000000" w:themeColor="text1"/>
                <w:szCs w:val="21"/>
              </w:rPr>
              <w:t>下属分级</w:t>
            </w:r>
            <w:r>
              <w:rPr>
                <w:rFonts w:eastAsiaTheme="minorEastAsia"/>
                <w:color w:val="000000" w:themeColor="text1"/>
                <w:szCs w:val="21"/>
              </w:rPr>
              <w:t>基金的基金简称</w:t>
            </w:r>
          </w:p>
        </w:tc>
        <w:tc>
          <w:tcPr>
            <w:tcW w:w="2739" w:type="dxa"/>
            <w:vAlign w:val="center"/>
          </w:tcPr>
          <w:p w:rsidR="00086900" w:rsidRDefault="00FD1A01">
            <w:pPr>
              <w:rPr>
                <w:rFonts w:eastAsiaTheme="minorEastAsia"/>
                <w:color w:val="000000" w:themeColor="text1"/>
                <w:szCs w:val="21"/>
              </w:rPr>
            </w:pPr>
            <w:r>
              <w:rPr>
                <w:rFonts w:eastAsiaTheme="minorEastAsia"/>
                <w:color w:val="000000" w:themeColor="text1"/>
                <w:szCs w:val="21"/>
              </w:rPr>
              <w:t>华安乐惠保本混合</w:t>
            </w:r>
            <w:r>
              <w:rPr>
                <w:rFonts w:eastAsiaTheme="minorEastAsia"/>
                <w:color w:val="000000" w:themeColor="text1"/>
                <w:szCs w:val="21"/>
              </w:rPr>
              <w:t>A</w:t>
            </w:r>
          </w:p>
        </w:tc>
        <w:tc>
          <w:tcPr>
            <w:tcW w:w="2740" w:type="dxa"/>
            <w:vAlign w:val="center"/>
          </w:tcPr>
          <w:p w:rsidR="00086900" w:rsidRDefault="00FD1A01">
            <w:pPr>
              <w:rPr>
                <w:rFonts w:eastAsiaTheme="minorEastAsia"/>
                <w:color w:val="000000" w:themeColor="text1"/>
                <w:szCs w:val="21"/>
              </w:rPr>
            </w:pPr>
            <w:r>
              <w:rPr>
                <w:rFonts w:eastAsiaTheme="minorEastAsia"/>
                <w:color w:val="000000" w:themeColor="text1"/>
                <w:szCs w:val="21"/>
              </w:rPr>
              <w:t>华安乐惠保本混合</w:t>
            </w:r>
            <w:r>
              <w:rPr>
                <w:rFonts w:eastAsiaTheme="minorEastAsia"/>
                <w:color w:val="000000" w:themeColor="text1"/>
                <w:szCs w:val="21"/>
              </w:rPr>
              <w:t>C</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下属</w:t>
            </w:r>
            <w:r>
              <w:rPr>
                <w:rFonts w:eastAsiaTheme="minorEastAsia" w:hint="eastAsia"/>
                <w:color w:val="000000" w:themeColor="text1"/>
                <w:szCs w:val="21"/>
              </w:rPr>
              <w:t>分</w:t>
            </w:r>
            <w:r>
              <w:rPr>
                <w:rFonts w:eastAsiaTheme="minorEastAsia"/>
                <w:color w:val="000000" w:themeColor="text1"/>
                <w:szCs w:val="21"/>
              </w:rPr>
              <w:t>级基金的交易代码</w:t>
            </w:r>
          </w:p>
        </w:tc>
        <w:tc>
          <w:tcPr>
            <w:tcW w:w="2739" w:type="dxa"/>
            <w:vAlign w:val="center"/>
          </w:tcPr>
          <w:p w:rsidR="00086900" w:rsidRDefault="00FD1A01">
            <w:pPr>
              <w:rPr>
                <w:rFonts w:eastAsiaTheme="minorEastAsia"/>
                <w:color w:val="000000" w:themeColor="text1"/>
                <w:szCs w:val="21"/>
              </w:rPr>
            </w:pPr>
            <w:r>
              <w:rPr>
                <w:rFonts w:eastAsiaTheme="minorEastAsia"/>
                <w:color w:val="000000" w:themeColor="text1"/>
                <w:szCs w:val="21"/>
              </w:rPr>
              <w:t>002238</w:t>
            </w:r>
          </w:p>
        </w:tc>
        <w:tc>
          <w:tcPr>
            <w:tcW w:w="2740" w:type="dxa"/>
            <w:vAlign w:val="center"/>
          </w:tcPr>
          <w:p w:rsidR="00086900" w:rsidRDefault="00FD1A01">
            <w:pPr>
              <w:rPr>
                <w:rFonts w:eastAsiaTheme="minorEastAsia"/>
                <w:color w:val="000000" w:themeColor="text1"/>
                <w:szCs w:val="21"/>
              </w:rPr>
            </w:pPr>
            <w:r>
              <w:rPr>
                <w:rFonts w:eastAsiaTheme="minorEastAsia"/>
                <w:color w:val="000000" w:themeColor="text1"/>
                <w:szCs w:val="21"/>
              </w:rPr>
              <w:t>002239</w:t>
            </w:r>
          </w:p>
        </w:tc>
      </w:tr>
      <w:tr w:rsidR="00086900">
        <w:tc>
          <w:tcPr>
            <w:tcW w:w="2835" w:type="dxa"/>
            <w:vAlign w:val="center"/>
          </w:tcPr>
          <w:p w:rsidR="00086900" w:rsidRDefault="00FD1A01">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报告期末下属</w:t>
            </w:r>
            <w:r>
              <w:rPr>
                <w:rFonts w:eastAsiaTheme="minorEastAsia" w:hint="eastAsia"/>
                <w:color w:val="000000" w:themeColor="text1"/>
                <w:szCs w:val="21"/>
              </w:rPr>
              <w:t>分</w:t>
            </w:r>
            <w:r>
              <w:rPr>
                <w:rFonts w:eastAsiaTheme="minorEastAsia"/>
                <w:color w:val="000000" w:themeColor="text1"/>
                <w:szCs w:val="21"/>
              </w:rPr>
              <w:t>级基金的份额总额</w:t>
            </w:r>
          </w:p>
        </w:tc>
        <w:tc>
          <w:tcPr>
            <w:tcW w:w="2739" w:type="dxa"/>
            <w:vAlign w:val="center"/>
          </w:tcPr>
          <w:p w:rsidR="00086900" w:rsidRDefault="00FD1A01">
            <w:pPr>
              <w:rPr>
                <w:rFonts w:eastAsiaTheme="minorEastAsia"/>
                <w:color w:val="000000" w:themeColor="text1"/>
                <w:szCs w:val="21"/>
              </w:rPr>
            </w:pPr>
            <w:r>
              <w:rPr>
                <w:rFonts w:eastAsiaTheme="minorEastAsia"/>
                <w:color w:val="000000" w:themeColor="text1"/>
                <w:szCs w:val="21"/>
              </w:rPr>
              <w:t>2,305,879,377.93</w:t>
            </w:r>
            <w:r>
              <w:rPr>
                <w:rFonts w:eastAsiaTheme="minorEastAsia"/>
                <w:color w:val="000000" w:themeColor="text1"/>
                <w:kern w:val="0"/>
                <w:szCs w:val="21"/>
              </w:rPr>
              <w:t>份</w:t>
            </w:r>
          </w:p>
        </w:tc>
        <w:tc>
          <w:tcPr>
            <w:tcW w:w="2740" w:type="dxa"/>
            <w:vAlign w:val="center"/>
          </w:tcPr>
          <w:p w:rsidR="00086900" w:rsidRDefault="00FD1A01">
            <w:pPr>
              <w:rPr>
                <w:rFonts w:eastAsiaTheme="minorEastAsia"/>
                <w:color w:val="000000" w:themeColor="text1"/>
                <w:szCs w:val="21"/>
              </w:rPr>
            </w:pPr>
            <w:r>
              <w:rPr>
                <w:rFonts w:eastAsiaTheme="minorEastAsia"/>
                <w:color w:val="000000" w:themeColor="text1"/>
                <w:szCs w:val="21"/>
              </w:rPr>
              <w:t>1,268,094,596.40</w:t>
            </w:r>
            <w:r>
              <w:rPr>
                <w:rFonts w:eastAsiaTheme="minorEastAsia"/>
                <w:color w:val="000000" w:themeColor="text1"/>
                <w:kern w:val="0"/>
                <w:szCs w:val="21"/>
              </w:rPr>
              <w:t>份</w:t>
            </w:r>
          </w:p>
        </w:tc>
      </w:tr>
    </w:tbl>
    <w:p w:rsidR="00086900" w:rsidRDefault="00FD1A01" w:rsidP="00FD1A01">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§3  </w:t>
      </w:r>
      <w:r>
        <w:rPr>
          <w:rFonts w:eastAsiaTheme="minorEastAsia"/>
          <w:color w:val="000000" w:themeColor="text1"/>
          <w:kern w:val="0"/>
          <w:sz w:val="21"/>
          <w:szCs w:val="21"/>
        </w:rPr>
        <w:t>主要财务指标和基金净值表现</w:t>
      </w:r>
    </w:p>
    <w:p w:rsidR="00086900" w:rsidRDefault="00FD1A0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3.1 </w:t>
      </w:r>
      <w:r>
        <w:rPr>
          <w:rFonts w:eastAsiaTheme="minorEastAsia"/>
          <w:b/>
          <w:color w:val="000000" w:themeColor="text1"/>
          <w:kern w:val="0"/>
          <w:szCs w:val="21"/>
        </w:rPr>
        <w:t>主要财务指标</w:t>
      </w:r>
    </w:p>
    <w:p w:rsidR="00086900" w:rsidRDefault="00FD1A01">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481"/>
        <w:gridCol w:w="2481"/>
      </w:tblGrid>
      <w:tr w:rsidR="00086900">
        <w:tc>
          <w:tcPr>
            <w:tcW w:w="3402" w:type="dxa"/>
            <w:vMerge w:val="restart"/>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主要财务指标</w:t>
            </w:r>
          </w:p>
        </w:tc>
        <w:tc>
          <w:tcPr>
            <w:tcW w:w="4962" w:type="dxa"/>
            <w:gridSpan w:val="2"/>
            <w:vAlign w:val="center"/>
          </w:tcPr>
          <w:p w:rsidR="00086900" w:rsidRDefault="00FD1A0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报告期</w:t>
            </w:r>
          </w:p>
          <w:p w:rsidR="00086900" w:rsidRDefault="00FD1A0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r>
              <w:rPr>
                <w:rFonts w:eastAsiaTheme="minorEastAsia"/>
                <w:color w:val="000000" w:themeColor="text1"/>
                <w:szCs w:val="21"/>
              </w:rPr>
              <w:t>)</w:t>
            </w:r>
          </w:p>
        </w:tc>
      </w:tr>
      <w:tr w:rsidR="00086900">
        <w:tc>
          <w:tcPr>
            <w:tcW w:w="3402" w:type="dxa"/>
            <w:vMerge/>
            <w:vAlign w:val="center"/>
          </w:tcPr>
          <w:p w:rsidR="00086900" w:rsidRDefault="00086900">
            <w:pPr>
              <w:adjustRightInd w:val="0"/>
              <w:spacing w:before="29" w:line="360" w:lineRule="auto"/>
              <w:ind w:left="17"/>
              <w:rPr>
                <w:rFonts w:eastAsiaTheme="minorEastAsia"/>
                <w:color w:val="000000" w:themeColor="text1"/>
                <w:kern w:val="0"/>
                <w:szCs w:val="21"/>
              </w:rPr>
            </w:pPr>
          </w:p>
        </w:tc>
        <w:tc>
          <w:tcPr>
            <w:tcW w:w="2481" w:type="dxa"/>
            <w:vAlign w:val="center"/>
          </w:tcPr>
          <w:p w:rsidR="00086900" w:rsidRDefault="00FD1A0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华安乐惠保本混合</w:t>
            </w:r>
            <w:r>
              <w:rPr>
                <w:rFonts w:eastAsiaTheme="minorEastAsia"/>
                <w:color w:val="000000" w:themeColor="text1"/>
                <w:szCs w:val="21"/>
              </w:rPr>
              <w:t>A</w:t>
            </w:r>
          </w:p>
        </w:tc>
        <w:tc>
          <w:tcPr>
            <w:tcW w:w="2481" w:type="dxa"/>
            <w:vAlign w:val="center"/>
          </w:tcPr>
          <w:p w:rsidR="00086900" w:rsidRDefault="00FD1A0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华安乐惠保本混合</w:t>
            </w:r>
            <w:r>
              <w:rPr>
                <w:rFonts w:eastAsiaTheme="minorEastAsia"/>
                <w:color w:val="000000" w:themeColor="text1"/>
                <w:szCs w:val="21"/>
              </w:rPr>
              <w:t>C</w:t>
            </w:r>
          </w:p>
        </w:tc>
      </w:tr>
      <w:tr w:rsidR="00086900">
        <w:tc>
          <w:tcPr>
            <w:tcW w:w="3402"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本期已实现收益</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26,904,038.50</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13,715,133.62</w:t>
            </w:r>
          </w:p>
        </w:tc>
      </w:tr>
      <w:tr w:rsidR="00086900">
        <w:tc>
          <w:tcPr>
            <w:tcW w:w="3402"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本期利润</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12,532,780.73</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5,857,097.25</w:t>
            </w:r>
          </w:p>
        </w:tc>
      </w:tr>
      <w:tr w:rsidR="00086900">
        <w:tc>
          <w:tcPr>
            <w:tcW w:w="3402"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3.</w:t>
            </w:r>
            <w:r>
              <w:rPr>
                <w:rFonts w:eastAsiaTheme="minorEastAsia"/>
                <w:color w:val="000000" w:themeColor="text1"/>
                <w:kern w:val="0"/>
                <w:szCs w:val="21"/>
              </w:rPr>
              <w:t>加权平均基金份额本期利润</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0.0054</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0.0046</w:t>
            </w:r>
          </w:p>
        </w:tc>
      </w:tr>
      <w:tr w:rsidR="00086900">
        <w:tc>
          <w:tcPr>
            <w:tcW w:w="3402"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4.</w:t>
            </w:r>
            <w:r>
              <w:rPr>
                <w:rFonts w:eastAsiaTheme="minorEastAsia"/>
                <w:color w:val="000000" w:themeColor="text1"/>
                <w:kern w:val="0"/>
                <w:szCs w:val="21"/>
              </w:rPr>
              <w:t>期末基金资产净值</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2,416,208,963.65</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1,320,810,087.42</w:t>
            </w:r>
          </w:p>
        </w:tc>
      </w:tr>
      <w:tr w:rsidR="00086900">
        <w:trPr>
          <w:trHeight w:val="158"/>
        </w:trPr>
        <w:tc>
          <w:tcPr>
            <w:tcW w:w="3402" w:type="dxa"/>
            <w:vAlign w:val="center"/>
          </w:tcPr>
          <w:p w:rsidR="00086900" w:rsidRDefault="00FD1A0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5.</w:t>
            </w:r>
            <w:r>
              <w:rPr>
                <w:rFonts w:eastAsiaTheme="minorEastAsia"/>
                <w:color w:val="000000" w:themeColor="text1"/>
                <w:kern w:val="0"/>
                <w:szCs w:val="21"/>
              </w:rPr>
              <w:t>期末基金份额净值</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1.0478</w:t>
            </w:r>
          </w:p>
        </w:tc>
        <w:tc>
          <w:tcPr>
            <w:tcW w:w="2481" w:type="dxa"/>
            <w:vAlign w:val="center"/>
          </w:tcPr>
          <w:p w:rsidR="00086900" w:rsidRDefault="00FD1A0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1.0416</w:t>
            </w:r>
          </w:p>
        </w:tc>
      </w:tr>
    </w:tbl>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注：</w:t>
      </w:r>
      <w:r>
        <w:rPr>
          <w:rFonts w:eastAsiaTheme="minorEastAsia"/>
          <w:color w:val="000000" w:themeColor="text1"/>
          <w:szCs w:val="21"/>
        </w:rPr>
        <w:t>1.</w:t>
      </w:r>
      <w:r>
        <w:rPr>
          <w:rFonts w:eastAsiaTheme="minorEastAsia"/>
          <w:color w:val="000000" w:themeColor="text1"/>
          <w:szCs w:val="21"/>
        </w:rPr>
        <w:t>所述基金业绩指标不包括持有人认购或交易基金的各项费用（例如：封闭式基金交易佣金，开放式基金的申购赎回费、红利再投资费、基金转换费等），计入费用后实际收益水平要低于所列数字。</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本期已实现收益指基金本期利息收入、投资收益、其他收入（不含公允价值变动收益）扣除相关费用后的余额，本期利润为本期已实现收益加上本期公允价值变动收益。</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3.2 </w:t>
      </w:r>
      <w:r>
        <w:rPr>
          <w:rFonts w:eastAsiaTheme="minorEastAsia"/>
          <w:b/>
          <w:color w:val="000000" w:themeColor="text1"/>
          <w:kern w:val="0"/>
          <w:szCs w:val="21"/>
        </w:rPr>
        <w:t>基金净值表现</w:t>
      </w:r>
    </w:p>
    <w:p w:rsidR="00086900" w:rsidRDefault="00FD1A0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3.2.1</w:t>
      </w:r>
      <w:r>
        <w:rPr>
          <w:rFonts w:eastAsiaTheme="minorEastAsia"/>
          <w:b/>
          <w:color w:val="000000" w:themeColor="text1"/>
          <w:kern w:val="0"/>
          <w:szCs w:val="21"/>
        </w:rPr>
        <w:t>本报告期基金份额净值增长率及其与同期业绩比较基准收益率的比较</w:t>
      </w:r>
    </w:p>
    <w:p w:rsidR="00086900" w:rsidRDefault="00FD1A01">
      <w:pPr>
        <w:spacing w:line="360" w:lineRule="auto"/>
        <w:rPr>
          <w:rFonts w:eastAsiaTheme="minorEastAsia"/>
          <w:b/>
          <w:color w:val="000000" w:themeColor="text1"/>
          <w:szCs w:val="21"/>
        </w:rPr>
      </w:pPr>
      <w:r>
        <w:rPr>
          <w:rFonts w:eastAsiaTheme="minorEastAsia"/>
          <w:b/>
          <w:color w:val="000000" w:themeColor="text1"/>
          <w:szCs w:val="21"/>
        </w:rPr>
        <w:t>1</w:t>
      </w:r>
      <w:r>
        <w:rPr>
          <w:rFonts w:eastAsiaTheme="minorEastAsia"/>
          <w:b/>
          <w:color w:val="000000" w:themeColor="text1"/>
          <w:szCs w:val="21"/>
        </w:rPr>
        <w:t>、</w:t>
      </w:r>
      <w:r>
        <w:rPr>
          <w:rFonts w:eastAsiaTheme="minorEastAsia"/>
          <w:b/>
          <w:color w:val="000000" w:themeColor="text1"/>
          <w:kern w:val="0"/>
          <w:szCs w:val="21"/>
        </w:rPr>
        <w:t>华安乐惠保本混合</w:t>
      </w:r>
      <w:r>
        <w:rPr>
          <w:rFonts w:eastAsiaTheme="minorEastAsia"/>
          <w:b/>
          <w:color w:val="000000" w:themeColor="text1"/>
          <w:kern w:val="0"/>
          <w:szCs w:val="21"/>
        </w:rPr>
        <w:t>A</w:t>
      </w:r>
      <w:r>
        <w:rPr>
          <w:rFonts w:eastAsiaTheme="minorEastAsia"/>
          <w:b/>
          <w:color w:val="000000" w:themeColor="text1"/>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086900">
        <w:tc>
          <w:tcPr>
            <w:tcW w:w="1290"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086900">
        <w:tc>
          <w:tcPr>
            <w:tcW w:w="1290" w:type="dxa"/>
            <w:vAlign w:val="center"/>
          </w:tcPr>
          <w:p w:rsidR="00086900" w:rsidRDefault="00FD1A01">
            <w:pPr>
              <w:jc w:val="left"/>
            </w:pPr>
            <w:r>
              <w:rPr>
                <w:rFonts w:eastAsiaTheme="minorEastAsia"/>
                <w:color w:val="000000" w:themeColor="text1"/>
                <w:szCs w:val="21"/>
              </w:rPr>
              <w:t>过去三个月</w:t>
            </w:r>
          </w:p>
        </w:tc>
        <w:tc>
          <w:tcPr>
            <w:tcW w:w="1291" w:type="dxa"/>
            <w:vAlign w:val="center"/>
          </w:tcPr>
          <w:p w:rsidR="00086900" w:rsidRDefault="00FD1A01">
            <w:pPr>
              <w:jc w:val="right"/>
            </w:pPr>
            <w:r>
              <w:rPr>
                <w:rFonts w:eastAsiaTheme="minorEastAsia"/>
                <w:color w:val="000000" w:themeColor="text1"/>
                <w:szCs w:val="21"/>
              </w:rPr>
              <w:t>0.56%</w:t>
            </w:r>
          </w:p>
        </w:tc>
        <w:tc>
          <w:tcPr>
            <w:tcW w:w="1291" w:type="dxa"/>
            <w:vAlign w:val="center"/>
          </w:tcPr>
          <w:p w:rsidR="00086900" w:rsidRDefault="00FD1A01">
            <w:pPr>
              <w:jc w:val="right"/>
            </w:pPr>
            <w:r>
              <w:rPr>
                <w:rFonts w:eastAsiaTheme="minorEastAsia"/>
                <w:color w:val="000000" w:themeColor="text1"/>
                <w:szCs w:val="21"/>
              </w:rPr>
              <w:t>0.05%</w:t>
            </w:r>
          </w:p>
        </w:tc>
        <w:tc>
          <w:tcPr>
            <w:tcW w:w="1291" w:type="dxa"/>
            <w:vAlign w:val="center"/>
          </w:tcPr>
          <w:p w:rsidR="00086900" w:rsidRDefault="00FD1A01">
            <w:pPr>
              <w:jc w:val="right"/>
            </w:pPr>
            <w:r>
              <w:rPr>
                <w:rFonts w:eastAsiaTheme="minorEastAsia"/>
                <w:color w:val="000000" w:themeColor="text1"/>
                <w:szCs w:val="21"/>
              </w:rPr>
              <w:t>0.53%</w:t>
            </w:r>
          </w:p>
        </w:tc>
        <w:tc>
          <w:tcPr>
            <w:tcW w:w="1291" w:type="dxa"/>
            <w:vAlign w:val="center"/>
          </w:tcPr>
          <w:p w:rsidR="00086900" w:rsidRDefault="00FD1A01">
            <w:pPr>
              <w:jc w:val="right"/>
            </w:pPr>
            <w:r>
              <w:rPr>
                <w:rFonts w:eastAsiaTheme="minorEastAsia"/>
                <w:color w:val="000000" w:themeColor="text1"/>
                <w:szCs w:val="21"/>
              </w:rPr>
              <w:t>0.01%</w:t>
            </w:r>
          </w:p>
        </w:tc>
        <w:tc>
          <w:tcPr>
            <w:tcW w:w="1291" w:type="dxa"/>
            <w:vAlign w:val="center"/>
          </w:tcPr>
          <w:p w:rsidR="00086900" w:rsidRDefault="00FD1A01">
            <w:pPr>
              <w:jc w:val="right"/>
            </w:pPr>
            <w:r>
              <w:rPr>
                <w:rFonts w:eastAsiaTheme="minorEastAsia"/>
                <w:color w:val="000000" w:themeColor="text1"/>
                <w:szCs w:val="21"/>
              </w:rPr>
              <w:t>0.03%</w:t>
            </w:r>
          </w:p>
        </w:tc>
        <w:tc>
          <w:tcPr>
            <w:tcW w:w="1291" w:type="dxa"/>
            <w:vAlign w:val="center"/>
          </w:tcPr>
          <w:p w:rsidR="00086900" w:rsidRDefault="00FD1A01">
            <w:pPr>
              <w:jc w:val="right"/>
            </w:pPr>
            <w:r>
              <w:rPr>
                <w:rFonts w:eastAsiaTheme="minorEastAsia"/>
                <w:color w:val="000000" w:themeColor="text1"/>
                <w:szCs w:val="21"/>
              </w:rPr>
              <w:t>0.04%</w:t>
            </w:r>
          </w:p>
        </w:tc>
      </w:tr>
    </w:tbl>
    <w:p w:rsidR="00086900" w:rsidRDefault="00FD1A01" w:rsidP="00FD1A01">
      <w:pPr>
        <w:adjustRightInd w:val="0"/>
        <w:spacing w:beforeLines="100" w:line="360" w:lineRule="auto"/>
        <w:rPr>
          <w:rFonts w:eastAsiaTheme="minorEastAsia"/>
          <w:b/>
          <w:color w:val="000000" w:themeColor="text1"/>
          <w:kern w:val="0"/>
          <w:szCs w:val="21"/>
        </w:rPr>
      </w:pPr>
      <w:r>
        <w:rPr>
          <w:rFonts w:eastAsiaTheme="minorEastAsia"/>
          <w:b/>
          <w:color w:val="000000" w:themeColor="text1"/>
          <w:szCs w:val="21"/>
        </w:rPr>
        <w:t>2</w:t>
      </w:r>
      <w:r>
        <w:rPr>
          <w:rFonts w:eastAsiaTheme="minorEastAsia"/>
          <w:b/>
          <w:color w:val="000000" w:themeColor="text1"/>
          <w:szCs w:val="21"/>
        </w:rPr>
        <w:t>、</w:t>
      </w:r>
      <w:r>
        <w:rPr>
          <w:rFonts w:eastAsiaTheme="minorEastAsia"/>
          <w:b/>
          <w:color w:val="000000" w:themeColor="text1"/>
          <w:kern w:val="0"/>
          <w:szCs w:val="21"/>
        </w:rPr>
        <w:t>华安乐惠保本混合</w:t>
      </w:r>
      <w:r>
        <w:rPr>
          <w:rFonts w:eastAsiaTheme="minorEastAsia"/>
          <w:b/>
          <w:color w:val="000000" w:themeColor="text1"/>
          <w:kern w:val="0"/>
          <w:szCs w:val="21"/>
        </w:rPr>
        <w:t>C</w:t>
      </w:r>
      <w:r>
        <w:rPr>
          <w:rFonts w:eastAsiaTheme="minorEastAsia"/>
          <w:b/>
          <w:color w:val="000000" w:themeColor="text1"/>
          <w:kern w:val="0"/>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086900">
        <w:tc>
          <w:tcPr>
            <w:tcW w:w="1290"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086900" w:rsidRDefault="00FD1A01">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086900" w:rsidRDefault="00FD1A01">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086900" w:rsidRDefault="00FD1A0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086900">
        <w:tc>
          <w:tcPr>
            <w:tcW w:w="1290" w:type="dxa"/>
            <w:vAlign w:val="center"/>
          </w:tcPr>
          <w:p w:rsidR="00086900" w:rsidRDefault="00FD1A01">
            <w:pPr>
              <w:jc w:val="left"/>
            </w:pPr>
            <w:r>
              <w:rPr>
                <w:rFonts w:eastAsiaTheme="minorEastAsia"/>
                <w:color w:val="000000" w:themeColor="text1"/>
                <w:szCs w:val="21"/>
              </w:rPr>
              <w:t>过去三个月</w:t>
            </w:r>
          </w:p>
        </w:tc>
        <w:tc>
          <w:tcPr>
            <w:tcW w:w="1291" w:type="dxa"/>
            <w:vAlign w:val="center"/>
          </w:tcPr>
          <w:p w:rsidR="00086900" w:rsidRDefault="00FD1A01">
            <w:pPr>
              <w:jc w:val="right"/>
            </w:pPr>
            <w:r>
              <w:rPr>
                <w:rFonts w:eastAsiaTheme="minorEastAsia"/>
                <w:color w:val="000000" w:themeColor="text1"/>
                <w:szCs w:val="21"/>
              </w:rPr>
              <w:t>0.44%</w:t>
            </w:r>
          </w:p>
        </w:tc>
        <w:tc>
          <w:tcPr>
            <w:tcW w:w="1291" w:type="dxa"/>
            <w:vAlign w:val="center"/>
          </w:tcPr>
          <w:p w:rsidR="00086900" w:rsidRDefault="00FD1A01">
            <w:pPr>
              <w:jc w:val="right"/>
            </w:pPr>
            <w:r>
              <w:rPr>
                <w:rFonts w:eastAsiaTheme="minorEastAsia"/>
                <w:color w:val="000000" w:themeColor="text1"/>
                <w:szCs w:val="21"/>
              </w:rPr>
              <w:t>0.05%</w:t>
            </w:r>
          </w:p>
        </w:tc>
        <w:tc>
          <w:tcPr>
            <w:tcW w:w="1291" w:type="dxa"/>
            <w:vAlign w:val="center"/>
          </w:tcPr>
          <w:p w:rsidR="00086900" w:rsidRDefault="00FD1A01">
            <w:pPr>
              <w:jc w:val="right"/>
            </w:pPr>
            <w:r>
              <w:rPr>
                <w:rFonts w:eastAsiaTheme="minorEastAsia"/>
                <w:color w:val="000000" w:themeColor="text1"/>
                <w:szCs w:val="21"/>
              </w:rPr>
              <w:t>0.53%</w:t>
            </w:r>
          </w:p>
        </w:tc>
        <w:tc>
          <w:tcPr>
            <w:tcW w:w="1291" w:type="dxa"/>
            <w:vAlign w:val="center"/>
          </w:tcPr>
          <w:p w:rsidR="00086900" w:rsidRDefault="00FD1A01">
            <w:pPr>
              <w:jc w:val="right"/>
            </w:pPr>
            <w:r>
              <w:rPr>
                <w:rFonts w:eastAsiaTheme="minorEastAsia"/>
                <w:color w:val="000000" w:themeColor="text1"/>
                <w:szCs w:val="21"/>
              </w:rPr>
              <w:t>0.01%</w:t>
            </w:r>
          </w:p>
        </w:tc>
        <w:tc>
          <w:tcPr>
            <w:tcW w:w="1291" w:type="dxa"/>
            <w:vAlign w:val="center"/>
          </w:tcPr>
          <w:p w:rsidR="00086900" w:rsidRDefault="00FD1A01">
            <w:pPr>
              <w:jc w:val="right"/>
            </w:pPr>
            <w:r>
              <w:rPr>
                <w:rFonts w:eastAsiaTheme="minorEastAsia"/>
                <w:color w:val="000000" w:themeColor="text1"/>
                <w:szCs w:val="21"/>
              </w:rPr>
              <w:t>-0.09%</w:t>
            </w:r>
          </w:p>
        </w:tc>
        <w:tc>
          <w:tcPr>
            <w:tcW w:w="1291" w:type="dxa"/>
            <w:vAlign w:val="center"/>
          </w:tcPr>
          <w:p w:rsidR="00086900" w:rsidRDefault="00FD1A01">
            <w:pPr>
              <w:jc w:val="right"/>
            </w:pPr>
            <w:r>
              <w:rPr>
                <w:rFonts w:eastAsiaTheme="minorEastAsia"/>
                <w:color w:val="000000" w:themeColor="text1"/>
                <w:szCs w:val="21"/>
              </w:rPr>
              <w:t>0.04%</w:t>
            </w:r>
          </w:p>
        </w:tc>
      </w:tr>
    </w:tbl>
    <w:p w:rsidR="00086900" w:rsidRDefault="00FD1A01" w:rsidP="00FD1A01">
      <w:pPr>
        <w:spacing w:beforeLines="100" w:line="360" w:lineRule="auto"/>
        <w:rPr>
          <w:rFonts w:eastAsiaTheme="minorEastAsia"/>
          <w:b/>
          <w:color w:val="000000" w:themeColor="text1"/>
          <w:kern w:val="0"/>
          <w:szCs w:val="21"/>
        </w:rPr>
      </w:pPr>
      <w:r>
        <w:rPr>
          <w:rFonts w:eastAsiaTheme="minorEastAsia"/>
          <w:b/>
          <w:color w:val="000000" w:themeColor="text1"/>
          <w:kern w:val="0"/>
          <w:szCs w:val="21"/>
        </w:rPr>
        <w:t>3.2.2</w:t>
      </w:r>
      <w:r>
        <w:rPr>
          <w:rFonts w:eastAsiaTheme="minorEastAsia"/>
          <w:b/>
          <w:color w:val="000000" w:themeColor="text1"/>
          <w:kern w:val="0"/>
          <w:szCs w:val="21"/>
        </w:rPr>
        <w:t xml:space="preserve">　</w:t>
      </w:r>
      <w:r>
        <w:rPr>
          <w:rStyle w:val="af1"/>
          <w:color w:val="000000" w:themeColor="text1"/>
          <w:szCs w:val="21"/>
          <w:shd w:val="clear" w:color="auto" w:fill="FFFFFF"/>
        </w:rPr>
        <w:t>自基金合同生效以来</w:t>
      </w:r>
      <w:r>
        <w:rPr>
          <w:rFonts w:eastAsiaTheme="minorEastAsia"/>
          <w:b/>
          <w:color w:val="000000" w:themeColor="text1"/>
          <w:szCs w:val="21"/>
        </w:rPr>
        <w:t>基金累计净值增长率变动及其与同期业绩比较基准收益率变动的比较</w:t>
      </w:r>
    </w:p>
    <w:p w:rsidR="00086900" w:rsidRDefault="00FD1A01">
      <w:pPr>
        <w:spacing w:line="360" w:lineRule="auto"/>
        <w:jc w:val="center"/>
        <w:rPr>
          <w:rFonts w:eastAsiaTheme="minorEastAsia"/>
          <w:color w:val="000000" w:themeColor="text1"/>
          <w:szCs w:val="21"/>
        </w:rPr>
      </w:pPr>
      <w:r>
        <w:rPr>
          <w:rFonts w:eastAsiaTheme="minorEastAsia"/>
          <w:color w:val="000000" w:themeColor="text1"/>
          <w:szCs w:val="21"/>
        </w:rPr>
        <w:t>华安乐惠保本混合型证券投资基金</w:t>
      </w:r>
    </w:p>
    <w:p w:rsidR="00086900" w:rsidRDefault="00FD1A01">
      <w:pPr>
        <w:pStyle w:val="a9"/>
        <w:snapToGrid w:val="0"/>
        <w:spacing w:line="360" w:lineRule="auto"/>
        <w:jc w:val="center"/>
        <w:rPr>
          <w:rFonts w:ascii="Times New Roman" w:eastAsiaTheme="minorEastAsia" w:hAnsi="Times New Roman"/>
          <w:color w:val="000000" w:themeColor="text1"/>
        </w:rPr>
      </w:pPr>
      <w:r>
        <w:rPr>
          <w:rFonts w:ascii="Times New Roman" w:eastAsiaTheme="minorEastAsia" w:hAnsi="Times New Roman"/>
          <w:color w:val="000000" w:themeColor="text1"/>
        </w:rPr>
        <w:t>累计净值增长率与业绩比较基准收益率的历史走势对比图</w:t>
      </w:r>
    </w:p>
    <w:p w:rsidR="00086900" w:rsidRDefault="00FD1A01">
      <w:pPr>
        <w:pStyle w:val="a9"/>
        <w:snapToGrid w:val="0"/>
        <w:spacing w:line="360" w:lineRule="auto"/>
        <w:ind w:firstLine="480"/>
        <w:jc w:val="center"/>
        <w:rPr>
          <w:rFonts w:ascii="Times New Roman" w:eastAsiaTheme="minorEastAsia" w:hAnsi="Times New Roman"/>
          <w:color w:val="000000" w:themeColor="text1"/>
        </w:rPr>
      </w:pPr>
      <w:r>
        <w:rPr>
          <w:rFonts w:ascii="Times New Roman" w:eastAsiaTheme="minorEastAsia" w:hAnsi="Times New Roman"/>
          <w:color w:val="000000" w:themeColor="text1"/>
        </w:rPr>
        <w:t>(2015</w:t>
      </w:r>
      <w:r>
        <w:rPr>
          <w:rFonts w:ascii="Times New Roman" w:eastAsiaTheme="minorEastAsia" w:hAnsi="Times New Roman"/>
          <w:color w:val="000000" w:themeColor="text1"/>
        </w:rPr>
        <w:t>年</w:t>
      </w:r>
      <w:r>
        <w:rPr>
          <w:rFonts w:ascii="Times New Roman" w:eastAsiaTheme="minorEastAsia" w:hAnsi="Times New Roman"/>
          <w:color w:val="000000" w:themeColor="text1"/>
        </w:rPr>
        <w:t>12</w:t>
      </w:r>
      <w:r>
        <w:rPr>
          <w:rFonts w:ascii="Times New Roman" w:eastAsiaTheme="minorEastAsia" w:hAnsi="Times New Roman"/>
          <w:color w:val="000000" w:themeColor="text1"/>
        </w:rPr>
        <w:t>月</w:t>
      </w:r>
      <w:r>
        <w:rPr>
          <w:rFonts w:ascii="Times New Roman" w:eastAsiaTheme="minorEastAsia" w:hAnsi="Times New Roman"/>
          <w:color w:val="000000" w:themeColor="text1"/>
        </w:rPr>
        <w:t>30</w:t>
      </w:r>
      <w:r>
        <w:rPr>
          <w:rFonts w:ascii="Times New Roman" w:eastAsiaTheme="minorEastAsia" w:hAnsi="Times New Roman"/>
          <w:color w:val="000000" w:themeColor="text1"/>
        </w:rPr>
        <w:t>日至</w:t>
      </w:r>
      <w:r>
        <w:rPr>
          <w:rFonts w:ascii="Times New Roman" w:eastAsiaTheme="minorEastAsia" w:hAnsi="Times New Roman"/>
          <w:color w:val="000000" w:themeColor="text1"/>
        </w:rPr>
        <w:t>2017</w:t>
      </w:r>
      <w:r>
        <w:rPr>
          <w:rFonts w:ascii="Times New Roman" w:eastAsiaTheme="minorEastAsia" w:hAnsi="Times New Roman"/>
          <w:color w:val="000000" w:themeColor="text1"/>
        </w:rPr>
        <w:t>年</w:t>
      </w:r>
      <w:r>
        <w:rPr>
          <w:rFonts w:ascii="Times New Roman" w:eastAsiaTheme="minorEastAsia" w:hAnsi="Times New Roman"/>
          <w:color w:val="000000" w:themeColor="text1"/>
        </w:rPr>
        <w:t>12</w:t>
      </w:r>
      <w:r>
        <w:rPr>
          <w:rFonts w:ascii="Times New Roman" w:eastAsiaTheme="minorEastAsia" w:hAnsi="Times New Roman"/>
          <w:color w:val="000000" w:themeColor="text1"/>
        </w:rPr>
        <w:t>月</w:t>
      </w:r>
      <w:r>
        <w:rPr>
          <w:rFonts w:ascii="Times New Roman" w:eastAsiaTheme="minorEastAsia" w:hAnsi="Times New Roman"/>
          <w:color w:val="000000" w:themeColor="text1"/>
        </w:rPr>
        <w:t>31</w:t>
      </w:r>
      <w:r>
        <w:rPr>
          <w:rFonts w:ascii="Times New Roman" w:eastAsiaTheme="minorEastAsia" w:hAnsi="Times New Roman"/>
          <w:color w:val="000000" w:themeColor="text1"/>
        </w:rPr>
        <w:t>日</w:t>
      </w:r>
      <w:r>
        <w:rPr>
          <w:rFonts w:ascii="Times New Roman" w:eastAsiaTheme="minorEastAsia" w:hAnsi="Times New Roman"/>
          <w:color w:val="000000" w:themeColor="text1"/>
        </w:rPr>
        <w:t>)</w:t>
      </w:r>
    </w:p>
    <w:p w:rsidR="00086900" w:rsidRDefault="00FD1A01">
      <w:pPr>
        <w:snapToGrid w:val="0"/>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．华安乐惠保本混合</w:t>
      </w:r>
      <w:r>
        <w:rPr>
          <w:rFonts w:eastAsiaTheme="minorEastAsia"/>
          <w:color w:val="000000" w:themeColor="text1"/>
          <w:szCs w:val="21"/>
        </w:rPr>
        <w:t>A</w:t>
      </w:r>
      <w:r>
        <w:rPr>
          <w:rFonts w:eastAsiaTheme="minorEastAsia"/>
          <w:color w:val="000000" w:themeColor="text1"/>
          <w:szCs w:val="21"/>
        </w:rPr>
        <w:t>：</w:t>
      </w:r>
    </w:p>
    <w:p w:rsidR="00086900" w:rsidRDefault="00FD1A01">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5="http://schemas.microsoft.com/office/word/2012/wordml"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a:xfrm>
                      <a:off x="0" y="0"/>
                      <a:ext cx="5591175" cy="3276600"/>
                    </a:xfrm>
                    <a:prstGeom prst="rect">
                      <a:avLst/>
                    </a:prstGeom>
                    <a:noFill/>
                    <a:ln>
                      <a:noFill/>
                    </a:ln>
                  </pic:spPr>
                </pic:pic>
              </a:graphicData>
            </a:graphic>
          </wp:inline>
        </w:drawing>
      </w:r>
    </w:p>
    <w:p w:rsidR="00086900" w:rsidRDefault="00FD1A01" w:rsidP="00FD1A01">
      <w:pPr>
        <w:snapToGrid w:val="0"/>
        <w:spacing w:beforeLines="100"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．华安乐惠保本混合</w:t>
      </w:r>
      <w:r>
        <w:rPr>
          <w:rFonts w:eastAsiaTheme="minorEastAsia"/>
          <w:color w:val="000000" w:themeColor="text1"/>
          <w:szCs w:val="21"/>
        </w:rPr>
        <w:t>C</w:t>
      </w:r>
      <w:r>
        <w:rPr>
          <w:rFonts w:eastAsiaTheme="minorEastAsia"/>
          <w:color w:val="000000" w:themeColor="text1"/>
          <w:szCs w:val="21"/>
        </w:rPr>
        <w:t>：</w:t>
      </w:r>
    </w:p>
    <w:p w:rsidR="00086900" w:rsidRDefault="00FD1A01">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5="http://schemas.microsoft.com/office/word/2012/wordml"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a:xfrm>
                      <a:off x="0" y="0"/>
                      <a:ext cx="5591175" cy="3276600"/>
                    </a:xfrm>
                    <a:prstGeom prst="rect">
                      <a:avLst/>
                    </a:prstGeom>
                    <a:noFill/>
                    <a:ln>
                      <a:noFill/>
                    </a:ln>
                  </pic:spPr>
                </pic:pic>
              </a:graphicData>
            </a:graphic>
          </wp:inline>
        </w:drawing>
      </w:r>
    </w:p>
    <w:p w:rsidR="00086900" w:rsidRDefault="00086900">
      <w:pPr>
        <w:spacing w:line="360" w:lineRule="auto"/>
        <w:ind w:firstLineChars="200" w:firstLine="420"/>
        <w:rPr>
          <w:rFonts w:eastAsiaTheme="minorEastAsia"/>
          <w:color w:val="000000" w:themeColor="text1"/>
          <w:szCs w:val="21"/>
        </w:rPr>
      </w:pPr>
    </w:p>
    <w:p w:rsidR="00086900" w:rsidRDefault="00FD1A01" w:rsidP="00FD1A01">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§4  </w:t>
      </w:r>
      <w:r>
        <w:rPr>
          <w:rFonts w:eastAsiaTheme="minorEastAsia"/>
          <w:color w:val="000000" w:themeColor="text1"/>
          <w:kern w:val="0"/>
          <w:sz w:val="21"/>
          <w:szCs w:val="21"/>
        </w:rPr>
        <w:t>管理人报告</w:t>
      </w:r>
    </w:p>
    <w:p w:rsidR="00086900" w:rsidRDefault="00FD1A0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4.1 </w:t>
      </w:r>
      <w:r>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930"/>
        <w:gridCol w:w="1210"/>
        <w:gridCol w:w="1309"/>
        <w:gridCol w:w="1254"/>
        <w:gridCol w:w="3276"/>
      </w:tblGrid>
      <w:tr w:rsidR="00086900">
        <w:tc>
          <w:tcPr>
            <w:tcW w:w="952" w:type="dxa"/>
            <w:vMerge w:val="restart"/>
            <w:vAlign w:val="center"/>
          </w:tcPr>
          <w:p w:rsidR="00086900" w:rsidRDefault="00FD1A0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姓名</w:t>
            </w:r>
          </w:p>
        </w:tc>
        <w:tc>
          <w:tcPr>
            <w:tcW w:w="930" w:type="dxa"/>
            <w:vMerge w:val="restart"/>
            <w:vAlign w:val="center"/>
          </w:tcPr>
          <w:p w:rsidR="00086900" w:rsidRDefault="00FD1A0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职务</w:t>
            </w:r>
          </w:p>
        </w:tc>
        <w:tc>
          <w:tcPr>
            <w:tcW w:w="2519" w:type="dxa"/>
            <w:gridSpan w:val="2"/>
            <w:vAlign w:val="center"/>
          </w:tcPr>
          <w:p w:rsidR="00086900" w:rsidRDefault="00FD1A0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任本基金的基金经理期限</w:t>
            </w:r>
          </w:p>
        </w:tc>
        <w:tc>
          <w:tcPr>
            <w:tcW w:w="1254" w:type="dxa"/>
            <w:vMerge w:val="restart"/>
            <w:vAlign w:val="center"/>
          </w:tcPr>
          <w:p w:rsidR="00086900" w:rsidRDefault="00FD1A0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证券从业年限</w:t>
            </w:r>
          </w:p>
        </w:tc>
        <w:tc>
          <w:tcPr>
            <w:tcW w:w="3276" w:type="dxa"/>
            <w:vMerge w:val="restart"/>
            <w:vAlign w:val="center"/>
          </w:tcPr>
          <w:p w:rsidR="00086900" w:rsidRDefault="00FD1A0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说明</w:t>
            </w:r>
          </w:p>
        </w:tc>
      </w:tr>
      <w:tr w:rsidR="00086900">
        <w:tc>
          <w:tcPr>
            <w:tcW w:w="952" w:type="dxa"/>
            <w:vMerge/>
            <w:vAlign w:val="center"/>
          </w:tcPr>
          <w:p w:rsidR="00086900" w:rsidRDefault="00086900">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086900" w:rsidRDefault="00086900">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086900" w:rsidRDefault="00FD1A0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任职日期</w:t>
            </w:r>
          </w:p>
        </w:tc>
        <w:tc>
          <w:tcPr>
            <w:tcW w:w="1309" w:type="dxa"/>
            <w:vAlign w:val="center"/>
          </w:tcPr>
          <w:p w:rsidR="00086900" w:rsidRDefault="00FD1A0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离任日期</w:t>
            </w:r>
          </w:p>
        </w:tc>
        <w:tc>
          <w:tcPr>
            <w:tcW w:w="1254" w:type="dxa"/>
            <w:vMerge/>
            <w:vAlign w:val="center"/>
          </w:tcPr>
          <w:p w:rsidR="00086900" w:rsidRDefault="00086900">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086900" w:rsidRDefault="00086900">
            <w:pPr>
              <w:autoSpaceDE w:val="0"/>
              <w:autoSpaceDN w:val="0"/>
              <w:adjustRightInd w:val="0"/>
              <w:spacing w:before="29" w:line="288" w:lineRule="auto"/>
              <w:ind w:left="15"/>
              <w:jc w:val="center"/>
              <w:rPr>
                <w:rFonts w:eastAsiaTheme="minorEastAsia"/>
                <w:color w:val="000000" w:themeColor="text1"/>
                <w:kern w:val="0"/>
                <w:szCs w:val="21"/>
              </w:rPr>
            </w:pPr>
          </w:p>
        </w:tc>
      </w:tr>
      <w:tr w:rsidR="00086900">
        <w:tc>
          <w:tcPr>
            <w:tcW w:w="952" w:type="dxa"/>
            <w:vAlign w:val="center"/>
          </w:tcPr>
          <w:p w:rsidR="00086900" w:rsidRDefault="00FD1A01">
            <w:pPr>
              <w:jc w:val="center"/>
            </w:pPr>
            <w:r>
              <w:rPr>
                <w:rFonts w:eastAsiaTheme="minorEastAsia"/>
                <w:color w:val="000000" w:themeColor="text1"/>
                <w:szCs w:val="21"/>
              </w:rPr>
              <w:t>郑可成</w:t>
            </w:r>
          </w:p>
        </w:tc>
        <w:tc>
          <w:tcPr>
            <w:tcW w:w="930" w:type="dxa"/>
            <w:vAlign w:val="center"/>
          </w:tcPr>
          <w:p w:rsidR="00086900" w:rsidRDefault="00FD1A01">
            <w:pPr>
              <w:jc w:val="center"/>
            </w:pPr>
            <w:r>
              <w:rPr>
                <w:rFonts w:eastAsiaTheme="minorEastAsia"/>
                <w:color w:val="000000" w:themeColor="text1"/>
                <w:szCs w:val="21"/>
              </w:rPr>
              <w:t>本基金的基金经理，固定收益部助理总监</w:t>
            </w:r>
          </w:p>
        </w:tc>
        <w:tc>
          <w:tcPr>
            <w:tcW w:w="1210" w:type="dxa"/>
            <w:vAlign w:val="center"/>
          </w:tcPr>
          <w:p w:rsidR="00086900" w:rsidRDefault="00FD1A01">
            <w:pPr>
              <w:jc w:val="center"/>
            </w:pPr>
            <w:r>
              <w:rPr>
                <w:rFonts w:eastAsiaTheme="minorEastAsia"/>
                <w:color w:val="000000" w:themeColor="text1"/>
                <w:szCs w:val="21"/>
              </w:rPr>
              <w:t>2015-12-30</w:t>
            </w:r>
          </w:p>
        </w:tc>
        <w:tc>
          <w:tcPr>
            <w:tcW w:w="1309" w:type="dxa"/>
            <w:vAlign w:val="center"/>
          </w:tcPr>
          <w:p w:rsidR="00086900" w:rsidRDefault="00FD1A01">
            <w:pPr>
              <w:jc w:val="center"/>
            </w:pPr>
            <w:r>
              <w:rPr>
                <w:rFonts w:eastAsiaTheme="minorEastAsia"/>
                <w:color w:val="000000" w:themeColor="text1"/>
                <w:szCs w:val="21"/>
              </w:rPr>
              <w:t>-</w:t>
            </w:r>
          </w:p>
        </w:tc>
        <w:tc>
          <w:tcPr>
            <w:tcW w:w="1254" w:type="dxa"/>
            <w:vAlign w:val="center"/>
          </w:tcPr>
          <w:p w:rsidR="00086900" w:rsidRDefault="00FD1A01">
            <w:pPr>
              <w:jc w:val="center"/>
            </w:pPr>
            <w:r>
              <w:rPr>
                <w:rFonts w:eastAsiaTheme="minorEastAsia"/>
                <w:color w:val="000000" w:themeColor="text1"/>
                <w:szCs w:val="21"/>
              </w:rPr>
              <w:t>16</w:t>
            </w:r>
            <w:r>
              <w:rPr>
                <w:rFonts w:eastAsiaTheme="minorEastAsia"/>
                <w:color w:val="000000" w:themeColor="text1"/>
                <w:szCs w:val="21"/>
              </w:rPr>
              <w:t>年</w:t>
            </w:r>
          </w:p>
        </w:tc>
        <w:tc>
          <w:tcPr>
            <w:tcW w:w="3276" w:type="dxa"/>
            <w:vAlign w:val="center"/>
          </w:tcPr>
          <w:p w:rsidR="00086900" w:rsidRDefault="00FD1A01">
            <w:r>
              <w:rPr>
                <w:rFonts w:eastAsiaTheme="minorEastAsia"/>
                <w:color w:val="000000" w:themeColor="text1"/>
                <w:szCs w:val="21"/>
              </w:rPr>
              <w:t>硕士研究生，</w:t>
            </w:r>
            <w:r>
              <w:rPr>
                <w:rFonts w:eastAsiaTheme="minorEastAsia"/>
                <w:color w:val="000000" w:themeColor="text1"/>
                <w:szCs w:val="21"/>
              </w:rPr>
              <w:t>16</w:t>
            </w:r>
            <w:r>
              <w:rPr>
                <w:rFonts w:eastAsiaTheme="minorEastAsia"/>
                <w:color w:val="000000" w:themeColor="text1"/>
                <w:szCs w:val="21"/>
              </w:rPr>
              <w:t>年证券基金从业经历。</w:t>
            </w:r>
            <w:r>
              <w:rPr>
                <w:rFonts w:eastAsiaTheme="minorEastAsia"/>
                <w:color w:val="000000" w:themeColor="text1"/>
                <w:szCs w:val="21"/>
              </w:rPr>
              <w:t>2001</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月至</w:t>
            </w:r>
            <w:r>
              <w:rPr>
                <w:rFonts w:eastAsiaTheme="minorEastAsia"/>
                <w:color w:val="000000" w:themeColor="text1"/>
                <w:szCs w:val="21"/>
              </w:rPr>
              <w:t>2004</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月在闽发证券有限责任公司担任研究员，从事债券研究及投资，</w:t>
            </w:r>
            <w:r>
              <w:rPr>
                <w:rFonts w:eastAsiaTheme="minorEastAsia"/>
                <w:color w:val="000000" w:themeColor="text1"/>
                <w:szCs w:val="21"/>
              </w:rPr>
              <w:t>2005</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月至</w:t>
            </w:r>
            <w:r>
              <w:rPr>
                <w:rFonts w:eastAsiaTheme="minorEastAsia"/>
                <w:color w:val="000000" w:themeColor="text1"/>
                <w:szCs w:val="21"/>
              </w:rPr>
              <w:t>2005</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月在福建儒林投资顾问有限公司任研究员，</w:t>
            </w:r>
            <w:r>
              <w:rPr>
                <w:rFonts w:eastAsiaTheme="minorEastAsia"/>
                <w:color w:val="000000" w:themeColor="text1"/>
                <w:szCs w:val="21"/>
              </w:rPr>
              <w:t>2005</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月至</w:t>
            </w:r>
            <w:r>
              <w:rPr>
                <w:rFonts w:eastAsiaTheme="minorEastAsia"/>
                <w:color w:val="000000" w:themeColor="text1"/>
                <w:szCs w:val="21"/>
              </w:rPr>
              <w:t>2009</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月在益民基金管理有限公司任基金经理，</w:t>
            </w:r>
            <w:r>
              <w:rPr>
                <w:rFonts w:eastAsiaTheme="minorEastAsia"/>
                <w:color w:val="000000" w:themeColor="text1"/>
                <w:szCs w:val="21"/>
              </w:rPr>
              <w:t>2009</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月至今任职于华安基金管理有限公司固定收益部。</w:t>
            </w:r>
            <w:r>
              <w:rPr>
                <w:rFonts w:eastAsiaTheme="minorEastAsia"/>
                <w:color w:val="000000" w:themeColor="text1"/>
                <w:szCs w:val="21"/>
              </w:rPr>
              <w:t>2010</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月起担任华安稳固收益债券型证券投资基金的基金经理。</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月起同时担任华安安心收益债券型证券投资基金的基金经理。</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月，同时担任华安日日鑫货币市场基金</w:t>
            </w:r>
            <w:r>
              <w:rPr>
                <w:rFonts w:eastAsiaTheme="minorEastAsia"/>
                <w:color w:val="000000" w:themeColor="text1"/>
                <w:szCs w:val="21"/>
              </w:rPr>
              <w:t>的基金经理。</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月起同时担任华安信用增强债券型证券投资基金的基金经理。</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月起同时担任华安保本混合型证券投资基金的基金经理。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月至</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月，同时担任华安七日鑫短期理财债券型证券投资基金的基金经理，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月起，同时担任华安年年红定期开放债券型证券投资基金的基金经理。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月起担任华安新动力灵活配置混合型证券投资基金的基金经理。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月起同时担任华安新机遇保本混合型证券投资基金的基金经理。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月起同时担任华安添颐养老混合型发起式证券投资基金的基金经理；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月起，同时担任华安安益保本混合型证券投资基金基金的基金经理；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月起，同时担任本基金的基金经理。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月，同时担任华安安康保本混合型证券投资基金的基金经理。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月，同时担任华安安禧保本混合型证券投资基金的基金经理。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月起，同时担任华安安润灵活配置混合型证券投资基金的基金经理。</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月起，同时担任华安安享灵活配置混合型证券投资基金的基金经理。</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月起，同时担任华安现金宝货币市场基金的基金经理。</w:t>
            </w:r>
          </w:p>
        </w:tc>
      </w:tr>
      <w:tr w:rsidR="00086900">
        <w:tc>
          <w:tcPr>
            <w:tcW w:w="952" w:type="dxa"/>
            <w:vAlign w:val="center"/>
          </w:tcPr>
          <w:p w:rsidR="00086900" w:rsidRDefault="00FD1A01">
            <w:pPr>
              <w:jc w:val="center"/>
            </w:pPr>
            <w:r>
              <w:rPr>
                <w:rFonts w:eastAsiaTheme="minorEastAsia"/>
                <w:color w:val="000000" w:themeColor="text1"/>
                <w:szCs w:val="21"/>
              </w:rPr>
              <w:t>贺涛</w:t>
            </w:r>
          </w:p>
        </w:tc>
        <w:tc>
          <w:tcPr>
            <w:tcW w:w="930" w:type="dxa"/>
            <w:vAlign w:val="center"/>
          </w:tcPr>
          <w:p w:rsidR="00086900" w:rsidRDefault="00FD1A01">
            <w:pPr>
              <w:jc w:val="center"/>
            </w:pPr>
            <w:r>
              <w:rPr>
                <w:rFonts w:eastAsiaTheme="minorEastAsia"/>
                <w:color w:val="000000" w:themeColor="text1"/>
                <w:szCs w:val="21"/>
              </w:rPr>
              <w:t>本基金的基金经理、固定收益部总监</w:t>
            </w:r>
          </w:p>
        </w:tc>
        <w:tc>
          <w:tcPr>
            <w:tcW w:w="1210" w:type="dxa"/>
            <w:vAlign w:val="center"/>
          </w:tcPr>
          <w:p w:rsidR="00086900" w:rsidRDefault="00FD1A01">
            <w:pPr>
              <w:jc w:val="center"/>
            </w:pPr>
            <w:r>
              <w:rPr>
                <w:rFonts w:eastAsiaTheme="minorEastAsia"/>
                <w:color w:val="000000" w:themeColor="text1"/>
                <w:szCs w:val="21"/>
              </w:rPr>
              <w:t>2015-12-30</w:t>
            </w:r>
          </w:p>
        </w:tc>
        <w:tc>
          <w:tcPr>
            <w:tcW w:w="1309" w:type="dxa"/>
            <w:vAlign w:val="center"/>
          </w:tcPr>
          <w:p w:rsidR="00086900" w:rsidRDefault="00FD1A01">
            <w:pPr>
              <w:jc w:val="center"/>
            </w:pPr>
            <w:r>
              <w:rPr>
                <w:rFonts w:eastAsiaTheme="minorEastAsia"/>
                <w:color w:val="000000" w:themeColor="text1"/>
                <w:szCs w:val="21"/>
              </w:rPr>
              <w:t>2017-07-24</w:t>
            </w:r>
          </w:p>
        </w:tc>
        <w:tc>
          <w:tcPr>
            <w:tcW w:w="1254" w:type="dxa"/>
            <w:vAlign w:val="center"/>
          </w:tcPr>
          <w:p w:rsidR="00086900" w:rsidRDefault="00FD1A01">
            <w:pPr>
              <w:jc w:val="center"/>
            </w:pPr>
            <w:r>
              <w:rPr>
                <w:rFonts w:eastAsiaTheme="minorEastAsia"/>
                <w:color w:val="000000" w:themeColor="text1"/>
                <w:szCs w:val="21"/>
              </w:rPr>
              <w:t>20</w:t>
            </w:r>
            <w:r>
              <w:rPr>
                <w:rFonts w:eastAsiaTheme="minorEastAsia"/>
                <w:color w:val="000000" w:themeColor="text1"/>
                <w:szCs w:val="21"/>
              </w:rPr>
              <w:t>年</w:t>
            </w:r>
          </w:p>
        </w:tc>
        <w:tc>
          <w:tcPr>
            <w:tcW w:w="3276" w:type="dxa"/>
            <w:vAlign w:val="center"/>
          </w:tcPr>
          <w:p w:rsidR="00086900" w:rsidRDefault="00FD1A01">
            <w:r>
              <w:rPr>
                <w:rFonts w:eastAsiaTheme="minorEastAsia"/>
                <w:color w:val="000000" w:themeColor="text1"/>
                <w:szCs w:val="21"/>
              </w:rPr>
              <w:t>金融学硕士（金融工程方向），</w:t>
            </w:r>
            <w:r>
              <w:rPr>
                <w:rFonts w:eastAsiaTheme="minorEastAsia"/>
                <w:color w:val="000000" w:themeColor="text1"/>
                <w:szCs w:val="21"/>
              </w:rPr>
              <w:t>20</w:t>
            </w:r>
            <w:r>
              <w:rPr>
                <w:rFonts w:eastAsiaTheme="minorEastAsia"/>
                <w:color w:val="000000" w:themeColor="text1"/>
                <w:szCs w:val="21"/>
              </w:rPr>
              <w:t>年证券、基金从业经历。曾任长城证券有限责任公司债券研究员，华安基金管理有限公司债券研究员、债券投资风险管理员、固定收益投资经理。</w:t>
            </w:r>
            <w:r>
              <w:rPr>
                <w:rFonts w:eastAsiaTheme="minorEastAsia"/>
                <w:color w:val="000000" w:themeColor="text1"/>
                <w:szCs w:val="21"/>
              </w:rPr>
              <w:t>2008</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月起担任华安稳定收益债券型证券投资基金的基金经理</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月起同时担任华安可转换债券债券型证券投资基金的基金经理。</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月担任华安信用增强债券型证券投资基金的基金经理。</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月起同时担任华安双债添利债券型证券投资基金的基</w:t>
            </w:r>
            <w:r>
              <w:rPr>
                <w:rFonts w:eastAsiaTheme="minorEastAsia"/>
                <w:color w:val="000000" w:themeColor="text1"/>
                <w:szCs w:val="21"/>
              </w:rPr>
              <w:t>金经理、固定收益部助理总监。</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月起担任固定收益部副总监。</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月，同时担任华安现金富利投资基金、华安月月鑫短期理财债券型证券投资基金、华安季季鑫短期理财债券型证券投资基金、华安月安鑫短期理财债券型证券投资基金的基金经理。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月，同时担任华安汇财通货币市场基金的基金经理。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月担任华安年年盈定期开放债券型证券投资基金的基金经理。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月起担任固定收益部总监。</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月担任华安新回报灵活配置混合型证券投资</w:t>
            </w:r>
            <w:r>
              <w:rPr>
                <w:rFonts w:eastAsiaTheme="minorEastAsia"/>
                <w:color w:val="000000" w:themeColor="text1"/>
                <w:szCs w:val="21"/>
              </w:rPr>
              <w:t>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月起担任华安新乐享保本混合型证券投资基金基金的基金经理；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月，同时担任本基金的基金经理。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月起，同时担任华安安华保本混合型证券投资基金的基金经理。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月起同时担任华安安进保本混合型发起式证券投资基金的基金经理。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月起，同时担任华安睿享定期开放混合型发起式证券投资基金、华安新希望灵活配置混合型证券投资基金的基金经理。</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月起，同时担任华安新活力灵活配置混合型证券投资基金的基金经理。</w:t>
            </w:r>
          </w:p>
        </w:tc>
      </w:tr>
      <w:tr w:rsidR="00086900">
        <w:tc>
          <w:tcPr>
            <w:tcW w:w="952" w:type="dxa"/>
            <w:vAlign w:val="center"/>
          </w:tcPr>
          <w:p w:rsidR="00086900" w:rsidRDefault="00FD1A01">
            <w:pPr>
              <w:jc w:val="center"/>
            </w:pPr>
            <w:r>
              <w:rPr>
                <w:rFonts w:eastAsiaTheme="minorEastAsia"/>
                <w:color w:val="000000" w:themeColor="text1"/>
                <w:szCs w:val="21"/>
              </w:rPr>
              <w:t>胡宜斌</w:t>
            </w:r>
          </w:p>
        </w:tc>
        <w:tc>
          <w:tcPr>
            <w:tcW w:w="930" w:type="dxa"/>
            <w:vAlign w:val="center"/>
          </w:tcPr>
          <w:p w:rsidR="00086900" w:rsidRDefault="00FD1A01">
            <w:pPr>
              <w:jc w:val="center"/>
            </w:pPr>
            <w:r>
              <w:rPr>
                <w:rFonts w:eastAsiaTheme="minorEastAsia"/>
                <w:color w:val="000000" w:themeColor="text1"/>
                <w:szCs w:val="21"/>
              </w:rPr>
              <w:t>本基金的基金经理</w:t>
            </w:r>
          </w:p>
        </w:tc>
        <w:tc>
          <w:tcPr>
            <w:tcW w:w="1210" w:type="dxa"/>
            <w:vAlign w:val="center"/>
          </w:tcPr>
          <w:p w:rsidR="00086900" w:rsidRDefault="00FD1A01">
            <w:pPr>
              <w:jc w:val="center"/>
            </w:pPr>
            <w:r>
              <w:rPr>
                <w:rFonts w:eastAsiaTheme="minorEastAsia"/>
                <w:color w:val="000000" w:themeColor="text1"/>
                <w:szCs w:val="21"/>
              </w:rPr>
              <w:t>201</w:t>
            </w:r>
            <w:r>
              <w:rPr>
                <w:rFonts w:eastAsiaTheme="minorEastAsia"/>
                <w:color w:val="000000" w:themeColor="text1"/>
                <w:szCs w:val="21"/>
              </w:rPr>
              <w:t>6-01-06</w:t>
            </w:r>
          </w:p>
        </w:tc>
        <w:tc>
          <w:tcPr>
            <w:tcW w:w="1309" w:type="dxa"/>
            <w:vAlign w:val="center"/>
          </w:tcPr>
          <w:p w:rsidR="00086900" w:rsidRDefault="00FD1A01">
            <w:pPr>
              <w:jc w:val="center"/>
            </w:pPr>
            <w:r>
              <w:rPr>
                <w:rFonts w:eastAsiaTheme="minorEastAsia"/>
                <w:color w:val="000000" w:themeColor="text1"/>
                <w:szCs w:val="21"/>
              </w:rPr>
              <w:t>2017-07-24</w:t>
            </w:r>
          </w:p>
        </w:tc>
        <w:tc>
          <w:tcPr>
            <w:tcW w:w="1254" w:type="dxa"/>
            <w:vAlign w:val="center"/>
          </w:tcPr>
          <w:p w:rsidR="00086900" w:rsidRDefault="00FD1A01">
            <w:pPr>
              <w:jc w:val="center"/>
            </w:pPr>
            <w:r>
              <w:rPr>
                <w:rFonts w:eastAsiaTheme="minorEastAsia"/>
                <w:color w:val="000000" w:themeColor="text1"/>
                <w:szCs w:val="21"/>
              </w:rPr>
              <w:t>6</w:t>
            </w:r>
            <w:r>
              <w:rPr>
                <w:rFonts w:eastAsiaTheme="minorEastAsia"/>
                <w:color w:val="000000" w:themeColor="text1"/>
                <w:szCs w:val="21"/>
              </w:rPr>
              <w:t>年</w:t>
            </w:r>
          </w:p>
        </w:tc>
        <w:tc>
          <w:tcPr>
            <w:tcW w:w="3276" w:type="dxa"/>
            <w:vAlign w:val="center"/>
          </w:tcPr>
          <w:p w:rsidR="00086900" w:rsidRDefault="00FD1A01">
            <w:r>
              <w:rPr>
                <w:rFonts w:eastAsiaTheme="minorEastAsia"/>
                <w:color w:val="000000" w:themeColor="text1"/>
                <w:szCs w:val="21"/>
              </w:rPr>
              <w:t>硕士研究生，</w:t>
            </w:r>
            <w:r>
              <w:rPr>
                <w:rFonts w:eastAsiaTheme="minorEastAsia"/>
                <w:color w:val="000000" w:themeColor="text1"/>
                <w:szCs w:val="21"/>
              </w:rPr>
              <w:t>6</w:t>
            </w:r>
            <w:r>
              <w:rPr>
                <w:rFonts w:eastAsiaTheme="minorEastAsia"/>
                <w:color w:val="000000" w:themeColor="text1"/>
                <w:szCs w:val="21"/>
              </w:rPr>
              <w:t>年证券、基金行业从业经验。曾任杭州核新同花顺股份有限公司产品经理、长江证券股份有限公司研究员、上投摩根基金管理有限公司研究员，</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月加入华安基金，担任基金投资部基金经理助理。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月起担任华安媒体互联网混合型证券投资基金的基金经理。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月，担任本基金的基金经理。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月起，同时担任华安睿享定期开放混合型发起式证券投资基金的基金经理。</w:t>
            </w:r>
          </w:p>
        </w:tc>
      </w:tr>
      <w:tr w:rsidR="00086900">
        <w:tc>
          <w:tcPr>
            <w:tcW w:w="952" w:type="dxa"/>
            <w:vAlign w:val="center"/>
          </w:tcPr>
          <w:p w:rsidR="00086900" w:rsidRDefault="00FD1A01">
            <w:pPr>
              <w:jc w:val="center"/>
            </w:pPr>
            <w:r>
              <w:rPr>
                <w:rFonts w:eastAsiaTheme="minorEastAsia"/>
                <w:color w:val="000000" w:themeColor="text1"/>
                <w:szCs w:val="21"/>
              </w:rPr>
              <w:t>王嘉</w:t>
            </w:r>
          </w:p>
        </w:tc>
        <w:tc>
          <w:tcPr>
            <w:tcW w:w="930" w:type="dxa"/>
            <w:vAlign w:val="center"/>
          </w:tcPr>
          <w:p w:rsidR="00086900" w:rsidRDefault="00FD1A01">
            <w:pPr>
              <w:jc w:val="center"/>
            </w:pPr>
            <w:r>
              <w:rPr>
                <w:rFonts w:eastAsiaTheme="minorEastAsia"/>
                <w:color w:val="000000" w:themeColor="text1"/>
                <w:szCs w:val="21"/>
              </w:rPr>
              <w:t>本基金的基金经理</w:t>
            </w:r>
          </w:p>
        </w:tc>
        <w:tc>
          <w:tcPr>
            <w:tcW w:w="1210" w:type="dxa"/>
            <w:vAlign w:val="center"/>
          </w:tcPr>
          <w:p w:rsidR="00086900" w:rsidRDefault="00FD1A01">
            <w:pPr>
              <w:jc w:val="center"/>
            </w:pPr>
            <w:r>
              <w:rPr>
                <w:rFonts w:eastAsiaTheme="minorEastAsia"/>
                <w:color w:val="000000" w:themeColor="text1"/>
                <w:szCs w:val="21"/>
              </w:rPr>
              <w:t>2016-02-03</w:t>
            </w:r>
          </w:p>
        </w:tc>
        <w:tc>
          <w:tcPr>
            <w:tcW w:w="1309" w:type="dxa"/>
            <w:vAlign w:val="center"/>
          </w:tcPr>
          <w:p w:rsidR="00086900" w:rsidRDefault="00FD1A01">
            <w:pPr>
              <w:jc w:val="center"/>
            </w:pPr>
            <w:r>
              <w:rPr>
                <w:rFonts w:eastAsiaTheme="minorEastAsia"/>
                <w:color w:val="000000" w:themeColor="text1"/>
                <w:szCs w:val="21"/>
              </w:rPr>
              <w:t>-</w:t>
            </w:r>
          </w:p>
        </w:tc>
        <w:tc>
          <w:tcPr>
            <w:tcW w:w="1254" w:type="dxa"/>
            <w:vAlign w:val="center"/>
          </w:tcPr>
          <w:p w:rsidR="00086900" w:rsidRDefault="00FD1A01">
            <w:pPr>
              <w:jc w:val="center"/>
            </w:pPr>
            <w:r>
              <w:rPr>
                <w:rFonts w:eastAsiaTheme="minorEastAsia"/>
                <w:color w:val="000000" w:themeColor="text1"/>
                <w:szCs w:val="21"/>
              </w:rPr>
              <w:t>14</w:t>
            </w:r>
            <w:r>
              <w:rPr>
                <w:rFonts w:eastAsiaTheme="minorEastAsia"/>
                <w:color w:val="000000" w:themeColor="text1"/>
                <w:szCs w:val="21"/>
              </w:rPr>
              <w:t>年</w:t>
            </w:r>
          </w:p>
        </w:tc>
        <w:tc>
          <w:tcPr>
            <w:tcW w:w="3276" w:type="dxa"/>
            <w:vAlign w:val="center"/>
          </w:tcPr>
          <w:p w:rsidR="00086900" w:rsidRDefault="00FD1A01">
            <w:r>
              <w:rPr>
                <w:rFonts w:eastAsiaTheme="minorEastAsia"/>
                <w:color w:val="000000" w:themeColor="text1"/>
                <w:szCs w:val="21"/>
              </w:rPr>
              <w:t>硕士，</w:t>
            </w:r>
            <w:r>
              <w:rPr>
                <w:rFonts w:eastAsiaTheme="minorEastAsia"/>
                <w:color w:val="000000" w:themeColor="text1"/>
                <w:szCs w:val="21"/>
              </w:rPr>
              <w:t>14</w:t>
            </w:r>
            <w:r>
              <w:rPr>
                <w:rFonts w:eastAsiaTheme="minorEastAsia"/>
                <w:color w:val="000000" w:themeColor="text1"/>
                <w:szCs w:val="21"/>
              </w:rPr>
              <w:t>年金融、证券行业从业经验。曾任上海市思也企业咨询有限公司研究员、上海市新理益投资管理有限公司研究员、莫尼塔投资咨询有限公司研究员、元大京华证券上海代表处研究员、兴业证券研究发展中心研究员。</w:t>
            </w:r>
            <w:r>
              <w:rPr>
                <w:rFonts w:eastAsiaTheme="minorEastAsia"/>
                <w:color w:val="000000" w:themeColor="text1"/>
                <w:szCs w:val="21"/>
              </w:rPr>
              <w:t>2010</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月加入华安基金，现任基金投资部基金经理。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月起担任华安国企改革主题灵活配置混合型证券投资基金的基金经理。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月起担任本基金、华安安康保本混合型证券投资基金的基金经理。</w:t>
            </w:r>
          </w:p>
        </w:tc>
      </w:tr>
    </w:tbl>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注：此处的任职日期和离任日期均指公司作出决定之日，即以公告日为准。证券从业的含义遵从行业协会《证券业从业人员资格管</w:t>
      </w:r>
      <w:r>
        <w:rPr>
          <w:rFonts w:eastAsiaTheme="minorEastAsia"/>
          <w:color w:val="000000" w:themeColor="text1"/>
          <w:szCs w:val="21"/>
        </w:rPr>
        <w:t>理办法》的相关规定。</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4.2</w:t>
      </w:r>
      <w:r>
        <w:rPr>
          <w:rFonts w:eastAsiaTheme="minorEastAsia" w:hint="eastAsia"/>
          <w:b/>
          <w:color w:val="000000" w:themeColor="text1"/>
          <w:kern w:val="0"/>
          <w:szCs w:val="21"/>
        </w:rPr>
        <w:t>管理人对报告期内本基金运作遵规守信情况的说明</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内，本基金管理人严格遵守《证券投资基金法》等有关法律法规及基金合同、招募说明书等有关基金法律文件的规定，本着诚实信用、勤勉尽责的原则管理和运用基金资产，在控制风险的前提下，为基金份额持有人谋求最大利益，不存在违法违规或未履行基金合同承诺的情形。</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4.3 </w:t>
      </w:r>
      <w:r>
        <w:rPr>
          <w:rFonts w:eastAsiaTheme="minorEastAsia"/>
          <w:b/>
          <w:color w:val="000000" w:themeColor="text1"/>
          <w:kern w:val="0"/>
          <w:szCs w:val="21"/>
        </w:rPr>
        <w:t>公平交易专项说明</w:t>
      </w:r>
    </w:p>
    <w:p w:rsidR="00086900" w:rsidRDefault="00FD1A01">
      <w:pPr>
        <w:spacing w:line="360" w:lineRule="auto"/>
        <w:rPr>
          <w:rFonts w:eastAsiaTheme="minorEastAsia"/>
          <w:color w:val="000000" w:themeColor="text1"/>
          <w:szCs w:val="21"/>
        </w:rPr>
      </w:pPr>
      <w:r>
        <w:rPr>
          <w:rFonts w:eastAsiaTheme="minorEastAsia"/>
          <w:color w:val="000000" w:themeColor="text1"/>
          <w:szCs w:val="21"/>
        </w:rPr>
        <w:t xml:space="preserve">4.3.1 </w:t>
      </w:r>
      <w:r>
        <w:rPr>
          <w:rFonts w:eastAsiaTheme="minorEastAsia"/>
          <w:color w:val="000000" w:themeColor="text1"/>
          <w:szCs w:val="21"/>
        </w:rPr>
        <w:t>公平交易制度的执行情况</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中国证监会《证券投资基金管理公司公平交易制度指导意见》，公司制定了《华安基金管理有限公司公平交易管理制度》，将封闭式基金、开放式基金、特定客户资产管理组合及其他投资组合资产在研究分析、投资决策、交易执行等方面全部纳入公平交易管理中。控制措施包括：在研究环节，研究员在为公司管理的各类投资组合提供研究信息、投资建议过程中，使用晨会发言、发送邮件、登录在研究报告管理系统中等方式来确保各类投资组合经理可以公平享有信息获取机会。在投资环节，公司各投资组合经理根据投资组合的风格和投资策略，制定并严格执行交易决策规则</w:t>
      </w:r>
      <w:r>
        <w:rPr>
          <w:rFonts w:eastAsiaTheme="minorEastAsia"/>
          <w:color w:val="000000" w:themeColor="text1"/>
          <w:szCs w:val="21"/>
        </w:rPr>
        <w:t>，以保证各投资组合交易决策的客观性和独立性。同时严格执行投资决策委员会、投资总监、投资组合经理等各投资决策主体授权机制，投资组合经理在授权范围内自主决策，超过投资权限的操作需要经过严格的审批程序。在交易环节，公司实行强制公平交易机制，确保各投资组合享有公平的交易执行机会。（</w:t>
      </w:r>
      <w:r>
        <w:rPr>
          <w:rFonts w:eastAsiaTheme="minorEastAsia"/>
          <w:color w:val="000000" w:themeColor="text1"/>
          <w:szCs w:val="21"/>
        </w:rPr>
        <w:t>1</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交易所二级市场业务，遵循价格优先、时间优先、比例分配、综合平衡的控制原则，实现同一时间下达指令的投资组合在交易时机上的公平性。（</w:t>
      </w:r>
      <w:r>
        <w:rPr>
          <w:rFonts w:eastAsiaTheme="minorEastAsia"/>
          <w:color w:val="000000" w:themeColor="text1"/>
          <w:szCs w:val="21"/>
        </w:rPr>
        <w:t>2</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交易所一级市场业务，投资组合经理按意愿独立进行业务申报，集中交易部以投资组合名义对外进行申报。若该</w:t>
      </w:r>
      <w:r>
        <w:rPr>
          <w:rFonts w:eastAsiaTheme="minorEastAsia"/>
          <w:color w:val="000000" w:themeColor="text1"/>
          <w:szCs w:val="21"/>
        </w:rPr>
        <w:t>业务以公司名义进行申报与中签，则按实际中签情况以价格优先、比例分配原则进行分配。若中签量过小无法合理进行比例分配，且以公司名义获得，则投资部门在合规监察员监督参与下，进行公平协商分配。（</w:t>
      </w:r>
      <w:r>
        <w:rPr>
          <w:rFonts w:eastAsiaTheme="minorEastAsia"/>
          <w:color w:val="000000" w:themeColor="text1"/>
          <w:szCs w:val="21"/>
        </w:rPr>
        <w:t>3</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银行间市场业务遵循指令时间优先原则，先到先询价的控制原则。通过内部共同的</w:t>
      </w:r>
      <w:r>
        <w:rPr>
          <w:rFonts w:eastAsiaTheme="minorEastAsia"/>
          <w:color w:val="000000" w:themeColor="text1"/>
          <w:szCs w:val="21"/>
        </w:rPr>
        <w:t>iwind</w:t>
      </w:r>
      <w:r>
        <w:rPr>
          <w:rFonts w:eastAsiaTheme="minorEastAsia"/>
          <w:color w:val="000000" w:themeColor="text1"/>
          <w:szCs w:val="21"/>
        </w:rPr>
        <w:t>群，发布询价需求和结果，做到信息公开。若是多个投资组合进行一级市场投标，则各投资组合经理须以各投资组合名义向集中交易部下达投资意向，交易员以此进行投标，以确保中签结果与投资组合投标意向一一对应。若中签量过小无法合理进行比例分配，且以公司名</w:t>
      </w:r>
      <w:r>
        <w:rPr>
          <w:rFonts w:eastAsiaTheme="minorEastAsia"/>
          <w:color w:val="000000" w:themeColor="text1"/>
          <w:szCs w:val="21"/>
        </w:rPr>
        <w:t>义获得，则投资部门在风控部门的监督参与下，进行公平协商分配。交易监控、分析与评估环节，公司风险管理部对公司旗下的各投资组合投资境内证券市场上市交易的投资品种、进行场外的非公开发行股票申购、以公司名义进行的债券一级市场申购、不同投资组合同日和临近交易日的反向交易以及可能导致不公平交易和利益输送的异常交易行为进行监控；风险管理部根据市场公认的第三方信息（如：中债登的债券估值），定期对各投资组合与交易对手之间议价交易的交易价格公允性进行审查，对不同投资组合临近交易日的同向交易的交易时机和交易价差进行分析。</w:t>
      </w:r>
      <w:r>
        <w:rPr>
          <w:rFonts w:eastAsiaTheme="minorEastAsia"/>
          <w:color w:val="000000" w:themeColor="text1"/>
          <w:szCs w:val="21"/>
        </w:rPr>
        <w:t xml:space="preserve"> </w:t>
      </w:r>
      <w:r>
        <w:rPr>
          <w:rFonts w:eastAsiaTheme="minorEastAsia"/>
          <w:color w:val="000000" w:themeColor="text1"/>
          <w:szCs w:val="21"/>
        </w:rPr>
        <w:t>本报告</w:t>
      </w:r>
      <w:r>
        <w:rPr>
          <w:rFonts w:eastAsiaTheme="minorEastAsia"/>
          <w:color w:val="000000" w:themeColor="text1"/>
          <w:szCs w:val="21"/>
        </w:rPr>
        <w:t>期内，公司公平交易制度总体执行情况良好。</w:t>
      </w:r>
    </w:p>
    <w:p w:rsidR="00086900" w:rsidRDefault="00FD1A01">
      <w:pPr>
        <w:spacing w:line="360" w:lineRule="auto"/>
        <w:rPr>
          <w:rFonts w:eastAsiaTheme="minorEastAsia"/>
          <w:color w:val="000000" w:themeColor="text1"/>
          <w:szCs w:val="21"/>
        </w:rPr>
      </w:pPr>
      <w:r>
        <w:rPr>
          <w:rFonts w:eastAsiaTheme="minorEastAsia"/>
          <w:color w:val="000000" w:themeColor="text1"/>
          <w:szCs w:val="21"/>
        </w:rPr>
        <w:t xml:space="preserve">4.3.2 </w:t>
      </w:r>
      <w:r>
        <w:rPr>
          <w:rFonts w:eastAsiaTheme="minorEastAsia"/>
          <w:color w:val="000000" w:themeColor="text1"/>
          <w:szCs w:val="21"/>
        </w:rPr>
        <w:t>异常交易行为的专项说明</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中国证监会《证券投资基金管理公司公平交易制度指导意见》，公司合规监察稽核部会同基金投资、交易部门讨论制定了公募基金、专户针对股票、债券、回购等投资品种在交易所及银行间的同日反向交易控制规则，并在投资系统中进行了设置，实现了完全的系统控制。同时加强了对基金、专户间的同日反向交易的监控与隔日反向交易的检查；风险管理部开发了同向交易分析系统，对相关同向交易指标进行持续监控，并定期对组合间的同向交易行为进行了重点分析。本报告期内，除指</w:t>
      </w:r>
      <w:r>
        <w:rPr>
          <w:rFonts w:eastAsiaTheme="minorEastAsia"/>
          <w:color w:val="000000" w:themeColor="text1"/>
          <w:szCs w:val="21"/>
        </w:rPr>
        <w:t>数基金以外的所有投资组合参与的交易所公开竞价交易中，出现同日反向交易成交较少的单边交易量超过该证券当日成交量的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的次数为</w:t>
      </w:r>
      <w:r>
        <w:rPr>
          <w:rFonts w:eastAsiaTheme="minorEastAsia"/>
          <w:color w:val="000000" w:themeColor="text1"/>
          <w:szCs w:val="21"/>
        </w:rPr>
        <w:t>0</w:t>
      </w:r>
      <w:r>
        <w:rPr>
          <w:rFonts w:eastAsiaTheme="minorEastAsia"/>
          <w:color w:val="000000" w:themeColor="text1"/>
          <w:szCs w:val="21"/>
        </w:rPr>
        <w:t>次，未出现异常交易。</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4.4 </w:t>
      </w:r>
      <w:r>
        <w:rPr>
          <w:rFonts w:eastAsiaTheme="minorEastAsia"/>
          <w:b/>
          <w:color w:val="000000" w:themeColor="text1"/>
          <w:kern w:val="0"/>
          <w:szCs w:val="21"/>
        </w:rPr>
        <w:t>报告期内基金的投资策略和业绩表现说明</w:t>
      </w:r>
    </w:p>
    <w:p w:rsidR="00086900" w:rsidRDefault="00FD1A01">
      <w:pPr>
        <w:spacing w:line="360" w:lineRule="auto"/>
        <w:rPr>
          <w:rFonts w:eastAsiaTheme="minorEastAsia"/>
          <w:color w:val="000000" w:themeColor="text1"/>
          <w:szCs w:val="21"/>
        </w:rPr>
      </w:pPr>
      <w:r>
        <w:rPr>
          <w:rFonts w:eastAsiaTheme="minorEastAsia"/>
          <w:color w:val="000000" w:themeColor="text1"/>
          <w:szCs w:val="21"/>
        </w:rPr>
        <w:t>4.4.1</w:t>
      </w:r>
      <w:r>
        <w:rPr>
          <w:rFonts w:eastAsiaTheme="minorEastAsia"/>
          <w:color w:val="000000" w:themeColor="text1"/>
          <w:szCs w:val="21"/>
        </w:rPr>
        <w:t>报告期内基金投资策略和运作分析</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2017</w:t>
      </w:r>
      <w:r>
        <w:rPr>
          <w:rFonts w:eastAsiaTheme="minorEastAsia"/>
          <w:color w:val="000000" w:themeColor="text1"/>
          <w:szCs w:val="21"/>
        </w:rPr>
        <w:t>年四季度海外经济持续向好，国内固定资产投资增速缓步下滑，消费增速较为平稳，经济结构和质量进一步改善，而货币政策仍然保持稳健中性。受基本面和监管的影响，债券收益率在四季度出现大幅上行。权益和转债市场在四季度出现冲高回落的走势，个股之间差异较大，各个板块的龙头股表现优异。</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本基金本基金在债券投资上保持高等级低久期</w:t>
      </w:r>
      <w:r>
        <w:rPr>
          <w:rFonts w:eastAsiaTheme="minorEastAsia"/>
          <w:color w:val="000000" w:themeColor="text1"/>
          <w:szCs w:val="21"/>
        </w:rPr>
        <w:t>,</w:t>
      </w:r>
      <w:r>
        <w:rPr>
          <w:rFonts w:eastAsiaTheme="minorEastAsia"/>
          <w:color w:val="000000" w:themeColor="text1"/>
          <w:szCs w:val="21"/>
        </w:rPr>
        <w:t>在权益方面维持自下而上的配置</w:t>
      </w:r>
      <w:r>
        <w:rPr>
          <w:rFonts w:eastAsiaTheme="minorEastAsia"/>
          <w:color w:val="000000" w:themeColor="text1"/>
          <w:szCs w:val="21"/>
        </w:rPr>
        <w:t xml:space="preserve">, </w:t>
      </w:r>
      <w:r>
        <w:rPr>
          <w:rFonts w:eastAsiaTheme="minorEastAsia"/>
          <w:color w:val="000000" w:themeColor="text1"/>
          <w:szCs w:val="21"/>
        </w:rPr>
        <w:t>个股配置上主要集中于有估值支持的价值型股票。</w:t>
      </w:r>
    </w:p>
    <w:p w:rsidR="00086900" w:rsidRDefault="00FD1A01">
      <w:pPr>
        <w:spacing w:line="360" w:lineRule="auto"/>
        <w:rPr>
          <w:rFonts w:eastAsiaTheme="minorEastAsia"/>
          <w:color w:val="000000" w:themeColor="text1"/>
          <w:szCs w:val="21"/>
        </w:rPr>
      </w:pPr>
      <w:r>
        <w:rPr>
          <w:rFonts w:eastAsiaTheme="minorEastAsia"/>
          <w:color w:val="000000" w:themeColor="text1"/>
          <w:szCs w:val="21"/>
        </w:rPr>
        <w:t>4.4.2</w:t>
      </w:r>
      <w:r>
        <w:rPr>
          <w:rFonts w:eastAsiaTheme="minorEastAsia"/>
          <w:color w:val="000000" w:themeColor="text1"/>
          <w:szCs w:val="21"/>
        </w:rPr>
        <w:t>报告期内基金的业绩表现</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截至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日，华安乐惠保本混合</w:t>
      </w:r>
      <w:r>
        <w:rPr>
          <w:rFonts w:eastAsiaTheme="minorEastAsia"/>
          <w:color w:val="000000" w:themeColor="text1"/>
          <w:szCs w:val="21"/>
        </w:rPr>
        <w:t>A</w:t>
      </w:r>
      <w:r>
        <w:rPr>
          <w:rFonts w:eastAsiaTheme="minorEastAsia"/>
          <w:color w:val="000000" w:themeColor="text1"/>
          <w:szCs w:val="21"/>
        </w:rPr>
        <w:t>份额净值为</w:t>
      </w:r>
      <w:r>
        <w:rPr>
          <w:rFonts w:eastAsiaTheme="minorEastAsia"/>
          <w:color w:val="000000" w:themeColor="text1"/>
          <w:szCs w:val="21"/>
        </w:rPr>
        <w:t>1.0478</w:t>
      </w:r>
      <w:r>
        <w:rPr>
          <w:rFonts w:eastAsiaTheme="minorEastAsia"/>
          <w:color w:val="000000" w:themeColor="text1"/>
          <w:szCs w:val="21"/>
        </w:rPr>
        <w:t>元，</w:t>
      </w:r>
      <w:r>
        <w:rPr>
          <w:rFonts w:eastAsiaTheme="minorEastAsia"/>
          <w:color w:val="000000" w:themeColor="text1"/>
          <w:szCs w:val="21"/>
        </w:rPr>
        <w:t>C</w:t>
      </w:r>
      <w:r>
        <w:rPr>
          <w:rFonts w:eastAsiaTheme="minorEastAsia"/>
          <w:color w:val="000000" w:themeColor="text1"/>
          <w:szCs w:val="21"/>
        </w:rPr>
        <w:t>份额净值为</w:t>
      </w:r>
      <w:r>
        <w:rPr>
          <w:rFonts w:eastAsiaTheme="minorEastAsia"/>
          <w:color w:val="000000" w:themeColor="text1"/>
          <w:szCs w:val="21"/>
        </w:rPr>
        <w:t>1.0416</w:t>
      </w:r>
      <w:r>
        <w:rPr>
          <w:rFonts w:eastAsiaTheme="minorEastAsia"/>
          <w:color w:val="000000" w:themeColor="text1"/>
          <w:szCs w:val="21"/>
        </w:rPr>
        <w:t>元；华安乐惠保本混合</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0.56%</w:t>
      </w:r>
      <w:r>
        <w:rPr>
          <w:rFonts w:eastAsiaTheme="minorEastAsia"/>
          <w:color w:val="000000" w:themeColor="text1"/>
          <w:szCs w:val="21"/>
        </w:rPr>
        <w:t>，</w:t>
      </w:r>
      <w:r>
        <w:rPr>
          <w:rFonts w:eastAsiaTheme="minorEastAsia"/>
          <w:color w:val="000000" w:themeColor="text1"/>
          <w:szCs w:val="21"/>
        </w:rPr>
        <w:t>C</w:t>
      </w:r>
      <w:r>
        <w:rPr>
          <w:rFonts w:eastAsiaTheme="minorEastAsia"/>
          <w:color w:val="000000" w:themeColor="text1"/>
          <w:szCs w:val="21"/>
        </w:rPr>
        <w:t>份额净值增长率为</w:t>
      </w:r>
      <w:r>
        <w:rPr>
          <w:rFonts w:eastAsiaTheme="minorEastAsia"/>
          <w:color w:val="000000" w:themeColor="text1"/>
          <w:szCs w:val="21"/>
        </w:rPr>
        <w:t>0.44%</w:t>
      </w:r>
      <w:r>
        <w:rPr>
          <w:rFonts w:eastAsiaTheme="minorEastAsia"/>
          <w:color w:val="000000" w:themeColor="text1"/>
          <w:szCs w:val="21"/>
        </w:rPr>
        <w:t>，同期业绩比较基准增长率为</w:t>
      </w:r>
      <w:r>
        <w:rPr>
          <w:rFonts w:eastAsiaTheme="minorEastAsia"/>
          <w:color w:val="000000" w:themeColor="text1"/>
          <w:szCs w:val="21"/>
        </w:rPr>
        <w:t>0.53%</w:t>
      </w:r>
      <w:r>
        <w:rPr>
          <w:rFonts w:eastAsiaTheme="minorEastAsia"/>
          <w:color w:val="000000" w:themeColor="text1"/>
          <w:szCs w:val="21"/>
        </w:rPr>
        <w:t>。</w:t>
      </w:r>
    </w:p>
    <w:p w:rsidR="00086900" w:rsidRDefault="00086900">
      <w:pPr>
        <w:spacing w:line="360" w:lineRule="auto"/>
        <w:ind w:firstLineChars="200" w:firstLine="420"/>
        <w:rPr>
          <w:rFonts w:eastAsiaTheme="minorEastAsia"/>
          <w:color w:val="000000" w:themeColor="text1"/>
          <w:szCs w:val="21"/>
        </w:rPr>
      </w:pPr>
    </w:p>
    <w:p w:rsidR="00086900" w:rsidRDefault="00FD1A01">
      <w:pPr>
        <w:autoSpaceDE w:val="0"/>
        <w:autoSpaceDN w:val="0"/>
        <w:adjustRightInd w:val="0"/>
        <w:spacing w:line="360" w:lineRule="auto"/>
        <w:jc w:val="left"/>
        <w:rPr>
          <w:rFonts w:eastAsiaTheme="minorEastAsia"/>
          <w:b/>
          <w:color w:val="000000" w:themeColor="text1"/>
          <w:kern w:val="0"/>
          <w:szCs w:val="21"/>
        </w:rPr>
      </w:pPr>
      <w:bookmarkStart w:id="0" w:name="_Toc245193825"/>
      <w:bookmarkStart w:id="1" w:name="_Toc255486598"/>
      <w:r>
        <w:rPr>
          <w:rFonts w:eastAsiaTheme="minorEastAsia"/>
          <w:b/>
          <w:color w:val="000000" w:themeColor="text1"/>
          <w:kern w:val="0"/>
          <w:szCs w:val="21"/>
        </w:rPr>
        <w:t>4</w:t>
      </w:r>
      <w:r>
        <w:rPr>
          <w:rFonts w:eastAsiaTheme="minorEastAsia" w:hint="eastAsia"/>
          <w:b/>
          <w:color w:val="000000" w:themeColor="text1"/>
          <w:kern w:val="0"/>
          <w:szCs w:val="21"/>
        </w:rPr>
        <w:t>.5</w:t>
      </w:r>
      <w:r>
        <w:rPr>
          <w:rFonts w:eastAsiaTheme="minorEastAsia"/>
          <w:b/>
          <w:color w:val="000000" w:themeColor="text1"/>
          <w:kern w:val="0"/>
          <w:szCs w:val="21"/>
        </w:rPr>
        <w:t>管理人对宏观经济、证券市场及行业走势的简要展望</w:t>
      </w:r>
      <w:bookmarkEnd w:id="0"/>
      <w:bookmarkEnd w:id="1"/>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w:t>
      </w:r>
      <w:r>
        <w:rPr>
          <w:rFonts w:eastAsiaTheme="minorEastAsia"/>
          <w:color w:val="000000" w:themeColor="text1"/>
          <w:szCs w:val="21"/>
        </w:rPr>
        <w:t>2018</w:t>
      </w:r>
      <w:r>
        <w:rPr>
          <w:rFonts w:eastAsiaTheme="minorEastAsia"/>
          <w:color w:val="000000" w:themeColor="text1"/>
          <w:szCs w:val="21"/>
        </w:rPr>
        <w:t>年一季度，海外经济仍然处于上行通道中，各国央行货币政策将进一步退出宽松阶段，</w:t>
      </w:r>
      <w:r>
        <w:rPr>
          <w:rFonts w:eastAsiaTheme="minorEastAsia"/>
          <w:color w:val="000000" w:themeColor="text1"/>
          <w:szCs w:val="21"/>
        </w:rPr>
        <w:t>随着通胀逐步向目标位置靠拢，海外债市收益率有望进一步上行。国内经济方面我们预计将延续增速回落和质量提升的格局，货币政策难以看到放松的迹象。此外，监管仍是金融市场的主题，尤其针对资管行业。信用利差有扩大的风险。权益市场部分龙头蓝筹股进入</w:t>
      </w:r>
      <w:r>
        <w:rPr>
          <w:rFonts w:eastAsiaTheme="minorEastAsia"/>
          <w:color w:val="000000" w:themeColor="text1"/>
          <w:szCs w:val="21"/>
        </w:rPr>
        <w:t>2018</w:t>
      </w:r>
      <w:r>
        <w:rPr>
          <w:rFonts w:eastAsiaTheme="minorEastAsia"/>
          <w:color w:val="000000" w:themeColor="text1"/>
          <w:szCs w:val="21"/>
        </w:rPr>
        <w:t>年完成估值切换后具备配置价值，转债市场虽然会受到一级市场的供给压力，但部分成长股和优质蓝筹正股仍然会有不俗的表现，推动转债价格上行。</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本基金操作仍将以配置短久期信用债为主，保持适度杠杆水平，并自下而上的参与转债市场和股票市场，并参与网下新股申购，以增厚组合业绩。</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w:t>
      </w:r>
      <w:r>
        <w:rPr>
          <w:rFonts w:eastAsiaTheme="minorEastAsia"/>
          <w:color w:val="000000" w:themeColor="text1"/>
          <w:szCs w:val="21"/>
        </w:rPr>
        <w:t>将秉承稳健、专业的投资理念，勤勉尽责地维护持有人的利益。</w:t>
      </w:r>
    </w:p>
    <w:p w:rsidR="00086900" w:rsidRDefault="00086900">
      <w:pPr>
        <w:spacing w:line="360" w:lineRule="auto"/>
        <w:ind w:firstLineChars="200" w:firstLine="420"/>
        <w:rPr>
          <w:rFonts w:eastAsiaTheme="minorEastAsia"/>
          <w:color w:val="000000" w:themeColor="text1"/>
          <w:szCs w:val="21"/>
        </w:rPr>
      </w:pPr>
    </w:p>
    <w:p w:rsidR="00086900" w:rsidRDefault="00FD1A01">
      <w:pPr>
        <w:spacing w:line="360" w:lineRule="auto"/>
        <w:rPr>
          <w:rFonts w:eastAsiaTheme="minorEastAsia"/>
          <w:color w:val="000000" w:themeColor="text1"/>
          <w:szCs w:val="21"/>
        </w:rPr>
      </w:pPr>
      <w:r>
        <w:rPr>
          <w:rFonts w:eastAsiaTheme="minorEastAsia"/>
          <w:b/>
          <w:color w:val="000000" w:themeColor="text1"/>
          <w:kern w:val="0"/>
          <w:szCs w:val="21"/>
        </w:rPr>
        <w:t>4</w:t>
      </w:r>
      <w:r>
        <w:rPr>
          <w:rFonts w:eastAsiaTheme="minorEastAsia" w:hint="eastAsia"/>
          <w:b/>
          <w:color w:val="000000" w:themeColor="text1"/>
          <w:kern w:val="0"/>
          <w:szCs w:val="21"/>
        </w:rPr>
        <w:t>.6</w:t>
      </w:r>
      <w:r>
        <w:rPr>
          <w:rFonts w:asciiTheme="minorEastAsia" w:eastAsiaTheme="minorEastAsia" w:hAnsiTheme="minorEastAsia" w:hint="eastAsia"/>
          <w:b/>
          <w:color w:val="000000" w:themeColor="text1"/>
          <w:kern w:val="0"/>
          <w:szCs w:val="21"/>
        </w:rPr>
        <w:t>报告期内基金持有人数或基金资产净值预警说明</w:t>
      </w:r>
    </w:p>
    <w:p w:rsidR="00086900" w:rsidRDefault="00FD1A01">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本基金报告期内不存在基金持有人数低于</w:t>
      </w:r>
      <w:r>
        <w:rPr>
          <w:rFonts w:eastAsiaTheme="minorEastAsia"/>
          <w:color w:val="000000" w:themeColor="text1"/>
          <w:kern w:val="0"/>
          <w:szCs w:val="21"/>
        </w:rPr>
        <w:t>200</w:t>
      </w:r>
      <w:r>
        <w:rPr>
          <w:rFonts w:eastAsiaTheme="minorEastAsia"/>
          <w:color w:val="000000" w:themeColor="text1"/>
          <w:kern w:val="0"/>
          <w:szCs w:val="21"/>
        </w:rPr>
        <w:t>人或基金资产净值低于</w:t>
      </w:r>
      <w:r>
        <w:rPr>
          <w:rFonts w:eastAsiaTheme="minorEastAsia"/>
          <w:color w:val="000000" w:themeColor="text1"/>
          <w:kern w:val="0"/>
          <w:szCs w:val="21"/>
        </w:rPr>
        <w:t>5000</w:t>
      </w:r>
      <w:r>
        <w:rPr>
          <w:rFonts w:eastAsiaTheme="minorEastAsia"/>
          <w:color w:val="000000" w:themeColor="text1"/>
          <w:kern w:val="0"/>
          <w:szCs w:val="21"/>
        </w:rPr>
        <w:t>万元的情形。</w:t>
      </w:r>
    </w:p>
    <w:p w:rsidR="00086900" w:rsidRDefault="00086900">
      <w:pPr>
        <w:spacing w:line="360" w:lineRule="auto"/>
        <w:ind w:firstLineChars="200" w:firstLine="420"/>
        <w:rPr>
          <w:rFonts w:asciiTheme="minorEastAsia" w:eastAsiaTheme="minorEastAsia" w:hAnsiTheme="minorEastAsia"/>
          <w:color w:val="000000" w:themeColor="text1"/>
          <w:szCs w:val="21"/>
        </w:rPr>
      </w:pPr>
    </w:p>
    <w:p w:rsidR="00086900" w:rsidRDefault="00FD1A01" w:rsidP="00FD1A01">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§5  </w:t>
      </w:r>
      <w:r>
        <w:rPr>
          <w:rFonts w:eastAsiaTheme="minorEastAsia"/>
          <w:color w:val="000000" w:themeColor="text1"/>
          <w:kern w:val="0"/>
          <w:sz w:val="21"/>
          <w:szCs w:val="21"/>
        </w:rPr>
        <w:t>投资组合报告</w:t>
      </w:r>
    </w:p>
    <w:p w:rsidR="00086900" w:rsidRDefault="00FD1A0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5.1 </w:t>
      </w:r>
      <w:r>
        <w:rPr>
          <w:rFonts w:eastAsiaTheme="minorEastAsia"/>
          <w:b/>
          <w:color w:val="000000" w:themeColor="text1"/>
          <w:kern w:val="0"/>
          <w:szCs w:val="21"/>
        </w:rPr>
        <w:t>报告期末基金资产组合情况</w:t>
      </w:r>
    </w:p>
    <w:tbl>
      <w:tblPr>
        <w:tblStyle w:val="af6"/>
        <w:tblW w:w="8897" w:type="dxa"/>
        <w:tblInd w:w="108" w:type="dxa"/>
        <w:tblLayout w:type="fixed"/>
        <w:tblLook w:val="04A0"/>
      </w:tblPr>
      <w:tblGrid>
        <w:gridCol w:w="720"/>
        <w:gridCol w:w="3357"/>
        <w:gridCol w:w="2977"/>
        <w:gridCol w:w="1843"/>
      </w:tblGrid>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357"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项目</w:t>
            </w:r>
          </w:p>
        </w:tc>
        <w:tc>
          <w:tcPr>
            <w:tcW w:w="2977"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金额</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843"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p>
        </w:tc>
      </w:tr>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权益投资</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22,538,773.52</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0.60</w:t>
            </w:r>
          </w:p>
        </w:tc>
      </w:tr>
      <w:tr w:rsidR="00086900">
        <w:tc>
          <w:tcPr>
            <w:tcW w:w="720" w:type="dxa"/>
            <w:vAlign w:val="center"/>
          </w:tcPr>
          <w:p w:rsidR="00086900" w:rsidRDefault="00086900">
            <w:pPr>
              <w:spacing w:before="29" w:line="360" w:lineRule="auto"/>
              <w:ind w:left="17"/>
              <w:jc w:val="center"/>
              <w:rPr>
                <w:rFonts w:eastAsiaTheme="minorEastAsia"/>
                <w:color w:val="000000" w:themeColor="text1"/>
                <w:szCs w:val="21"/>
              </w:rPr>
            </w:pP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其中：股票</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22,538,773.52</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0.60</w:t>
            </w:r>
          </w:p>
        </w:tc>
      </w:tr>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固定收益投资</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720" w:type="dxa"/>
            <w:vAlign w:val="center"/>
          </w:tcPr>
          <w:p w:rsidR="00086900" w:rsidRDefault="00086900">
            <w:pPr>
              <w:spacing w:before="29" w:line="360" w:lineRule="auto"/>
              <w:ind w:left="17"/>
              <w:jc w:val="center"/>
              <w:rPr>
                <w:rFonts w:eastAsiaTheme="minorEastAsia"/>
                <w:color w:val="000000" w:themeColor="text1"/>
                <w:szCs w:val="21"/>
              </w:rPr>
            </w:pP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其中：债券</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720" w:type="dxa"/>
            <w:vAlign w:val="center"/>
          </w:tcPr>
          <w:p w:rsidR="00086900" w:rsidRDefault="00086900">
            <w:pPr>
              <w:spacing w:before="29" w:line="360" w:lineRule="auto"/>
              <w:ind w:left="17"/>
              <w:jc w:val="center"/>
              <w:rPr>
                <w:rFonts w:eastAsiaTheme="minorEastAsia"/>
                <w:color w:val="000000" w:themeColor="text1"/>
                <w:szCs w:val="21"/>
              </w:rPr>
            </w:pPr>
          </w:p>
        </w:tc>
        <w:tc>
          <w:tcPr>
            <w:tcW w:w="3357" w:type="dxa"/>
            <w:vAlign w:val="center"/>
          </w:tcPr>
          <w:p w:rsidR="00086900" w:rsidRDefault="00FD1A01">
            <w:pPr>
              <w:autoSpaceDE w:val="0"/>
              <w:autoSpaceDN w:val="0"/>
              <w:adjustRightInd w:val="0"/>
              <w:spacing w:before="29" w:line="360" w:lineRule="auto"/>
              <w:ind w:left="17" w:firstLineChars="300" w:firstLine="630"/>
              <w:jc w:val="left"/>
              <w:rPr>
                <w:rFonts w:eastAsiaTheme="minorEastAsia"/>
                <w:color w:val="000000" w:themeColor="text1"/>
                <w:szCs w:val="21"/>
              </w:rPr>
            </w:pPr>
            <w:r>
              <w:rPr>
                <w:rFonts w:eastAsiaTheme="minorEastAsia"/>
                <w:color w:val="000000" w:themeColor="text1"/>
                <w:szCs w:val="21"/>
              </w:rPr>
              <w:t>资产支持证券</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720" w:type="dxa"/>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357" w:type="dxa"/>
          </w:tcPr>
          <w:p w:rsidR="00086900" w:rsidRDefault="00FD1A01">
            <w:pPr>
              <w:spacing w:before="29" w:line="360"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金融衍生品投资</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买入返售金融资产</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1,489,972,594.96</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39.82</w:t>
            </w:r>
          </w:p>
        </w:tc>
      </w:tr>
      <w:tr w:rsidR="00086900">
        <w:tc>
          <w:tcPr>
            <w:tcW w:w="720" w:type="dxa"/>
            <w:vAlign w:val="center"/>
          </w:tcPr>
          <w:p w:rsidR="00086900" w:rsidRDefault="00086900">
            <w:pPr>
              <w:spacing w:before="29" w:line="360" w:lineRule="auto"/>
              <w:ind w:left="17"/>
              <w:jc w:val="center"/>
              <w:rPr>
                <w:rFonts w:eastAsiaTheme="minorEastAsia"/>
                <w:color w:val="000000" w:themeColor="text1"/>
                <w:szCs w:val="21"/>
              </w:rPr>
            </w:pP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其中：买断式回购的买入返售金融资产</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357" w:type="dxa"/>
            <w:vAlign w:val="center"/>
          </w:tcPr>
          <w:p w:rsidR="00086900" w:rsidRDefault="00FD1A01">
            <w:pPr>
              <w:spacing w:before="29" w:line="360" w:lineRule="auto"/>
              <w:ind w:left="17"/>
              <w:jc w:val="left"/>
              <w:rPr>
                <w:rFonts w:eastAsiaTheme="minorEastAsia"/>
                <w:color w:val="000000" w:themeColor="text1"/>
                <w:szCs w:val="21"/>
              </w:rPr>
            </w:pPr>
            <w:r>
              <w:rPr>
                <w:rFonts w:eastAsiaTheme="minorEastAsia"/>
                <w:color w:val="000000" w:themeColor="text1"/>
                <w:szCs w:val="21"/>
              </w:rPr>
              <w:t>银行存款和结算备付金合计</w:t>
            </w:r>
          </w:p>
        </w:tc>
        <w:tc>
          <w:tcPr>
            <w:tcW w:w="2977"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2,227,805,059.53</w:t>
            </w:r>
          </w:p>
        </w:tc>
        <w:tc>
          <w:tcPr>
            <w:tcW w:w="1843" w:type="dxa"/>
            <w:vAlign w:val="center"/>
          </w:tcPr>
          <w:p w:rsidR="00086900" w:rsidRDefault="00FD1A01">
            <w:pPr>
              <w:spacing w:before="29" w:line="360" w:lineRule="auto"/>
              <w:ind w:left="17"/>
              <w:jc w:val="right"/>
              <w:rPr>
                <w:rFonts w:eastAsiaTheme="minorEastAsia"/>
                <w:color w:val="000000" w:themeColor="text1"/>
                <w:szCs w:val="21"/>
              </w:rPr>
            </w:pPr>
            <w:r>
              <w:rPr>
                <w:rFonts w:eastAsiaTheme="minorEastAsia"/>
                <w:color w:val="000000" w:themeColor="text1"/>
                <w:szCs w:val="21"/>
              </w:rPr>
              <w:t>59.54</w:t>
            </w:r>
          </w:p>
        </w:tc>
      </w:tr>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357" w:type="dxa"/>
            <w:vAlign w:val="center"/>
          </w:tcPr>
          <w:p w:rsidR="00086900" w:rsidRDefault="00FD1A01">
            <w:pPr>
              <w:rPr>
                <w:rFonts w:eastAsiaTheme="minorEastAsia"/>
                <w:color w:val="000000" w:themeColor="text1"/>
                <w:szCs w:val="21"/>
              </w:rPr>
            </w:pPr>
            <w:r>
              <w:rPr>
                <w:rFonts w:eastAsiaTheme="minorEastAsia"/>
                <w:color w:val="000000" w:themeColor="text1"/>
                <w:szCs w:val="21"/>
              </w:rPr>
              <w:t>其他各项资产</w:t>
            </w:r>
          </w:p>
        </w:tc>
        <w:tc>
          <w:tcPr>
            <w:tcW w:w="2977" w:type="dxa"/>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1,234,387.56</w:t>
            </w:r>
          </w:p>
        </w:tc>
        <w:tc>
          <w:tcPr>
            <w:tcW w:w="1843" w:type="dxa"/>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0.03</w:t>
            </w:r>
          </w:p>
        </w:tc>
      </w:tr>
      <w:tr w:rsidR="00086900">
        <w:tc>
          <w:tcPr>
            <w:tcW w:w="720"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8</w:t>
            </w:r>
          </w:p>
        </w:tc>
        <w:tc>
          <w:tcPr>
            <w:tcW w:w="3357" w:type="dxa"/>
            <w:vAlign w:val="center"/>
          </w:tcPr>
          <w:p w:rsidR="00086900" w:rsidRDefault="00FD1A01">
            <w:pPr>
              <w:rPr>
                <w:rFonts w:eastAsiaTheme="minorEastAsia"/>
                <w:color w:val="000000" w:themeColor="text1"/>
                <w:szCs w:val="21"/>
              </w:rPr>
            </w:pPr>
            <w:r>
              <w:rPr>
                <w:rFonts w:eastAsiaTheme="minorEastAsia"/>
                <w:color w:val="000000" w:themeColor="text1"/>
                <w:szCs w:val="21"/>
              </w:rPr>
              <w:t>合计</w:t>
            </w:r>
          </w:p>
        </w:tc>
        <w:tc>
          <w:tcPr>
            <w:tcW w:w="2977" w:type="dxa"/>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3,741,550,815.57</w:t>
            </w:r>
          </w:p>
        </w:tc>
        <w:tc>
          <w:tcPr>
            <w:tcW w:w="1843" w:type="dxa"/>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100.00</w:t>
            </w:r>
          </w:p>
        </w:tc>
      </w:tr>
    </w:tbl>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5.2 </w:t>
      </w:r>
      <w:r>
        <w:rPr>
          <w:rFonts w:eastAsiaTheme="minorEastAsia"/>
          <w:b/>
          <w:color w:val="000000" w:themeColor="text1"/>
          <w:kern w:val="0"/>
          <w:szCs w:val="21"/>
        </w:rPr>
        <w:t>报告期末按行业分类的股票投资组合</w:t>
      </w:r>
    </w:p>
    <w:p w:rsidR="00086900" w:rsidRDefault="00FD1A01">
      <w:pPr>
        <w:rPr>
          <w:b/>
        </w:rPr>
      </w:pPr>
      <w:r>
        <w:rPr>
          <w:rFonts w:eastAsiaTheme="minorEastAsia" w:hint="eastAsia"/>
          <w:b/>
          <w:color w:val="000000" w:themeColor="text1"/>
          <w:kern w:val="0"/>
          <w:szCs w:val="21"/>
        </w:rPr>
        <w:t>5.2.1</w:t>
      </w:r>
      <w:r>
        <w:rPr>
          <w:rFonts w:eastAsiaTheme="minorEastAsia" w:hint="eastAsia"/>
          <w:b/>
          <w:color w:val="000000" w:themeColor="text1"/>
          <w:kern w:val="0"/>
          <w:szCs w:val="21"/>
        </w:rPr>
        <w:t>报告期末按行业分类的境内股票投资组合</w:t>
      </w:r>
    </w:p>
    <w:tbl>
      <w:tblPr>
        <w:tblW w:w="87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0"/>
        <w:gridCol w:w="3691"/>
        <w:gridCol w:w="2852"/>
        <w:gridCol w:w="1648"/>
      </w:tblGrid>
      <w:tr w:rsidR="00086900">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占基金资产净值比例（％）</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p w:rsidR="00086900" w:rsidRDefault="00086900">
            <w:pPr>
              <w:jc w:val="right"/>
              <w:rPr>
                <w:rFonts w:eastAsiaTheme="minorEastAsia"/>
                <w:color w:val="000000" w:themeColor="text1"/>
                <w:szCs w:val="21"/>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p w:rsidR="00086900" w:rsidRDefault="00086900">
            <w:pPr>
              <w:jc w:val="right"/>
              <w:rPr>
                <w:rFonts w:eastAsiaTheme="minorEastAsia"/>
                <w:color w:val="000000" w:themeColor="text1"/>
                <w:szCs w:val="21"/>
              </w:rPr>
            </w:pP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22,538,773.52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0.60</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adjustRightInd w:val="0"/>
              <w:snapToGrid w:val="0"/>
              <w:spacing w:line="400" w:lineRule="exact"/>
              <w:jc w:val="center"/>
              <w:rPr>
                <w:rFonts w:eastAsiaTheme="minorEastAsia"/>
                <w:color w:val="000000" w:themeColor="text1"/>
                <w:szCs w:val="21"/>
              </w:rPr>
            </w:pPr>
            <w:r>
              <w:rPr>
                <w:rFonts w:eastAsiaTheme="minorEastAsia"/>
                <w:color w:val="000000" w:themeColor="text1"/>
                <w:szCs w:val="21"/>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w:t>
            </w:r>
          </w:p>
        </w:tc>
      </w:tr>
      <w:tr w:rsidR="00086900">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086900">
            <w:pPr>
              <w:adjustRightInd w:val="0"/>
              <w:snapToGrid w:val="0"/>
              <w:spacing w:line="400" w:lineRule="exact"/>
              <w:jc w:val="center"/>
              <w:rPr>
                <w:rFonts w:eastAsiaTheme="minorEastAsia"/>
                <w:color w:val="000000" w:themeColor="text1"/>
                <w:szCs w:val="21"/>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086900" w:rsidRDefault="00FD1A01">
            <w:pPr>
              <w:adjustRightInd w:val="0"/>
              <w:snapToGrid w:val="0"/>
              <w:spacing w:line="400" w:lineRule="exact"/>
              <w:rPr>
                <w:rFonts w:eastAsiaTheme="minorEastAsia"/>
                <w:color w:val="000000" w:themeColor="text1"/>
                <w:szCs w:val="21"/>
              </w:rPr>
            </w:pPr>
            <w:r>
              <w:rPr>
                <w:rFonts w:eastAsiaTheme="minorEastAsia"/>
                <w:color w:val="000000" w:themeColor="text1"/>
                <w:szCs w:val="21"/>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22,538,773.52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86900" w:rsidRDefault="00FD1A01">
            <w:pPr>
              <w:jc w:val="right"/>
              <w:rPr>
                <w:rFonts w:eastAsiaTheme="minorEastAsia"/>
                <w:color w:val="000000" w:themeColor="text1"/>
                <w:szCs w:val="21"/>
              </w:rPr>
            </w:pPr>
            <w:r>
              <w:rPr>
                <w:rFonts w:eastAsiaTheme="minorEastAsia"/>
                <w:color w:val="000000" w:themeColor="text1"/>
                <w:szCs w:val="21"/>
              </w:rPr>
              <w:t>0.60</w:t>
            </w:r>
          </w:p>
        </w:tc>
      </w:tr>
    </w:tbl>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5.3 </w:t>
      </w:r>
      <w:r>
        <w:rPr>
          <w:rFonts w:eastAsiaTheme="minorEastAsia"/>
          <w:b/>
          <w:color w:val="000000" w:themeColor="text1"/>
          <w:kern w:val="0"/>
          <w:szCs w:val="21"/>
        </w:rPr>
        <w:t>报告期末按公允价值占基金资产净值比例大小排序的前十名股票投资明细</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1701"/>
        <w:gridCol w:w="1276"/>
        <w:gridCol w:w="1842"/>
        <w:gridCol w:w="1616"/>
      </w:tblGrid>
      <w:tr w:rsidR="00086900">
        <w:tc>
          <w:tcPr>
            <w:tcW w:w="817"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1276"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股票代码</w:t>
            </w:r>
          </w:p>
        </w:tc>
        <w:tc>
          <w:tcPr>
            <w:tcW w:w="1701"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股票名称</w:t>
            </w:r>
          </w:p>
        </w:tc>
        <w:tc>
          <w:tcPr>
            <w:tcW w:w="1276"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数量</w:t>
            </w:r>
            <w:r>
              <w:rPr>
                <w:rFonts w:eastAsiaTheme="minorEastAsia"/>
                <w:color w:val="000000" w:themeColor="text1"/>
                <w:szCs w:val="21"/>
              </w:rPr>
              <w:t>(</w:t>
            </w:r>
            <w:r>
              <w:rPr>
                <w:rFonts w:eastAsiaTheme="minorEastAsia"/>
                <w:color w:val="000000" w:themeColor="text1"/>
                <w:szCs w:val="21"/>
              </w:rPr>
              <w:t>股</w:t>
            </w:r>
            <w:r>
              <w:rPr>
                <w:rFonts w:eastAsiaTheme="minorEastAsia"/>
                <w:color w:val="000000" w:themeColor="text1"/>
                <w:szCs w:val="21"/>
              </w:rPr>
              <w:t>)</w:t>
            </w:r>
          </w:p>
        </w:tc>
        <w:tc>
          <w:tcPr>
            <w:tcW w:w="1842" w:type="dxa"/>
            <w:vAlign w:val="center"/>
          </w:tcPr>
          <w:p w:rsidR="00086900" w:rsidRDefault="00FD1A01">
            <w:pPr>
              <w:autoSpaceDE w:val="0"/>
              <w:autoSpaceDN w:val="0"/>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公允价值</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616"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占基金资产净值比例</w:t>
            </w:r>
            <w:r>
              <w:rPr>
                <w:rFonts w:eastAsiaTheme="minorEastAsia"/>
                <w:color w:val="000000" w:themeColor="text1"/>
                <w:szCs w:val="21"/>
              </w:rPr>
              <w:t>(</w:t>
            </w:r>
            <w:r>
              <w:rPr>
                <w:rFonts w:eastAsiaTheme="minorEastAsia"/>
                <w:color w:val="000000" w:themeColor="text1"/>
                <w:szCs w:val="21"/>
              </w:rPr>
              <w:t>％</w:t>
            </w:r>
            <w:r>
              <w:rPr>
                <w:rFonts w:eastAsiaTheme="minorEastAsia"/>
                <w:color w:val="000000" w:themeColor="text1"/>
                <w:szCs w:val="21"/>
              </w:rPr>
              <w:t>)</w:t>
            </w:r>
          </w:p>
        </w:tc>
      </w:tr>
      <w:tr w:rsidR="00086900">
        <w:tc>
          <w:tcPr>
            <w:tcW w:w="817" w:type="dxa"/>
            <w:vAlign w:val="center"/>
          </w:tcPr>
          <w:p w:rsidR="00086900" w:rsidRDefault="00FD1A01">
            <w:pPr>
              <w:jc w:val="center"/>
            </w:pPr>
            <w:r>
              <w:rPr>
                <w:rFonts w:eastAsiaTheme="minorEastAsia"/>
                <w:color w:val="000000" w:themeColor="text1"/>
                <w:szCs w:val="21"/>
              </w:rPr>
              <w:t>1</w:t>
            </w:r>
          </w:p>
        </w:tc>
        <w:tc>
          <w:tcPr>
            <w:tcW w:w="1276" w:type="dxa"/>
            <w:vAlign w:val="center"/>
          </w:tcPr>
          <w:p w:rsidR="00086900" w:rsidRDefault="00FD1A01">
            <w:pPr>
              <w:jc w:val="center"/>
            </w:pPr>
            <w:r>
              <w:rPr>
                <w:rFonts w:eastAsiaTheme="minorEastAsia"/>
                <w:color w:val="000000" w:themeColor="text1"/>
                <w:szCs w:val="21"/>
              </w:rPr>
              <w:t>002366</w:t>
            </w:r>
          </w:p>
        </w:tc>
        <w:tc>
          <w:tcPr>
            <w:tcW w:w="1701" w:type="dxa"/>
            <w:vAlign w:val="center"/>
          </w:tcPr>
          <w:p w:rsidR="00086900" w:rsidRDefault="00FD1A01">
            <w:pPr>
              <w:jc w:val="center"/>
            </w:pPr>
            <w:r>
              <w:rPr>
                <w:rFonts w:eastAsiaTheme="minorEastAsia"/>
                <w:color w:val="000000" w:themeColor="text1"/>
                <w:szCs w:val="21"/>
              </w:rPr>
              <w:t>台海核电</w:t>
            </w:r>
          </w:p>
        </w:tc>
        <w:tc>
          <w:tcPr>
            <w:tcW w:w="1276" w:type="dxa"/>
            <w:vAlign w:val="center"/>
          </w:tcPr>
          <w:p w:rsidR="00086900" w:rsidRDefault="00FD1A01">
            <w:pPr>
              <w:jc w:val="right"/>
            </w:pPr>
            <w:r>
              <w:rPr>
                <w:rFonts w:eastAsiaTheme="minorEastAsia"/>
                <w:color w:val="000000" w:themeColor="text1"/>
                <w:szCs w:val="21"/>
              </w:rPr>
              <w:t>435,400</w:t>
            </w:r>
          </w:p>
        </w:tc>
        <w:tc>
          <w:tcPr>
            <w:tcW w:w="1842" w:type="dxa"/>
            <w:vAlign w:val="center"/>
          </w:tcPr>
          <w:p w:rsidR="00086900" w:rsidRDefault="00FD1A01">
            <w:pPr>
              <w:jc w:val="right"/>
            </w:pPr>
            <w:r>
              <w:rPr>
                <w:rFonts w:eastAsiaTheme="minorEastAsia"/>
                <w:color w:val="000000" w:themeColor="text1"/>
                <w:szCs w:val="21"/>
              </w:rPr>
              <w:t>11,516,330.00</w:t>
            </w:r>
          </w:p>
        </w:tc>
        <w:tc>
          <w:tcPr>
            <w:tcW w:w="1616" w:type="dxa"/>
            <w:vAlign w:val="center"/>
          </w:tcPr>
          <w:p w:rsidR="00086900" w:rsidRDefault="00FD1A01">
            <w:pPr>
              <w:jc w:val="right"/>
            </w:pPr>
            <w:r>
              <w:rPr>
                <w:rFonts w:eastAsiaTheme="minorEastAsia"/>
                <w:color w:val="000000" w:themeColor="text1"/>
                <w:szCs w:val="21"/>
              </w:rPr>
              <w:t>0.31</w:t>
            </w:r>
          </w:p>
        </w:tc>
      </w:tr>
      <w:tr w:rsidR="00086900">
        <w:tc>
          <w:tcPr>
            <w:tcW w:w="817" w:type="dxa"/>
            <w:vAlign w:val="center"/>
          </w:tcPr>
          <w:p w:rsidR="00086900" w:rsidRDefault="00FD1A01">
            <w:pPr>
              <w:jc w:val="center"/>
            </w:pPr>
            <w:r>
              <w:rPr>
                <w:rFonts w:eastAsiaTheme="minorEastAsia"/>
                <w:color w:val="000000" w:themeColor="text1"/>
                <w:szCs w:val="21"/>
              </w:rPr>
              <w:t>2</w:t>
            </w:r>
          </w:p>
        </w:tc>
        <w:tc>
          <w:tcPr>
            <w:tcW w:w="1276" w:type="dxa"/>
            <w:vAlign w:val="center"/>
          </w:tcPr>
          <w:p w:rsidR="00086900" w:rsidRDefault="00FD1A01">
            <w:pPr>
              <w:jc w:val="center"/>
            </w:pPr>
            <w:r>
              <w:rPr>
                <w:rFonts w:eastAsiaTheme="minorEastAsia"/>
                <w:color w:val="000000" w:themeColor="text1"/>
                <w:szCs w:val="21"/>
              </w:rPr>
              <w:t>002694</w:t>
            </w:r>
          </w:p>
        </w:tc>
        <w:tc>
          <w:tcPr>
            <w:tcW w:w="1701" w:type="dxa"/>
            <w:vAlign w:val="center"/>
          </w:tcPr>
          <w:p w:rsidR="00086900" w:rsidRDefault="00FD1A01">
            <w:pPr>
              <w:jc w:val="center"/>
            </w:pPr>
            <w:r>
              <w:rPr>
                <w:rFonts w:eastAsiaTheme="minorEastAsia"/>
                <w:color w:val="000000" w:themeColor="text1"/>
                <w:szCs w:val="21"/>
              </w:rPr>
              <w:t>顾地科技</w:t>
            </w:r>
          </w:p>
        </w:tc>
        <w:tc>
          <w:tcPr>
            <w:tcW w:w="1276" w:type="dxa"/>
            <w:vAlign w:val="center"/>
          </w:tcPr>
          <w:p w:rsidR="00086900" w:rsidRDefault="00FD1A01">
            <w:pPr>
              <w:jc w:val="right"/>
            </w:pPr>
            <w:r>
              <w:rPr>
                <w:rFonts w:eastAsiaTheme="minorEastAsia"/>
                <w:color w:val="000000" w:themeColor="text1"/>
                <w:szCs w:val="21"/>
              </w:rPr>
              <w:t>717,607</w:t>
            </w:r>
          </w:p>
        </w:tc>
        <w:tc>
          <w:tcPr>
            <w:tcW w:w="1842" w:type="dxa"/>
            <w:vAlign w:val="center"/>
          </w:tcPr>
          <w:p w:rsidR="00086900" w:rsidRDefault="00FD1A01">
            <w:pPr>
              <w:jc w:val="right"/>
            </w:pPr>
            <w:r>
              <w:rPr>
                <w:rFonts w:eastAsiaTheme="minorEastAsia"/>
                <w:color w:val="000000" w:themeColor="text1"/>
                <w:szCs w:val="21"/>
              </w:rPr>
              <w:t>11,022,443.52</w:t>
            </w:r>
          </w:p>
        </w:tc>
        <w:tc>
          <w:tcPr>
            <w:tcW w:w="1616" w:type="dxa"/>
            <w:vAlign w:val="center"/>
          </w:tcPr>
          <w:p w:rsidR="00086900" w:rsidRDefault="00FD1A01">
            <w:pPr>
              <w:jc w:val="right"/>
            </w:pPr>
            <w:r>
              <w:rPr>
                <w:rFonts w:eastAsiaTheme="minorEastAsia"/>
                <w:color w:val="000000" w:themeColor="text1"/>
                <w:szCs w:val="21"/>
              </w:rPr>
              <w:t>0.29</w:t>
            </w:r>
          </w:p>
        </w:tc>
      </w:tr>
    </w:tbl>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5.4 </w:t>
      </w:r>
      <w:r>
        <w:rPr>
          <w:rFonts w:eastAsiaTheme="minorEastAsia"/>
          <w:b/>
          <w:color w:val="000000" w:themeColor="text1"/>
          <w:kern w:val="0"/>
          <w:szCs w:val="21"/>
        </w:rPr>
        <w:t>报告期末按债券品种分类的债券投资组合</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5.5 </w:t>
      </w:r>
      <w:r>
        <w:rPr>
          <w:rFonts w:eastAsiaTheme="minorEastAsia"/>
          <w:b/>
          <w:color w:val="000000" w:themeColor="text1"/>
          <w:kern w:val="0"/>
          <w:szCs w:val="21"/>
        </w:rPr>
        <w:t>报告期末按公允价值占基金资产净值比例大小排序的前五名债券投资明细</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本基金本报告期末未持有债券。</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5.6</w:t>
      </w:r>
      <w:r>
        <w:rPr>
          <w:rFonts w:eastAsiaTheme="minorEastAsia"/>
          <w:b/>
          <w:color w:val="000000" w:themeColor="text1"/>
          <w:kern w:val="0"/>
          <w:szCs w:val="21"/>
        </w:rPr>
        <w:t xml:space="preserve">　报告期末按公允价值占基金资产净值比例大小排序的前十名资产支持证券投资明细</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本基金本报告期末未持有资产支持证券。</w:t>
      </w:r>
    </w:p>
    <w:p w:rsidR="00086900" w:rsidRDefault="00FD1A01" w:rsidP="00FD1A01">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 xml:space="preserve">5.7 </w:t>
      </w:r>
      <w:r>
        <w:rPr>
          <w:rFonts w:eastAsiaTheme="minorEastAsia"/>
          <w:b/>
          <w:bCs/>
          <w:color w:val="000000" w:themeColor="text1"/>
          <w:kern w:val="0"/>
          <w:szCs w:val="21"/>
        </w:rPr>
        <w:t>报告期末按公允价值占基金资产净值比例大小排序的前五名贵金属投资明细</w:t>
      </w:r>
    </w:p>
    <w:p w:rsidR="00086900" w:rsidRDefault="00FD1A01">
      <w:pPr>
        <w:widowControl/>
        <w:spacing w:line="360" w:lineRule="auto"/>
        <w:ind w:firstLineChars="200" w:firstLine="420"/>
        <w:jc w:val="left"/>
        <w:rPr>
          <w:color w:val="000000" w:themeColor="text1"/>
          <w:szCs w:val="21"/>
        </w:rPr>
      </w:pPr>
      <w:r>
        <w:rPr>
          <w:color w:val="000000" w:themeColor="text1"/>
          <w:szCs w:val="21"/>
        </w:rPr>
        <w:t>本基金本报告期末未持有贵金属投资。</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5.8</w:t>
      </w:r>
      <w:r>
        <w:rPr>
          <w:rFonts w:eastAsiaTheme="minorEastAsia"/>
          <w:b/>
          <w:color w:val="000000" w:themeColor="text1"/>
          <w:kern w:val="0"/>
          <w:szCs w:val="21"/>
        </w:rPr>
        <w:t>报告期末按公允价值占基金资产净值比例大小排序的前五名权证投资明细</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本基金本报告期末未持有权证投资。</w:t>
      </w:r>
    </w:p>
    <w:p w:rsidR="00086900" w:rsidRDefault="00FD1A01" w:rsidP="00FD1A01">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 </w:t>
      </w:r>
      <w:r>
        <w:rPr>
          <w:rFonts w:eastAsiaTheme="minorEastAsia"/>
          <w:b/>
          <w:color w:val="000000" w:themeColor="text1"/>
          <w:szCs w:val="21"/>
        </w:rPr>
        <w:t>报告期末本基金投资的股指期货交易情况说明</w:t>
      </w:r>
    </w:p>
    <w:p w:rsidR="00086900" w:rsidRDefault="00FD1A01">
      <w:pPr>
        <w:adjustRightInd w:val="0"/>
        <w:snapToGrid w:val="0"/>
        <w:spacing w:line="360" w:lineRule="auto"/>
        <w:rPr>
          <w:rFonts w:eastAsiaTheme="minorEastAsia"/>
          <w:b/>
          <w:color w:val="000000" w:themeColor="text1"/>
          <w:szCs w:val="21"/>
        </w:rPr>
      </w:pPr>
      <w:r>
        <w:rPr>
          <w:rFonts w:eastAsiaTheme="minorEastAsia"/>
          <w:b/>
          <w:color w:val="000000" w:themeColor="text1"/>
          <w:szCs w:val="21"/>
        </w:rPr>
        <w:t xml:space="preserve">5.9.1 </w:t>
      </w:r>
      <w:r>
        <w:rPr>
          <w:rFonts w:eastAsiaTheme="minorEastAsia"/>
          <w:b/>
          <w:color w:val="000000" w:themeColor="text1"/>
          <w:szCs w:val="21"/>
        </w:rPr>
        <w:t>报告期末本基金投资的股指期货持仓和损益明细</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本基金本报告期末未持有股指期货。</w:t>
      </w:r>
    </w:p>
    <w:p w:rsidR="00086900" w:rsidRDefault="00FD1A01" w:rsidP="00FD1A01">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5.9.2 </w:t>
      </w:r>
      <w:r>
        <w:rPr>
          <w:rFonts w:eastAsiaTheme="minorEastAsia"/>
          <w:b/>
          <w:color w:val="000000" w:themeColor="text1"/>
          <w:szCs w:val="21"/>
        </w:rPr>
        <w:t>本基金投资股指期货的投资政策</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本基金本报告期未投资股指期货。若本基金投资股指期货，本基金将根据风险管理的原则，以套期保值为主要目的，有选择地投资于股指期货。套期保值将主要采用流动性好、交易活跃的期货合约。</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本基金在进行股指期货投资时，将通过对证券市场和期货市场运行趋势的研究，并结合股指期货的定价模型寻求其合理的估值水平。</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本基金管理人将充分考虑股指期货的收益性、流动性及风险特征，通过资产配置、品种选择，谨慎进行投资，以降低投资组合的整体风险。</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法律法规对于基金投资股指期货的投资策略另有规定的，本基金将按法律法规的规定执行。</w:t>
      </w:r>
    </w:p>
    <w:p w:rsidR="00086900" w:rsidRDefault="00FD1A01" w:rsidP="00FD1A01">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5.10</w:t>
      </w:r>
      <w:r>
        <w:rPr>
          <w:rFonts w:eastAsiaTheme="minorEastAsia"/>
          <w:b/>
          <w:color w:val="000000" w:themeColor="text1"/>
          <w:szCs w:val="21"/>
        </w:rPr>
        <w:t>报告期末本基金投资的国债期货交易情况说明</w:t>
      </w:r>
    </w:p>
    <w:p w:rsidR="00086900" w:rsidRDefault="00FD1A01">
      <w:pPr>
        <w:autoSpaceDE w:val="0"/>
        <w:autoSpaceDN w:val="0"/>
        <w:adjustRightInd w:val="0"/>
        <w:spacing w:line="360" w:lineRule="auto"/>
        <w:jc w:val="left"/>
        <w:rPr>
          <w:rFonts w:eastAsiaTheme="minorEastAsia"/>
          <w:b/>
          <w:color w:val="000000" w:themeColor="text1"/>
          <w:szCs w:val="21"/>
        </w:rPr>
      </w:pPr>
      <w:r>
        <w:rPr>
          <w:rFonts w:eastAsiaTheme="minorEastAsia"/>
          <w:b/>
          <w:color w:val="000000" w:themeColor="text1"/>
          <w:szCs w:val="21"/>
        </w:rPr>
        <w:t xml:space="preserve">5.10.1 </w:t>
      </w:r>
      <w:r>
        <w:rPr>
          <w:rFonts w:eastAsiaTheme="minorEastAsia"/>
          <w:b/>
          <w:color w:val="000000" w:themeColor="text1"/>
          <w:szCs w:val="21"/>
        </w:rPr>
        <w:t>报告期末本基金投资的国债期货持仓和损益明细</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本基金本报告期末未持有国债期货。</w:t>
      </w:r>
    </w:p>
    <w:p w:rsidR="00086900" w:rsidRDefault="00FD1A01">
      <w:pPr>
        <w:adjustRightInd w:val="0"/>
        <w:snapToGrid w:val="0"/>
        <w:spacing w:line="360" w:lineRule="auto"/>
        <w:rPr>
          <w:rFonts w:eastAsiaTheme="minorEastAsia"/>
          <w:b/>
          <w:color w:val="000000" w:themeColor="text1"/>
          <w:szCs w:val="21"/>
        </w:rPr>
      </w:pPr>
      <w:r>
        <w:rPr>
          <w:rFonts w:eastAsiaTheme="minorEastAsia"/>
          <w:b/>
          <w:color w:val="000000" w:themeColor="text1"/>
          <w:szCs w:val="21"/>
        </w:rPr>
        <w:t xml:space="preserve">5.10.2 </w:t>
      </w:r>
      <w:r>
        <w:rPr>
          <w:rFonts w:eastAsiaTheme="minorEastAsia"/>
          <w:b/>
          <w:color w:val="000000" w:themeColor="text1"/>
          <w:szCs w:val="21"/>
        </w:rPr>
        <w:t>本期国债期货投资评价</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无。</w:t>
      </w:r>
    </w:p>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w:t>
      </w:r>
      <w:r>
        <w:rPr>
          <w:rFonts w:eastAsiaTheme="minorEastAsia"/>
          <w:b/>
          <w:color w:val="000000" w:themeColor="text1"/>
          <w:kern w:val="0"/>
          <w:szCs w:val="21"/>
        </w:rPr>
        <w:t>投资组合报告附注</w:t>
      </w:r>
    </w:p>
    <w:p w:rsidR="00086900" w:rsidRDefault="00FD1A01">
      <w:pPr>
        <w:widowControl/>
        <w:spacing w:line="360" w:lineRule="auto"/>
        <w:rPr>
          <w:rFonts w:eastAsiaTheme="minorEastAsia"/>
          <w:color w:val="000000" w:themeColor="text1"/>
          <w:szCs w:val="21"/>
        </w:rPr>
      </w:pPr>
      <w:r>
        <w:rPr>
          <w:rFonts w:eastAsiaTheme="minorEastAsia"/>
          <w:color w:val="000000" w:themeColor="text1"/>
          <w:szCs w:val="21"/>
        </w:rPr>
        <w:t>5.11.1</w:t>
      </w:r>
      <w:r>
        <w:rPr>
          <w:rFonts w:eastAsiaTheme="minorEastAsia"/>
          <w:color w:val="000000" w:themeColor="text1"/>
          <w:szCs w:val="21"/>
        </w:rPr>
        <w:t>本报告期内，本基金投资的前十名证券的发行主体没有被监管部门立案调查的，也没有在报告编制日前一年内受到公开谴责、处罚的情况。</w:t>
      </w:r>
    </w:p>
    <w:p w:rsidR="00086900" w:rsidRDefault="00FD1A01">
      <w:pPr>
        <w:widowControl/>
        <w:spacing w:line="360" w:lineRule="auto"/>
        <w:rPr>
          <w:rFonts w:eastAsiaTheme="minorEastAsia"/>
          <w:color w:val="000000" w:themeColor="text1"/>
          <w:szCs w:val="21"/>
        </w:rPr>
      </w:pPr>
      <w:r>
        <w:rPr>
          <w:rFonts w:eastAsiaTheme="minorEastAsia"/>
          <w:color w:val="000000" w:themeColor="text1"/>
          <w:szCs w:val="21"/>
        </w:rPr>
        <w:t>5.11.2</w:t>
      </w:r>
      <w:r>
        <w:rPr>
          <w:rFonts w:eastAsiaTheme="minorEastAsia"/>
          <w:color w:val="000000" w:themeColor="text1"/>
          <w:szCs w:val="21"/>
        </w:rPr>
        <w:t>本基金投资的前十名股票中，不存在投资于超出基金合同规定备选股票库之外的股票。</w:t>
      </w:r>
    </w:p>
    <w:p w:rsidR="00086900" w:rsidRDefault="00FD1A01">
      <w:pPr>
        <w:autoSpaceDE w:val="0"/>
        <w:autoSpaceDN w:val="0"/>
        <w:adjustRightInd w:val="0"/>
        <w:spacing w:line="360" w:lineRule="auto"/>
        <w:rPr>
          <w:rFonts w:eastAsiaTheme="minorEastAsia"/>
          <w:b/>
          <w:color w:val="000000" w:themeColor="text1"/>
          <w:kern w:val="0"/>
          <w:szCs w:val="21"/>
        </w:rPr>
      </w:pPr>
      <w:r>
        <w:rPr>
          <w:rFonts w:eastAsiaTheme="minorEastAsia"/>
          <w:b/>
          <w:color w:val="000000" w:themeColor="text1"/>
          <w:kern w:val="0"/>
          <w:szCs w:val="21"/>
        </w:rPr>
        <w:t>5.11.3</w:t>
      </w:r>
      <w:r>
        <w:rPr>
          <w:rFonts w:eastAsiaTheme="minorEastAsia" w:hint="eastAsia"/>
          <w:b/>
          <w:color w:val="000000" w:themeColor="text1"/>
          <w:kern w:val="0"/>
          <w:szCs w:val="21"/>
        </w:rPr>
        <w:t>其他资产构成</w:t>
      </w:r>
    </w:p>
    <w:tbl>
      <w:tblPr>
        <w:tblStyle w:val="af6"/>
        <w:tblW w:w="8679" w:type="dxa"/>
        <w:tblInd w:w="108" w:type="dxa"/>
        <w:tblLayout w:type="fixed"/>
        <w:tblLook w:val="04A0"/>
      </w:tblPr>
      <w:tblGrid>
        <w:gridCol w:w="1110"/>
        <w:gridCol w:w="2761"/>
        <w:gridCol w:w="4808"/>
      </w:tblGrid>
      <w:tr w:rsidR="00086900">
        <w:tc>
          <w:tcPr>
            <w:tcW w:w="1110" w:type="dxa"/>
            <w:vAlign w:val="center"/>
          </w:tcPr>
          <w:p w:rsidR="00086900" w:rsidRDefault="00FD1A0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序号</w:t>
            </w:r>
          </w:p>
        </w:tc>
        <w:tc>
          <w:tcPr>
            <w:tcW w:w="2761" w:type="dxa"/>
            <w:vAlign w:val="center"/>
          </w:tcPr>
          <w:p w:rsidR="00086900" w:rsidRDefault="00FD1A0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名称</w:t>
            </w:r>
          </w:p>
        </w:tc>
        <w:tc>
          <w:tcPr>
            <w:tcW w:w="4808" w:type="dxa"/>
            <w:vAlign w:val="center"/>
          </w:tcPr>
          <w:p w:rsidR="00086900" w:rsidRDefault="00FD1A0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金额</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kern w:val="0"/>
                <w:szCs w:val="21"/>
              </w:rPr>
            </w:pPr>
            <w:r>
              <w:rPr>
                <w:rFonts w:eastAsiaTheme="minorEastAsia"/>
                <w:color w:val="000000" w:themeColor="text1"/>
                <w:szCs w:val="21"/>
              </w:rPr>
              <w:t>1</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存出保证金</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94,047.94</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2</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应收证券清算款</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3</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应收股利</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4</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应收利息</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1,140,339.62</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5</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应收申购款</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6</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其他应收款</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7</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szCs w:val="21"/>
              </w:rPr>
            </w:pPr>
            <w:r>
              <w:rPr>
                <w:rFonts w:eastAsiaTheme="minorEastAsia"/>
                <w:color w:val="000000" w:themeColor="text1"/>
                <w:szCs w:val="21"/>
              </w:rPr>
              <w:t>待摊费用</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8</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086900">
        <w:tc>
          <w:tcPr>
            <w:tcW w:w="1110" w:type="dxa"/>
            <w:vAlign w:val="center"/>
          </w:tcPr>
          <w:p w:rsidR="00086900" w:rsidRDefault="00FD1A0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9</w:t>
            </w:r>
          </w:p>
        </w:tc>
        <w:tc>
          <w:tcPr>
            <w:tcW w:w="2761" w:type="dxa"/>
            <w:vAlign w:val="center"/>
          </w:tcPr>
          <w:p w:rsidR="00086900" w:rsidRDefault="00FD1A0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合计</w:t>
            </w:r>
          </w:p>
        </w:tc>
        <w:tc>
          <w:tcPr>
            <w:tcW w:w="4808" w:type="dxa"/>
            <w:vAlign w:val="center"/>
          </w:tcPr>
          <w:p w:rsidR="00086900" w:rsidRDefault="00FD1A0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1,234,387.56</w:t>
            </w:r>
          </w:p>
        </w:tc>
      </w:tr>
    </w:tbl>
    <w:p w:rsidR="00086900" w:rsidRDefault="00FD1A01" w:rsidP="00FD1A01">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5.11.4</w:t>
      </w:r>
      <w:r>
        <w:rPr>
          <w:rFonts w:eastAsiaTheme="minorEastAsia"/>
          <w:b/>
          <w:color w:val="000000" w:themeColor="text1"/>
          <w:kern w:val="0"/>
          <w:szCs w:val="21"/>
        </w:rPr>
        <w:t>报告期末持有的处于转股期的可转换债券明细</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本基金本报告期末未持有处于转股期的可转换债券。</w:t>
      </w:r>
    </w:p>
    <w:p w:rsidR="00086900" w:rsidRDefault="00FD1A01" w:rsidP="00FD1A01">
      <w:pPr>
        <w:autoSpaceDE w:val="0"/>
        <w:autoSpaceDN w:val="0"/>
        <w:adjustRightInd w:val="0"/>
        <w:spacing w:beforeLines="100" w:line="360" w:lineRule="auto"/>
        <w:jc w:val="left"/>
        <w:rPr>
          <w:rFonts w:eastAsiaTheme="minorEastAsia"/>
          <w:b/>
          <w:bCs/>
          <w:color w:val="000000" w:themeColor="text1"/>
          <w:szCs w:val="21"/>
        </w:rPr>
      </w:pPr>
      <w:r>
        <w:rPr>
          <w:rFonts w:eastAsiaTheme="minorEastAsia"/>
          <w:b/>
          <w:color w:val="000000" w:themeColor="text1"/>
          <w:kern w:val="0"/>
          <w:szCs w:val="21"/>
        </w:rPr>
        <w:t>5.11.5</w:t>
      </w:r>
      <w:r>
        <w:rPr>
          <w:rFonts w:eastAsiaTheme="minorEastAsia"/>
          <w:b/>
          <w:bCs/>
          <w:color w:val="000000" w:themeColor="text1"/>
          <w:szCs w:val="21"/>
        </w:rPr>
        <w:t>报告期末前十名股票中存在流通受限情况的说明</w:t>
      </w:r>
    </w:p>
    <w:tbl>
      <w:tblPr>
        <w:tblStyle w:val="af6"/>
        <w:tblW w:w="8513" w:type="dxa"/>
        <w:tblInd w:w="108" w:type="dxa"/>
        <w:tblLayout w:type="fixed"/>
        <w:tblLook w:val="04A0"/>
      </w:tblPr>
      <w:tblGrid>
        <w:gridCol w:w="1083"/>
        <w:gridCol w:w="1302"/>
        <w:gridCol w:w="1301"/>
        <w:gridCol w:w="1805"/>
        <w:gridCol w:w="1655"/>
        <w:gridCol w:w="1367"/>
      </w:tblGrid>
      <w:tr w:rsidR="00086900">
        <w:tc>
          <w:tcPr>
            <w:tcW w:w="1083"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1302"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股票代码</w:t>
            </w:r>
          </w:p>
        </w:tc>
        <w:tc>
          <w:tcPr>
            <w:tcW w:w="1301"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股票名称</w:t>
            </w:r>
          </w:p>
        </w:tc>
        <w:tc>
          <w:tcPr>
            <w:tcW w:w="1805"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流通受限部分的公允价值</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655"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占基金资产净值比例</w:t>
            </w:r>
            <w:r>
              <w:rPr>
                <w:rFonts w:eastAsiaTheme="minorEastAsia"/>
                <w:color w:val="000000" w:themeColor="text1"/>
                <w:szCs w:val="21"/>
              </w:rPr>
              <w:t>(%)</w:t>
            </w:r>
          </w:p>
        </w:tc>
        <w:tc>
          <w:tcPr>
            <w:tcW w:w="1367" w:type="dxa"/>
            <w:vAlign w:val="center"/>
          </w:tcPr>
          <w:p w:rsidR="00086900" w:rsidRDefault="00FD1A01">
            <w:pPr>
              <w:spacing w:before="29" w:line="360" w:lineRule="auto"/>
              <w:ind w:left="17"/>
              <w:jc w:val="center"/>
              <w:rPr>
                <w:rFonts w:eastAsiaTheme="minorEastAsia"/>
                <w:color w:val="000000" w:themeColor="text1"/>
                <w:szCs w:val="21"/>
              </w:rPr>
            </w:pPr>
            <w:r>
              <w:rPr>
                <w:rFonts w:eastAsiaTheme="minorEastAsia"/>
                <w:color w:val="000000" w:themeColor="text1"/>
                <w:szCs w:val="21"/>
              </w:rPr>
              <w:t>流通受限情况说明</w:t>
            </w:r>
          </w:p>
        </w:tc>
      </w:tr>
      <w:tr w:rsidR="00086900">
        <w:tc>
          <w:tcPr>
            <w:tcW w:w="1083" w:type="dxa"/>
            <w:vAlign w:val="center"/>
          </w:tcPr>
          <w:p w:rsidR="00086900" w:rsidRDefault="00FD1A01">
            <w:pPr>
              <w:jc w:val="center"/>
            </w:pPr>
            <w:r>
              <w:rPr>
                <w:rFonts w:eastAsiaTheme="minorEastAsia"/>
                <w:color w:val="000000" w:themeColor="text1"/>
                <w:szCs w:val="21"/>
              </w:rPr>
              <w:t>1</w:t>
            </w:r>
          </w:p>
        </w:tc>
        <w:tc>
          <w:tcPr>
            <w:tcW w:w="1302" w:type="dxa"/>
            <w:vAlign w:val="center"/>
          </w:tcPr>
          <w:p w:rsidR="00086900" w:rsidRDefault="00FD1A01">
            <w:pPr>
              <w:jc w:val="center"/>
            </w:pPr>
            <w:r>
              <w:rPr>
                <w:rFonts w:eastAsiaTheme="minorEastAsia"/>
                <w:color w:val="000000" w:themeColor="text1"/>
                <w:szCs w:val="21"/>
              </w:rPr>
              <w:t>002366</w:t>
            </w:r>
          </w:p>
        </w:tc>
        <w:tc>
          <w:tcPr>
            <w:tcW w:w="1301" w:type="dxa"/>
            <w:vAlign w:val="center"/>
          </w:tcPr>
          <w:p w:rsidR="00086900" w:rsidRDefault="00FD1A01">
            <w:pPr>
              <w:jc w:val="center"/>
            </w:pPr>
            <w:r>
              <w:rPr>
                <w:rFonts w:eastAsiaTheme="minorEastAsia"/>
                <w:color w:val="000000" w:themeColor="text1"/>
                <w:szCs w:val="21"/>
              </w:rPr>
              <w:t>台海核电</w:t>
            </w:r>
          </w:p>
        </w:tc>
        <w:tc>
          <w:tcPr>
            <w:tcW w:w="1805" w:type="dxa"/>
            <w:vAlign w:val="center"/>
          </w:tcPr>
          <w:p w:rsidR="00086900" w:rsidRDefault="00FD1A01">
            <w:pPr>
              <w:jc w:val="right"/>
            </w:pPr>
            <w:r>
              <w:rPr>
                <w:rFonts w:eastAsiaTheme="minorEastAsia"/>
                <w:color w:val="000000" w:themeColor="text1"/>
                <w:szCs w:val="21"/>
              </w:rPr>
              <w:t>11,516,330.00</w:t>
            </w:r>
          </w:p>
        </w:tc>
        <w:tc>
          <w:tcPr>
            <w:tcW w:w="1655" w:type="dxa"/>
            <w:vAlign w:val="center"/>
          </w:tcPr>
          <w:p w:rsidR="00086900" w:rsidRDefault="00FD1A01">
            <w:pPr>
              <w:jc w:val="right"/>
            </w:pPr>
            <w:r>
              <w:rPr>
                <w:rFonts w:eastAsiaTheme="minorEastAsia"/>
                <w:color w:val="000000" w:themeColor="text1"/>
                <w:szCs w:val="21"/>
              </w:rPr>
              <w:t>0.31</w:t>
            </w:r>
          </w:p>
        </w:tc>
        <w:tc>
          <w:tcPr>
            <w:tcW w:w="1367" w:type="dxa"/>
            <w:vAlign w:val="center"/>
          </w:tcPr>
          <w:p w:rsidR="00086900" w:rsidRDefault="00FD1A01">
            <w:pPr>
              <w:jc w:val="right"/>
            </w:pPr>
            <w:r>
              <w:rPr>
                <w:rFonts w:eastAsiaTheme="minorEastAsia"/>
                <w:color w:val="000000" w:themeColor="text1"/>
                <w:szCs w:val="21"/>
              </w:rPr>
              <w:t>重大资产重组</w:t>
            </w:r>
          </w:p>
        </w:tc>
      </w:tr>
      <w:tr w:rsidR="00086900">
        <w:tc>
          <w:tcPr>
            <w:tcW w:w="1083" w:type="dxa"/>
            <w:vAlign w:val="center"/>
          </w:tcPr>
          <w:p w:rsidR="00086900" w:rsidRDefault="00FD1A01">
            <w:pPr>
              <w:jc w:val="center"/>
            </w:pPr>
            <w:r>
              <w:rPr>
                <w:rFonts w:eastAsiaTheme="minorEastAsia"/>
                <w:color w:val="000000" w:themeColor="text1"/>
                <w:szCs w:val="21"/>
              </w:rPr>
              <w:t>2</w:t>
            </w:r>
          </w:p>
        </w:tc>
        <w:tc>
          <w:tcPr>
            <w:tcW w:w="1302" w:type="dxa"/>
            <w:vAlign w:val="center"/>
          </w:tcPr>
          <w:p w:rsidR="00086900" w:rsidRDefault="00FD1A01">
            <w:pPr>
              <w:jc w:val="center"/>
            </w:pPr>
            <w:r>
              <w:rPr>
                <w:rFonts w:eastAsiaTheme="minorEastAsia"/>
                <w:color w:val="000000" w:themeColor="text1"/>
                <w:szCs w:val="21"/>
              </w:rPr>
              <w:t>002694</w:t>
            </w:r>
          </w:p>
        </w:tc>
        <w:tc>
          <w:tcPr>
            <w:tcW w:w="1301" w:type="dxa"/>
            <w:vAlign w:val="center"/>
          </w:tcPr>
          <w:p w:rsidR="00086900" w:rsidRDefault="00FD1A01">
            <w:pPr>
              <w:jc w:val="center"/>
            </w:pPr>
            <w:r>
              <w:rPr>
                <w:rFonts w:eastAsiaTheme="minorEastAsia"/>
                <w:color w:val="000000" w:themeColor="text1"/>
                <w:szCs w:val="21"/>
              </w:rPr>
              <w:t>顾地科技</w:t>
            </w:r>
          </w:p>
        </w:tc>
        <w:tc>
          <w:tcPr>
            <w:tcW w:w="1805" w:type="dxa"/>
            <w:vAlign w:val="center"/>
          </w:tcPr>
          <w:p w:rsidR="00086900" w:rsidRDefault="00FD1A01">
            <w:pPr>
              <w:jc w:val="right"/>
            </w:pPr>
            <w:r>
              <w:rPr>
                <w:rFonts w:eastAsiaTheme="minorEastAsia"/>
                <w:color w:val="000000" w:themeColor="text1"/>
                <w:szCs w:val="21"/>
              </w:rPr>
              <w:t>11,022,443.52</w:t>
            </w:r>
          </w:p>
        </w:tc>
        <w:tc>
          <w:tcPr>
            <w:tcW w:w="1655" w:type="dxa"/>
            <w:vAlign w:val="center"/>
          </w:tcPr>
          <w:p w:rsidR="00086900" w:rsidRDefault="00FD1A01">
            <w:pPr>
              <w:jc w:val="right"/>
            </w:pPr>
            <w:r>
              <w:rPr>
                <w:rFonts w:eastAsiaTheme="minorEastAsia"/>
                <w:color w:val="000000" w:themeColor="text1"/>
                <w:szCs w:val="21"/>
              </w:rPr>
              <w:t>0.29</w:t>
            </w:r>
          </w:p>
        </w:tc>
        <w:tc>
          <w:tcPr>
            <w:tcW w:w="1367" w:type="dxa"/>
            <w:vAlign w:val="center"/>
          </w:tcPr>
          <w:p w:rsidR="00086900" w:rsidRDefault="00FD1A01">
            <w:pPr>
              <w:jc w:val="right"/>
            </w:pPr>
            <w:r>
              <w:rPr>
                <w:rFonts w:eastAsiaTheme="minorEastAsia"/>
                <w:color w:val="000000" w:themeColor="text1"/>
                <w:szCs w:val="21"/>
              </w:rPr>
              <w:t>重大资产重组</w:t>
            </w:r>
          </w:p>
        </w:tc>
      </w:tr>
    </w:tbl>
    <w:p w:rsidR="00086900" w:rsidRDefault="00FD1A01" w:rsidP="00FD1A01">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§6  </w:t>
      </w:r>
      <w:r>
        <w:rPr>
          <w:rFonts w:eastAsiaTheme="minorEastAsia"/>
          <w:color w:val="000000" w:themeColor="text1"/>
          <w:kern w:val="0"/>
          <w:sz w:val="21"/>
          <w:szCs w:val="21"/>
        </w:rPr>
        <w:t>开放式基金份额变动</w:t>
      </w:r>
    </w:p>
    <w:p w:rsidR="00086900" w:rsidRDefault="00FD1A01">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单位：份</w:t>
      </w:r>
    </w:p>
    <w:tbl>
      <w:tblPr>
        <w:tblW w:w="8634" w:type="dxa"/>
        <w:tblInd w:w="108" w:type="dxa"/>
        <w:tblLayout w:type="fixed"/>
        <w:tblLook w:val="04A0"/>
      </w:tblPr>
      <w:tblGrid>
        <w:gridCol w:w="3900"/>
        <w:gridCol w:w="2367"/>
        <w:gridCol w:w="2367"/>
      </w:tblGrid>
      <w:tr w:rsidR="00086900">
        <w:tc>
          <w:tcPr>
            <w:tcW w:w="3900"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华安乐惠保本混合</w:t>
            </w:r>
            <w:r>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华安乐惠保本混合</w:t>
            </w:r>
            <w:r>
              <w:rPr>
                <w:rFonts w:eastAsiaTheme="minorEastAsia"/>
                <w:color w:val="000000" w:themeColor="text1"/>
                <w:szCs w:val="21"/>
              </w:rPr>
              <w:t>C</w:t>
            </w:r>
          </w:p>
        </w:tc>
      </w:tr>
      <w:tr w:rsidR="00086900">
        <w:tc>
          <w:tcPr>
            <w:tcW w:w="3900"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2,305,879,377.93</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1,268,094,596.40</w:t>
            </w:r>
          </w:p>
        </w:tc>
      </w:tr>
      <w:tr w:rsidR="00086900">
        <w:tc>
          <w:tcPr>
            <w:tcW w:w="3900"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3900"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3900"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086900">
        <w:tc>
          <w:tcPr>
            <w:tcW w:w="3900"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2,305,879,377.93</w:t>
            </w:r>
          </w:p>
        </w:tc>
        <w:tc>
          <w:tcPr>
            <w:tcW w:w="2367" w:type="dxa"/>
            <w:tcBorders>
              <w:top w:val="single" w:sz="8" w:space="0" w:color="000000"/>
              <w:left w:val="single" w:sz="8" w:space="0" w:color="000000"/>
              <w:bottom w:val="single" w:sz="8" w:space="0" w:color="000000"/>
              <w:right w:val="single" w:sz="8" w:space="0" w:color="000000"/>
            </w:tcBorders>
            <w:vAlign w:val="center"/>
          </w:tcPr>
          <w:p w:rsidR="00086900" w:rsidRDefault="00FD1A0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1,268,094,596.40</w:t>
            </w:r>
          </w:p>
        </w:tc>
      </w:tr>
    </w:tbl>
    <w:p w:rsidR="00086900" w:rsidRDefault="00FD1A01" w:rsidP="00FD1A01">
      <w:pPr>
        <w:pStyle w:val="1"/>
        <w:tabs>
          <w:tab w:val="center" w:pos="4156"/>
          <w:tab w:val="right" w:pos="8312"/>
        </w:tabs>
        <w:spacing w:beforeLines="100" w:afterLines="100" w:line="360" w:lineRule="auto"/>
        <w:jc w:val="center"/>
        <w:rPr>
          <w:color w:val="000000" w:themeColor="text1"/>
          <w:sz w:val="21"/>
          <w:szCs w:val="21"/>
        </w:rPr>
      </w:pPr>
      <w:r>
        <w:rPr>
          <w:rFonts w:eastAsiaTheme="minorEastAsia"/>
          <w:color w:val="000000" w:themeColor="text1"/>
          <w:kern w:val="0"/>
          <w:sz w:val="21"/>
          <w:szCs w:val="21"/>
        </w:rPr>
        <w:t>§7</w:t>
      </w:r>
      <w:r>
        <w:rPr>
          <w:rFonts w:hint="eastAsia"/>
          <w:color w:val="000000"/>
          <w:sz w:val="21"/>
          <w:szCs w:val="21"/>
          <w:shd w:val="clear" w:color="auto" w:fill="FFFFFF"/>
        </w:rPr>
        <w:t>基金管理人运用固有资金投资本基金情况</w:t>
      </w:r>
    </w:p>
    <w:p w:rsidR="00086900" w:rsidRDefault="00FD1A01">
      <w:pPr>
        <w:spacing w:line="360" w:lineRule="auto"/>
        <w:jc w:val="left"/>
        <w:rPr>
          <w:color w:val="000000" w:themeColor="text1"/>
          <w:szCs w:val="21"/>
        </w:rPr>
      </w:pPr>
      <w:r>
        <w:rPr>
          <w:b/>
          <w:color w:val="000000" w:themeColor="text1"/>
          <w:szCs w:val="21"/>
        </w:rPr>
        <w:t>7.1</w:t>
      </w:r>
      <w:r>
        <w:rPr>
          <w:rFonts w:eastAsiaTheme="minorEastAsia" w:hint="eastAsia"/>
          <w:b/>
          <w:bCs/>
          <w:color w:val="000000" w:themeColor="text1"/>
          <w:kern w:val="44"/>
          <w:szCs w:val="21"/>
        </w:rPr>
        <w:t>基金管理人持有本基金份额变动情况</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086900" w:rsidRDefault="00FD1A01" w:rsidP="00FD1A01">
      <w:pPr>
        <w:spacing w:beforeLines="100" w:line="360" w:lineRule="auto"/>
        <w:jc w:val="left"/>
        <w:rPr>
          <w:color w:val="000000" w:themeColor="text1"/>
          <w:szCs w:val="21"/>
        </w:rPr>
      </w:pPr>
      <w:r>
        <w:rPr>
          <w:b/>
          <w:color w:val="000000" w:themeColor="text1"/>
          <w:szCs w:val="21"/>
        </w:rPr>
        <w:t>7.2</w:t>
      </w:r>
      <w:r>
        <w:rPr>
          <w:rFonts w:hint="eastAsia"/>
          <w:b/>
          <w:color w:val="000000"/>
          <w:szCs w:val="21"/>
          <w:shd w:val="clear" w:color="auto" w:fill="FFFFFF"/>
        </w:rPr>
        <w:t>基金管理人运用固有资金投资本基金交易明细</w:t>
      </w:r>
    </w:p>
    <w:p w:rsidR="00086900" w:rsidRDefault="00FD1A0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086900" w:rsidRDefault="00FD1A01" w:rsidP="00FD1A01">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备查文件目录</w:t>
      </w:r>
    </w:p>
    <w:p w:rsidR="00086900" w:rsidRDefault="00FD1A01">
      <w:pPr>
        <w:autoSpaceDE w:val="0"/>
        <w:autoSpaceDN w:val="0"/>
        <w:adjustRightInd w:val="0"/>
        <w:spacing w:line="360" w:lineRule="auto"/>
        <w:jc w:val="left"/>
        <w:rPr>
          <w:rFonts w:eastAsiaTheme="minorEastAsia"/>
          <w:b/>
          <w:bCs/>
          <w:color w:val="000000" w:themeColor="text1"/>
          <w:kern w:val="0"/>
          <w:szCs w:val="21"/>
        </w:rPr>
      </w:pPr>
      <w:r>
        <w:rPr>
          <w:rFonts w:eastAsiaTheme="minorEastAsia"/>
          <w:b/>
          <w:bCs/>
          <w:color w:val="000000" w:themeColor="text1"/>
          <w:kern w:val="0"/>
          <w:szCs w:val="21"/>
        </w:rPr>
        <w:t>8.1</w:t>
      </w:r>
      <w:r>
        <w:rPr>
          <w:rFonts w:eastAsiaTheme="minorEastAsia"/>
          <w:b/>
          <w:bCs/>
          <w:color w:val="000000" w:themeColor="text1"/>
          <w:kern w:val="0"/>
          <w:szCs w:val="21"/>
        </w:rPr>
        <w:t>备查文件目录</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、《华安乐惠保本混合型证券投资基金基金合同》</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、《华安乐惠保本混合型证券投资基金招募说明书》</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、《华安乐惠保本混合型证券投资基金托管协议》</w:t>
      </w:r>
    </w:p>
    <w:p w:rsidR="00086900" w:rsidRDefault="00FD1A01" w:rsidP="00FD1A01">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8.2</w:t>
      </w:r>
      <w:r>
        <w:rPr>
          <w:rFonts w:eastAsiaTheme="minorEastAsia"/>
          <w:b/>
          <w:bCs/>
          <w:color w:val="000000" w:themeColor="text1"/>
          <w:kern w:val="0"/>
          <w:szCs w:val="21"/>
        </w:rPr>
        <w:t>存放地点</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基金管理人和基金托管人的办公场所，并登载于基金管理人互联网站</w:t>
      </w:r>
      <w:r>
        <w:rPr>
          <w:rFonts w:eastAsiaTheme="minorEastAsia"/>
          <w:color w:val="000000" w:themeColor="text1"/>
          <w:szCs w:val="21"/>
        </w:rPr>
        <w:t>http://www.huaan.com.cn</w:t>
      </w:r>
      <w:r>
        <w:rPr>
          <w:rFonts w:eastAsiaTheme="minorEastAsia"/>
          <w:color w:val="000000" w:themeColor="text1"/>
          <w:szCs w:val="21"/>
        </w:rPr>
        <w:t>。</w:t>
      </w:r>
    </w:p>
    <w:p w:rsidR="00086900" w:rsidRDefault="00FD1A01" w:rsidP="00FD1A01">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8.3</w:t>
      </w:r>
      <w:r>
        <w:rPr>
          <w:rFonts w:eastAsiaTheme="minorEastAsia"/>
          <w:b/>
          <w:bCs/>
          <w:color w:val="000000" w:themeColor="text1"/>
          <w:kern w:val="0"/>
          <w:szCs w:val="21"/>
        </w:rPr>
        <w:t>查阅方式</w:t>
      </w:r>
    </w:p>
    <w:p w:rsidR="00086900" w:rsidRDefault="00FD1A01">
      <w:pPr>
        <w:spacing w:line="360" w:lineRule="auto"/>
        <w:ind w:firstLineChars="200" w:firstLine="420"/>
        <w:rPr>
          <w:rFonts w:eastAsiaTheme="minorEastAsia"/>
          <w:color w:val="000000" w:themeColor="text1"/>
          <w:szCs w:val="21"/>
        </w:rPr>
      </w:pPr>
      <w:r>
        <w:rPr>
          <w:rFonts w:eastAsiaTheme="minorEastAsia"/>
          <w:color w:val="000000" w:themeColor="text1"/>
          <w:szCs w:val="21"/>
        </w:rPr>
        <w:t>投资者可登录基金管理人互联网站查阅，或在营业时间内至基金管理人或基金托管人的办公场所免费查阅。</w:t>
      </w:r>
    </w:p>
    <w:p w:rsidR="00086900" w:rsidRDefault="00086900">
      <w:pPr>
        <w:spacing w:line="360" w:lineRule="auto"/>
        <w:ind w:left="840"/>
        <w:jc w:val="right"/>
        <w:rPr>
          <w:rFonts w:eastAsiaTheme="minorEastAsia"/>
          <w:color w:val="000000" w:themeColor="text1"/>
          <w:szCs w:val="21"/>
        </w:rPr>
      </w:pPr>
    </w:p>
    <w:p w:rsidR="00086900" w:rsidRDefault="00086900">
      <w:pPr>
        <w:spacing w:line="360" w:lineRule="auto"/>
        <w:ind w:left="840"/>
        <w:jc w:val="center"/>
        <w:rPr>
          <w:rFonts w:eastAsiaTheme="minorEastAsia"/>
          <w:b/>
          <w:color w:val="000000" w:themeColor="text1"/>
          <w:szCs w:val="21"/>
        </w:rPr>
      </w:pPr>
    </w:p>
    <w:p w:rsidR="00086900" w:rsidRDefault="00FD1A01">
      <w:pPr>
        <w:spacing w:line="360" w:lineRule="auto"/>
        <w:jc w:val="right"/>
        <w:rPr>
          <w:rFonts w:eastAsiaTheme="minorEastAsia"/>
          <w:b/>
          <w:bCs/>
          <w:color w:val="000000" w:themeColor="text1"/>
          <w:szCs w:val="21"/>
        </w:rPr>
      </w:pPr>
      <w:r>
        <w:rPr>
          <w:rFonts w:eastAsiaTheme="minorEastAsia"/>
          <w:b/>
          <w:bCs/>
          <w:color w:val="000000" w:themeColor="text1"/>
          <w:szCs w:val="21"/>
        </w:rPr>
        <w:t>华安基金管理有限公司</w:t>
      </w:r>
    </w:p>
    <w:p w:rsidR="00086900" w:rsidRDefault="00FD1A01">
      <w:pPr>
        <w:spacing w:line="360" w:lineRule="auto"/>
        <w:jc w:val="right"/>
        <w:rPr>
          <w:rFonts w:eastAsiaTheme="minorEastAsia"/>
          <w:b/>
          <w:bCs/>
          <w:color w:val="000000" w:themeColor="text1"/>
          <w:szCs w:val="21"/>
        </w:rPr>
      </w:pPr>
      <w:r>
        <w:rPr>
          <w:rFonts w:eastAsiaTheme="minorEastAsia"/>
          <w:b/>
          <w:bCs/>
          <w:color w:val="000000" w:themeColor="text1"/>
          <w:szCs w:val="21"/>
        </w:rPr>
        <w:t>二〇一八年一月二十二日</w:t>
      </w:r>
    </w:p>
    <w:sectPr w:rsidR="00086900" w:rsidSect="00086900">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900" w:rsidRDefault="00086900" w:rsidP="00086900">
      <w:r>
        <w:separator/>
      </w:r>
    </w:p>
  </w:endnote>
  <w:endnote w:type="continuationSeparator" w:id="1">
    <w:p w:rsidR="00086900" w:rsidRDefault="00086900" w:rsidP="00086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auto"/>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0" w:rsidRDefault="00FD1A01">
    <w:pPr>
      <w:pStyle w:val="ac"/>
      <w:jc w:val="center"/>
    </w:pPr>
    <w:r>
      <w:rPr>
        <w:rFonts w:hint="eastAsia"/>
        <w:kern w:val="0"/>
        <w:szCs w:val="21"/>
      </w:rPr>
      <w:t>第</w:t>
    </w:r>
    <w:r w:rsidR="00086900">
      <w:rPr>
        <w:kern w:val="0"/>
        <w:szCs w:val="21"/>
      </w:rPr>
      <w:fldChar w:fldCharType="begin"/>
    </w:r>
    <w:r>
      <w:rPr>
        <w:kern w:val="0"/>
        <w:szCs w:val="21"/>
      </w:rPr>
      <w:instrText xml:space="preserve"> PAGE </w:instrText>
    </w:r>
    <w:r w:rsidR="00086900">
      <w:rPr>
        <w:kern w:val="0"/>
        <w:szCs w:val="21"/>
      </w:rPr>
      <w:fldChar w:fldCharType="separate"/>
    </w:r>
    <w:r>
      <w:rPr>
        <w:noProof/>
        <w:kern w:val="0"/>
        <w:szCs w:val="21"/>
      </w:rPr>
      <w:t>1</w:t>
    </w:r>
    <w:r w:rsidR="00086900">
      <w:rPr>
        <w:kern w:val="0"/>
        <w:szCs w:val="21"/>
      </w:rPr>
      <w:fldChar w:fldCharType="end"/>
    </w:r>
    <w:r>
      <w:rPr>
        <w:rFonts w:hint="eastAsia"/>
        <w:kern w:val="0"/>
        <w:szCs w:val="21"/>
      </w:rPr>
      <w:t>页共</w:t>
    </w:r>
    <w:r w:rsidR="00086900">
      <w:rPr>
        <w:kern w:val="0"/>
        <w:szCs w:val="21"/>
      </w:rPr>
      <w:fldChar w:fldCharType="begin"/>
    </w:r>
    <w:r>
      <w:rPr>
        <w:kern w:val="0"/>
        <w:szCs w:val="21"/>
      </w:rPr>
      <w:instrText xml:space="preserve"> NUMPAGES </w:instrText>
    </w:r>
    <w:r w:rsidR="00086900">
      <w:rPr>
        <w:kern w:val="0"/>
        <w:szCs w:val="21"/>
      </w:rPr>
      <w:fldChar w:fldCharType="separate"/>
    </w:r>
    <w:r>
      <w:rPr>
        <w:noProof/>
        <w:kern w:val="0"/>
        <w:szCs w:val="21"/>
      </w:rPr>
      <w:t>3</w:t>
    </w:r>
    <w:r w:rsidR="00086900">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0" w:rsidRDefault="00086900">
    <w:pPr>
      <w:pStyle w:val="ac"/>
      <w:framePr w:wrap="around" w:vAnchor="text" w:hAnchor="margin" w:xAlign="center" w:y="1"/>
      <w:rPr>
        <w:rStyle w:val="af2"/>
      </w:rPr>
    </w:pPr>
    <w:r>
      <w:rPr>
        <w:rStyle w:val="af2"/>
      </w:rPr>
      <w:fldChar w:fldCharType="begin"/>
    </w:r>
    <w:r w:rsidR="00FD1A01">
      <w:rPr>
        <w:rStyle w:val="af2"/>
      </w:rPr>
      <w:instrText xml:space="preserve">PAGE  </w:instrText>
    </w:r>
    <w:r>
      <w:rPr>
        <w:rStyle w:val="af2"/>
      </w:rPr>
      <w:fldChar w:fldCharType="end"/>
    </w:r>
  </w:p>
  <w:p w:rsidR="00086900" w:rsidRDefault="0008690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0" w:rsidRDefault="00086900">
    <w:pPr>
      <w:pStyle w:val="ac"/>
      <w:framePr w:wrap="around" w:vAnchor="text" w:hAnchor="margin" w:xAlign="center" w:y="1"/>
      <w:rPr>
        <w:rStyle w:val="af2"/>
      </w:rPr>
    </w:pPr>
    <w:r>
      <w:rPr>
        <w:rStyle w:val="af2"/>
      </w:rPr>
      <w:fldChar w:fldCharType="begin"/>
    </w:r>
    <w:r w:rsidR="00FD1A01">
      <w:rPr>
        <w:rStyle w:val="af2"/>
      </w:rPr>
      <w:instrText xml:space="preserve">PAGE  </w:instrText>
    </w:r>
    <w:r>
      <w:rPr>
        <w:rStyle w:val="af2"/>
      </w:rPr>
      <w:fldChar w:fldCharType="separate"/>
    </w:r>
    <w:r w:rsidR="00FD1A01">
      <w:rPr>
        <w:rStyle w:val="af2"/>
        <w:noProof/>
      </w:rPr>
      <w:t>2</w:t>
    </w:r>
    <w:r>
      <w:rPr>
        <w:rStyle w:val="af2"/>
      </w:rPr>
      <w:fldChar w:fldCharType="end"/>
    </w:r>
  </w:p>
  <w:p w:rsidR="00086900" w:rsidRDefault="0008690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900" w:rsidRDefault="00086900" w:rsidP="00086900">
      <w:r>
        <w:separator/>
      </w:r>
    </w:p>
  </w:footnote>
  <w:footnote w:type="continuationSeparator" w:id="1">
    <w:p w:rsidR="00086900" w:rsidRDefault="00086900" w:rsidP="00086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0" w:rsidRDefault="00FD1A01">
    <w:pPr>
      <w:pStyle w:val="ad"/>
      <w:pBdr>
        <w:bottom w:val="single" w:sz="6" w:space="0" w:color="auto"/>
      </w:pBdr>
      <w:jc w:val="right"/>
    </w:pPr>
    <w:r>
      <w:t>华安乐惠保本混合型证券投资基金</w:t>
    </w:r>
    <w:r>
      <w:t>2017</w:t>
    </w:r>
    <w:r>
      <w:t>年第</w:t>
    </w:r>
    <w:r>
      <w:t>4</w:t>
    </w:r>
    <w:r>
      <w:t>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6B97"/>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43C"/>
    <w:rsid w:val="000827CC"/>
    <w:rsid w:val="00086900"/>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47F8"/>
    <w:rsid w:val="000C5956"/>
    <w:rsid w:val="000C757F"/>
    <w:rsid w:val="000C7DD4"/>
    <w:rsid w:val="000D0474"/>
    <w:rsid w:val="000D1164"/>
    <w:rsid w:val="000D1BBE"/>
    <w:rsid w:val="000D3773"/>
    <w:rsid w:val="000D4DE9"/>
    <w:rsid w:val="000D6660"/>
    <w:rsid w:val="000D6BA0"/>
    <w:rsid w:val="000D7ECA"/>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80E"/>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2BFF"/>
    <w:rsid w:val="00343016"/>
    <w:rsid w:val="0034447B"/>
    <w:rsid w:val="00346037"/>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2BA"/>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571B"/>
    <w:rsid w:val="00706046"/>
    <w:rsid w:val="007112F0"/>
    <w:rsid w:val="00711343"/>
    <w:rsid w:val="00714309"/>
    <w:rsid w:val="007143C1"/>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2CF"/>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1677"/>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501"/>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E7A52"/>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3FA"/>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1A01"/>
    <w:rsid w:val="00FD5E71"/>
    <w:rsid w:val="00FD7D41"/>
    <w:rsid w:val="00FE0072"/>
    <w:rsid w:val="00FE0C71"/>
    <w:rsid w:val="00FE1E47"/>
    <w:rsid w:val="00FE275D"/>
    <w:rsid w:val="00FE65AC"/>
    <w:rsid w:val="00FE7FBD"/>
    <w:rsid w:val="00FF10BC"/>
    <w:rsid w:val="00FF5DCF"/>
    <w:rsid w:val="00FF699B"/>
    <w:rsid w:val="00FF6ADB"/>
    <w:rsid w:val="46AC1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900"/>
    <w:pPr>
      <w:widowControl w:val="0"/>
      <w:jc w:val="both"/>
    </w:pPr>
    <w:rPr>
      <w:kern w:val="2"/>
      <w:sz w:val="21"/>
      <w:szCs w:val="24"/>
    </w:rPr>
  </w:style>
  <w:style w:type="paragraph" w:styleId="1">
    <w:name w:val="heading 1"/>
    <w:basedOn w:val="a"/>
    <w:next w:val="a"/>
    <w:link w:val="1Char"/>
    <w:qFormat/>
    <w:rsid w:val="00086900"/>
    <w:pPr>
      <w:keepNext/>
      <w:keepLines/>
      <w:spacing w:before="340" w:after="330" w:line="578" w:lineRule="auto"/>
      <w:outlineLvl w:val="0"/>
    </w:pPr>
    <w:rPr>
      <w:b/>
      <w:bCs/>
      <w:kern w:val="44"/>
      <w:sz w:val="44"/>
      <w:szCs w:val="44"/>
    </w:rPr>
  </w:style>
  <w:style w:type="paragraph" w:styleId="2">
    <w:name w:val="heading 2"/>
    <w:basedOn w:val="a"/>
    <w:next w:val="a0"/>
    <w:qFormat/>
    <w:rsid w:val="00086900"/>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rsid w:val="0008690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086900"/>
    <w:pPr>
      <w:ind w:firstLineChars="200" w:firstLine="420"/>
    </w:pPr>
  </w:style>
  <w:style w:type="paragraph" w:styleId="a4">
    <w:name w:val="annotation subject"/>
    <w:basedOn w:val="a5"/>
    <w:next w:val="a5"/>
    <w:semiHidden/>
    <w:qFormat/>
    <w:rsid w:val="00086900"/>
    <w:rPr>
      <w:b/>
      <w:bCs/>
    </w:rPr>
  </w:style>
  <w:style w:type="paragraph" w:styleId="a5">
    <w:name w:val="annotation text"/>
    <w:basedOn w:val="a"/>
    <w:semiHidden/>
    <w:qFormat/>
    <w:rsid w:val="00086900"/>
    <w:pPr>
      <w:jc w:val="left"/>
    </w:pPr>
  </w:style>
  <w:style w:type="paragraph" w:styleId="a6">
    <w:name w:val="Document Map"/>
    <w:basedOn w:val="a"/>
    <w:semiHidden/>
    <w:qFormat/>
    <w:rsid w:val="00086900"/>
    <w:pPr>
      <w:shd w:val="clear" w:color="auto" w:fill="000080"/>
    </w:pPr>
  </w:style>
  <w:style w:type="paragraph" w:styleId="a7">
    <w:name w:val="Body Text"/>
    <w:basedOn w:val="a"/>
    <w:qFormat/>
    <w:rsid w:val="00086900"/>
    <w:pPr>
      <w:spacing w:after="120"/>
    </w:pPr>
  </w:style>
  <w:style w:type="paragraph" w:styleId="a8">
    <w:name w:val="Body Text Indent"/>
    <w:basedOn w:val="a"/>
    <w:qFormat/>
    <w:rsid w:val="00086900"/>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Char"/>
    <w:uiPriority w:val="99"/>
    <w:qFormat/>
    <w:rsid w:val="00086900"/>
    <w:rPr>
      <w:rFonts w:ascii="宋体" w:hAnsi="Courier New"/>
      <w:szCs w:val="21"/>
    </w:rPr>
  </w:style>
  <w:style w:type="paragraph" w:styleId="aa">
    <w:name w:val="Date"/>
    <w:basedOn w:val="a"/>
    <w:next w:val="a"/>
    <w:link w:val="Char0"/>
    <w:qFormat/>
    <w:rsid w:val="00086900"/>
    <w:rPr>
      <w:sz w:val="24"/>
      <w:szCs w:val="20"/>
    </w:rPr>
  </w:style>
  <w:style w:type="paragraph" w:styleId="20">
    <w:name w:val="Body Text Indent 2"/>
    <w:basedOn w:val="a"/>
    <w:qFormat/>
    <w:rsid w:val="00086900"/>
    <w:pPr>
      <w:spacing w:line="560" w:lineRule="exact"/>
      <w:ind w:firstLineChars="200" w:firstLine="480"/>
    </w:pPr>
    <w:rPr>
      <w:rFonts w:ascii="宋体" w:hAnsi="宋体"/>
      <w:color w:val="FF0000"/>
      <w:sz w:val="24"/>
    </w:rPr>
  </w:style>
  <w:style w:type="paragraph" w:styleId="ab">
    <w:name w:val="Balloon Text"/>
    <w:basedOn w:val="a"/>
    <w:semiHidden/>
    <w:qFormat/>
    <w:rsid w:val="00086900"/>
    <w:rPr>
      <w:sz w:val="18"/>
      <w:szCs w:val="18"/>
    </w:rPr>
  </w:style>
  <w:style w:type="paragraph" w:styleId="ac">
    <w:name w:val="footer"/>
    <w:basedOn w:val="a"/>
    <w:qFormat/>
    <w:rsid w:val="00086900"/>
    <w:pPr>
      <w:tabs>
        <w:tab w:val="center" w:pos="4153"/>
        <w:tab w:val="right" w:pos="8306"/>
      </w:tabs>
      <w:snapToGrid w:val="0"/>
      <w:jc w:val="left"/>
    </w:pPr>
    <w:rPr>
      <w:sz w:val="18"/>
      <w:szCs w:val="18"/>
    </w:rPr>
  </w:style>
  <w:style w:type="paragraph" w:styleId="ad">
    <w:name w:val="header"/>
    <w:basedOn w:val="a"/>
    <w:link w:val="Char1"/>
    <w:uiPriority w:val="99"/>
    <w:qFormat/>
    <w:rsid w:val="00086900"/>
    <w:pPr>
      <w:pBdr>
        <w:bottom w:val="single" w:sz="6" w:space="1" w:color="auto"/>
      </w:pBdr>
      <w:tabs>
        <w:tab w:val="center" w:pos="4153"/>
        <w:tab w:val="right" w:pos="8306"/>
      </w:tabs>
      <w:snapToGrid w:val="0"/>
      <w:jc w:val="center"/>
    </w:pPr>
    <w:rPr>
      <w:sz w:val="18"/>
      <w:szCs w:val="18"/>
    </w:rPr>
  </w:style>
  <w:style w:type="paragraph" w:styleId="ae">
    <w:name w:val="List"/>
    <w:basedOn w:val="a7"/>
    <w:qFormat/>
    <w:rsid w:val="00086900"/>
    <w:pPr>
      <w:spacing w:after="220" w:line="220" w:lineRule="atLeast"/>
      <w:ind w:left="1440" w:hanging="360"/>
    </w:pPr>
    <w:rPr>
      <w:szCs w:val="20"/>
    </w:rPr>
  </w:style>
  <w:style w:type="paragraph" w:styleId="af">
    <w:name w:val="footnote text"/>
    <w:basedOn w:val="a"/>
    <w:link w:val="Char2"/>
    <w:qFormat/>
    <w:rsid w:val="00086900"/>
    <w:pPr>
      <w:snapToGrid w:val="0"/>
      <w:jc w:val="left"/>
    </w:pPr>
    <w:rPr>
      <w:sz w:val="18"/>
      <w:szCs w:val="18"/>
    </w:rPr>
  </w:style>
  <w:style w:type="paragraph" w:styleId="30">
    <w:name w:val="Body Text Indent 3"/>
    <w:basedOn w:val="a"/>
    <w:qFormat/>
    <w:rsid w:val="00086900"/>
    <w:pPr>
      <w:spacing w:line="560" w:lineRule="exact"/>
      <w:ind w:firstLineChars="200" w:firstLine="420"/>
    </w:pPr>
    <w:rPr>
      <w:rFonts w:ascii="Arial" w:hAnsi="Arial" w:cs="Arial"/>
      <w:color w:val="FF0000"/>
    </w:rPr>
  </w:style>
  <w:style w:type="paragraph" w:styleId="af0">
    <w:name w:val="Normal (Web)"/>
    <w:basedOn w:val="a"/>
    <w:qFormat/>
    <w:rsid w:val="00086900"/>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rsid w:val="00086900"/>
    <w:pPr>
      <w:jc w:val="right"/>
    </w:pPr>
    <w:rPr>
      <w:color w:val="008000"/>
    </w:rPr>
  </w:style>
  <w:style w:type="character" w:styleId="af1">
    <w:name w:val="Strong"/>
    <w:basedOn w:val="a1"/>
    <w:uiPriority w:val="22"/>
    <w:qFormat/>
    <w:rsid w:val="00086900"/>
    <w:rPr>
      <w:b/>
      <w:bCs/>
    </w:rPr>
  </w:style>
  <w:style w:type="character" w:styleId="af2">
    <w:name w:val="page number"/>
    <w:basedOn w:val="a1"/>
    <w:qFormat/>
    <w:rsid w:val="00086900"/>
  </w:style>
  <w:style w:type="character" w:styleId="af3">
    <w:name w:val="Hyperlink"/>
    <w:basedOn w:val="a1"/>
    <w:qFormat/>
    <w:rsid w:val="00086900"/>
    <w:rPr>
      <w:color w:val="0000FF"/>
      <w:u w:val="single"/>
    </w:rPr>
  </w:style>
  <w:style w:type="character" w:styleId="af4">
    <w:name w:val="annotation reference"/>
    <w:basedOn w:val="a1"/>
    <w:semiHidden/>
    <w:qFormat/>
    <w:rsid w:val="00086900"/>
    <w:rPr>
      <w:sz w:val="21"/>
      <w:szCs w:val="21"/>
    </w:rPr>
  </w:style>
  <w:style w:type="character" w:styleId="af5">
    <w:name w:val="footnote reference"/>
    <w:basedOn w:val="a1"/>
    <w:qFormat/>
    <w:rsid w:val="00086900"/>
    <w:rPr>
      <w:vertAlign w:val="superscript"/>
    </w:rPr>
  </w:style>
  <w:style w:type="table" w:styleId="af6">
    <w:name w:val="Table Grid"/>
    <w:basedOn w:val="a2"/>
    <w:qFormat/>
    <w:rsid w:val="000869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已访问的超链接1"/>
    <w:basedOn w:val="a1"/>
    <w:qFormat/>
    <w:rsid w:val="00086900"/>
    <w:rPr>
      <w:color w:val="800080"/>
      <w:u w:val="single"/>
    </w:rPr>
  </w:style>
  <w:style w:type="character" w:customStyle="1" w:styleId="c1">
    <w:name w:val="c1"/>
    <w:basedOn w:val="a1"/>
    <w:qFormat/>
    <w:rsid w:val="00086900"/>
    <w:rPr>
      <w:color w:val="000000"/>
      <w:sz w:val="18"/>
      <w:szCs w:val="18"/>
    </w:rPr>
  </w:style>
  <w:style w:type="paragraph" w:customStyle="1" w:styleId="font5">
    <w:name w:val="font5"/>
    <w:basedOn w:val="a"/>
    <w:qFormat/>
    <w:rsid w:val="00086900"/>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rsid w:val="00086900"/>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rsid w:val="0008690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rsid w:val="0008690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rsid w:val="0008690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rsid w:val="0008690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rsid w:val="0008690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rsid w:val="000869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rsid w:val="0008690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3">
    <w:name w:val="Char"/>
    <w:basedOn w:val="a"/>
    <w:qFormat/>
    <w:rsid w:val="00086900"/>
  </w:style>
  <w:style w:type="paragraph" w:customStyle="1" w:styleId="Char10">
    <w:name w:val="Char1"/>
    <w:basedOn w:val="a"/>
    <w:qFormat/>
    <w:rsid w:val="00086900"/>
  </w:style>
  <w:style w:type="character" w:customStyle="1" w:styleId="t1">
    <w:name w:val="t1"/>
    <w:basedOn w:val="a1"/>
    <w:qFormat/>
    <w:rsid w:val="00086900"/>
    <w:rPr>
      <w:color w:val="990000"/>
    </w:rPr>
  </w:style>
  <w:style w:type="character" w:customStyle="1" w:styleId="Char">
    <w:name w:val="纯文本 Char"/>
    <w:basedOn w:val="a1"/>
    <w:link w:val="a9"/>
    <w:uiPriority w:val="99"/>
    <w:rsid w:val="00086900"/>
    <w:rPr>
      <w:rFonts w:ascii="宋体" w:hAnsi="Courier New"/>
      <w:kern w:val="2"/>
      <w:sz w:val="21"/>
      <w:szCs w:val="21"/>
    </w:rPr>
  </w:style>
  <w:style w:type="character" w:customStyle="1" w:styleId="Char2">
    <w:name w:val="脚注文本 Char"/>
    <w:basedOn w:val="a1"/>
    <w:link w:val="af"/>
    <w:qFormat/>
    <w:rsid w:val="00086900"/>
    <w:rPr>
      <w:kern w:val="2"/>
      <w:sz w:val="18"/>
      <w:szCs w:val="18"/>
    </w:rPr>
  </w:style>
  <w:style w:type="paragraph" w:customStyle="1" w:styleId="Default">
    <w:name w:val="Default"/>
    <w:qFormat/>
    <w:rsid w:val="00086900"/>
    <w:pPr>
      <w:widowControl w:val="0"/>
      <w:autoSpaceDE w:val="0"/>
      <w:autoSpaceDN w:val="0"/>
      <w:adjustRightInd w:val="0"/>
    </w:pPr>
    <w:rPr>
      <w:rFonts w:ascii="仿宋" w:hAnsi="仿宋" w:cs="仿宋"/>
      <w:color w:val="000000"/>
      <w:sz w:val="24"/>
      <w:szCs w:val="24"/>
    </w:rPr>
  </w:style>
  <w:style w:type="character" w:customStyle="1" w:styleId="Char1">
    <w:name w:val="页眉 Char"/>
    <w:basedOn w:val="a1"/>
    <w:link w:val="ad"/>
    <w:uiPriority w:val="99"/>
    <w:rsid w:val="00086900"/>
    <w:rPr>
      <w:kern w:val="2"/>
      <w:sz w:val="18"/>
      <w:szCs w:val="18"/>
    </w:rPr>
  </w:style>
  <w:style w:type="character" w:customStyle="1" w:styleId="1Char">
    <w:name w:val="标题 1 Char"/>
    <w:basedOn w:val="a1"/>
    <w:link w:val="1"/>
    <w:qFormat/>
    <w:rsid w:val="00086900"/>
    <w:rPr>
      <w:b/>
      <w:bCs/>
      <w:kern w:val="44"/>
      <w:sz w:val="44"/>
      <w:szCs w:val="44"/>
    </w:rPr>
  </w:style>
  <w:style w:type="character" w:customStyle="1" w:styleId="Char0">
    <w:name w:val="日期 Char"/>
    <w:basedOn w:val="a1"/>
    <w:link w:val="aa"/>
    <w:qFormat/>
    <w:rsid w:val="00086900"/>
    <w:rPr>
      <w:kern w:val="2"/>
      <w:sz w:val="24"/>
    </w:rPr>
  </w:style>
  <w:style w:type="character" w:customStyle="1" w:styleId="3Char">
    <w:name w:val="标题 3 Char"/>
    <w:basedOn w:val="a1"/>
    <w:link w:val="3"/>
    <w:uiPriority w:val="9"/>
    <w:qFormat/>
    <w:rsid w:val="00086900"/>
    <w:rPr>
      <w:rFonts w:asciiTheme="minorHAnsi" w:eastAsiaTheme="minorEastAsia" w:hAnsiTheme="minorHAnsi" w:cstheme="minorBidi"/>
      <w:b/>
      <w:bCs/>
      <w:kern w:val="2"/>
      <w:sz w:val="32"/>
      <w:szCs w:val="32"/>
    </w:rPr>
  </w:style>
  <w:style w:type="table" w:customStyle="1" w:styleId="12">
    <w:name w:val="网格型1"/>
    <w:basedOn w:val="a2"/>
    <w:qFormat/>
    <w:rsid w:val="000869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qFormat/>
    <w:rsid w:val="000869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F644C13-61A5-40BA-BC52-D6B10E505EA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1348</Words>
  <Characters>7688</Characters>
  <Application>Microsoft Office Word</Application>
  <DocSecurity>4</DocSecurity>
  <Lines>64</Lines>
  <Paragraphs>18</Paragraphs>
  <ScaleCrop>false</ScaleCrop>
  <Company>TRT. Ltd. Co.</Company>
  <LinksUpToDate>false</LinksUpToDate>
  <CharactersWithSpaces>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2018-01-21T14:10:00Z</dcterms:created>
  <dcterms:modified xsi:type="dcterms:W3CDTF">2018-01-21T14:10:00Z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