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9A" w:rsidRDefault="0075539A">
      <w:pPr>
        <w:autoSpaceDE w:val="0"/>
        <w:autoSpaceDN w:val="0"/>
        <w:adjustRightInd w:val="0"/>
        <w:spacing w:line="360" w:lineRule="auto"/>
        <w:jc w:val="left"/>
        <w:rPr>
          <w:rFonts w:eastAsiaTheme="minorEastAsia"/>
          <w:color w:val="000000" w:themeColor="text1"/>
          <w:kern w:val="0"/>
          <w:szCs w:val="21"/>
        </w:rPr>
      </w:pPr>
    </w:p>
    <w:p w:rsidR="0075539A" w:rsidRDefault="0075539A">
      <w:pPr>
        <w:autoSpaceDE w:val="0"/>
        <w:autoSpaceDN w:val="0"/>
        <w:adjustRightInd w:val="0"/>
        <w:spacing w:line="360" w:lineRule="auto"/>
        <w:jc w:val="left"/>
        <w:rPr>
          <w:rFonts w:eastAsiaTheme="minorEastAsia"/>
          <w:color w:val="000000" w:themeColor="text1"/>
          <w:kern w:val="0"/>
          <w:szCs w:val="21"/>
        </w:rPr>
      </w:pPr>
    </w:p>
    <w:p w:rsidR="0075539A" w:rsidRDefault="0075539A">
      <w:pPr>
        <w:autoSpaceDE w:val="0"/>
        <w:autoSpaceDN w:val="0"/>
        <w:adjustRightInd w:val="0"/>
        <w:spacing w:line="360" w:lineRule="auto"/>
        <w:jc w:val="left"/>
        <w:rPr>
          <w:rFonts w:eastAsiaTheme="minorEastAsia"/>
          <w:color w:val="000000" w:themeColor="text1"/>
          <w:kern w:val="0"/>
          <w:szCs w:val="21"/>
        </w:rPr>
      </w:pPr>
    </w:p>
    <w:p w:rsidR="0075539A" w:rsidRDefault="0075539A">
      <w:pPr>
        <w:autoSpaceDE w:val="0"/>
        <w:autoSpaceDN w:val="0"/>
        <w:adjustRightInd w:val="0"/>
        <w:spacing w:line="360" w:lineRule="auto"/>
        <w:jc w:val="left"/>
        <w:rPr>
          <w:rFonts w:eastAsiaTheme="minorEastAsia"/>
          <w:color w:val="000000" w:themeColor="text1"/>
          <w:kern w:val="0"/>
          <w:szCs w:val="21"/>
        </w:rPr>
      </w:pPr>
    </w:p>
    <w:p w:rsidR="0075539A" w:rsidRDefault="0075539A">
      <w:pPr>
        <w:autoSpaceDE w:val="0"/>
        <w:autoSpaceDN w:val="0"/>
        <w:adjustRightInd w:val="0"/>
        <w:spacing w:line="360" w:lineRule="auto"/>
        <w:jc w:val="left"/>
        <w:rPr>
          <w:rFonts w:eastAsiaTheme="minorEastAsia"/>
          <w:color w:val="000000" w:themeColor="text1"/>
          <w:kern w:val="0"/>
          <w:szCs w:val="21"/>
        </w:rPr>
      </w:pPr>
    </w:p>
    <w:p w:rsidR="0075539A" w:rsidRDefault="00F533D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华安安润灵活配置混合型证券投资基金</w:t>
      </w:r>
    </w:p>
    <w:p w:rsidR="0075539A" w:rsidRDefault="00F533DF">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2017</w:t>
      </w:r>
      <w:r>
        <w:rPr>
          <w:rFonts w:eastAsiaTheme="minorEastAsia"/>
          <w:b/>
          <w:color w:val="000000" w:themeColor="text1"/>
          <w:sz w:val="36"/>
          <w:szCs w:val="36"/>
        </w:rPr>
        <w:t>年第</w:t>
      </w:r>
      <w:r>
        <w:rPr>
          <w:rFonts w:eastAsiaTheme="minorEastAsia"/>
          <w:b/>
          <w:color w:val="000000" w:themeColor="text1"/>
          <w:sz w:val="36"/>
          <w:szCs w:val="36"/>
        </w:rPr>
        <w:t>4</w:t>
      </w:r>
      <w:r>
        <w:rPr>
          <w:rFonts w:eastAsiaTheme="minorEastAsia"/>
          <w:b/>
          <w:color w:val="000000" w:themeColor="text1"/>
          <w:sz w:val="36"/>
          <w:szCs w:val="36"/>
        </w:rPr>
        <w:t>季度报告</w:t>
      </w:r>
    </w:p>
    <w:p w:rsidR="0075539A" w:rsidRDefault="00F533DF">
      <w:pPr>
        <w:spacing w:line="360" w:lineRule="auto"/>
        <w:jc w:val="center"/>
        <w:rPr>
          <w:rFonts w:eastAsiaTheme="minorEastAsia"/>
          <w:b/>
          <w:color w:val="000000" w:themeColor="text1"/>
          <w:szCs w:val="21"/>
        </w:rPr>
      </w:pPr>
      <w:r>
        <w:rPr>
          <w:rFonts w:eastAsiaTheme="minorEastAsia"/>
          <w:b/>
          <w:color w:val="000000" w:themeColor="text1"/>
          <w:sz w:val="36"/>
          <w:szCs w:val="36"/>
        </w:rPr>
        <w:t>2017</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jc w:val="center"/>
        <w:rPr>
          <w:rFonts w:eastAsiaTheme="minorEastAsia"/>
          <w:b/>
          <w:color w:val="000000" w:themeColor="text1"/>
          <w:szCs w:val="21"/>
        </w:rPr>
      </w:pPr>
    </w:p>
    <w:p w:rsidR="0075539A" w:rsidRDefault="0075539A">
      <w:pPr>
        <w:spacing w:line="360" w:lineRule="auto"/>
        <w:rPr>
          <w:rFonts w:eastAsiaTheme="minorEastAsia"/>
          <w:b/>
          <w:color w:val="000000" w:themeColor="text1"/>
          <w:szCs w:val="21"/>
        </w:rPr>
      </w:pPr>
    </w:p>
    <w:p w:rsidR="0075539A" w:rsidRDefault="00F533D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基金管理人：华安基金管理有限公司</w:t>
      </w:r>
    </w:p>
    <w:p w:rsidR="0075539A" w:rsidRDefault="00F533DF">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基金托管人：中国邮政储蓄银行股份有限公司</w:t>
      </w:r>
    </w:p>
    <w:p w:rsidR="0075539A" w:rsidRDefault="00F533DF">
      <w:pPr>
        <w:spacing w:line="360" w:lineRule="auto"/>
        <w:ind w:firstLineChars="900" w:firstLine="2168"/>
        <w:rPr>
          <w:rFonts w:eastAsiaTheme="minorEastAsia"/>
          <w:color w:val="000000" w:themeColor="text1"/>
          <w:szCs w:val="21"/>
        </w:rPr>
        <w:sectPr w:rsidR="0075539A">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报告送出日期：二〇一八年一月二十二日</w:t>
      </w:r>
    </w:p>
    <w:p w:rsidR="0075539A" w:rsidRDefault="00F533DF" w:rsidP="00F533DF">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基金托管人中国邮政储蓄银行股份有限公司根据本基金合同规定，于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75539A">
        <w:tc>
          <w:tcPr>
            <w:tcW w:w="2835"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华安安润灵活配置混合</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002153</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8,590,011.91</w:t>
            </w:r>
            <w:r>
              <w:rPr>
                <w:rFonts w:eastAsiaTheme="minorEastAsia"/>
                <w:color w:val="000000" w:themeColor="text1"/>
                <w:kern w:val="0"/>
                <w:szCs w:val="21"/>
              </w:rPr>
              <w:t>份</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本基金在严格控制风险的前提下，通过大类资产的优化配置和高安全边际的证券精选，追求超越业绩比较基准的投资回报和资产的长期稳健增值。</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采取相对灵活的资产配置策略，通过将基金资产在权益类、固定收益类工具之间灵活配置，并适当借用金融衍生品的投资来追求基金资产的长期稳健增值。在具体大类资产配置过程中，本基金将使用定量与定性相结合的研究方法对宏观经济、国家政策、资金面和市场情绪等可能影响证券市场的重要因素进行研究和预测，结合使用公司</w:t>
            </w:r>
            <w:r>
              <w:rPr>
                <w:rFonts w:eastAsiaTheme="minorEastAsia"/>
                <w:color w:val="000000" w:themeColor="text1"/>
                <w:kern w:val="0"/>
                <w:szCs w:val="21"/>
              </w:rPr>
              <w:lastRenderedPageBreak/>
              <w:t>自主研发的多因子动态资产配置模型、基于投资时钟理论的资产配置模型等经济</w:t>
            </w:r>
            <w:r>
              <w:rPr>
                <w:rFonts w:eastAsiaTheme="minorEastAsia"/>
                <w:color w:val="000000" w:themeColor="text1"/>
                <w:kern w:val="0"/>
                <w:szCs w:val="21"/>
              </w:rPr>
              <w:t>模型，分析和比较股票、债券等市场和不同金融工具的风险收益特征，确定合适的资产配置比例，动态优化投资组合。</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50%×</w:t>
            </w:r>
            <w:r>
              <w:rPr>
                <w:rFonts w:eastAsiaTheme="minorEastAsia"/>
                <w:color w:val="000000" w:themeColor="text1"/>
                <w:kern w:val="0"/>
                <w:szCs w:val="21"/>
              </w:rPr>
              <w:t>中证</w:t>
            </w:r>
            <w:r>
              <w:rPr>
                <w:rFonts w:eastAsiaTheme="minorEastAsia"/>
                <w:color w:val="000000" w:themeColor="text1"/>
                <w:kern w:val="0"/>
                <w:szCs w:val="21"/>
              </w:rPr>
              <w:t>800</w:t>
            </w:r>
            <w:r>
              <w:rPr>
                <w:rFonts w:eastAsiaTheme="minorEastAsia"/>
                <w:color w:val="000000" w:themeColor="text1"/>
                <w:kern w:val="0"/>
                <w:szCs w:val="21"/>
              </w:rPr>
              <w:t>指数收益率＋</w:t>
            </w:r>
            <w:r>
              <w:rPr>
                <w:rFonts w:eastAsiaTheme="minorEastAsia"/>
                <w:color w:val="000000" w:themeColor="text1"/>
                <w:kern w:val="0"/>
                <w:szCs w:val="21"/>
              </w:rPr>
              <w:t>50%×</w:t>
            </w:r>
            <w:r>
              <w:rPr>
                <w:rFonts w:eastAsiaTheme="minorEastAsia"/>
                <w:color w:val="000000" w:themeColor="text1"/>
                <w:kern w:val="0"/>
                <w:szCs w:val="21"/>
              </w:rPr>
              <w:t>中国债券总指数收益率。</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本基金为混合型基金，基金的风险与预期收益高于债券型基金和货币市场基金、低于股票型基金，属于证券投资基金中的中高风险投资品种。</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华安基金管理有限公司</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中国邮政储蓄银行股份有限公司</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75539A" w:rsidRDefault="00F533DF">
            <w:pPr>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A</w:t>
            </w:r>
            <w:r>
              <w:rPr>
                <w:rFonts w:eastAsiaTheme="minorEastAsia"/>
                <w:color w:val="000000" w:themeColor="text1"/>
                <w:szCs w:val="21"/>
              </w:rPr>
              <w:t>类</w:t>
            </w:r>
          </w:p>
        </w:tc>
        <w:tc>
          <w:tcPr>
            <w:tcW w:w="2740" w:type="dxa"/>
            <w:vAlign w:val="center"/>
          </w:tcPr>
          <w:p w:rsidR="0075539A" w:rsidRDefault="00F533DF">
            <w:pPr>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C</w:t>
            </w:r>
            <w:r>
              <w:rPr>
                <w:rFonts w:eastAsiaTheme="minorEastAsia"/>
                <w:color w:val="000000" w:themeColor="text1"/>
                <w:szCs w:val="21"/>
              </w:rPr>
              <w:t>类</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75539A" w:rsidRDefault="00F533DF">
            <w:pPr>
              <w:rPr>
                <w:rFonts w:eastAsiaTheme="minorEastAsia"/>
                <w:color w:val="000000" w:themeColor="text1"/>
                <w:szCs w:val="21"/>
              </w:rPr>
            </w:pPr>
            <w:r>
              <w:rPr>
                <w:rFonts w:eastAsiaTheme="minorEastAsia"/>
                <w:color w:val="000000" w:themeColor="text1"/>
                <w:szCs w:val="21"/>
              </w:rPr>
              <w:t>002153</w:t>
            </w:r>
          </w:p>
        </w:tc>
        <w:tc>
          <w:tcPr>
            <w:tcW w:w="2740" w:type="dxa"/>
            <w:vAlign w:val="center"/>
          </w:tcPr>
          <w:p w:rsidR="0075539A" w:rsidRDefault="00F533DF">
            <w:pPr>
              <w:rPr>
                <w:rFonts w:eastAsiaTheme="minorEastAsia"/>
                <w:color w:val="000000" w:themeColor="text1"/>
                <w:szCs w:val="21"/>
              </w:rPr>
            </w:pPr>
            <w:r>
              <w:rPr>
                <w:rFonts w:eastAsiaTheme="minorEastAsia"/>
                <w:color w:val="000000" w:themeColor="text1"/>
                <w:szCs w:val="21"/>
              </w:rPr>
              <w:t>002154</w:t>
            </w:r>
          </w:p>
        </w:tc>
      </w:tr>
      <w:tr w:rsidR="0075539A">
        <w:tc>
          <w:tcPr>
            <w:tcW w:w="2835" w:type="dxa"/>
            <w:vAlign w:val="center"/>
          </w:tcPr>
          <w:p w:rsidR="0075539A" w:rsidRDefault="00F533DF">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75539A" w:rsidRDefault="00F533DF">
            <w:pPr>
              <w:rPr>
                <w:rFonts w:eastAsiaTheme="minorEastAsia"/>
                <w:color w:val="000000" w:themeColor="text1"/>
                <w:szCs w:val="21"/>
              </w:rPr>
            </w:pPr>
            <w:r>
              <w:rPr>
                <w:rFonts w:eastAsiaTheme="minorEastAsia"/>
                <w:color w:val="000000" w:themeColor="text1"/>
                <w:szCs w:val="21"/>
              </w:rPr>
              <w:t>8,541,444.64</w:t>
            </w:r>
            <w:r>
              <w:rPr>
                <w:rFonts w:eastAsiaTheme="minorEastAsia"/>
                <w:color w:val="000000" w:themeColor="text1"/>
                <w:kern w:val="0"/>
                <w:szCs w:val="21"/>
              </w:rPr>
              <w:t>份</w:t>
            </w:r>
          </w:p>
        </w:tc>
        <w:tc>
          <w:tcPr>
            <w:tcW w:w="2740" w:type="dxa"/>
            <w:vAlign w:val="center"/>
          </w:tcPr>
          <w:p w:rsidR="0075539A" w:rsidRDefault="00F533DF">
            <w:pPr>
              <w:rPr>
                <w:rFonts w:eastAsiaTheme="minorEastAsia"/>
                <w:color w:val="000000" w:themeColor="text1"/>
                <w:szCs w:val="21"/>
              </w:rPr>
            </w:pPr>
            <w:r>
              <w:rPr>
                <w:rFonts w:eastAsiaTheme="minorEastAsia"/>
                <w:color w:val="000000" w:themeColor="text1"/>
                <w:szCs w:val="21"/>
              </w:rPr>
              <w:t>48,567.27</w:t>
            </w:r>
            <w:r>
              <w:rPr>
                <w:rFonts w:eastAsiaTheme="minorEastAsia"/>
                <w:color w:val="000000" w:themeColor="text1"/>
                <w:kern w:val="0"/>
                <w:szCs w:val="21"/>
              </w:rPr>
              <w:t>份</w:t>
            </w:r>
          </w:p>
        </w:tc>
      </w:tr>
    </w:tbl>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75539A" w:rsidRDefault="00F533D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75539A" w:rsidRDefault="00F533D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75539A">
        <w:tc>
          <w:tcPr>
            <w:tcW w:w="3402" w:type="dxa"/>
            <w:vMerge w:val="restart"/>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75539A" w:rsidRDefault="00F533D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75539A" w:rsidRDefault="00F533D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p>
        </w:tc>
      </w:tr>
      <w:tr w:rsidR="0075539A">
        <w:tc>
          <w:tcPr>
            <w:tcW w:w="3402" w:type="dxa"/>
            <w:vMerge/>
            <w:vAlign w:val="center"/>
          </w:tcPr>
          <w:p w:rsidR="0075539A" w:rsidRDefault="0075539A">
            <w:pPr>
              <w:adjustRightInd w:val="0"/>
              <w:spacing w:before="29" w:line="360" w:lineRule="auto"/>
              <w:ind w:left="17"/>
              <w:rPr>
                <w:rFonts w:eastAsiaTheme="minorEastAsia"/>
                <w:color w:val="000000" w:themeColor="text1"/>
                <w:kern w:val="0"/>
                <w:szCs w:val="21"/>
              </w:rPr>
            </w:pPr>
          </w:p>
        </w:tc>
        <w:tc>
          <w:tcPr>
            <w:tcW w:w="2481" w:type="dxa"/>
            <w:vAlign w:val="center"/>
          </w:tcPr>
          <w:p w:rsidR="0075539A" w:rsidRDefault="00F533D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A</w:t>
            </w:r>
            <w:r>
              <w:rPr>
                <w:rFonts w:eastAsiaTheme="minorEastAsia"/>
                <w:color w:val="000000" w:themeColor="text1"/>
                <w:szCs w:val="21"/>
              </w:rPr>
              <w:t>类</w:t>
            </w:r>
          </w:p>
        </w:tc>
        <w:tc>
          <w:tcPr>
            <w:tcW w:w="2481" w:type="dxa"/>
            <w:vAlign w:val="center"/>
          </w:tcPr>
          <w:p w:rsidR="0075539A" w:rsidRDefault="00F533DF">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C</w:t>
            </w:r>
            <w:r>
              <w:rPr>
                <w:rFonts w:eastAsiaTheme="minorEastAsia"/>
                <w:color w:val="000000" w:themeColor="text1"/>
                <w:szCs w:val="21"/>
              </w:rPr>
              <w:t>类</w:t>
            </w:r>
          </w:p>
        </w:tc>
      </w:tr>
      <w:tr w:rsidR="0075539A">
        <w:tc>
          <w:tcPr>
            <w:tcW w:w="3402"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5,814,726.98</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2,515.09</w:t>
            </w:r>
          </w:p>
        </w:tc>
      </w:tr>
      <w:tr w:rsidR="0075539A">
        <w:tc>
          <w:tcPr>
            <w:tcW w:w="3402"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4,901,161.88</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511.60</w:t>
            </w:r>
          </w:p>
        </w:tc>
      </w:tr>
      <w:tr w:rsidR="0075539A">
        <w:tc>
          <w:tcPr>
            <w:tcW w:w="3402"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0.0375</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0.0144</w:t>
            </w:r>
          </w:p>
        </w:tc>
      </w:tr>
      <w:tr w:rsidR="0075539A">
        <w:tc>
          <w:tcPr>
            <w:tcW w:w="3402"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8,950,336.55</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50,857.87</w:t>
            </w:r>
          </w:p>
        </w:tc>
      </w:tr>
      <w:tr w:rsidR="0075539A">
        <w:trPr>
          <w:trHeight w:val="158"/>
        </w:trPr>
        <w:tc>
          <w:tcPr>
            <w:tcW w:w="3402" w:type="dxa"/>
            <w:vAlign w:val="center"/>
          </w:tcPr>
          <w:p w:rsidR="0075539A" w:rsidRDefault="00F533DF">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1.048</w:t>
            </w:r>
          </w:p>
        </w:tc>
        <w:tc>
          <w:tcPr>
            <w:tcW w:w="2481" w:type="dxa"/>
            <w:vAlign w:val="center"/>
          </w:tcPr>
          <w:p w:rsidR="0075539A" w:rsidRDefault="00F533DF">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1.047</w:t>
            </w:r>
          </w:p>
        </w:tc>
      </w:tr>
    </w:tbl>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、所述基金业绩指标不包括持有人认购或交易基金的各项费用（例如：封闭式基金交易佣金，开放式基金的申购赎回费、红利再投资费、基金转换费等），计入费用后实际收益水平要低于所列数字。</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、本期已实现收益指基金本期利息收入、投资收益、其他收入（不含公允价值变动收益）扣除相关费用后的余额，本期利润为本期已实现收益加上本期公允价值变动收益。</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75539A" w:rsidRDefault="00F533D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75539A" w:rsidRDefault="00F533DF">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华安安润灵活配置混合</w:t>
      </w:r>
      <w:r>
        <w:rPr>
          <w:rFonts w:eastAsiaTheme="minorEastAsia"/>
          <w:b/>
          <w:color w:val="000000" w:themeColor="text1"/>
          <w:kern w:val="0"/>
          <w:szCs w:val="21"/>
        </w:rPr>
        <w:t>A</w:t>
      </w:r>
      <w:r>
        <w:rPr>
          <w:rFonts w:eastAsiaTheme="minorEastAsia"/>
          <w:b/>
          <w:color w:val="000000" w:themeColor="text1"/>
          <w:kern w:val="0"/>
          <w:szCs w:val="21"/>
        </w:rPr>
        <w:t>类</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75539A">
        <w:tc>
          <w:tcPr>
            <w:tcW w:w="1290"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75539A">
        <w:tc>
          <w:tcPr>
            <w:tcW w:w="1290" w:type="dxa"/>
            <w:vAlign w:val="center"/>
          </w:tcPr>
          <w:p w:rsidR="0075539A" w:rsidRDefault="00F533DF">
            <w:pPr>
              <w:jc w:val="left"/>
            </w:pPr>
            <w:r>
              <w:rPr>
                <w:rFonts w:eastAsiaTheme="minorEastAsia"/>
                <w:color w:val="000000" w:themeColor="text1"/>
                <w:szCs w:val="21"/>
              </w:rPr>
              <w:t>过去三个月</w:t>
            </w:r>
          </w:p>
        </w:tc>
        <w:tc>
          <w:tcPr>
            <w:tcW w:w="1291" w:type="dxa"/>
            <w:vAlign w:val="center"/>
          </w:tcPr>
          <w:p w:rsidR="0075539A" w:rsidRDefault="00F533DF">
            <w:pPr>
              <w:jc w:val="right"/>
            </w:pPr>
            <w:r>
              <w:rPr>
                <w:rFonts w:eastAsiaTheme="minorEastAsia"/>
                <w:color w:val="000000" w:themeColor="text1"/>
                <w:szCs w:val="21"/>
              </w:rPr>
              <w:t>1.85%</w:t>
            </w:r>
          </w:p>
        </w:tc>
        <w:tc>
          <w:tcPr>
            <w:tcW w:w="1291" w:type="dxa"/>
            <w:vAlign w:val="center"/>
          </w:tcPr>
          <w:p w:rsidR="0075539A" w:rsidRDefault="00F533DF">
            <w:pPr>
              <w:jc w:val="right"/>
            </w:pPr>
            <w:r>
              <w:rPr>
                <w:rFonts w:eastAsiaTheme="minorEastAsia"/>
                <w:color w:val="000000" w:themeColor="text1"/>
                <w:szCs w:val="21"/>
              </w:rPr>
              <w:t>0.66%</w:t>
            </w:r>
          </w:p>
        </w:tc>
        <w:tc>
          <w:tcPr>
            <w:tcW w:w="1291" w:type="dxa"/>
            <w:vAlign w:val="center"/>
          </w:tcPr>
          <w:p w:rsidR="0075539A" w:rsidRDefault="00F533DF">
            <w:pPr>
              <w:jc w:val="right"/>
            </w:pPr>
            <w:r>
              <w:rPr>
                <w:rFonts w:eastAsiaTheme="minorEastAsia"/>
                <w:color w:val="000000" w:themeColor="text1"/>
                <w:szCs w:val="21"/>
              </w:rPr>
              <w:t>0.38%</w:t>
            </w:r>
          </w:p>
        </w:tc>
        <w:tc>
          <w:tcPr>
            <w:tcW w:w="1291" w:type="dxa"/>
            <w:vAlign w:val="center"/>
          </w:tcPr>
          <w:p w:rsidR="0075539A" w:rsidRDefault="00F533DF">
            <w:pPr>
              <w:jc w:val="right"/>
            </w:pPr>
            <w:r>
              <w:rPr>
                <w:rFonts w:eastAsiaTheme="minorEastAsia"/>
                <w:color w:val="000000" w:themeColor="text1"/>
                <w:szCs w:val="21"/>
              </w:rPr>
              <w:t>0.38%</w:t>
            </w:r>
          </w:p>
        </w:tc>
        <w:tc>
          <w:tcPr>
            <w:tcW w:w="1291" w:type="dxa"/>
            <w:vAlign w:val="center"/>
          </w:tcPr>
          <w:p w:rsidR="0075539A" w:rsidRDefault="00F533DF">
            <w:pPr>
              <w:jc w:val="right"/>
            </w:pPr>
            <w:r>
              <w:rPr>
                <w:rFonts w:eastAsiaTheme="minorEastAsia"/>
                <w:color w:val="000000" w:themeColor="text1"/>
                <w:szCs w:val="21"/>
              </w:rPr>
              <w:t>1.47%</w:t>
            </w:r>
          </w:p>
        </w:tc>
        <w:tc>
          <w:tcPr>
            <w:tcW w:w="1291" w:type="dxa"/>
            <w:vAlign w:val="center"/>
          </w:tcPr>
          <w:p w:rsidR="0075539A" w:rsidRDefault="00F533DF">
            <w:pPr>
              <w:jc w:val="right"/>
            </w:pPr>
            <w:r>
              <w:rPr>
                <w:rFonts w:eastAsiaTheme="minorEastAsia"/>
                <w:color w:val="000000" w:themeColor="text1"/>
                <w:szCs w:val="21"/>
              </w:rPr>
              <w:t>0.28%</w:t>
            </w:r>
          </w:p>
        </w:tc>
      </w:tr>
    </w:tbl>
    <w:p w:rsidR="0075539A" w:rsidRDefault="00F533DF" w:rsidP="00F533DF">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华安安润灵活配置混合</w:t>
      </w:r>
      <w:r>
        <w:rPr>
          <w:rFonts w:eastAsiaTheme="minorEastAsia"/>
          <w:b/>
          <w:color w:val="000000" w:themeColor="text1"/>
          <w:kern w:val="0"/>
          <w:szCs w:val="21"/>
        </w:rPr>
        <w:t>C</w:t>
      </w:r>
      <w:r>
        <w:rPr>
          <w:rFonts w:eastAsiaTheme="minorEastAsia"/>
          <w:b/>
          <w:color w:val="000000" w:themeColor="text1"/>
          <w:kern w:val="0"/>
          <w:szCs w:val="21"/>
        </w:rPr>
        <w:t>类：</w:t>
      </w:r>
    </w:p>
    <w:tbl>
      <w:tblPr>
        <w:tblStyle w:val="af6"/>
        <w:tblW w:w="9036" w:type="dxa"/>
        <w:tblInd w:w="108" w:type="dxa"/>
        <w:tblLayout w:type="fixed"/>
        <w:tblLook w:val="04A0"/>
      </w:tblPr>
      <w:tblGrid>
        <w:gridCol w:w="1290"/>
        <w:gridCol w:w="1291"/>
        <w:gridCol w:w="1291"/>
        <w:gridCol w:w="1291"/>
        <w:gridCol w:w="1291"/>
        <w:gridCol w:w="1291"/>
        <w:gridCol w:w="1291"/>
      </w:tblGrid>
      <w:tr w:rsidR="0075539A">
        <w:tc>
          <w:tcPr>
            <w:tcW w:w="1290"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75539A" w:rsidRDefault="00F533D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75539A" w:rsidRDefault="00F533DF">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75539A" w:rsidRDefault="00F533DF">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75539A">
        <w:tc>
          <w:tcPr>
            <w:tcW w:w="1290" w:type="dxa"/>
            <w:vAlign w:val="center"/>
          </w:tcPr>
          <w:p w:rsidR="0075539A" w:rsidRDefault="00F533DF">
            <w:pPr>
              <w:jc w:val="left"/>
            </w:pPr>
            <w:r>
              <w:rPr>
                <w:rFonts w:eastAsiaTheme="minorEastAsia"/>
                <w:color w:val="000000" w:themeColor="text1"/>
                <w:szCs w:val="21"/>
              </w:rPr>
              <w:t>过去三个月</w:t>
            </w:r>
          </w:p>
        </w:tc>
        <w:tc>
          <w:tcPr>
            <w:tcW w:w="1291" w:type="dxa"/>
            <w:vAlign w:val="center"/>
          </w:tcPr>
          <w:p w:rsidR="0075539A" w:rsidRDefault="00F533DF">
            <w:pPr>
              <w:jc w:val="right"/>
            </w:pPr>
            <w:r>
              <w:rPr>
                <w:rFonts w:eastAsiaTheme="minorEastAsia"/>
                <w:color w:val="000000" w:themeColor="text1"/>
                <w:szCs w:val="21"/>
              </w:rPr>
              <w:t>1.85%</w:t>
            </w:r>
          </w:p>
        </w:tc>
        <w:tc>
          <w:tcPr>
            <w:tcW w:w="1291" w:type="dxa"/>
            <w:vAlign w:val="center"/>
          </w:tcPr>
          <w:p w:rsidR="0075539A" w:rsidRDefault="00F533DF">
            <w:pPr>
              <w:jc w:val="right"/>
            </w:pPr>
            <w:r>
              <w:rPr>
                <w:rFonts w:eastAsiaTheme="minorEastAsia"/>
                <w:color w:val="000000" w:themeColor="text1"/>
                <w:szCs w:val="21"/>
              </w:rPr>
              <w:t>0.65%</w:t>
            </w:r>
          </w:p>
        </w:tc>
        <w:tc>
          <w:tcPr>
            <w:tcW w:w="1291" w:type="dxa"/>
            <w:vAlign w:val="center"/>
          </w:tcPr>
          <w:p w:rsidR="0075539A" w:rsidRDefault="00F533DF">
            <w:pPr>
              <w:jc w:val="right"/>
            </w:pPr>
            <w:r>
              <w:rPr>
                <w:rFonts w:eastAsiaTheme="minorEastAsia"/>
                <w:color w:val="000000" w:themeColor="text1"/>
                <w:szCs w:val="21"/>
              </w:rPr>
              <w:t>0.38%</w:t>
            </w:r>
          </w:p>
        </w:tc>
        <w:tc>
          <w:tcPr>
            <w:tcW w:w="1291" w:type="dxa"/>
            <w:vAlign w:val="center"/>
          </w:tcPr>
          <w:p w:rsidR="0075539A" w:rsidRDefault="00F533DF">
            <w:pPr>
              <w:jc w:val="right"/>
            </w:pPr>
            <w:r>
              <w:rPr>
                <w:rFonts w:eastAsiaTheme="minorEastAsia"/>
                <w:color w:val="000000" w:themeColor="text1"/>
                <w:szCs w:val="21"/>
              </w:rPr>
              <w:t>0.38%</w:t>
            </w:r>
          </w:p>
        </w:tc>
        <w:tc>
          <w:tcPr>
            <w:tcW w:w="1291" w:type="dxa"/>
            <w:vAlign w:val="center"/>
          </w:tcPr>
          <w:p w:rsidR="0075539A" w:rsidRDefault="00F533DF">
            <w:pPr>
              <w:jc w:val="right"/>
            </w:pPr>
            <w:r>
              <w:rPr>
                <w:rFonts w:eastAsiaTheme="minorEastAsia"/>
                <w:color w:val="000000" w:themeColor="text1"/>
                <w:szCs w:val="21"/>
              </w:rPr>
              <w:t>1.47%</w:t>
            </w:r>
          </w:p>
        </w:tc>
        <w:tc>
          <w:tcPr>
            <w:tcW w:w="1291" w:type="dxa"/>
            <w:vAlign w:val="center"/>
          </w:tcPr>
          <w:p w:rsidR="0075539A" w:rsidRDefault="00F533DF">
            <w:pPr>
              <w:jc w:val="right"/>
            </w:pPr>
            <w:r>
              <w:rPr>
                <w:rFonts w:eastAsiaTheme="minorEastAsia"/>
                <w:color w:val="000000" w:themeColor="text1"/>
                <w:szCs w:val="21"/>
              </w:rPr>
              <w:t>0.27%</w:t>
            </w:r>
          </w:p>
        </w:tc>
      </w:tr>
    </w:tbl>
    <w:p w:rsidR="0075539A" w:rsidRDefault="00F533DF" w:rsidP="00F533DF">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75539A" w:rsidRDefault="00F533DF">
      <w:pPr>
        <w:spacing w:line="360" w:lineRule="auto"/>
        <w:jc w:val="center"/>
        <w:rPr>
          <w:rFonts w:eastAsiaTheme="minorEastAsia"/>
          <w:color w:val="000000" w:themeColor="text1"/>
          <w:szCs w:val="21"/>
        </w:rPr>
      </w:pPr>
      <w:r>
        <w:rPr>
          <w:rFonts w:eastAsiaTheme="minorEastAsia"/>
          <w:color w:val="000000" w:themeColor="text1"/>
          <w:szCs w:val="21"/>
        </w:rPr>
        <w:t>华安安润灵活配置混合型证券投资基金</w:t>
      </w:r>
    </w:p>
    <w:p w:rsidR="0075539A" w:rsidRDefault="00F533DF">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75539A" w:rsidRDefault="00F533DF">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(2016</w:t>
      </w:r>
      <w:r>
        <w:rPr>
          <w:rFonts w:ascii="Times New Roman" w:eastAsiaTheme="minorEastAsia" w:hAnsi="Times New Roman"/>
          <w:color w:val="000000" w:themeColor="text1"/>
        </w:rPr>
        <w:t>年</w:t>
      </w:r>
      <w:r>
        <w:rPr>
          <w:rFonts w:ascii="Times New Roman" w:eastAsiaTheme="minorEastAsia" w:hAnsi="Times New Roman"/>
          <w:color w:val="000000" w:themeColor="text1"/>
        </w:rPr>
        <w:t>10</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75539A" w:rsidRDefault="00F533DF">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．华安安润灵活配置混合</w:t>
      </w:r>
      <w:r>
        <w:rPr>
          <w:rFonts w:eastAsiaTheme="minorEastAsia"/>
          <w:color w:val="000000" w:themeColor="text1"/>
          <w:szCs w:val="21"/>
        </w:rPr>
        <w:t>A</w:t>
      </w:r>
      <w:r>
        <w:rPr>
          <w:rFonts w:eastAsiaTheme="minorEastAsia"/>
          <w:color w:val="000000" w:themeColor="text1"/>
          <w:szCs w:val="21"/>
        </w:rPr>
        <w:t>类：</w:t>
      </w:r>
    </w:p>
    <w:p w:rsidR="0075539A" w:rsidRDefault="00F533D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75539A" w:rsidRDefault="00F533DF" w:rsidP="00F533DF">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．华安安润灵活配置混合</w:t>
      </w:r>
      <w:r>
        <w:rPr>
          <w:rFonts w:eastAsiaTheme="minorEastAsia"/>
          <w:color w:val="000000" w:themeColor="text1"/>
          <w:szCs w:val="21"/>
        </w:rPr>
        <w:t>C</w:t>
      </w:r>
      <w:r>
        <w:rPr>
          <w:rFonts w:eastAsiaTheme="minorEastAsia"/>
          <w:color w:val="000000" w:themeColor="text1"/>
          <w:szCs w:val="21"/>
        </w:rPr>
        <w:t>类：</w:t>
      </w:r>
    </w:p>
    <w:p w:rsidR="0075539A" w:rsidRDefault="00F533DF">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a:xfrm>
                      <a:off x="0" y="0"/>
                      <a:ext cx="5591175" cy="3276600"/>
                    </a:xfrm>
                    <a:prstGeom prst="rect">
                      <a:avLst/>
                    </a:prstGeom>
                    <a:noFill/>
                    <a:ln>
                      <a:noFill/>
                    </a:ln>
                  </pic:spPr>
                </pic:pic>
              </a:graphicData>
            </a:graphic>
          </wp:inline>
        </w:drawing>
      </w:r>
    </w:p>
    <w:p w:rsidR="0075539A" w:rsidRDefault="0075539A">
      <w:pPr>
        <w:spacing w:line="360" w:lineRule="auto"/>
        <w:ind w:firstLineChars="200" w:firstLine="420"/>
        <w:rPr>
          <w:rFonts w:eastAsiaTheme="minorEastAsia"/>
          <w:color w:val="000000" w:themeColor="text1"/>
          <w:szCs w:val="21"/>
        </w:rPr>
      </w:pPr>
    </w:p>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75539A" w:rsidRDefault="00F533D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75539A">
        <w:tc>
          <w:tcPr>
            <w:tcW w:w="952" w:type="dxa"/>
            <w:vMerge w:val="restart"/>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75539A">
        <w:tc>
          <w:tcPr>
            <w:tcW w:w="952" w:type="dxa"/>
            <w:vMerge/>
            <w:vAlign w:val="center"/>
          </w:tcPr>
          <w:p w:rsidR="0075539A" w:rsidRDefault="0075539A">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75539A" w:rsidRDefault="0075539A">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75539A" w:rsidRDefault="00F533DF">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75539A" w:rsidRDefault="0075539A">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75539A" w:rsidRDefault="0075539A">
            <w:pPr>
              <w:autoSpaceDE w:val="0"/>
              <w:autoSpaceDN w:val="0"/>
              <w:adjustRightInd w:val="0"/>
              <w:spacing w:before="29" w:line="288" w:lineRule="auto"/>
              <w:ind w:left="15"/>
              <w:jc w:val="center"/>
              <w:rPr>
                <w:rFonts w:eastAsiaTheme="minorEastAsia"/>
                <w:color w:val="000000" w:themeColor="text1"/>
                <w:kern w:val="0"/>
                <w:szCs w:val="21"/>
              </w:rPr>
            </w:pPr>
          </w:p>
        </w:tc>
      </w:tr>
      <w:tr w:rsidR="0075539A">
        <w:tc>
          <w:tcPr>
            <w:tcW w:w="952" w:type="dxa"/>
            <w:vAlign w:val="center"/>
          </w:tcPr>
          <w:p w:rsidR="0075539A" w:rsidRDefault="00F533DF">
            <w:pPr>
              <w:jc w:val="center"/>
            </w:pPr>
            <w:r>
              <w:rPr>
                <w:rFonts w:eastAsiaTheme="minorEastAsia"/>
                <w:color w:val="000000" w:themeColor="text1"/>
                <w:szCs w:val="21"/>
              </w:rPr>
              <w:t>郑可成</w:t>
            </w:r>
          </w:p>
        </w:tc>
        <w:tc>
          <w:tcPr>
            <w:tcW w:w="930" w:type="dxa"/>
            <w:vAlign w:val="center"/>
          </w:tcPr>
          <w:p w:rsidR="0075539A" w:rsidRDefault="00F533DF">
            <w:pPr>
              <w:jc w:val="center"/>
            </w:pPr>
            <w:r>
              <w:rPr>
                <w:rFonts w:eastAsiaTheme="minorEastAsia"/>
                <w:color w:val="000000" w:themeColor="text1"/>
                <w:szCs w:val="21"/>
              </w:rPr>
              <w:t>本基金的基金经理，固定收益部助理总监</w:t>
            </w:r>
          </w:p>
        </w:tc>
        <w:tc>
          <w:tcPr>
            <w:tcW w:w="1210" w:type="dxa"/>
            <w:vAlign w:val="center"/>
          </w:tcPr>
          <w:p w:rsidR="0075539A" w:rsidRDefault="00F533DF">
            <w:pPr>
              <w:jc w:val="center"/>
            </w:pPr>
            <w:r>
              <w:rPr>
                <w:rFonts w:eastAsiaTheme="minorEastAsia"/>
                <w:color w:val="000000" w:themeColor="text1"/>
                <w:szCs w:val="21"/>
              </w:rPr>
              <w:t>2016-10-31</w:t>
            </w:r>
          </w:p>
        </w:tc>
        <w:tc>
          <w:tcPr>
            <w:tcW w:w="1309" w:type="dxa"/>
            <w:vAlign w:val="center"/>
          </w:tcPr>
          <w:p w:rsidR="0075539A" w:rsidRDefault="00F533DF">
            <w:pPr>
              <w:jc w:val="center"/>
            </w:pPr>
            <w:r>
              <w:rPr>
                <w:rFonts w:eastAsiaTheme="minorEastAsia"/>
                <w:color w:val="000000" w:themeColor="text1"/>
                <w:szCs w:val="21"/>
              </w:rPr>
              <w:t>-</w:t>
            </w:r>
          </w:p>
        </w:tc>
        <w:tc>
          <w:tcPr>
            <w:tcW w:w="1254" w:type="dxa"/>
            <w:vAlign w:val="center"/>
          </w:tcPr>
          <w:p w:rsidR="0075539A" w:rsidRDefault="00F533DF">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75539A" w:rsidRDefault="00F533DF">
            <w:r>
              <w:rPr>
                <w:rFonts w:eastAsiaTheme="minorEastAsia"/>
                <w:color w:val="000000" w:themeColor="text1"/>
                <w:szCs w:val="21"/>
              </w:rPr>
              <w:t>硕士研究生，</w:t>
            </w:r>
            <w:r>
              <w:rPr>
                <w:rFonts w:eastAsiaTheme="minorEastAsia"/>
                <w:color w:val="000000" w:themeColor="text1"/>
                <w:szCs w:val="21"/>
              </w:rPr>
              <w:t>16</w:t>
            </w:r>
            <w:r>
              <w:rPr>
                <w:rFonts w:eastAsiaTheme="minorEastAsia"/>
                <w:color w:val="000000" w:themeColor="text1"/>
                <w:szCs w:val="21"/>
              </w:rPr>
              <w:t>年证券基金从业经历。</w:t>
            </w:r>
            <w:r>
              <w:rPr>
                <w:rFonts w:eastAsiaTheme="minorEastAsia"/>
                <w:color w:val="000000" w:themeColor="text1"/>
                <w:szCs w:val="21"/>
              </w:rPr>
              <w:t>2001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月在闽发证券有限责任公司担任研究员，从事债券研究及投资，</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月在福建儒林投资顾问有限公司任研究员，</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月在益民基金管理有限公司任基金经理，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月至今任职于华安基金管理有限公司固定收益部。</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月起担任华安稳固收益债券型证券投资基金的基金经理。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月起同时担任华安安心收益债券型证券投资基金的基金经理。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w:t>
            </w:r>
            <w:r>
              <w:rPr>
                <w:rFonts w:eastAsiaTheme="minorEastAsia"/>
                <w:color w:val="000000" w:themeColor="text1"/>
                <w:szCs w:val="21"/>
              </w:rPr>
              <w:t>担任华安日日鑫货币市场基金的基金经理。</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月起同时担任华安信用增强债券型证券投资基金的基金经理。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月起同时担任华安保本混合型证券投资基金的基金经理。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月，同时担任华安七日鑫短期理财债券型证券投资基金的基金经理，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月起，同时担任华安年年红定期开放债券型证券投资基金的基金经理。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月起担任华安新动力灵活配置混合型证券投资基金的基金经理。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月起同时担任华安新机遇保本混合型证券投资基金的基金经理。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月起同时担任华安添颐养老混合型发起</w:t>
            </w:r>
            <w:r>
              <w:rPr>
                <w:rFonts w:eastAsiaTheme="minorEastAsia"/>
                <w:color w:val="000000" w:themeColor="text1"/>
                <w:szCs w:val="21"/>
              </w:rPr>
              <w:t>式证券投资基金的基金经理。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月起，同时担任华安安益保本混合型证券投资基金的基金经理；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月起，同时担任华安乐惠保本混合型证券投资基金的基金经理。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月，同时担任华安安康保本混合型证券投资基金的基金经理。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月，同时担任华安安禧保本混合型证券投资基金的基金经理。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月起，同时担任本基金的基金经理。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月起，同时担任华安安享灵活配置混合型证券投资基金的基金经理。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月起，同时担任华安现金宝货币市场基金的基金经理。</w:t>
            </w:r>
          </w:p>
        </w:tc>
      </w:tr>
      <w:tr w:rsidR="0075539A">
        <w:tc>
          <w:tcPr>
            <w:tcW w:w="952" w:type="dxa"/>
            <w:vAlign w:val="center"/>
          </w:tcPr>
          <w:p w:rsidR="0075539A" w:rsidRDefault="00F533DF">
            <w:pPr>
              <w:jc w:val="center"/>
            </w:pPr>
            <w:r>
              <w:rPr>
                <w:rFonts w:eastAsiaTheme="minorEastAsia"/>
                <w:color w:val="000000" w:themeColor="text1"/>
                <w:szCs w:val="21"/>
              </w:rPr>
              <w:t>孙丽娜</w:t>
            </w:r>
          </w:p>
        </w:tc>
        <w:tc>
          <w:tcPr>
            <w:tcW w:w="930" w:type="dxa"/>
            <w:vAlign w:val="center"/>
          </w:tcPr>
          <w:p w:rsidR="0075539A" w:rsidRDefault="00F533DF">
            <w:pPr>
              <w:jc w:val="center"/>
            </w:pPr>
            <w:r>
              <w:rPr>
                <w:rFonts w:eastAsiaTheme="minorEastAsia"/>
                <w:color w:val="000000" w:themeColor="text1"/>
                <w:szCs w:val="21"/>
              </w:rPr>
              <w:t>本基金的基金经理</w:t>
            </w:r>
          </w:p>
        </w:tc>
        <w:tc>
          <w:tcPr>
            <w:tcW w:w="1210" w:type="dxa"/>
            <w:vAlign w:val="center"/>
          </w:tcPr>
          <w:p w:rsidR="0075539A" w:rsidRDefault="00F533DF">
            <w:pPr>
              <w:jc w:val="center"/>
            </w:pPr>
            <w:r>
              <w:rPr>
                <w:rFonts w:eastAsiaTheme="minorEastAsia"/>
                <w:color w:val="000000" w:themeColor="text1"/>
                <w:szCs w:val="21"/>
              </w:rPr>
              <w:t>2016-10-31</w:t>
            </w:r>
          </w:p>
        </w:tc>
        <w:tc>
          <w:tcPr>
            <w:tcW w:w="1309" w:type="dxa"/>
            <w:vAlign w:val="center"/>
          </w:tcPr>
          <w:p w:rsidR="0075539A" w:rsidRDefault="00F533DF">
            <w:pPr>
              <w:jc w:val="center"/>
            </w:pPr>
            <w:r>
              <w:rPr>
                <w:rFonts w:eastAsiaTheme="minorEastAsia"/>
                <w:color w:val="000000" w:themeColor="text1"/>
                <w:szCs w:val="21"/>
              </w:rPr>
              <w:t>-</w:t>
            </w:r>
          </w:p>
        </w:tc>
        <w:tc>
          <w:tcPr>
            <w:tcW w:w="1254" w:type="dxa"/>
            <w:vAlign w:val="center"/>
          </w:tcPr>
          <w:p w:rsidR="0075539A" w:rsidRDefault="00F533DF">
            <w:pPr>
              <w:jc w:val="center"/>
            </w:pPr>
            <w:r>
              <w:rPr>
                <w:rFonts w:eastAsiaTheme="minorEastAsia"/>
                <w:color w:val="000000" w:themeColor="text1"/>
                <w:szCs w:val="21"/>
              </w:rPr>
              <w:t>7</w:t>
            </w:r>
            <w:r>
              <w:rPr>
                <w:rFonts w:eastAsiaTheme="minorEastAsia"/>
                <w:color w:val="000000" w:themeColor="text1"/>
                <w:szCs w:val="21"/>
              </w:rPr>
              <w:t>年</w:t>
            </w:r>
          </w:p>
        </w:tc>
        <w:tc>
          <w:tcPr>
            <w:tcW w:w="3276" w:type="dxa"/>
            <w:vAlign w:val="center"/>
          </w:tcPr>
          <w:p w:rsidR="0075539A" w:rsidRDefault="00F533DF">
            <w:r>
              <w:rPr>
                <w:rFonts w:eastAsiaTheme="minorEastAsia"/>
                <w:color w:val="000000" w:themeColor="text1"/>
                <w:szCs w:val="21"/>
              </w:rPr>
              <w:t>硕士研究生，</w:t>
            </w:r>
            <w:r>
              <w:rPr>
                <w:rFonts w:eastAsiaTheme="minorEastAsia"/>
                <w:color w:val="000000" w:themeColor="text1"/>
                <w:szCs w:val="21"/>
              </w:rPr>
              <w:t>7</w:t>
            </w:r>
            <w:r>
              <w:rPr>
                <w:rFonts w:eastAsiaTheme="minorEastAsia"/>
                <w:color w:val="000000" w:themeColor="text1"/>
                <w:szCs w:val="21"/>
              </w:rPr>
              <w:t>年债券、基金行业从业经验。曾任上海国际货币经纪公司债券经纪人。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月加入华安基金管理有限公司，先后担任债券交易员、基金经理助理。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月，担任华安日日鑫货币市场基金及华安汇财通货币市场基金的基金经理，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月，同时担任华安七日鑫短期理财债券型证券投资基金的基金经理。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月起同时担任华安现金富利投资基金的基金经理。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月起担任华华安年年盈定期开放债券型证券投资基金的基金</w:t>
            </w:r>
            <w:r>
              <w:rPr>
                <w:rFonts w:eastAsiaTheme="minorEastAsia"/>
                <w:color w:val="000000" w:themeColor="text1"/>
                <w:szCs w:val="21"/>
              </w:rPr>
              <w:t>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月起同时担任华安添颐养老混合型发起式证券投资基金的基金经理。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月起，同时担任本基金的基金经理。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月起，同时担任华安新丰利灵活配置混合型证券投资基金的基金经理。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月起，同时担任华安现金宝货币市场基金的基金经理。</w:t>
            </w:r>
          </w:p>
        </w:tc>
      </w:tr>
    </w:tbl>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注：此处的任职日期和离任日期均指公司作出决定之日，即以公告日为准。证券从业的含义遵从行业协会《证券业从业人员资格管理办法》的相关规定。</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75539A" w:rsidRDefault="00F533DF">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制定了《华安基金管理有限公司公平交易管理制度》，将封闭式基金、开放式基金、特定客户资产管理组合及其他投资组合资产在研究分析、投资决策</w:t>
      </w:r>
      <w:r>
        <w:rPr>
          <w:rFonts w:eastAsiaTheme="minorEastAsia"/>
          <w:color w:val="000000" w:themeColor="text1"/>
          <w:szCs w:val="21"/>
        </w:rPr>
        <w:t>、交易执行等方面全部纳入公平交易管理中。控制措施包括：在研究环节，研究员在为公司管理的各类投资组合提供研究信息、投资建议过程中，使用晨会发言、发送邮件、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w:t>
      </w:r>
      <w:r>
        <w:rPr>
          <w:rFonts w:eastAsiaTheme="minorEastAsia"/>
          <w:color w:val="000000" w:themeColor="text1"/>
          <w:szCs w:val="21"/>
        </w:rPr>
        <w:t>在交易环节，公司实行强制公平交易机制，确保各投资组合享有公平的交易执行机会。（</w:t>
      </w:r>
      <w:r>
        <w:rPr>
          <w:rFonts w:eastAsiaTheme="minorEastAsia"/>
          <w:color w:val="000000" w:themeColor="text1"/>
          <w:szCs w:val="21"/>
        </w:rPr>
        <w:t>1</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交易所二级市场业务，遵循价格优先、时间优先、比例分配、综合平衡的控制原则，实现同一时间下达指令的投资组合在交易时机上的公平性。（</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themeColor="text1"/>
          <w:szCs w:val="21"/>
        </w:rPr>
        <w:t>3</w:t>
      </w:r>
      <w:r>
        <w:rPr>
          <w:rFonts w:eastAsiaTheme="minorEastAsia"/>
          <w:color w:val="000000" w:themeColor="text1"/>
          <w:szCs w:val="21"/>
        </w:rPr>
        <w:t>）</w:t>
      </w:r>
      <w:r>
        <w:rPr>
          <w:rFonts w:eastAsiaTheme="minorEastAsia"/>
          <w:color w:val="000000" w:themeColor="text1"/>
          <w:szCs w:val="21"/>
        </w:rPr>
        <w:t xml:space="preserve"> </w:t>
      </w:r>
      <w:r>
        <w:rPr>
          <w:rFonts w:eastAsiaTheme="minorEastAsia"/>
          <w:color w:val="000000" w:themeColor="text1"/>
          <w:szCs w:val="21"/>
        </w:rPr>
        <w:t>银行</w:t>
      </w:r>
      <w:r>
        <w:rPr>
          <w:rFonts w:eastAsiaTheme="minorEastAsia"/>
          <w:color w:val="000000" w:themeColor="text1"/>
          <w:szCs w:val="21"/>
        </w:rPr>
        <w:t>间市场业务遵循指令时间优先原则，先到先询价的控制原则。通过内部共同的</w:t>
      </w:r>
      <w:r>
        <w:rPr>
          <w:rFonts w:eastAsiaTheme="minorEastAsia"/>
          <w:color w:val="000000" w:themeColor="text1"/>
          <w:szCs w:val="21"/>
        </w:rPr>
        <w:t>iwind</w:t>
      </w:r>
      <w:r>
        <w:rPr>
          <w:rFonts w:eastAsiaTheme="minorEastAsia"/>
          <w:color w:val="000000" w:themeColor="text1"/>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控部门的监督参与下，进行公平协商分配。交易监控、分析与评估环节，公司风险管理部对公司旗下的各投资组合投资境内证券市场上市交易的投资品种、进行场外的非公开发行股票申购、以公司名</w:t>
      </w:r>
      <w:r>
        <w:rPr>
          <w:rFonts w:eastAsiaTheme="minorEastAsia"/>
          <w:color w:val="000000" w:themeColor="text1"/>
          <w:szCs w:val="21"/>
        </w:rPr>
        <w:t>义进行的债券一级市场申购、不同投资组合同日和临近交易日的反向交易以及可能导致不公平交易和利益输送的异常交易行为进行监控；风险管理部根据市场公认的第三方信息（如：中债登的债券估值），定期对各投资组合与交易对手之间议价交易的交易价格公允性进行审查，对不同投资组合临近交易日的同向交易的交易时机和交易价差进行分析。</w:t>
      </w:r>
      <w:r>
        <w:rPr>
          <w:rFonts w:eastAsiaTheme="minorEastAsia"/>
          <w:color w:val="000000" w:themeColor="text1"/>
          <w:szCs w:val="21"/>
        </w:rPr>
        <w:t xml:space="preserve"> </w:t>
      </w:r>
      <w:r>
        <w:rPr>
          <w:rFonts w:eastAsiaTheme="minorEastAsia"/>
          <w:color w:val="000000" w:themeColor="text1"/>
          <w:szCs w:val="21"/>
        </w:rPr>
        <w:t>本报告期内，公司公平交易制度总体执行情况良好。</w:t>
      </w:r>
    </w:p>
    <w:p w:rsidR="0075539A" w:rsidRDefault="00F533DF">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根据中国证监会《证券投资基金管理公司公平交易制度指导意见》，公司合规监察稽核部会同基金投资、交易部门讨论制定了公募基金</w:t>
      </w:r>
      <w:r>
        <w:rPr>
          <w:rFonts w:eastAsiaTheme="minorEastAsia"/>
          <w:color w:val="000000" w:themeColor="text1"/>
          <w:szCs w:val="21"/>
        </w:rPr>
        <w:t>、专户针对股票、债券、回购等投资品种在交易所及银行间的同日反向交易控制规则，并在投资系统中进行了设置，实现了完全的系统控制。同时加强了对基金、专户间的同日反向交易的监控与隔日反向交易的检查；风险管理部开发了同向交易分析系统，对相关同向交易指标进行持续监控，并定期对组合间的同向交易行为进行了重点分析。本报告期内，除指数基金以外的所有投资组合参与的交易所公开竞价交易中，出现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的次数为</w:t>
      </w:r>
      <w:r>
        <w:rPr>
          <w:rFonts w:eastAsiaTheme="minorEastAsia"/>
          <w:color w:val="000000" w:themeColor="text1"/>
          <w:szCs w:val="21"/>
        </w:rPr>
        <w:t>0</w:t>
      </w:r>
      <w:r>
        <w:rPr>
          <w:rFonts w:eastAsiaTheme="minorEastAsia"/>
          <w:color w:val="000000" w:themeColor="text1"/>
          <w:szCs w:val="21"/>
        </w:rPr>
        <w:t>次，未出现异常交易。</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75539A" w:rsidRDefault="00F533DF">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4.1</w:t>
      </w:r>
      <w:r>
        <w:rPr>
          <w:rFonts w:eastAsiaTheme="minorEastAsia"/>
          <w:color w:val="000000" w:themeColor="text1"/>
          <w:szCs w:val="21"/>
        </w:rPr>
        <w:t>报告期内基金投资策略和运作分析</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四季度，美国经济延续复苏态势，美联储如期加息，减税法案获得通过，引领全球债市震荡。国内供给侧改革持续推进，宏观经济韧性仍强，通胀亦有上升迹象。货币政策中性稳健，央行增加</w:t>
      </w:r>
      <w:r>
        <w:rPr>
          <w:rFonts w:eastAsiaTheme="minorEastAsia"/>
          <w:color w:val="000000" w:themeColor="text1"/>
          <w:szCs w:val="21"/>
        </w:rPr>
        <w:t>28</w:t>
      </w:r>
      <w:r>
        <w:rPr>
          <w:rFonts w:eastAsiaTheme="minorEastAsia"/>
          <w:color w:val="000000" w:themeColor="text1"/>
          <w:szCs w:val="21"/>
        </w:rPr>
        <w:t>天、</w:t>
      </w:r>
      <w:r>
        <w:rPr>
          <w:rFonts w:eastAsiaTheme="minorEastAsia"/>
          <w:color w:val="000000" w:themeColor="text1"/>
          <w:szCs w:val="21"/>
        </w:rPr>
        <w:t>63</w:t>
      </w:r>
      <w:r>
        <w:rPr>
          <w:rFonts w:eastAsiaTheme="minorEastAsia"/>
          <w:color w:val="000000" w:themeColor="text1"/>
          <w:szCs w:val="21"/>
        </w:rPr>
        <w:t>天逆回购对资金面进行预调微调，同时上调公开市场操作利率，市场资金成本继续上升，整体流动性紧平衡。四季度多项监管政策落地，一行三会联合发布资管产品管理办法；证监会颁布公募基金流动性管理办法；银监会发布资产新规征询意见稿，对未来金融业态重塑产生深远影响。中美利差继续走阔，外储持续回升，人民币加速升</w:t>
      </w:r>
      <w:r>
        <w:rPr>
          <w:rFonts w:eastAsiaTheme="minorEastAsia"/>
          <w:color w:val="000000" w:themeColor="text1"/>
          <w:szCs w:val="21"/>
        </w:rPr>
        <w:t>值。债券市场收益率显著走高，信用债净融资额大幅减少，信用利差较三季度走阔。</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本基金四季度配置短融和同业存单，保持较低久期。权益方面，组合以低估值蓝筹股为主，着眼</w:t>
      </w:r>
      <w:r>
        <w:rPr>
          <w:rFonts w:eastAsiaTheme="minorEastAsia"/>
          <w:color w:val="000000" w:themeColor="text1"/>
          <w:szCs w:val="21"/>
        </w:rPr>
        <w:t>EPS</w:t>
      </w:r>
      <w:r>
        <w:rPr>
          <w:rFonts w:eastAsiaTheme="minorEastAsia"/>
          <w:color w:val="000000" w:themeColor="text1"/>
          <w:szCs w:val="21"/>
        </w:rPr>
        <w:t>增长的持续性，分散化投资提升股票仓位，并且积极参与新股申购。</w:t>
      </w:r>
    </w:p>
    <w:p w:rsidR="0075539A" w:rsidRDefault="00F533DF">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日，华安安润灵活配置混合</w:t>
      </w:r>
      <w:r>
        <w:rPr>
          <w:rFonts w:eastAsiaTheme="minorEastAsia"/>
          <w:color w:val="000000" w:themeColor="text1"/>
          <w:szCs w:val="21"/>
        </w:rPr>
        <w:t>A</w:t>
      </w:r>
      <w:r>
        <w:rPr>
          <w:rFonts w:eastAsiaTheme="minorEastAsia"/>
          <w:color w:val="000000" w:themeColor="text1"/>
          <w:szCs w:val="21"/>
        </w:rPr>
        <w:t>份额净值为</w:t>
      </w:r>
      <w:r>
        <w:rPr>
          <w:rFonts w:eastAsiaTheme="minorEastAsia"/>
          <w:color w:val="000000" w:themeColor="text1"/>
          <w:szCs w:val="21"/>
        </w:rPr>
        <w:t>1.048</w:t>
      </w:r>
      <w:r>
        <w:rPr>
          <w:rFonts w:eastAsiaTheme="minorEastAsia"/>
          <w:color w:val="000000" w:themeColor="text1"/>
          <w:szCs w:val="21"/>
        </w:rPr>
        <w:t>元，</w:t>
      </w:r>
      <w:r>
        <w:rPr>
          <w:rFonts w:eastAsiaTheme="minorEastAsia"/>
          <w:color w:val="000000" w:themeColor="text1"/>
          <w:szCs w:val="21"/>
        </w:rPr>
        <w:t>C</w:t>
      </w:r>
      <w:r>
        <w:rPr>
          <w:rFonts w:eastAsiaTheme="minorEastAsia"/>
          <w:color w:val="000000" w:themeColor="text1"/>
          <w:szCs w:val="21"/>
        </w:rPr>
        <w:t>份额净值为</w:t>
      </w:r>
      <w:r>
        <w:rPr>
          <w:rFonts w:eastAsiaTheme="minorEastAsia"/>
          <w:color w:val="000000" w:themeColor="text1"/>
          <w:szCs w:val="21"/>
        </w:rPr>
        <w:t>1.047</w:t>
      </w:r>
      <w:r>
        <w:rPr>
          <w:rFonts w:eastAsiaTheme="minorEastAsia"/>
          <w:color w:val="000000" w:themeColor="text1"/>
          <w:szCs w:val="21"/>
        </w:rPr>
        <w:t>元；华安安润灵活配置混合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1.85%</w:t>
      </w:r>
      <w:r>
        <w:rPr>
          <w:rFonts w:eastAsiaTheme="minorEastAsia"/>
          <w:color w:val="000000" w:themeColor="text1"/>
          <w:szCs w:val="21"/>
        </w:rPr>
        <w:t>，</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1.85%</w:t>
      </w:r>
      <w:r>
        <w:rPr>
          <w:rFonts w:eastAsiaTheme="minorEastAsia"/>
          <w:color w:val="000000" w:themeColor="text1"/>
          <w:szCs w:val="21"/>
        </w:rPr>
        <w:t>，同期业绩比较基准增长率为</w:t>
      </w:r>
      <w:r>
        <w:rPr>
          <w:rFonts w:eastAsiaTheme="minorEastAsia"/>
          <w:color w:val="000000" w:themeColor="text1"/>
          <w:szCs w:val="21"/>
        </w:rPr>
        <w:t>0.38%</w:t>
      </w:r>
      <w:r>
        <w:rPr>
          <w:rFonts w:eastAsiaTheme="minorEastAsia"/>
          <w:color w:val="000000" w:themeColor="text1"/>
          <w:szCs w:val="21"/>
        </w:rPr>
        <w:t>。</w:t>
      </w:r>
    </w:p>
    <w:p w:rsidR="0075539A" w:rsidRDefault="0075539A">
      <w:pPr>
        <w:spacing w:line="360" w:lineRule="auto"/>
        <w:ind w:firstLineChars="200" w:firstLine="420"/>
        <w:rPr>
          <w:rFonts w:eastAsiaTheme="minorEastAsia"/>
          <w:color w:val="000000" w:themeColor="text1"/>
          <w:szCs w:val="21"/>
        </w:rPr>
      </w:pPr>
    </w:p>
    <w:p w:rsidR="0075539A" w:rsidRDefault="00F533DF">
      <w:pPr>
        <w:autoSpaceDE w:val="0"/>
        <w:autoSpaceDN w:val="0"/>
        <w:adjustRightInd w:val="0"/>
        <w:spacing w:line="360" w:lineRule="auto"/>
        <w:jc w:val="left"/>
        <w:rPr>
          <w:rFonts w:eastAsiaTheme="minorEastAsia"/>
          <w:b/>
          <w:color w:val="000000" w:themeColor="text1"/>
          <w:kern w:val="0"/>
          <w:szCs w:val="21"/>
        </w:rPr>
      </w:pPr>
      <w:bookmarkStart w:id="0" w:name="_Toc245193825"/>
      <w:bookmarkStart w:id="1" w:name="_Toc255486598"/>
      <w:r>
        <w:rPr>
          <w:rFonts w:eastAsiaTheme="minorEastAsia"/>
          <w:b/>
          <w:color w:val="000000" w:themeColor="text1"/>
          <w:kern w:val="0"/>
          <w:szCs w:val="21"/>
        </w:rPr>
        <w:t>4</w:t>
      </w:r>
      <w:r>
        <w:rPr>
          <w:rFonts w:eastAsiaTheme="minorEastAsia" w:hint="eastAsia"/>
          <w:b/>
          <w:color w:val="000000" w:themeColor="text1"/>
          <w:kern w:val="0"/>
          <w:szCs w:val="21"/>
        </w:rPr>
        <w:t>.5</w:t>
      </w:r>
      <w:r>
        <w:rPr>
          <w:rFonts w:eastAsiaTheme="minorEastAsia"/>
          <w:b/>
          <w:color w:val="000000" w:themeColor="text1"/>
          <w:kern w:val="0"/>
          <w:szCs w:val="21"/>
        </w:rPr>
        <w:t>管理人对宏观经济、证券市场及行业走势的简要展望</w:t>
      </w:r>
      <w:bookmarkEnd w:id="0"/>
      <w:bookmarkEnd w:id="1"/>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一季度，减税落地后美国经济预期向好，联储加息步伐或将有所加快。国内经济依然平稳，房地产投资和政府基建投资面临下行压力，但制造业升级和消费升级点燃中国经济新动能。通胀受春节因素影响，整体中枢水平向上。宏观审慎下，严监管氛围不改，金融去杠杆步入下半场，大资管行业将继续面临负债和资产收缩的局面。货币政策维持中性姿态，货币政策工具进一步丰富，精准调控流动性，资金面将保持紧平衡。债市收益率预期高位震荡，收益率曲线依然较平坦。超预期信用风险下降，但在融资环境趋紧、严监</w:t>
      </w:r>
      <w:r>
        <w:rPr>
          <w:rFonts w:eastAsiaTheme="minorEastAsia"/>
          <w:color w:val="000000" w:themeColor="text1"/>
          <w:szCs w:val="21"/>
        </w:rPr>
        <w:t>管挤泡沫的大环境下，信用风险仍需高度警惕，尤其是对于信用资质较差的民企。转债市场我们仍将关注一级申购机会，存量券精挑细选，关注低吸机会。股票市场关注业绩确定性高、符合政策和产业升级方向的个股。</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本基金将继续积极参与新股申购，同时保持适中的债券仓位和较低的久期。组合将严格控制个券筛选，配置利率债和高等级信用债。</w:t>
      </w:r>
    </w:p>
    <w:p w:rsidR="0075539A" w:rsidRDefault="0075539A">
      <w:pPr>
        <w:spacing w:line="360" w:lineRule="auto"/>
        <w:ind w:firstLineChars="200" w:firstLine="420"/>
        <w:rPr>
          <w:rFonts w:eastAsiaTheme="minorEastAsia"/>
          <w:color w:val="000000" w:themeColor="text1"/>
          <w:szCs w:val="21"/>
        </w:rPr>
      </w:pPr>
    </w:p>
    <w:p w:rsidR="0075539A" w:rsidRDefault="00F533DF">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.6</w:t>
      </w:r>
      <w:r>
        <w:rPr>
          <w:rFonts w:asciiTheme="minorEastAsia" w:eastAsiaTheme="minorEastAsia" w:hAnsiTheme="minorEastAsia" w:hint="eastAsia"/>
          <w:b/>
          <w:color w:val="000000" w:themeColor="text1"/>
          <w:kern w:val="0"/>
          <w:szCs w:val="21"/>
        </w:rPr>
        <w:t>报告期内基金持有人数或基金资产净值预警说明</w:t>
      </w:r>
    </w:p>
    <w:p w:rsidR="0075539A" w:rsidRDefault="00F533DF">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本基金报告期内基金持有人数不低于</w:t>
      </w:r>
      <w:r>
        <w:rPr>
          <w:rFonts w:eastAsiaTheme="minorEastAsia"/>
          <w:color w:val="000000" w:themeColor="text1"/>
          <w:kern w:val="0"/>
          <w:szCs w:val="21"/>
        </w:rPr>
        <w:t>200</w:t>
      </w:r>
      <w:r>
        <w:rPr>
          <w:rFonts w:eastAsiaTheme="minorEastAsia"/>
          <w:color w:val="000000" w:themeColor="text1"/>
          <w:kern w:val="0"/>
          <w:szCs w:val="21"/>
        </w:rPr>
        <w:t>人；基金资产净值连续超过</w:t>
      </w:r>
      <w:r>
        <w:rPr>
          <w:rFonts w:eastAsiaTheme="minorEastAsia"/>
          <w:color w:val="000000" w:themeColor="text1"/>
          <w:kern w:val="0"/>
          <w:szCs w:val="21"/>
        </w:rPr>
        <w:t>20</w:t>
      </w:r>
      <w:r>
        <w:rPr>
          <w:rFonts w:eastAsiaTheme="minorEastAsia"/>
          <w:color w:val="000000" w:themeColor="text1"/>
          <w:kern w:val="0"/>
          <w:szCs w:val="21"/>
        </w:rPr>
        <w:t>个工作日低于</w:t>
      </w:r>
      <w:r>
        <w:rPr>
          <w:rFonts w:eastAsiaTheme="minorEastAsia"/>
          <w:color w:val="000000" w:themeColor="text1"/>
          <w:kern w:val="0"/>
          <w:szCs w:val="21"/>
        </w:rPr>
        <w:t>5000</w:t>
      </w:r>
      <w:r>
        <w:rPr>
          <w:rFonts w:eastAsiaTheme="minorEastAsia"/>
          <w:color w:val="000000" w:themeColor="text1"/>
          <w:kern w:val="0"/>
          <w:szCs w:val="21"/>
        </w:rPr>
        <w:t>万元。</w:t>
      </w:r>
    </w:p>
    <w:p w:rsidR="0075539A" w:rsidRDefault="0075539A">
      <w:pPr>
        <w:spacing w:line="360" w:lineRule="auto"/>
        <w:ind w:firstLineChars="200" w:firstLine="420"/>
        <w:rPr>
          <w:rFonts w:asciiTheme="minorEastAsia" w:eastAsiaTheme="minorEastAsia" w:hAnsiTheme="minorEastAsia"/>
          <w:color w:val="000000" w:themeColor="text1"/>
          <w:szCs w:val="21"/>
        </w:rPr>
      </w:pPr>
    </w:p>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75539A" w:rsidRDefault="00F533DF">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w:t>
      </w:r>
      <w:r>
        <w:rPr>
          <w:rFonts w:eastAsiaTheme="minorEastAsia"/>
          <w:b/>
          <w:color w:val="000000" w:themeColor="text1"/>
          <w:kern w:val="0"/>
          <w:szCs w:val="21"/>
        </w:rPr>
        <w:t>况</w:t>
      </w:r>
    </w:p>
    <w:tbl>
      <w:tblPr>
        <w:tblStyle w:val="af6"/>
        <w:tblW w:w="8897" w:type="dxa"/>
        <w:tblInd w:w="108" w:type="dxa"/>
        <w:tblLayout w:type="fixed"/>
        <w:tblLook w:val="04A0"/>
      </w:tblPr>
      <w:tblGrid>
        <w:gridCol w:w="720"/>
        <w:gridCol w:w="3357"/>
        <w:gridCol w:w="2977"/>
        <w:gridCol w:w="1843"/>
      </w:tblGrid>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4,701,436.00</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49.38</w:t>
            </w:r>
          </w:p>
        </w:tc>
      </w:tr>
      <w:tr w:rsidR="0075539A">
        <w:tc>
          <w:tcPr>
            <w:tcW w:w="720" w:type="dxa"/>
            <w:vAlign w:val="center"/>
          </w:tcPr>
          <w:p w:rsidR="0075539A" w:rsidRDefault="0075539A">
            <w:pPr>
              <w:spacing w:before="29" w:line="360" w:lineRule="auto"/>
              <w:ind w:left="17"/>
              <w:jc w:val="center"/>
              <w:rPr>
                <w:rFonts w:eastAsiaTheme="minorEastAsia"/>
                <w:color w:val="000000" w:themeColor="text1"/>
                <w:szCs w:val="21"/>
              </w:rPr>
            </w:pP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4,701,436.00</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49.38</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75539A">
            <w:pPr>
              <w:spacing w:before="29" w:line="360" w:lineRule="auto"/>
              <w:ind w:left="17"/>
              <w:jc w:val="center"/>
              <w:rPr>
                <w:rFonts w:eastAsiaTheme="minorEastAsia"/>
                <w:color w:val="000000" w:themeColor="text1"/>
                <w:szCs w:val="21"/>
              </w:rPr>
            </w:pP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75539A">
            <w:pPr>
              <w:spacing w:before="29" w:line="360" w:lineRule="auto"/>
              <w:ind w:left="17"/>
              <w:jc w:val="center"/>
              <w:rPr>
                <w:rFonts w:eastAsiaTheme="minorEastAsia"/>
                <w:color w:val="000000" w:themeColor="text1"/>
                <w:szCs w:val="21"/>
              </w:rPr>
            </w:pPr>
          </w:p>
        </w:tc>
        <w:tc>
          <w:tcPr>
            <w:tcW w:w="3357" w:type="dxa"/>
            <w:vAlign w:val="center"/>
          </w:tcPr>
          <w:p w:rsidR="0075539A" w:rsidRDefault="00F533DF">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75539A" w:rsidRDefault="00F533DF">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75539A">
            <w:pPr>
              <w:spacing w:before="29" w:line="360" w:lineRule="auto"/>
              <w:ind w:left="17"/>
              <w:jc w:val="center"/>
              <w:rPr>
                <w:rFonts w:eastAsiaTheme="minorEastAsia"/>
                <w:color w:val="000000" w:themeColor="text1"/>
                <w:szCs w:val="21"/>
              </w:rPr>
            </w:pP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75539A" w:rsidRDefault="00F533DF">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4,537,986.42</w:t>
            </w:r>
          </w:p>
        </w:tc>
        <w:tc>
          <w:tcPr>
            <w:tcW w:w="1843" w:type="dxa"/>
            <w:vAlign w:val="center"/>
          </w:tcPr>
          <w:p w:rsidR="0075539A" w:rsidRDefault="00F533DF">
            <w:pPr>
              <w:spacing w:before="29" w:line="360" w:lineRule="auto"/>
              <w:ind w:left="17"/>
              <w:jc w:val="right"/>
              <w:rPr>
                <w:rFonts w:eastAsiaTheme="minorEastAsia"/>
                <w:color w:val="000000" w:themeColor="text1"/>
                <w:szCs w:val="21"/>
              </w:rPr>
            </w:pPr>
            <w:r>
              <w:rPr>
                <w:rFonts w:eastAsiaTheme="minorEastAsia"/>
                <w:color w:val="000000" w:themeColor="text1"/>
                <w:szCs w:val="21"/>
              </w:rPr>
              <w:t>47.66</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75539A" w:rsidRDefault="00F533DF">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281,434.82</w:t>
            </w:r>
          </w:p>
        </w:tc>
        <w:tc>
          <w:tcPr>
            <w:tcW w:w="1843" w:type="dxa"/>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2.96</w:t>
            </w:r>
          </w:p>
        </w:tc>
      </w:tr>
      <w:tr w:rsidR="0075539A">
        <w:tc>
          <w:tcPr>
            <w:tcW w:w="720"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75539A" w:rsidRDefault="00F533DF">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9,520,857.24</w:t>
            </w:r>
          </w:p>
        </w:tc>
        <w:tc>
          <w:tcPr>
            <w:tcW w:w="1843" w:type="dxa"/>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100.00</w:t>
            </w:r>
          </w:p>
        </w:tc>
      </w:tr>
    </w:tbl>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75539A" w:rsidRDefault="00F533DF">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7553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占基金资产净值比例（％）</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p w:rsidR="0075539A" w:rsidRDefault="0075539A">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p w:rsidR="0075539A" w:rsidRDefault="0075539A">
            <w:pPr>
              <w:jc w:val="right"/>
              <w:rPr>
                <w:rFonts w:eastAsiaTheme="minorEastAsia"/>
                <w:color w:val="000000" w:themeColor="text1"/>
                <w:szCs w:val="21"/>
              </w:rPr>
            </w:pP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4,701,436.00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52.23</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adjustRightInd w:val="0"/>
              <w:snapToGrid w:val="0"/>
              <w:spacing w:line="400" w:lineRule="exact"/>
              <w:jc w:val="center"/>
              <w:rPr>
                <w:rFonts w:eastAsiaTheme="minorEastAsia"/>
                <w:color w:val="000000" w:themeColor="text1"/>
                <w:szCs w:val="21"/>
              </w:rPr>
            </w:pPr>
            <w:r>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w:t>
            </w:r>
          </w:p>
        </w:tc>
      </w:tr>
      <w:tr w:rsidR="007553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75539A">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75539A" w:rsidRDefault="00F533DF">
            <w:pPr>
              <w:adjustRightInd w:val="0"/>
              <w:snapToGrid w:val="0"/>
              <w:spacing w:line="400" w:lineRule="exact"/>
              <w:rPr>
                <w:rFonts w:eastAsiaTheme="minorEastAsia"/>
                <w:color w:val="000000" w:themeColor="text1"/>
                <w:szCs w:val="21"/>
              </w:rPr>
            </w:pPr>
            <w:r>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4,701,436.00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5539A" w:rsidRDefault="00F533DF">
            <w:pPr>
              <w:jc w:val="right"/>
              <w:rPr>
                <w:rFonts w:eastAsiaTheme="minorEastAsia"/>
                <w:color w:val="000000" w:themeColor="text1"/>
                <w:szCs w:val="21"/>
              </w:rPr>
            </w:pPr>
            <w:r>
              <w:rPr>
                <w:rFonts w:eastAsiaTheme="minorEastAsia"/>
                <w:color w:val="000000" w:themeColor="text1"/>
                <w:szCs w:val="21"/>
              </w:rPr>
              <w:t>52.23</w:t>
            </w:r>
          </w:p>
        </w:tc>
      </w:tr>
    </w:tbl>
    <w:p w:rsidR="0075539A" w:rsidRDefault="00F533DF">
      <w:pPr>
        <w:jc w:val="left"/>
        <w:rPr>
          <w:b/>
        </w:rPr>
      </w:pPr>
      <w:r>
        <w:rPr>
          <w:rFonts w:ascii="宋体" w:hAnsi="宋体" w:hint="eastAsia"/>
          <w:b/>
          <w:kern w:val="0"/>
          <w:sz w:val="18"/>
        </w:rPr>
        <w:t>5.2.2</w:t>
      </w:r>
      <w:r>
        <w:rPr>
          <w:rFonts w:hint="eastAsia"/>
          <w:b/>
        </w:rPr>
        <w:t>报告期末按行业分类的</w:t>
      </w:r>
      <w:r>
        <w:rPr>
          <w:rFonts w:hint="eastAsia"/>
          <w:b/>
        </w:rPr>
        <w:t>港股通</w:t>
      </w:r>
      <w:r>
        <w:rPr>
          <w:rFonts w:hint="eastAsia"/>
          <w:b/>
        </w:rPr>
        <w:t>投资股票投资组合</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276"/>
        <w:gridCol w:w="1842"/>
        <w:gridCol w:w="1616"/>
      </w:tblGrid>
      <w:tr w:rsidR="0075539A">
        <w:tc>
          <w:tcPr>
            <w:tcW w:w="817"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276"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842" w:type="dxa"/>
            <w:vAlign w:val="center"/>
          </w:tcPr>
          <w:p w:rsidR="0075539A" w:rsidRDefault="00F533DF">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75539A">
        <w:tc>
          <w:tcPr>
            <w:tcW w:w="817" w:type="dxa"/>
            <w:vAlign w:val="center"/>
          </w:tcPr>
          <w:p w:rsidR="0075539A" w:rsidRDefault="00F533DF">
            <w:pPr>
              <w:jc w:val="center"/>
            </w:pPr>
            <w:r>
              <w:rPr>
                <w:rFonts w:eastAsiaTheme="minorEastAsia"/>
                <w:color w:val="000000" w:themeColor="text1"/>
                <w:szCs w:val="21"/>
              </w:rPr>
              <w:t>1</w:t>
            </w:r>
          </w:p>
        </w:tc>
        <w:tc>
          <w:tcPr>
            <w:tcW w:w="1276" w:type="dxa"/>
            <w:vAlign w:val="center"/>
          </w:tcPr>
          <w:p w:rsidR="0075539A" w:rsidRDefault="00F533DF">
            <w:pPr>
              <w:jc w:val="center"/>
            </w:pPr>
            <w:r>
              <w:rPr>
                <w:rFonts w:eastAsiaTheme="minorEastAsia"/>
                <w:color w:val="000000" w:themeColor="text1"/>
                <w:szCs w:val="21"/>
              </w:rPr>
              <w:t>601600</w:t>
            </w:r>
          </w:p>
        </w:tc>
        <w:tc>
          <w:tcPr>
            <w:tcW w:w="1701" w:type="dxa"/>
            <w:vAlign w:val="center"/>
          </w:tcPr>
          <w:p w:rsidR="0075539A" w:rsidRDefault="00F533DF">
            <w:pPr>
              <w:jc w:val="center"/>
            </w:pPr>
            <w:r>
              <w:rPr>
                <w:rFonts w:eastAsiaTheme="minorEastAsia"/>
                <w:color w:val="000000" w:themeColor="text1"/>
                <w:szCs w:val="21"/>
              </w:rPr>
              <w:t>中国铝业</w:t>
            </w:r>
          </w:p>
        </w:tc>
        <w:tc>
          <w:tcPr>
            <w:tcW w:w="1276" w:type="dxa"/>
            <w:vAlign w:val="center"/>
          </w:tcPr>
          <w:p w:rsidR="0075539A" w:rsidRDefault="00F533DF">
            <w:pPr>
              <w:jc w:val="right"/>
            </w:pPr>
            <w:r>
              <w:rPr>
                <w:rFonts w:eastAsiaTheme="minorEastAsia"/>
                <w:color w:val="000000" w:themeColor="text1"/>
                <w:szCs w:val="21"/>
              </w:rPr>
              <w:t>700,000</w:t>
            </w:r>
          </w:p>
        </w:tc>
        <w:tc>
          <w:tcPr>
            <w:tcW w:w="1842" w:type="dxa"/>
            <w:vAlign w:val="center"/>
          </w:tcPr>
          <w:p w:rsidR="0075539A" w:rsidRDefault="00F533DF">
            <w:pPr>
              <w:jc w:val="right"/>
            </w:pPr>
            <w:r>
              <w:rPr>
                <w:rFonts w:eastAsiaTheme="minorEastAsia"/>
                <w:color w:val="000000" w:themeColor="text1"/>
                <w:szCs w:val="21"/>
              </w:rPr>
              <w:t>4,669,000.00</w:t>
            </w:r>
          </w:p>
        </w:tc>
        <w:tc>
          <w:tcPr>
            <w:tcW w:w="1616" w:type="dxa"/>
            <w:vAlign w:val="center"/>
          </w:tcPr>
          <w:p w:rsidR="0075539A" w:rsidRDefault="00F533DF">
            <w:pPr>
              <w:jc w:val="right"/>
            </w:pPr>
            <w:r>
              <w:rPr>
                <w:rFonts w:eastAsiaTheme="minorEastAsia"/>
                <w:color w:val="000000" w:themeColor="text1"/>
                <w:szCs w:val="21"/>
              </w:rPr>
              <w:t>51.87</w:t>
            </w:r>
          </w:p>
        </w:tc>
      </w:tr>
      <w:tr w:rsidR="0075539A">
        <w:tc>
          <w:tcPr>
            <w:tcW w:w="817" w:type="dxa"/>
            <w:vAlign w:val="center"/>
          </w:tcPr>
          <w:p w:rsidR="0075539A" w:rsidRDefault="00F533DF">
            <w:pPr>
              <w:jc w:val="center"/>
            </w:pPr>
            <w:r>
              <w:rPr>
                <w:rFonts w:eastAsiaTheme="minorEastAsia"/>
                <w:color w:val="000000" w:themeColor="text1"/>
                <w:szCs w:val="21"/>
              </w:rPr>
              <w:t>2</w:t>
            </w:r>
          </w:p>
        </w:tc>
        <w:tc>
          <w:tcPr>
            <w:tcW w:w="1276" w:type="dxa"/>
            <w:vAlign w:val="center"/>
          </w:tcPr>
          <w:p w:rsidR="0075539A" w:rsidRDefault="00F533DF">
            <w:pPr>
              <w:jc w:val="center"/>
            </w:pPr>
            <w:r>
              <w:rPr>
                <w:rFonts w:eastAsiaTheme="minorEastAsia"/>
                <w:color w:val="000000" w:themeColor="text1"/>
                <w:szCs w:val="21"/>
              </w:rPr>
              <w:t>603809</w:t>
            </w:r>
          </w:p>
        </w:tc>
        <w:tc>
          <w:tcPr>
            <w:tcW w:w="1701" w:type="dxa"/>
            <w:vAlign w:val="center"/>
          </w:tcPr>
          <w:p w:rsidR="0075539A" w:rsidRDefault="00F533DF">
            <w:pPr>
              <w:jc w:val="center"/>
            </w:pPr>
            <w:r>
              <w:rPr>
                <w:rFonts w:eastAsiaTheme="minorEastAsia"/>
                <w:color w:val="000000" w:themeColor="text1"/>
                <w:szCs w:val="21"/>
              </w:rPr>
              <w:t>豪能股份</w:t>
            </w:r>
          </w:p>
        </w:tc>
        <w:tc>
          <w:tcPr>
            <w:tcW w:w="1276" w:type="dxa"/>
            <w:vAlign w:val="center"/>
          </w:tcPr>
          <w:p w:rsidR="0075539A" w:rsidRDefault="00F533DF">
            <w:pPr>
              <w:jc w:val="right"/>
            </w:pPr>
            <w:r>
              <w:rPr>
                <w:rFonts w:eastAsiaTheme="minorEastAsia"/>
                <w:color w:val="000000" w:themeColor="text1"/>
                <w:szCs w:val="21"/>
              </w:rPr>
              <w:t>900</w:t>
            </w:r>
          </w:p>
        </w:tc>
        <w:tc>
          <w:tcPr>
            <w:tcW w:w="1842" w:type="dxa"/>
            <w:vAlign w:val="center"/>
          </w:tcPr>
          <w:p w:rsidR="0075539A" w:rsidRDefault="00F533DF">
            <w:pPr>
              <w:jc w:val="right"/>
            </w:pPr>
            <w:r>
              <w:rPr>
                <w:rFonts w:eastAsiaTheme="minorEastAsia"/>
                <w:color w:val="000000" w:themeColor="text1"/>
                <w:szCs w:val="21"/>
              </w:rPr>
              <w:t>32,436.00</w:t>
            </w:r>
          </w:p>
        </w:tc>
        <w:tc>
          <w:tcPr>
            <w:tcW w:w="1616" w:type="dxa"/>
            <w:vAlign w:val="center"/>
          </w:tcPr>
          <w:p w:rsidR="0075539A" w:rsidRDefault="00F533DF">
            <w:pPr>
              <w:jc w:val="right"/>
            </w:pPr>
            <w:r>
              <w:rPr>
                <w:rFonts w:eastAsiaTheme="minorEastAsia"/>
                <w:color w:val="000000" w:themeColor="text1"/>
                <w:szCs w:val="21"/>
              </w:rPr>
              <w:t>0.36</w:t>
            </w:r>
          </w:p>
        </w:tc>
      </w:tr>
    </w:tbl>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本基金本报告期末未持有债券投资。</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75539A" w:rsidRDefault="00F533DF" w:rsidP="00F533DF">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75539A" w:rsidRDefault="00F533DF">
      <w:pPr>
        <w:widowControl/>
        <w:spacing w:line="360" w:lineRule="auto"/>
        <w:ind w:firstLineChars="200" w:firstLine="420"/>
        <w:jc w:val="left"/>
        <w:rPr>
          <w:color w:val="000000" w:themeColor="text1"/>
          <w:szCs w:val="21"/>
        </w:rPr>
      </w:pPr>
      <w:r>
        <w:rPr>
          <w:color w:val="000000" w:themeColor="text1"/>
          <w:szCs w:val="21"/>
        </w:rPr>
        <w:t>本基金本报告期末未持有贵金属投资。</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本基金本报告期末未持有权证投资。</w:t>
      </w:r>
    </w:p>
    <w:p w:rsidR="0075539A" w:rsidRDefault="00F533DF" w:rsidP="00F533DF">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75539A" w:rsidRDefault="00F533DF">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5.9.1 </w:t>
      </w:r>
      <w:r>
        <w:rPr>
          <w:rFonts w:eastAsiaTheme="minorEastAsia"/>
          <w:b/>
          <w:color w:val="000000" w:themeColor="text1"/>
          <w:szCs w:val="21"/>
        </w:rPr>
        <w:t>报告期末本基金投资的股指期货持仓和损益明细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75539A" w:rsidRDefault="00F533DF" w:rsidP="00F533DF">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5.9.2 </w:t>
      </w:r>
      <w:r>
        <w:rPr>
          <w:rFonts w:eastAsiaTheme="minorEastAsia"/>
          <w:b/>
          <w:color w:val="000000" w:themeColor="text1"/>
          <w:szCs w:val="21"/>
        </w:rPr>
        <w:t>本基金投资股指期货的投资政策</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本基金将根据风险管理的原则，以套期保值为目的，有选择地投资于流动性好、交易</w:t>
      </w:r>
      <w:r>
        <w:rPr>
          <w:rFonts w:eastAsiaTheme="minorEastAsia"/>
          <w:color w:val="000000" w:themeColor="text1"/>
          <w:szCs w:val="21"/>
        </w:rPr>
        <w:t>活跃的股指期货合约。</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进行股指期货投资时，首先将基于对证券市场总体行情的判断和组合风险收益的分析确定投资时机以及套期保值的类型（多头套期保值或空头套期保值），并根据风险资产投资（或拟投资）的总体规模和风险系数决定股指期货的投资比例；其次，本基金将在综合考虑证券市场和期货市场运行趋势以及股指期货流动性、收益性、风险特征和估值水平的基础上进行投资品种选择，以对冲风险资产组合的系统性风险和流动性风险。</w:t>
      </w:r>
    </w:p>
    <w:p w:rsidR="0075539A" w:rsidRDefault="00F533DF" w:rsidP="00F533DF">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75539A" w:rsidRDefault="00F533DF">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5.10.1 </w:t>
      </w:r>
      <w:r>
        <w:rPr>
          <w:rFonts w:eastAsiaTheme="minorEastAsia"/>
          <w:b/>
          <w:color w:val="000000" w:themeColor="text1"/>
          <w:szCs w:val="21"/>
        </w:rPr>
        <w:t>本期国债期货投资政策</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75539A" w:rsidRDefault="00F533DF">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5.10.2</w:t>
      </w:r>
      <w:r>
        <w:rPr>
          <w:rFonts w:eastAsiaTheme="minorEastAsia"/>
          <w:b/>
          <w:color w:val="000000" w:themeColor="text1"/>
          <w:szCs w:val="21"/>
        </w:rPr>
        <w:t xml:space="preserve"> </w:t>
      </w:r>
      <w:r>
        <w:rPr>
          <w:rFonts w:eastAsiaTheme="minorEastAsia"/>
          <w:b/>
          <w:color w:val="000000" w:themeColor="text1"/>
          <w:szCs w:val="21"/>
        </w:rPr>
        <w:t>报告期末本基金投资的国债期货持仓和损益明细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75539A" w:rsidRDefault="00F533DF">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5.10.3 </w:t>
      </w:r>
      <w:r>
        <w:rPr>
          <w:rFonts w:eastAsiaTheme="minorEastAsia"/>
          <w:b/>
          <w:color w:val="000000" w:themeColor="text1"/>
          <w:szCs w:val="21"/>
        </w:rPr>
        <w:t>本期国债期货投资评价</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75539A" w:rsidRDefault="00F533DF">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本报告期内，本基金投资的前十名证券的发行主体没有被监管部门立案调查的，也没有在报告编制日前一年内受到公开谴责、处罚的情况。</w:t>
      </w:r>
    </w:p>
    <w:p w:rsidR="0075539A" w:rsidRDefault="00F533DF">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本基金投资的前十名股票中，不存在投资于超出基金合同规定备选股票库之外的股票。</w:t>
      </w:r>
    </w:p>
    <w:p w:rsidR="0075539A" w:rsidRDefault="00F533DF">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75539A">
        <w:tc>
          <w:tcPr>
            <w:tcW w:w="1110" w:type="dxa"/>
            <w:vAlign w:val="center"/>
          </w:tcPr>
          <w:p w:rsidR="0075539A" w:rsidRDefault="00F533D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75539A" w:rsidRDefault="00F533D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75539A" w:rsidRDefault="00F533D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280,401.02</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1,033.80</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75539A">
        <w:tc>
          <w:tcPr>
            <w:tcW w:w="1110" w:type="dxa"/>
            <w:vAlign w:val="center"/>
          </w:tcPr>
          <w:p w:rsidR="0075539A" w:rsidRDefault="00F533DF">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75539A" w:rsidRDefault="00F533DF">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75539A" w:rsidRDefault="00F533DF">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281,434.82</w:t>
            </w:r>
          </w:p>
        </w:tc>
      </w:tr>
    </w:tbl>
    <w:p w:rsidR="0075539A" w:rsidRDefault="00F533DF" w:rsidP="00F533DF">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75539A" w:rsidRDefault="00F533DF" w:rsidP="00F533DF">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tbl>
      <w:tblPr>
        <w:tblStyle w:val="af6"/>
        <w:tblW w:w="8513" w:type="dxa"/>
        <w:tblInd w:w="108" w:type="dxa"/>
        <w:tblLayout w:type="fixed"/>
        <w:tblLook w:val="04A0"/>
      </w:tblPr>
      <w:tblGrid>
        <w:gridCol w:w="1083"/>
        <w:gridCol w:w="1302"/>
        <w:gridCol w:w="1301"/>
        <w:gridCol w:w="1805"/>
        <w:gridCol w:w="1655"/>
        <w:gridCol w:w="1367"/>
      </w:tblGrid>
      <w:tr w:rsidR="0075539A">
        <w:tc>
          <w:tcPr>
            <w:tcW w:w="1083"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302"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301"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805"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流通受限部分的公允价值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55"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p>
        </w:tc>
        <w:tc>
          <w:tcPr>
            <w:tcW w:w="1367" w:type="dxa"/>
            <w:vAlign w:val="center"/>
          </w:tcPr>
          <w:p w:rsidR="0075539A" w:rsidRDefault="00F533DF">
            <w:pPr>
              <w:spacing w:before="29" w:line="360" w:lineRule="auto"/>
              <w:ind w:left="17"/>
              <w:jc w:val="center"/>
              <w:rPr>
                <w:rFonts w:eastAsiaTheme="minorEastAsia"/>
                <w:color w:val="000000" w:themeColor="text1"/>
                <w:szCs w:val="21"/>
              </w:rPr>
            </w:pPr>
            <w:r>
              <w:rPr>
                <w:rFonts w:eastAsiaTheme="minorEastAsia"/>
                <w:color w:val="000000" w:themeColor="text1"/>
                <w:szCs w:val="21"/>
              </w:rPr>
              <w:t>流通受限情况说明</w:t>
            </w:r>
          </w:p>
        </w:tc>
      </w:tr>
      <w:tr w:rsidR="0075539A">
        <w:tc>
          <w:tcPr>
            <w:tcW w:w="1083" w:type="dxa"/>
            <w:vAlign w:val="center"/>
          </w:tcPr>
          <w:p w:rsidR="0075539A" w:rsidRDefault="00F533DF">
            <w:pPr>
              <w:jc w:val="center"/>
            </w:pPr>
            <w:r>
              <w:rPr>
                <w:rFonts w:eastAsiaTheme="minorEastAsia"/>
                <w:color w:val="000000" w:themeColor="text1"/>
                <w:szCs w:val="21"/>
              </w:rPr>
              <w:t>1</w:t>
            </w:r>
          </w:p>
        </w:tc>
        <w:tc>
          <w:tcPr>
            <w:tcW w:w="1302" w:type="dxa"/>
            <w:vAlign w:val="center"/>
          </w:tcPr>
          <w:p w:rsidR="0075539A" w:rsidRDefault="00F533DF">
            <w:pPr>
              <w:jc w:val="center"/>
            </w:pPr>
            <w:r>
              <w:rPr>
                <w:rFonts w:eastAsiaTheme="minorEastAsia"/>
                <w:color w:val="000000" w:themeColor="text1"/>
                <w:szCs w:val="21"/>
              </w:rPr>
              <w:t>601600</w:t>
            </w:r>
          </w:p>
        </w:tc>
        <w:tc>
          <w:tcPr>
            <w:tcW w:w="1301" w:type="dxa"/>
            <w:vAlign w:val="center"/>
          </w:tcPr>
          <w:p w:rsidR="0075539A" w:rsidRDefault="00F533DF">
            <w:pPr>
              <w:jc w:val="center"/>
            </w:pPr>
            <w:r>
              <w:rPr>
                <w:rFonts w:eastAsiaTheme="minorEastAsia"/>
                <w:color w:val="000000" w:themeColor="text1"/>
                <w:szCs w:val="21"/>
              </w:rPr>
              <w:t>中国铝业</w:t>
            </w:r>
          </w:p>
        </w:tc>
        <w:tc>
          <w:tcPr>
            <w:tcW w:w="1805" w:type="dxa"/>
            <w:vAlign w:val="center"/>
          </w:tcPr>
          <w:p w:rsidR="0075539A" w:rsidRDefault="00F533DF">
            <w:pPr>
              <w:jc w:val="right"/>
            </w:pPr>
            <w:r>
              <w:rPr>
                <w:rFonts w:eastAsiaTheme="minorEastAsia"/>
                <w:color w:val="000000" w:themeColor="text1"/>
                <w:szCs w:val="21"/>
              </w:rPr>
              <w:t>4,669,000.00</w:t>
            </w:r>
          </w:p>
        </w:tc>
        <w:tc>
          <w:tcPr>
            <w:tcW w:w="1655" w:type="dxa"/>
            <w:vAlign w:val="center"/>
          </w:tcPr>
          <w:p w:rsidR="0075539A" w:rsidRDefault="00F533DF">
            <w:pPr>
              <w:jc w:val="right"/>
            </w:pPr>
            <w:r>
              <w:rPr>
                <w:rFonts w:eastAsiaTheme="minorEastAsia"/>
                <w:color w:val="000000" w:themeColor="text1"/>
                <w:szCs w:val="21"/>
              </w:rPr>
              <w:t>51.87</w:t>
            </w:r>
          </w:p>
        </w:tc>
        <w:tc>
          <w:tcPr>
            <w:tcW w:w="1367" w:type="dxa"/>
            <w:vAlign w:val="center"/>
          </w:tcPr>
          <w:p w:rsidR="0075539A" w:rsidRDefault="00F533DF">
            <w:pPr>
              <w:jc w:val="right"/>
            </w:pPr>
            <w:r>
              <w:rPr>
                <w:rFonts w:eastAsiaTheme="minorEastAsia"/>
                <w:color w:val="000000" w:themeColor="text1"/>
                <w:szCs w:val="21"/>
              </w:rPr>
              <w:t>重大资产重组</w:t>
            </w:r>
          </w:p>
        </w:tc>
      </w:tr>
    </w:tbl>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75539A" w:rsidRDefault="00F533DF">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A</w:t>
            </w:r>
            <w:r>
              <w:rPr>
                <w:rFonts w:eastAsiaTheme="minorEastAsia"/>
                <w:color w:val="000000" w:themeColor="text1"/>
                <w:szCs w:val="21"/>
              </w:rPr>
              <w:t>类</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华安安润灵活配置混合</w:t>
            </w:r>
            <w:r>
              <w:rPr>
                <w:rFonts w:eastAsiaTheme="minorEastAsia"/>
                <w:color w:val="000000" w:themeColor="text1"/>
                <w:szCs w:val="21"/>
              </w:rPr>
              <w:t>C</w:t>
            </w:r>
            <w:r>
              <w:rPr>
                <w:rFonts w:eastAsiaTheme="minorEastAsia"/>
                <w:color w:val="000000" w:themeColor="text1"/>
                <w:szCs w:val="21"/>
              </w:rPr>
              <w:t>类</w:t>
            </w:r>
          </w:p>
        </w:tc>
      </w:tr>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500,042,635.36</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21,821.55</w:t>
            </w:r>
          </w:p>
        </w:tc>
      </w:tr>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9.66</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26,754.72</w:t>
            </w:r>
          </w:p>
        </w:tc>
      </w:tr>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491,501,200.38</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9.00</w:t>
            </w:r>
          </w:p>
        </w:tc>
      </w:tr>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75539A">
        <w:tc>
          <w:tcPr>
            <w:tcW w:w="3900"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8,541,444.64</w:t>
            </w:r>
          </w:p>
        </w:tc>
        <w:tc>
          <w:tcPr>
            <w:tcW w:w="2367" w:type="dxa"/>
            <w:tcBorders>
              <w:top w:val="single" w:sz="8" w:space="0" w:color="000000"/>
              <w:left w:val="single" w:sz="8" w:space="0" w:color="000000"/>
              <w:bottom w:val="single" w:sz="8" w:space="0" w:color="000000"/>
              <w:right w:val="single" w:sz="8" w:space="0" w:color="000000"/>
            </w:tcBorders>
            <w:vAlign w:val="center"/>
          </w:tcPr>
          <w:p w:rsidR="0075539A" w:rsidRDefault="00F533DF">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48,567.27</w:t>
            </w:r>
          </w:p>
        </w:tc>
      </w:tr>
    </w:tbl>
    <w:p w:rsidR="0075539A" w:rsidRDefault="00F533DF" w:rsidP="00F533DF">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75539A" w:rsidRDefault="00F533DF">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75539A" w:rsidRDefault="00F533DF" w:rsidP="00F533DF">
      <w:pPr>
        <w:spacing w:beforeLines="100" w:line="360" w:lineRule="auto"/>
        <w:jc w:val="left"/>
        <w:rPr>
          <w:color w:val="000000" w:themeColor="text1"/>
          <w:szCs w:val="21"/>
        </w:rPr>
      </w:pPr>
      <w:r>
        <w:rPr>
          <w:b/>
          <w:color w:val="000000" w:themeColor="text1"/>
          <w:szCs w:val="21"/>
        </w:rPr>
        <w:t>7.2</w:t>
      </w:r>
      <w:r>
        <w:rPr>
          <w:rFonts w:hint="eastAsia"/>
          <w:b/>
          <w:color w:val="000000"/>
          <w:szCs w:val="21"/>
          <w:shd w:val="clear" w:color="auto" w:fill="FFFFFF"/>
        </w:rPr>
        <w:t>基金管理人运用固有资金投资本基金交易明细</w:t>
      </w:r>
    </w:p>
    <w:p w:rsidR="0075539A" w:rsidRDefault="00F533D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75539A" w:rsidRDefault="00F533DF">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 xml:space="preserve">1 </w:t>
      </w:r>
      <w:r>
        <w:rPr>
          <w:rFonts w:ascii="宋体" w:hAnsi="宋体" w:hint="eastAsia"/>
          <w:b/>
          <w:bCs/>
          <w:color w:val="000000"/>
          <w:kern w:val="0"/>
          <w:szCs w:val="21"/>
        </w:rPr>
        <w:t>报告期内单一投资者持有基金份额比例达到或超过</w:t>
      </w:r>
      <w:r>
        <w:rPr>
          <w:rFonts w:ascii="宋体" w:hAnsi="宋体" w:hint="eastAsia"/>
          <w:b/>
          <w:bCs/>
          <w:color w:val="000000"/>
          <w:kern w:val="0"/>
          <w:szCs w:val="21"/>
        </w:rPr>
        <w:t>20%</w:t>
      </w:r>
      <w:r>
        <w:rPr>
          <w:rFonts w:ascii="宋体" w:hAnsi="宋体" w:hint="eastAsia"/>
          <w:b/>
          <w:bCs/>
          <w:color w:val="000000"/>
          <w:kern w:val="0"/>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75539A">
        <w:tc>
          <w:tcPr>
            <w:tcW w:w="993" w:type="dxa"/>
            <w:vMerge w:val="restart"/>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75539A">
        <w:tc>
          <w:tcPr>
            <w:tcW w:w="993" w:type="dxa"/>
            <w:vMerge/>
            <w:vAlign w:val="center"/>
          </w:tcPr>
          <w:p w:rsidR="0075539A" w:rsidRDefault="0075539A">
            <w:pPr>
              <w:autoSpaceDE w:val="0"/>
              <w:autoSpaceDN w:val="0"/>
              <w:adjustRightInd w:val="0"/>
              <w:jc w:val="center"/>
              <w:rPr>
                <w:rFonts w:ascii="宋体" w:hAnsi="宋体"/>
                <w:b/>
                <w:bCs/>
                <w:color w:val="000000"/>
                <w:kern w:val="0"/>
                <w:szCs w:val="21"/>
              </w:rPr>
            </w:pPr>
          </w:p>
        </w:tc>
        <w:tc>
          <w:tcPr>
            <w:tcW w:w="992" w:type="dxa"/>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w:t>
            </w:r>
            <w:r>
              <w:rPr>
                <w:rFonts w:ascii="宋体" w:hAnsi="宋体" w:hint="eastAsia"/>
                <w:color w:val="000000"/>
                <w:kern w:val="0"/>
                <w:szCs w:val="21"/>
              </w:rPr>
              <w:t>20%</w:t>
            </w:r>
            <w:r>
              <w:rPr>
                <w:rFonts w:ascii="宋体" w:hAnsi="宋体" w:hint="eastAsia"/>
                <w:color w:val="000000"/>
                <w:kern w:val="0"/>
                <w:szCs w:val="21"/>
              </w:rPr>
              <w:t>的时间区间</w:t>
            </w:r>
          </w:p>
        </w:tc>
        <w:tc>
          <w:tcPr>
            <w:tcW w:w="851" w:type="dxa"/>
            <w:vAlign w:val="center"/>
          </w:tcPr>
          <w:p w:rsidR="0075539A" w:rsidRDefault="00F533DF">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75539A" w:rsidRDefault="00F533DF">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75539A" w:rsidRDefault="00F533DF">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75539A" w:rsidRDefault="00F533D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75539A">
        <w:tc>
          <w:tcPr>
            <w:tcW w:w="993" w:type="dxa"/>
            <w:vMerge w:val="restart"/>
          </w:tcPr>
          <w:p w:rsidR="0075539A" w:rsidRDefault="0075539A"/>
          <w:p w:rsidR="0075539A" w:rsidRDefault="00F533DF">
            <w:r>
              <w:rPr>
                <w:rFonts w:ascii="宋体" w:hAnsi="宋体" w:hint="eastAsia"/>
                <w:bCs/>
                <w:color w:val="000000"/>
                <w:kern w:val="0"/>
                <w:szCs w:val="21"/>
              </w:rPr>
              <w:t>机构</w:t>
            </w:r>
          </w:p>
        </w:tc>
        <w:tc>
          <w:tcPr>
            <w:tcW w:w="992" w:type="dxa"/>
            <w:vAlign w:val="center"/>
          </w:tcPr>
          <w:p w:rsidR="0075539A" w:rsidRDefault="00F533DF">
            <w:pPr>
              <w:jc w:val="center"/>
            </w:pPr>
            <w:r>
              <w:rPr>
                <w:rFonts w:ascii="宋体" w:hAnsi="宋体"/>
                <w:color w:val="000000"/>
                <w:kern w:val="0"/>
                <w:szCs w:val="21"/>
              </w:rPr>
              <w:t>1</w:t>
            </w:r>
          </w:p>
        </w:tc>
        <w:tc>
          <w:tcPr>
            <w:tcW w:w="1843" w:type="dxa"/>
            <w:vAlign w:val="center"/>
          </w:tcPr>
          <w:p w:rsidR="0075539A" w:rsidRDefault="00F533DF">
            <w:pPr>
              <w:jc w:val="center"/>
            </w:pPr>
            <w:r>
              <w:rPr>
                <w:rFonts w:ascii="宋体" w:hAnsi="宋体"/>
                <w:color w:val="000000"/>
                <w:kern w:val="0"/>
                <w:szCs w:val="21"/>
              </w:rPr>
              <w:t>20171001-20171231</w:t>
            </w:r>
          </w:p>
        </w:tc>
        <w:tc>
          <w:tcPr>
            <w:tcW w:w="851" w:type="dxa"/>
            <w:vAlign w:val="center"/>
          </w:tcPr>
          <w:p w:rsidR="0075539A" w:rsidRDefault="00F533DF">
            <w:pPr>
              <w:jc w:val="center"/>
            </w:pPr>
            <w:r>
              <w:rPr>
                <w:rFonts w:ascii="宋体" w:hAnsi="宋体"/>
                <w:color w:val="000000"/>
                <w:kern w:val="0"/>
                <w:szCs w:val="21"/>
              </w:rPr>
              <w:t>499,999,000.00</w:t>
            </w:r>
          </w:p>
        </w:tc>
        <w:tc>
          <w:tcPr>
            <w:tcW w:w="850" w:type="dxa"/>
            <w:vAlign w:val="center"/>
          </w:tcPr>
          <w:p w:rsidR="0075539A" w:rsidRDefault="00F533DF">
            <w:pPr>
              <w:jc w:val="center"/>
            </w:pPr>
            <w:r>
              <w:rPr>
                <w:rFonts w:ascii="宋体" w:hAnsi="宋体"/>
                <w:color w:val="000000"/>
                <w:kern w:val="0"/>
                <w:szCs w:val="21"/>
              </w:rPr>
              <w:t>0.00</w:t>
            </w:r>
          </w:p>
        </w:tc>
        <w:tc>
          <w:tcPr>
            <w:tcW w:w="1134" w:type="dxa"/>
            <w:vAlign w:val="center"/>
          </w:tcPr>
          <w:p w:rsidR="0075539A" w:rsidRDefault="00F533DF">
            <w:pPr>
              <w:jc w:val="center"/>
            </w:pPr>
            <w:r>
              <w:rPr>
                <w:rFonts w:ascii="宋体" w:hAnsi="宋体"/>
                <w:color w:val="000000"/>
                <w:kern w:val="0"/>
                <w:szCs w:val="21"/>
              </w:rPr>
              <w:t>491,500,000.00</w:t>
            </w:r>
          </w:p>
        </w:tc>
        <w:tc>
          <w:tcPr>
            <w:tcW w:w="1419" w:type="dxa"/>
            <w:vAlign w:val="center"/>
          </w:tcPr>
          <w:p w:rsidR="0075539A" w:rsidRDefault="00F533DF">
            <w:pPr>
              <w:jc w:val="center"/>
            </w:pPr>
            <w:r>
              <w:rPr>
                <w:rFonts w:ascii="宋体" w:hAnsi="宋体"/>
                <w:color w:val="000000"/>
                <w:kern w:val="0"/>
                <w:szCs w:val="21"/>
              </w:rPr>
              <w:t>8,499,000.00</w:t>
            </w:r>
          </w:p>
        </w:tc>
        <w:tc>
          <w:tcPr>
            <w:tcW w:w="1130" w:type="dxa"/>
            <w:vAlign w:val="center"/>
          </w:tcPr>
          <w:p w:rsidR="0075539A" w:rsidRDefault="00F533DF">
            <w:pPr>
              <w:jc w:val="center"/>
            </w:pPr>
            <w:r>
              <w:rPr>
                <w:rFonts w:ascii="宋体" w:hAnsi="宋体"/>
                <w:color w:val="000000"/>
                <w:kern w:val="0"/>
                <w:szCs w:val="21"/>
              </w:rPr>
              <w:t>98.94%</w:t>
            </w:r>
          </w:p>
        </w:tc>
      </w:tr>
      <w:tr w:rsidR="0075539A">
        <w:tc>
          <w:tcPr>
            <w:tcW w:w="9212" w:type="dxa"/>
            <w:gridSpan w:val="8"/>
            <w:vAlign w:val="center"/>
          </w:tcPr>
          <w:p w:rsidR="0075539A" w:rsidRDefault="00F533DF">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75539A">
        <w:tc>
          <w:tcPr>
            <w:tcW w:w="9212" w:type="dxa"/>
            <w:gridSpan w:val="8"/>
            <w:vAlign w:val="center"/>
          </w:tcPr>
          <w:p w:rsidR="0075539A" w:rsidRDefault="00F533DF">
            <w:pPr>
              <w:autoSpaceDE w:val="0"/>
              <w:autoSpaceDN w:val="0"/>
              <w:adjustRightInd w:val="0"/>
              <w:jc w:val="left"/>
              <w:rPr>
                <w:rFonts w:ascii="宋体" w:hAnsi="宋体"/>
                <w:kern w:val="0"/>
                <w:szCs w:val="21"/>
              </w:rPr>
            </w:pPr>
            <w:r>
              <w:rPr>
                <w:rFonts w:ascii="宋体" w:hAnsi="宋体" w:hint="eastAsia"/>
                <w:kern w:val="0"/>
                <w:szCs w:val="21"/>
              </w:rPr>
              <w:t>本基金报告期内出现单一投资者持有基金份额比例达到或者超过</w:t>
            </w:r>
            <w:r>
              <w:rPr>
                <w:rFonts w:ascii="宋体" w:hAnsi="宋体" w:hint="eastAsia"/>
                <w:kern w:val="0"/>
                <w:szCs w:val="21"/>
              </w:rPr>
              <w:t>20%</w:t>
            </w:r>
            <w:r>
              <w:rPr>
                <w:rFonts w:ascii="宋体" w:hAnsi="宋体" w:hint="eastAsia"/>
                <w:kern w:val="0"/>
                <w:szCs w:val="21"/>
              </w:rPr>
              <w:t>的情形。如该单一投资者大额赎回将可能导致基金份额净值波动风险、基金流动性风险等特定风险。</w:t>
            </w:r>
          </w:p>
        </w:tc>
      </w:tr>
    </w:tbl>
    <w:p w:rsidR="0075539A" w:rsidRDefault="00F533DF">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 xml:space="preserve">8.2 </w:t>
      </w:r>
      <w:r>
        <w:rPr>
          <w:rFonts w:ascii="宋体" w:hAnsi="宋体" w:hint="eastAsia"/>
          <w:b/>
          <w:bCs/>
          <w:color w:val="000000"/>
          <w:kern w:val="0"/>
          <w:szCs w:val="21"/>
        </w:rPr>
        <w:t>影响投资者决策的其他重要信息</w:t>
      </w:r>
    </w:p>
    <w:p w:rsidR="0075539A" w:rsidRDefault="00F533DF">
      <w:pPr>
        <w:spacing w:line="360" w:lineRule="auto"/>
        <w:ind w:firstLineChars="200" w:firstLine="420"/>
        <w:rPr>
          <w:rFonts w:ascii="宋体" w:hAnsi="宋体"/>
          <w:color w:val="000000"/>
          <w:szCs w:val="21"/>
        </w:rPr>
      </w:pPr>
      <w:r>
        <w:rPr>
          <w:rFonts w:ascii="宋体" w:hAnsi="宋体"/>
          <w:color w:val="000000"/>
          <w:szCs w:val="21"/>
        </w:rPr>
        <w:t>无。</w:t>
      </w:r>
    </w:p>
    <w:p w:rsidR="0075539A" w:rsidRDefault="00F533DF" w:rsidP="00F533DF">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75539A" w:rsidRDefault="00F533DF">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、《华安安润灵活配置混合型证券投资基金基金合同》</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、《华安安润灵活配置混合型证券投资基金招募说明书》</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、《华安安润灵活配置混合型证券投资基金托管协议》</w:t>
      </w:r>
    </w:p>
    <w:p w:rsidR="0075539A" w:rsidRDefault="00F533DF" w:rsidP="00F533DF">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基金管理人和基金托管人的办公场所，并登载于基金管理人互联网站</w:t>
      </w:r>
      <w:r>
        <w:rPr>
          <w:rFonts w:eastAsiaTheme="minorEastAsia"/>
          <w:color w:val="000000" w:themeColor="text1"/>
          <w:szCs w:val="21"/>
        </w:rPr>
        <w:t>http://www.huaan.com.cn</w:t>
      </w:r>
      <w:r>
        <w:rPr>
          <w:rFonts w:eastAsiaTheme="minorEastAsia"/>
          <w:color w:val="000000" w:themeColor="text1"/>
          <w:szCs w:val="21"/>
        </w:rPr>
        <w:t>。</w:t>
      </w:r>
    </w:p>
    <w:p w:rsidR="0075539A" w:rsidRDefault="00F533DF" w:rsidP="00F533DF">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75539A" w:rsidRDefault="00F533DF">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投资者可登录基金管理人互联网站查阅，或在营业时间内至基金管理人或基金托管人的办公场所免费查阅。</w:t>
      </w:r>
    </w:p>
    <w:p w:rsidR="0075539A" w:rsidRDefault="0075539A">
      <w:pPr>
        <w:spacing w:line="360" w:lineRule="auto"/>
        <w:ind w:left="840"/>
        <w:jc w:val="right"/>
        <w:rPr>
          <w:rFonts w:eastAsiaTheme="minorEastAsia"/>
          <w:color w:val="000000" w:themeColor="text1"/>
          <w:szCs w:val="21"/>
        </w:rPr>
      </w:pPr>
    </w:p>
    <w:p w:rsidR="0075539A" w:rsidRDefault="0075539A">
      <w:pPr>
        <w:spacing w:line="360" w:lineRule="auto"/>
        <w:ind w:left="840"/>
        <w:jc w:val="center"/>
        <w:rPr>
          <w:rFonts w:eastAsiaTheme="minorEastAsia"/>
          <w:b/>
          <w:color w:val="000000" w:themeColor="text1"/>
          <w:szCs w:val="21"/>
        </w:rPr>
      </w:pPr>
    </w:p>
    <w:p w:rsidR="0075539A" w:rsidRDefault="00F533DF">
      <w:pPr>
        <w:spacing w:line="360" w:lineRule="auto"/>
        <w:jc w:val="right"/>
        <w:rPr>
          <w:rFonts w:eastAsiaTheme="minorEastAsia"/>
          <w:b/>
          <w:bCs/>
          <w:color w:val="000000" w:themeColor="text1"/>
          <w:szCs w:val="21"/>
        </w:rPr>
      </w:pPr>
      <w:r>
        <w:rPr>
          <w:rFonts w:eastAsiaTheme="minorEastAsia"/>
          <w:b/>
          <w:bCs/>
          <w:color w:val="000000" w:themeColor="text1"/>
          <w:szCs w:val="21"/>
        </w:rPr>
        <w:t>华安基金管理有限公司</w:t>
      </w:r>
    </w:p>
    <w:p w:rsidR="0075539A" w:rsidRDefault="00F533DF">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二〇一八年一月二十二日</w:t>
      </w:r>
    </w:p>
    <w:sectPr w:rsidR="0075539A" w:rsidSect="0075539A">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9A" w:rsidRDefault="0075539A" w:rsidP="0075539A">
      <w:r>
        <w:separator/>
      </w:r>
    </w:p>
  </w:endnote>
  <w:endnote w:type="continuationSeparator" w:id="1">
    <w:p w:rsidR="0075539A" w:rsidRDefault="0075539A" w:rsidP="00755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9A" w:rsidRDefault="00F533DF">
    <w:pPr>
      <w:pStyle w:val="ac"/>
      <w:jc w:val="center"/>
    </w:pPr>
    <w:r>
      <w:rPr>
        <w:rFonts w:hint="eastAsia"/>
        <w:kern w:val="0"/>
        <w:szCs w:val="21"/>
      </w:rPr>
      <w:t>第</w:t>
    </w:r>
    <w:r w:rsidR="0075539A">
      <w:rPr>
        <w:kern w:val="0"/>
        <w:szCs w:val="21"/>
      </w:rPr>
      <w:fldChar w:fldCharType="begin"/>
    </w:r>
    <w:r>
      <w:rPr>
        <w:kern w:val="0"/>
        <w:szCs w:val="21"/>
      </w:rPr>
      <w:instrText xml:space="preserve"> PAGE </w:instrText>
    </w:r>
    <w:r w:rsidR="0075539A">
      <w:rPr>
        <w:kern w:val="0"/>
        <w:szCs w:val="21"/>
      </w:rPr>
      <w:fldChar w:fldCharType="separate"/>
    </w:r>
    <w:r>
      <w:rPr>
        <w:noProof/>
        <w:kern w:val="0"/>
        <w:szCs w:val="21"/>
      </w:rPr>
      <w:t>1</w:t>
    </w:r>
    <w:r w:rsidR="0075539A">
      <w:rPr>
        <w:kern w:val="0"/>
        <w:szCs w:val="21"/>
      </w:rPr>
      <w:fldChar w:fldCharType="end"/>
    </w:r>
    <w:r>
      <w:rPr>
        <w:rFonts w:hint="eastAsia"/>
        <w:kern w:val="0"/>
        <w:szCs w:val="21"/>
      </w:rPr>
      <w:t>页共</w:t>
    </w:r>
    <w:r w:rsidR="0075539A">
      <w:rPr>
        <w:kern w:val="0"/>
        <w:szCs w:val="21"/>
      </w:rPr>
      <w:fldChar w:fldCharType="begin"/>
    </w:r>
    <w:r>
      <w:rPr>
        <w:kern w:val="0"/>
        <w:szCs w:val="21"/>
      </w:rPr>
      <w:instrText xml:space="preserve"> NUMPAGES </w:instrText>
    </w:r>
    <w:r w:rsidR="0075539A">
      <w:rPr>
        <w:kern w:val="0"/>
        <w:szCs w:val="21"/>
      </w:rPr>
      <w:fldChar w:fldCharType="separate"/>
    </w:r>
    <w:r>
      <w:rPr>
        <w:noProof/>
        <w:kern w:val="0"/>
        <w:szCs w:val="21"/>
      </w:rPr>
      <w:t>3</w:t>
    </w:r>
    <w:r w:rsidR="0075539A">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9A" w:rsidRDefault="0075539A">
    <w:pPr>
      <w:pStyle w:val="ac"/>
      <w:framePr w:wrap="around" w:vAnchor="text" w:hAnchor="margin" w:xAlign="center" w:y="1"/>
      <w:rPr>
        <w:rStyle w:val="af2"/>
      </w:rPr>
    </w:pPr>
    <w:r>
      <w:rPr>
        <w:rStyle w:val="af2"/>
      </w:rPr>
      <w:fldChar w:fldCharType="begin"/>
    </w:r>
    <w:r w:rsidR="00F533DF">
      <w:rPr>
        <w:rStyle w:val="af2"/>
      </w:rPr>
      <w:instrText xml:space="preserve">PAGE  </w:instrText>
    </w:r>
    <w:r>
      <w:rPr>
        <w:rStyle w:val="af2"/>
      </w:rPr>
      <w:fldChar w:fldCharType="end"/>
    </w:r>
  </w:p>
  <w:p w:rsidR="0075539A" w:rsidRDefault="0075539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9A" w:rsidRDefault="0075539A">
    <w:pPr>
      <w:pStyle w:val="ac"/>
      <w:framePr w:wrap="around" w:vAnchor="text" w:hAnchor="margin" w:xAlign="center" w:y="1"/>
      <w:rPr>
        <w:rStyle w:val="af2"/>
      </w:rPr>
    </w:pPr>
    <w:r>
      <w:rPr>
        <w:rStyle w:val="af2"/>
      </w:rPr>
      <w:fldChar w:fldCharType="begin"/>
    </w:r>
    <w:r w:rsidR="00F533DF">
      <w:rPr>
        <w:rStyle w:val="af2"/>
      </w:rPr>
      <w:instrText xml:space="preserve">PAGE  </w:instrText>
    </w:r>
    <w:r>
      <w:rPr>
        <w:rStyle w:val="af2"/>
      </w:rPr>
      <w:fldChar w:fldCharType="separate"/>
    </w:r>
    <w:r w:rsidR="00F533DF">
      <w:rPr>
        <w:rStyle w:val="af2"/>
        <w:noProof/>
      </w:rPr>
      <w:t>2</w:t>
    </w:r>
    <w:r>
      <w:rPr>
        <w:rStyle w:val="af2"/>
      </w:rPr>
      <w:fldChar w:fldCharType="end"/>
    </w:r>
  </w:p>
  <w:p w:rsidR="0075539A" w:rsidRDefault="007553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9A" w:rsidRDefault="0075539A" w:rsidP="0075539A">
      <w:r>
        <w:separator/>
      </w:r>
    </w:p>
  </w:footnote>
  <w:footnote w:type="continuationSeparator" w:id="1">
    <w:p w:rsidR="0075539A" w:rsidRDefault="0075539A" w:rsidP="00755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39A" w:rsidRDefault="00F533DF">
    <w:pPr>
      <w:pStyle w:val="ad"/>
      <w:pBdr>
        <w:bottom w:val="single" w:sz="6" w:space="0" w:color="auto"/>
      </w:pBdr>
      <w:jc w:val="right"/>
    </w:pPr>
    <w:r>
      <w:t>华安安润灵活配置混合型证券投资基金</w:t>
    </w:r>
    <w:r>
      <w:t>2017</w:t>
    </w:r>
    <w:r>
      <w:t>年第</w:t>
    </w:r>
    <w:r>
      <w:t>4</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6B97"/>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43C"/>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F8"/>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80E"/>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2BFF"/>
    <w:rsid w:val="00343016"/>
    <w:rsid w:val="0034447B"/>
    <w:rsid w:val="00346037"/>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2BA"/>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571B"/>
    <w:rsid w:val="00706046"/>
    <w:rsid w:val="007112F0"/>
    <w:rsid w:val="00711343"/>
    <w:rsid w:val="00714309"/>
    <w:rsid w:val="007143C1"/>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539A"/>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2CF"/>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1677"/>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501"/>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E7A52"/>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3FA"/>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33DF"/>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46AC1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39A"/>
    <w:pPr>
      <w:widowControl w:val="0"/>
      <w:jc w:val="both"/>
    </w:pPr>
    <w:rPr>
      <w:kern w:val="2"/>
      <w:sz w:val="21"/>
      <w:szCs w:val="24"/>
    </w:rPr>
  </w:style>
  <w:style w:type="paragraph" w:styleId="1">
    <w:name w:val="heading 1"/>
    <w:basedOn w:val="a"/>
    <w:next w:val="a"/>
    <w:link w:val="1Char"/>
    <w:qFormat/>
    <w:rsid w:val="0075539A"/>
    <w:pPr>
      <w:keepNext/>
      <w:keepLines/>
      <w:spacing w:before="340" w:after="330" w:line="578" w:lineRule="auto"/>
      <w:outlineLvl w:val="0"/>
    </w:pPr>
    <w:rPr>
      <w:b/>
      <w:bCs/>
      <w:kern w:val="44"/>
      <w:sz w:val="44"/>
      <w:szCs w:val="44"/>
    </w:rPr>
  </w:style>
  <w:style w:type="paragraph" w:styleId="2">
    <w:name w:val="heading 2"/>
    <w:basedOn w:val="a"/>
    <w:next w:val="a0"/>
    <w:qFormat/>
    <w:rsid w:val="0075539A"/>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75539A"/>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5539A"/>
    <w:pPr>
      <w:ind w:firstLineChars="200" w:firstLine="420"/>
    </w:pPr>
  </w:style>
  <w:style w:type="paragraph" w:styleId="a4">
    <w:name w:val="annotation subject"/>
    <w:basedOn w:val="a5"/>
    <w:next w:val="a5"/>
    <w:semiHidden/>
    <w:qFormat/>
    <w:rsid w:val="0075539A"/>
    <w:rPr>
      <w:b/>
      <w:bCs/>
    </w:rPr>
  </w:style>
  <w:style w:type="paragraph" w:styleId="a5">
    <w:name w:val="annotation text"/>
    <w:basedOn w:val="a"/>
    <w:semiHidden/>
    <w:qFormat/>
    <w:rsid w:val="0075539A"/>
    <w:pPr>
      <w:jc w:val="left"/>
    </w:pPr>
  </w:style>
  <w:style w:type="paragraph" w:styleId="a6">
    <w:name w:val="Document Map"/>
    <w:basedOn w:val="a"/>
    <w:semiHidden/>
    <w:qFormat/>
    <w:rsid w:val="0075539A"/>
    <w:pPr>
      <w:shd w:val="clear" w:color="auto" w:fill="000080"/>
    </w:pPr>
  </w:style>
  <w:style w:type="paragraph" w:styleId="a7">
    <w:name w:val="Body Text"/>
    <w:basedOn w:val="a"/>
    <w:qFormat/>
    <w:rsid w:val="0075539A"/>
    <w:pPr>
      <w:spacing w:after="120"/>
    </w:pPr>
  </w:style>
  <w:style w:type="paragraph" w:styleId="a8">
    <w:name w:val="Body Text Indent"/>
    <w:basedOn w:val="a"/>
    <w:qFormat/>
    <w:rsid w:val="0075539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75539A"/>
    <w:rPr>
      <w:rFonts w:ascii="宋体" w:hAnsi="Courier New"/>
      <w:szCs w:val="21"/>
    </w:rPr>
  </w:style>
  <w:style w:type="paragraph" w:styleId="aa">
    <w:name w:val="Date"/>
    <w:basedOn w:val="a"/>
    <w:next w:val="a"/>
    <w:link w:val="Char0"/>
    <w:qFormat/>
    <w:rsid w:val="0075539A"/>
    <w:rPr>
      <w:sz w:val="24"/>
      <w:szCs w:val="20"/>
    </w:rPr>
  </w:style>
  <w:style w:type="paragraph" w:styleId="20">
    <w:name w:val="Body Text Indent 2"/>
    <w:basedOn w:val="a"/>
    <w:qFormat/>
    <w:rsid w:val="0075539A"/>
    <w:pPr>
      <w:spacing w:line="560" w:lineRule="exact"/>
      <w:ind w:firstLineChars="200" w:firstLine="480"/>
    </w:pPr>
    <w:rPr>
      <w:rFonts w:ascii="宋体" w:hAnsi="宋体"/>
      <w:color w:val="FF0000"/>
      <w:sz w:val="24"/>
    </w:rPr>
  </w:style>
  <w:style w:type="paragraph" w:styleId="ab">
    <w:name w:val="Balloon Text"/>
    <w:basedOn w:val="a"/>
    <w:semiHidden/>
    <w:qFormat/>
    <w:rsid w:val="0075539A"/>
    <w:rPr>
      <w:sz w:val="18"/>
      <w:szCs w:val="18"/>
    </w:rPr>
  </w:style>
  <w:style w:type="paragraph" w:styleId="ac">
    <w:name w:val="footer"/>
    <w:basedOn w:val="a"/>
    <w:qFormat/>
    <w:rsid w:val="0075539A"/>
    <w:pPr>
      <w:tabs>
        <w:tab w:val="center" w:pos="4153"/>
        <w:tab w:val="right" w:pos="8306"/>
      </w:tabs>
      <w:snapToGrid w:val="0"/>
      <w:jc w:val="left"/>
    </w:pPr>
    <w:rPr>
      <w:sz w:val="18"/>
      <w:szCs w:val="18"/>
    </w:rPr>
  </w:style>
  <w:style w:type="paragraph" w:styleId="ad">
    <w:name w:val="header"/>
    <w:basedOn w:val="a"/>
    <w:link w:val="Char1"/>
    <w:uiPriority w:val="99"/>
    <w:qFormat/>
    <w:rsid w:val="0075539A"/>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75539A"/>
    <w:pPr>
      <w:spacing w:after="220" w:line="220" w:lineRule="atLeast"/>
      <w:ind w:left="1440" w:hanging="360"/>
    </w:pPr>
    <w:rPr>
      <w:szCs w:val="20"/>
    </w:rPr>
  </w:style>
  <w:style w:type="paragraph" w:styleId="af">
    <w:name w:val="footnote text"/>
    <w:basedOn w:val="a"/>
    <w:link w:val="Char2"/>
    <w:qFormat/>
    <w:rsid w:val="0075539A"/>
    <w:pPr>
      <w:snapToGrid w:val="0"/>
      <w:jc w:val="left"/>
    </w:pPr>
    <w:rPr>
      <w:sz w:val="18"/>
      <w:szCs w:val="18"/>
    </w:rPr>
  </w:style>
  <w:style w:type="paragraph" w:styleId="30">
    <w:name w:val="Body Text Indent 3"/>
    <w:basedOn w:val="a"/>
    <w:qFormat/>
    <w:rsid w:val="0075539A"/>
    <w:pPr>
      <w:spacing w:line="560" w:lineRule="exact"/>
      <w:ind w:firstLineChars="200" w:firstLine="420"/>
    </w:pPr>
    <w:rPr>
      <w:rFonts w:ascii="Arial" w:hAnsi="Arial" w:cs="Arial"/>
      <w:color w:val="FF0000"/>
    </w:rPr>
  </w:style>
  <w:style w:type="paragraph" w:styleId="af0">
    <w:name w:val="Normal (Web)"/>
    <w:basedOn w:val="a"/>
    <w:qFormat/>
    <w:rsid w:val="0075539A"/>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75539A"/>
    <w:pPr>
      <w:jc w:val="right"/>
    </w:pPr>
    <w:rPr>
      <w:color w:val="008000"/>
    </w:rPr>
  </w:style>
  <w:style w:type="character" w:styleId="af1">
    <w:name w:val="Strong"/>
    <w:basedOn w:val="a1"/>
    <w:uiPriority w:val="22"/>
    <w:qFormat/>
    <w:rsid w:val="0075539A"/>
    <w:rPr>
      <w:b/>
      <w:bCs/>
    </w:rPr>
  </w:style>
  <w:style w:type="character" w:styleId="af2">
    <w:name w:val="page number"/>
    <w:basedOn w:val="a1"/>
    <w:qFormat/>
    <w:rsid w:val="0075539A"/>
  </w:style>
  <w:style w:type="character" w:styleId="af3">
    <w:name w:val="Hyperlink"/>
    <w:basedOn w:val="a1"/>
    <w:qFormat/>
    <w:rsid w:val="0075539A"/>
    <w:rPr>
      <w:color w:val="0000FF"/>
      <w:u w:val="single"/>
    </w:rPr>
  </w:style>
  <w:style w:type="character" w:styleId="af4">
    <w:name w:val="annotation reference"/>
    <w:basedOn w:val="a1"/>
    <w:semiHidden/>
    <w:qFormat/>
    <w:rsid w:val="0075539A"/>
    <w:rPr>
      <w:sz w:val="21"/>
      <w:szCs w:val="21"/>
    </w:rPr>
  </w:style>
  <w:style w:type="character" w:styleId="af5">
    <w:name w:val="footnote reference"/>
    <w:basedOn w:val="a1"/>
    <w:qFormat/>
    <w:rsid w:val="0075539A"/>
    <w:rPr>
      <w:vertAlign w:val="superscript"/>
    </w:rPr>
  </w:style>
  <w:style w:type="table" w:styleId="af6">
    <w:name w:val="Table Grid"/>
    <w:basedOn w:val="a2"/>
    <w:qFormat/>
    <w:rsid w:val="007553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75539A"/>
    <w:rPr>
      <w:color w:val="800080"/>
      <w:u w:val="single"/>
    </w:rPr>
  </w:style>
  <w:style w:type="character" w:customStyle="1" w:styleId="c1">
    <w:name w:val="c1"/>
    <w:basedOn w:val="a1"/>
    <w:qFormat/>
    <w:rsid w:val="0075539A"/>
    <w:rPr>
      <w:color w:val="000000"/>
      <w:sz w:val="18"/>
      <w:szCs w:val="18"/>
    </w:rPr>
  </w:style>
  <w:style w:type="paragraph" w:customStyle="1" w:styleId="font5">
    <w:name w:val="font5"/>
    <w:basedOn w:val="a"/>
    <w:qFormat/>
    <w:rsid w:val="0075539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75539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75539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75539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75539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75539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75539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75539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75539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75539A"/>
  </w:style>
  <w:style w:type="paragraph" w:customStyle="1" w:styleId="Char10">
    <w:name w:val="Char1"/>
    <w:basedOn w:val="a"/>
    <w:qFormat/>
    <w:rsid w:val="0075539A"/>
  </w:style>
  <w:style w:type="character" w:customStyle="1" w:styleId="t1">
    <w:name w:val="t1"/>
    <w:basedOn w:val="a1"/>
    <w:qFormat/>
    <w:rsid w:val="0075539A"/>
    <w:rPr>
      <w:color w:val="990000"/>
    </w:rPr>
  </w:style>
  <w:style w:type="character" w:customStyle="1" w:styleId="Char">
    <w:name w:val="纯文本 Char"/>
    <w:basedOn w:val="a1"/>
    <w:link w:val="a9"/>
    <w:uiPriority w:val="99"/>
    <w:rsid w:val="0075539A"/>
    <w:rPr>
      <w:rFonts w:ascii="宋体" w:hAnsi="Courier New"/>
      <w:kern w:val="2"/>
      <w:sz w:val="21"/>
      <w:szCs w:val="21"/>
    </w:rPr>
  </w:style>
  <w:style w:type="character" w:customStyle="1" w:styleId="Char2">
    <w:name w:val="脚注文本 Char"/>
    <w:basedOn w:val="a1"/>
    <w:link w:val="af"/>
    <w:qFormat/>
    <w:rsid w:val="0075539A"/>
    <w:rPr>
      <w:kern w:val="2"/>
      <w:sz w:val="18"/>
      <w:szCs w:val="18"/>
    </w:rPr>
  </w:style>
  <w:style w:type="paragraph" w:customStyle="1" w:styleId="Default">
    <w:name w:val="Default"/>
    <w:qFormat/>
    <w:rsid w:val="0075539A"/>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75539A"/>
    <w:rPr>
      <w:kern w:val="2"/>
      <w:sz w:val="18"/>
      <w:szCs w:val="18"/>
    </w:rPr>
  </w:style>
  <w:style w:type="character" w:customStyle="1" w:styleId="1Char">
    <w:name w:val="标题 1 Char"/>
    <w:basedOn w:val="a1"/>
    <w:link w:val="1"/>
    <w:qFormat/>
    <w:rsid w:val="0075539A"/>
    <w:rPr>
      <w:b/>
      <w:bCs/>
      <w:kern w:val="44"/>
      <w:sz w:val="44"/>
      <w:szCs w:val="44"/>
    </w:rPr>
  </w:style>
  <w:style w:type="character" w:customStyle="1" w:styleId="Char0">
    <w:name w:val="日期 Char"/>
    <w:basedOn w:val="a1"/>
    <w:link w:val="aa"/>
    <w:qFormat/>
    <w:rsid w:val="0075539A"/>
    <w:rPr>
      <w:kern w:val="2"/>
      <w:sz w:val="24"/>
    </w:rPr>
  </w:style>
  <w:style w:type="character" w:customStyle="1" w:styleId="3Char">
    <w:name w:val="标题 3 Char"/>
    <w:basedOn w:val="a1"/>
    <w:link w:val="3"/>
    <w:uiPriority w:val="9"/>
    <w:qFormat/>
    <w:rsid w:val="0075539A"/>
    <w:rPr>
      <w:rFonts w:asciiTheme="minorHAnsi" w:eastAsiaTheme="minorEastAsia" w:hAnsiTheme="minorHAnsi" w:cstheme="minorBidi"/>
      <w:b/>
      <w:bCs/>
      <w:kern w:val="2"/>
      <w:sz w:val="32"/>
      <w:szCs w:val="32"/>
    </w:rPr>
  </w:style>
  <w:style w:type="table" w:customStyle="1" w:styleId="12">
    <w:name w:val="网格型1"/>
    <w:basedOn w:val="a2"/>
    <w:qFormat/>
    <w:rsid w:val="007553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2"/>
    <w:qFormat/>
    <w:rsid w:val="007553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F644C13-61A5-40BA-BC52-D6B10E505EA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1298</Words>
  <Characters>7403</Characters>
  <Application>Microsoft Office Word</Application>
  <DocSecurity>4</DocSecurity>
  <Lines>61</Lines>
  <Paragraphs>17</Paragraphs>
  <ScaleCrop>false</ScaleCrop>
  <Company>TRT. Ltd. Co.</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2018-01-21T14:13:00Z</dcterms:created>
  <dcterms:modified xsi:type="dcterms:W3CDTF">2018-01-21T14:13:00Z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