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39A" w:rsidRDefault="0075539A">
      <w:pPr>
        <w:autoSpaceDE w:val="0"/>
        <w:autoSpaceDN w:val="0"/>
        <w:adjustRightInd w:val="0"/>
        <w:spacing w:line="360" w:lineRule="auto"/>
        <w:jc w:val="left"/>
        <w:rPr>
          <w:rFonts w:eastAsiaTheme="minorEastAsia"/>
          <w:color w:val="000000" w:themeColor="text1"/>
          <w:kern w:val="0"/>
          <w:szCs w:val="21"/>
        </w:rPr>
      </w:pPr>
    </w:p>
    <w:p w:rsidR="0075539A" w:rsidRDefault="0075539A">
      <w:pPr>
        <w:autoSpaceDE w:val="0"/>
        <w:autoSpaceDN w:val="0"/>
        <w:adjustRightInd w:val="0"/>
        <w:spacing w:line="360" w:lineRule="auto"/>
        <w:jc w:val="left"/>
        <w:rPr>
          <w:rFonts w:eastAsiaTheme="minorEastAsia"/>
          <w:color w:val="000000" w:themeColor="text1"/>
          <w:kern w:val="0"/>
          <w:szCs w:val="21"/>
        </w:rPr>
      </w:pPr>
    </w:p>
    <w:p w:rsidR="0075539A" w:rsidRDefault="0075539A">
      <w:pPr>
        <w:autoSpaceDE w:val="0"/>
        <w:autoSpaceDN w:val="0"/>
        <w:adjustRightInd w:val="0"/>
        <w:spacing w:line="360" w:lineRule="auto"/>
        <w:jc w:val="left"/>
        <w:rPr>
          <w:rFonts w:eastAsiaTheme="minorEastAsia"/>
          <w:color w:val="000000" w:themeColor="text1"/>
          <w:kern w:val="0"/>
          <w:szCs w:val="21"/>
        </w:rPr>
      </w:pPr>
    </w:p>
    <w:p w:rsidR="0075539A" w:rsidRDefault="0075539A">
      <w:pPr>
        <w:autoSpaceDE w:val="0"/>
        <w:autoSpaceDN w:val="0"/>
        <w:adjustRightInd w:val="0"/>
        <w:spacing w:line="360" w:lineRule="auto"/>
        <w:jc w:val="left"/>
        <w:rPr>
          <w:rFonts w:eastAsiaTheme="minorEastAsia"/>
          <w:color w:val="000000" w:themeColor="text1"/>
          <w:kern w:val="0"/>
          <w:szCs w:val="21"/>
        </w:rPr>
      </w:pPr>
    </w:p>
    <w:p w:rsidR="0075539A" w:rsidRDefault="0075539A">
      <w:pPr>
        <w:autoSpaceDE w:val="0"/>
        <w:autoSpaceDN w:val="0"/>
        <w:adjustRightInd w:val="0"/>
        <w:spacing w:line="360" w:lineRule="auto"/>
        <w:jc w:val="left"/>
        <w:rPr>
          <w:rFonts w:eastAsiaTheme="minorEastAsia"/>
          <w:color w:val="000000" w:themeColor="text1"/>
          <w:kern w:val="0"/>
          <w:szCs w:val="21"/>
        </w:rPr>
      </w:pPr>
    </w:p>
    <w:p w:rsidR="0075539A" w:rsidRDefault="00F533DF">
      <w:pPr>
        <w:spacing w:line="360" w:lineRule="auto"/>
        <w:jc w:val="center"/>
        <w:rPr>
          <w:rFonts w:eastAsiaTheme="minorEastAsia"/>
          <w:b/>
          <w:color w:val="000000" w:themeColor="text1"/>
          <w:sz w:val="36"/>
          <w:szCs w:val="36"/>
        </w:rPr>
      </w:pPr>
      <w:r>
        <w:rPr>
          <w:rFonts w:eastAsiaTheme="minorEastAsia"/>
          <w:b/>
          <w:color w:val="000000" w:themeColor="text1"/>
          <w:sz w:val="36"/>
          <w:szCs w:val="36"/>
        </w:rPr>
        <w:t>华安安润灵活配置混合型证券投资基金</w:t>
      </w:r>
    </w:p>
    <w:p w:rsidR="0075539A" w:rsidRDefault="00F533DF">
      <w:pPr>
        <w:spacing w:line="360" w:lineRule="auto"/>
        <w:jc w:val="center"/>
        <w:rPr>
          <w:rFonts w:eastAsiaTheme="minorEastAsia"/>
          <w:b/>
          <w:color w:val="000000" w:themeColor="text1"/>
          <w:sz w:val="36"/>
          <w:szCs w:val="36"/>
        </w:rPr>
      </w:pPr>
      <w:r>
        <w:rPr>
          <w:rFonts w:eastAsiaTheme="minorEastAsia"/>
          <w:b/>
          <w:color w:val="000000" w:themeColor="text1"/>
          <w:sz w:val="36"/>
          <w:szCs w:val="36"/>
        </w:rPr>
        <w:t>2017</w:t>
      </w:r>
      <w:r>
        <w:rPr>
          <w:rFonts w:eastAsiaTheme="minorEastAsia"/>
          <w:b/>
          <w:color w:val="000000" w:themeColor="text1"/>
          <w:sz w:val="36"/>
          <w:szCs w:val="36"/>
        </w:rPr>
        <w:t>年第</w:t>
      </w:r>
      <w:r>
        <w:rPr>
          <w:rFonts w:eastAsiaTheme="minorEastAsia"/>
          <w:b/>
          <w:color w:val="000000" w:themeColor="text1"/>
          <w:sz w:val="36"/>
          <w:szCs w:val="36"/>
        </w:rPr>
        <w:t>4</w:t>
      </w:r>
      <w:r>
        <w:rPr>
          <w:rFonts w:eastAsiaTheme="minorEastAsia"/>
          <w:b/>
          <w:color w:val="000000" w:themeColor="text1"/>
          <w:sz w:val="36"/>
          <w:szCs w:val="36"/>
        </w:rPr>
        <w:t>季度报告</w:t>
      </w:r>
    </w:p>
    <w:p w:rsidR="0075539A" w:rsidRDefault="00F533DF">
      <w:pPr>
        <w:spacing w:line="360" w:lineRule="auto"/>
        <w:jc w:val="center"/>
        <w:rPr>
          <w:rFonts w:eastAsiaTheme="minorEastAsia"/>
          <w:b/>
          <w:color w:val="000000" w:themeColor="text1"/>
          <w:szCs w:val="21"/>
        </w:rPr>
      </w:pPr>
      <w:r>
        <w:rPr>
          <w:rFonts w:eastAsiaTheme="minorEastAsia"/>
          <w:b/>
          <w:color w:val="000000" w:themeColor="text1"/>
          <w:sz w:val="36"/>
          <w:szCs w:val="36"/>
        </w:rPr>
        <w:t>2017</w:t>
      </w:r>
      <w:r>
        <w:rPr>
          <w:rFonts w:eastAsiaTheme="minorEastAsia"/>
          <w:b/>
          <w:color w:val="000000" w:themeColor="text1"/>
          <w:sz w:val="36"/>
          <w:szCs w:val="36"/>
        </w:rPr>
        <w:t>年</w:t>
      </w:r>
      <w:r>
        <w:rPr>
          <w:rFonts w:eastAsiaTheme="minorEastAsia"/>
          <w:b/>
          <w:color w:val="000000" w:themeColor="text1"/>
          <w:sz w:val="36"/>
          <w:szCs w:val="36"/>
        </w:rPr>
        <w:t>12</w:t>
      </w:r>
      <w:r>
        <w:rPr>
          <w:rFonts w:eastAsiaTheme="minorEastAsia"/>
          <w:b/>
          <w:color w:val="000000" w:themeColor="text1"/>
          <w:sz w:val="36"/>
          <w:szCs w:val="36"/>
        </w:rPr>
        <w:t>月</w:t>
      </w:r>
      <w:r>
        <w:rPr>
          <w:rFonts w:eastAsiaTheme="minorEastAsia"/>
          <w:b/>
          <w:color w:val="000000" w:themeColor="text1"/>
          <w:sz w:val="36"/>
          <w:szCs w:val="36"/>
        </w:rPr>
        <w:t>31</w:t>
      </w:r>
      <w:r>
        <w:rPr>
          <w:rFonts w:eastAsiaTheme="minorEastAsia"/>
          <w:b/>
          <w:color w:val="000000" w:themeColor="text1"/>
          <w:sz w:val="36"/>
          <w:szCs w:val="36"/>
        </w:rPr>
        <w:t>日</w:t>
      </w:r>
    </w:p>
    <w:p w:rsidR="0075539A" w:rsidRDefault="0075539A">
      <w:pPr>
        <w:spacing w:line="360" w:lineRule="auto"/>
        <w:jc w:val="center"/>
        <w:rPr>
          <w:rFonts w:eastAsiaTheme="minorEastAsia"/>
          <w:b/>
          <w:color w:val="000000" w:themeColor="text1"/>
          <w:szCs w:val="21"/>
        </w:rPr>
      </w:pPr>
    </w:p>
    <w:p w:rsidR="0075539A" w:rsidRDefault="0075539A">
      <w:pPr>
        <w:spacing w:line="360" w:lineRule="auto"/>
        <w:jc w:val="center"/>
        <w:rPr>
          <w:rFonts w:eastAsiaTheme="minorEastAsia"/>
          <w:b/>
          <w:color w:val="000000" w:themeColor="text1"/>
          <w:szCs w:val="21"/>
        </w:rPr>
      </w:pPr>
    </w:p>
    <w:p w:rsidR="0075539A" w:rsidRDefault="0075539A">
      <w:pPr>
        <w:spacing w:line="360" w:lineRule="auto"/>
        <w:jc w:val="center"/>
        <w:rPr>
          <w:rFonts w:eastAsiaTheme="minorEastAsia"/>
          <w:b/>
          <w:color w:val="000000" w:themeColor="text1"/>
          <w:szCs w:val="21"/>
        </w:rPr>
      </w:pPr>
    </w:p>
    <w:p w:rsidR="0075539A" w:rsidRDefault="0075539A">
      <w:pPr>
        <w:spacing w:line="360" w:lineRule="auto"/>
        <w:jc w:val="center"/>
        <w:rPr>
          <w:rFonts w:eastAsiaTheme="minorEastAsia"/>
          <w:b/>
          <w:color w:val="000000" w:themeColor="text1"/>
          <w:szCs w:val="21"/>
        </w:rPr>
      </w:pPr>
    </w:p>
    <w:p w:rsidR="0075539A" w:rsidRDefault="0075539A">
      <w:pPr>
        <w:spacing w:line="360" w:lineRule="auto"/>
        <w:jc w:val="center"/>
        <w:rPr>
          <w:rFonts w:eastAsiaTheme="minorEastAsia"/>
          <w:b/>
          <w:color w:val="000000" w:themeColor="text1"/>
          <w:szCs w:val="21"/>
        </w:rPr>
      </w:pPr>
    </w:p>
    <w:p w:rsidR="0075539A" w:rsidRDefault="0075539A">
      <w:pPr>
        <w:spacing w:line="360" w:lineRule="auto"/>
        <w:jc w:val="center"/>
        <w:rPr>
          <w:rFonts w:eastAsiaTheme="minorEastAsia"/>
          <w:b/>
          <w:color w:val="000000" w:themeColor="text1"/>
          <w:szCs w:val="21"/>
        </w:rPr>
      </w:pPr>
    </w:p>
    <w:p w:rsidR="0075539A" w:rsidRDefault="0075539A">
      <w:pPr>
        <w:spacing w:line="360" w:lineRule="auto"/>
        <w:jc w:val="center"/>
        <w:rPr>
          <w:rFonts w:eastAsiaTheme="minorEastAsia"/>
          <w:b/>
          <w:color w:val="000000" w:themeColor="text1"/>
          <w:szCs w:val="21"/>
        </w:rPr>
      </w:pPr>
    </w:p>
    <w:p w:rsidR="0075539A" w:rsidRDefault="0075539A">
      <w:pPr>
        <w:spacing w:line="360" w:lineRule="auto"/>
        <w:jc w:val="center"/>
        <w:rPr>
          <w:rFonts w:eastAsiaTheme="minorEastAsia"/>
          <w:b/>
          <w:color w:val="000000" w:themeColor="text1"/>
          <w:szCs w:val="21"/>
        </w:rPr>
      </w:pPr>
    </w:p>
    <w:p w:rsidR="0075539A" w:rsidRDefault="0075539A">
      <w:pPr>
        <w:spacing w:line="360" w:lineRule="auto"/>
        <w:jc w:val="center"/>
        <w:rPr>
          <w:rFonts w:eastAsiaTheme="minorEastAsia"/>
          <w:b/>
          <w:color w:val="000000" w:themeColor="text1"/>
          <w:szCs w:val="21"/>
        </w:rPr>
      </w:pPr>
    </w:p>
    <w:p w:rsidR="0075539A" w:rsidRDefault="0075539A">
      <w:pPr>
        <w:spacing w:line="360" w:lineRule="auto"/>
        <w:jc w:val="center"/>
        <w:rPr>
          <w:rFonts w:eastAsiaTheme="minorEastAsia"/>
          <w:b/>
          <w:color w:val="000000" w:themeColor="text1"/>
          <w:szCs w:val="21"/>
        </w:rPr>
      </w:pPr>
    </w:p>
    <w:p w:rsidR="0075539A" w:rsidRDefault="0075539A">
      <w:pPr>
        <w:spacing w:line="360" w:lineRule="auto"/>
        <w:jc w:val="center"/>
        <w:rPr>
          <w:rFonts w:eastAsiaTheme="minorEastAsia"/>
          <w:b/>
          <w:color w:val="000000" w:themeColor="text1"/>
          <w:szCs w:val="21"/>
        </w:rPr>
      </w:pPr>
    </w:p>
    <w:p w:rsidR="0075539A" w:rsidRDefault="0075539A">
      <w:pPr>
        <w:spacing w:line="360" w:lineRule="auto"/>
        <w:jc w:val="center"/>
        <w:rPr>
          <w:rFonts w:eastAsiaTheme="minorEastAsia"/>
          <w:b/>
          <w:color w:val="000000" w:themeColor="text1"/>
          <w:szCs w:val="21"/>
        </w:rPr>
      </w:pPr>
    </w:p>
    <w:p w:rsidR="0075539A" w:rsidRDefault="0075539A">
      <w:pPr>
        <w:spacing w:line="360" w:lineRule="auto"/>
        <w:jc w:val="center"/>
        <w:rPr>
          <w:rFonts w:eastAsiaTheme="minorEastAsia"/>
          <w:b/>
          <w:color w:val="000000" w:themeColor="text1"/>
          <w:szCs w:val="21"/>
        </w:rPr>
      </w:pPr>
    </w:p>
    <w:p w:rsidR="0075539A" w:rsidRDefault="0075539A">
      <w:pPr>
        <w:spacing w:line="360" w:lineRule="auto"/>
        <w:rPr>
          <w:rFonts w:eastAsiaTheme="minorEastAsia"/>
          <w:b/>
          <w:color w:val="000000" w:themeColor="text1"/>
          <w:szCs w:val="21"/>
        </w:rPr>
      </w:pPr>
    </w:p>
    <w:p w:rsidR="0075539A" w:rsidRDefault="00F533DF">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基金管理人：华安基金管理有限公司</w:t>
      </w:r>
    </w:p>
    <w:p w:rsidR="0075539A" w:rsidRDefault="00F533DF">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基金托管人：中国邮政储蓄银行股份有限公司</w:t>
      </w:r>
    </w:p>
    <w:p w:rsidR="0075539A" w:rsidRDefault="00F533DF">
      <w:pPr>
        <w:spacing w:line="360" w:lineRule="auto"/>
        <w:ind w:firstLineChars="900" w:firstLine="2168"/>
        <w:rPr>
          <w:rFonts w:eastAsiaTheme="minorEastAsia"/>
          <w:color w:val="000000" w:themeColor="text1"/>
          <w:szCs w:val="21"/>
        </w:rPr>
        <w:sectPr w:rsidR="0075539A">
          <w:headerReference w:type="default" r:id="rId8"/>
          <w:footerReference w:type="default" r:id="rId9"/>
          <w:pgSz w:w="11926" w:h="15840"/>
          <w:pgMar w:top="1418" w:right="1418" w:bottom="851" w:left="1418" w:header="851" w:footer="992" w:gutter="0"/>
          <w:cols w:space="720"/>
        </w:sectPr>
      </w:pPr>
      <w:r>
        <w:rPr>
          <w:rFonts w:eastAsiaTheme="minorEastAsia"/>
          <w:b/>
          <w:color w:val="000000" w:themeColor="text1"/>
          <w:sz w:val="24"/>
        </w:rPr>
        <w:t>报告送出日期：二〇一八年一月二十二日</w:t>
      </w:r>
    </w:p>
    <w:p w:rsidR="0075539A" w:rsidRDefault="00F533DF" w:rsidP="00F533DF">
      <w:pPr>
        <w:pStyle w:val="1"/>
        <w:spacing w:beforeLines="100" w:afterLines="100" w:line="360" w:lineRule="auto"/>
        <w:jc w:val="center"/>
        <w:rPr>
          <w:rFonts w:eastAsiaTheme="minorEastAsia"/>
          <w:b w:val="0"/>
          <w:color w:val="000000" w:themeColor="text1"/>
          <w:kern w:val="0"/>
          <w:sz w:val="21"/>
          <w:szCs w:val="21"/>
        </w:rPr>
      </w:pPr>
      <w:r>
        <w:rPr>
          <w:rFonts w:eastAsiaTheme="minorEastAsia"/>
          <w:color w:val="000000" w:themeColor="text1"/>
          <w:kern w:val="0"/>
          <w:sz w:val="21"/>
          <w:szCs w:val="21"/>
        </w:rPr>
        <w:lastRenderedPageBreak/>
        <w:t xml:space="preserve">§1  </w:t>
      </w:r>
      <w:r>
        <w:rPr>
          <w:rFonts w:eastAsiaTheme="minorEastAsia"/>
          <w:color w:val="000000" w:themeColor="text1"/>
          <w:kern w:val="0"/>
          <w:sz w:val="21"/>
          <w:szCs w:val="21"/>
        </w:rPr>
        <w:t>重要提示</w:t>
      </w:r>
    </w:p>
    <w:p w:rsidR="0075539A" w:rsidRDefault="00F533D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75539A" w:rsidRDefault="00F533D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基金托管人中国邮政储蓄银行股份有限公司根据本基金合同规定，于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75539A" w:rsidRDefault="00F533D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75539A" w:rsidRDefault="00F533D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75539A" w:rsidRDefault="00F533D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5539A" w:rsidRDefault="00F533D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75539A" w:rsidRDefault="00F533DF" w:rsidP="00F533DF">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§2  </w:t>
      </w:r>
      <w:r>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2739"/>
        <w:gridCol w:w="2740"/>
      </w:tblGrid>
      <w:tr w:rsidR="0075539A">
        <w:tc>
          <w:tcPr>
            <w:tcW w:w="2835" w:type="dxa"/>
            <w:vAlign w:val="center"/>
          </w:tcPr>
          <w:p w:rsidR="0075539A" w:rsidRDefault="00F533D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基金简称</w:t>
            </w:r>
          </w:p>
        </w:tc>
        <w:tc>
          <w:tcPr>
            <w:tcW w:w="5479" w:type="dxa"/>
            <w:gridSpan w:val="2"/>
            <w:vAlign w:val="center"/>
          </w:tcPr>
          <w:p w:rsidR="0075539A" w:rsidRDefault="00F533D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华安安润灵活配置混合</w:t>
            </w:r>
          </w:p>
        </w:tc>
      </w:tr>
      <w:tr w:rsidR="0075539A">
        <w:tc>
          <w:tcPr>
            <w:tcW w:w="2835" w:type="dxa"/>
            <w:vAlign w:val="center"/>
          </w:tcPr>
          <w:p w:rsidR="0075539A" w:rsidRDefault="00F533D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75539A" w:rsidRDefault="00F533D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002153</w:t>
            </w:r>
          </w:p>
        </w:tc>
      </w:tr>
      <w:tr w:rsidR="0075539A">
        <w:tc>
          <w:tcPr>
            <w:tcW w:w="2835" w:type="dxa"/>
            <w:vAlign w:val="center"/>
          </w:tcPr>
          <w:p w:rsidR="0075539A" w:rsidRDefault="00F533D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75539A" w:rsidRDefault="00F533D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契约型开放式</w:t>
            </w:r>
          </w:p>
        </w:tc>
      </w:tr>
      <w:tr w:rsidR="0075539A">
        <w:tc>
          <w:tcPr>
            <w:tcW w:w="2835" w:type="dxa"/>
            <w:vAlign w:val="center"/>
          </w:tcPr>
          <w:p w:rsidR="0075539A" w:rsidRDefault="00F533D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基金合同生效日</w:t>
            </w:r>
          </w:p>
        </w:tc>
        <w:tc>
          <w:tcPr>
            <w:tcW w:w="5479" w:type="dxa"/>
            <w:gridSpan w:val="2"/>
            <w:vAlign w:val="center"/>
          </w:tcPr>
          <w:p w:rsidR="0075539A" w:rsidRDefault="00F533D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tc>
      </w:tr>
      <w:tr w:rsidR="0075539A">
        <w:tc>
          <w:tcPr>
            <w:tcW w:w="2835" w:type="dxa"/>
            <w:vAlign w:val="center"/>
          </w:tcPr>
          <w:p w:rsidR="0075539A" w:rsidRDefault="00F533D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报告期末基金份额总额</w:t>
            </w:r>
          </w:p>
        </w:tc>
        <w:tc>
          <w:tcPr>
            <w:tcW w:w="5479" w:type="dxa"/>
            <w:gridSpan w:val="2"/>
            <w:vAlign w:val="center"/>
          </w:tcPr>
          <w:p w:rsidR="0075539A" w:rsidRDefault="00F533D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8,590,011.91</w:t>
            </w:r>
            <w:r>
              <w:rPr>
                <w:rFonts w:eastAsiaTheme="minorEastAsia"/>
                <w:color w:val="000000" w:themeColor="text1"/>
                <w:kern w:val="0"/>
                <w:szCs w:val="21"/>
              </w:rPr>
              <w:t>份</w:t>
            </w:r>
          </w:p>
        </w:tc>
      </w:tr>
      <w:tr w:rsidR="0075539A">
        <w:tc>
          <w:tcPr>
            <w:tcW w:w="2835" w:type="dxa"/>
            <w:vAlign w:val="center"/>
          </w:tcPr>
          <w:p w:rsidR="0075539A" w:rsidRDefault="00F533D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投资目标</w:t>
            </w:r>
          </w:p>
        </w:tc>
        <w:tc>
          <w:tcPr>
            <w:tcW w:w="5479" w:type="dxa"/>
            <w:gridSpan w:val="2"/>
            <w:vAlign w:val="center"/>
          </w:tcPr>
          <w:p w:rsidR="0075539A" w:rsidRDefault="00F533D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本基金在严格控制风险的前提下，通过大类资产的优化配置和高安全边际的证券精选，追求超越业绩比较基准的投资回报和资产的长期稳健增值。</w:t>
            </w:r>
          </w:p>
        </w:tc>
      </w:tr>
      <w:tr w:rsidR="0075539A">
        <w:tc>
          <w:tcPr>
            <w:tcW w:w="2835" w:type="dxa"/>
            <w:vAlign w:val="center"/>
          </w:tcPr>
          <w:p w:rsidR="0075539A" w:rsidRDefault="00F533D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投资策略</w:t>
            </w:r>
          </w:p>
        </w:tc>
        <w:tc>
          <w:tcPr>
            <w:tcW w:w="5479" w:type="dxa"/>
            <w:gridSpan w:val="2"/>
            <w:vAlign w:val="center"/>
          </w:tcPr>
          <w:p w:rsidR="0075539A" w:rsidRDefault="00F533D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取相对灵活的资产配置策略，通过将基金资产在权益类、固定收益类工具之间灵活配置，并适当借用金融衍生品的投资来追求基金资产的长期稳健增值。在具体大类资产配置过程中，本基金将使用定量与定性相结合的研究方法对宏观经济、国家政策、资金面和市场情绪等可能影响证券市场的重要因素进行研究和预测，结合使用公司</w:t>
            </w:r>
            <w:r>
              <w:rPr>
                <w:rFonts w:eastAsiaTheme="minorEastAsia"/>
                <w:color w:val="000000" w:themeColor="text1"/>
                <w:kern w:val="0"/>
                <w:szCs w:val="21"/>
              </w:rPr>
              <w:lastRenderedPageBreak/>
              <w:t>自主研发的多因子动态资产配置模型、基于投资时钟理论的资产配置模型等经济</w:t>
            </w:r>
            <w:r>
              <w:rPr>
                <w:rFonts w:eastAsiaTheme="minorEastAsia"/>
                <w:color w:val="000000" w:themeColor="text1"/>
                <w:kern w:val="0"/>
                <w:szCs w:val="21"/>
              </w:rPr>
              <w:t>模型，分析和比较股票、债券等市场和不同金融工具的风险收益特征，确定合适的资产配置比例，动态优化投资组合。</w:t>
            </w:r>
          </w:p>
        </w:tc>
      </w:tr>
      <w:tr w:rsidR="0075539A">
        <w:tc>
          <w:tcPr>
            <w:tcW w:w="2835" w:type="dxa"/>
            <w:vAlign w:val="center"/>
          </w:tcPr>
          <w:p w:rsidR="0075539A" w:rsidRDefault="00F533D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业绩比较基准</w:t>
            </w:r>
          </w:p>
        </w:tc>
        <w:tc>
          <w:tcPr>
            <w:tcW w:w="5479" w:type="dxa"/>
            <w:gridSpan w:val="2"/>
            <w:vAlign w:val="center"/>
          </w:tcPr>
          <w:p w:rsidR="0075539A" w:rsidRDefault="00F533D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50%×</w:t>
            </w:r>
            <w:r>
              <w:rPr>
                <w:rFonts w:eastAsiaTheme="minorEastAsia"/>
                <w:color w:val="000000" w:themeColor="text1"/>
                <w:kern w:val="0"/>
                <w:szCs w:val="21"/>
              </w:rPr>
              <w:t>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50%×</w:t>
            </w:r>
            <w:r>
              <w:rPr>
                <w:rFonts w:eastAsiaTheme="minorEastAsia"/>
                <w:color w:val="000000" w:themeColor="text1"/>
                <w:kern w:val="0"/>
                <w:szCs w:val="21"/>
              </w:rPr>
              <w:t>中国债券总指数收益率。</w:t>
            </w:r>
          </w:p>
        </w:tc>
      </w:tr>
      <w:tr w:rsidR="0075539A">
        <w:tc>
          <w:tcPr>
            <w:tcW w:w="2835" w:type="dxa"/>
            <w:vAlign w:val="center"/>
          </w:tcPr>
          <w:p w:rsidR="0075539A" w:rsidRDefault="00F533D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风险收益特征</w:t>
            </w:r>
          </w:p>
        </w:tc>
        <w:tc>
          <w:tcPr>
            <w:tcW w:w="5479" w:type="dxa"/>
            <w:gridSpan w:val="2"/>
            <w:vAlign w:val="center"/>
          </w:tcPr>
          <w:p w:rsidR="0075539A" w:rsidRDefault="00F533D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本基金为混合型基金，基金的风险与预期收益高于债券型基金和货币市场基金、低于股票型基金，属于证券投资基金中的中高风险投资品种。</w:t>
            </w:r>
          </w:p>
        </w:tc>
      </w:tr>
      <w:tr w:rsidR="0075539A">
        <w:tc>
          <w:tcPr>
            <w:tcW w:w="2835" w:type="dxa"/>
            <w:vAlign w:val="center"/>
          </w:tcPr>
          <w:p w:rsidR="0075539A" w:rsidRDefault="00F533D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w:t>
            </w:r>
          </w:p>
        </w:tc>
        <w:tc>
          <w:tcPr>
            <w:tcW w:w="5479" w:type="dxa"/>
            <w:gridSpan w:val="2"/>
            <w:vAlign w:val="center"/>
          </w:tcPr>
          <w:p w:rsidR="0075539A" w:rsidRDefault="00F533D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华安基金管理有限公司</w:t>
            </w:r>
          </w:p>
        </w:tc>
      </w:tr>
      <w:tr w:rsidR="0075539A">
        <w:tc>
          <w:tcPr>
            <w:tcW w:w="2835" w:type="dxa"/>
            <w:vAlign w:val="center"/>
          </w:tcPr>
          <w:p w:rsidR="0075539A" w:rsidRDefault="00F533D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基金托管人</w:t>
            </w:r>
          </w:p>
        </w:tc>
        <w:tc>
          <w:tcPr>
            <w:tcW w:w="5479" w:type="dxa"/>
            <w:gridSpan w:val="2"/>
            <w:vAlign w:val="center"/>
          </w:tcPr>
          <w:p w:rsidR="0075539A" w:rsidRDefault="00F533D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中国邮政储蓄银行股份有限公司</w:t>
            </w:r>
          </w:p>
        </w:tc>
      </w:tr>
      <w:tr w:rsidR="0075539A">
        <w:tc>
          <w:tcPr>
            <w:tcW w:w="2835" w:type="dxa"/>
            <w:vAlign w:val="center"/>
          </w:tcPr>
          <w:p w:rsidR="0075539A" w:rsidRDefault="00F533DF">
            <w:pPr>
              <w:adjustRightInd w:val="0"/>
              <w:spacing w:before="29" w:line="360" w:lineRule="auto"/>
              <w:ind w:left="17"/>
              <w:rPr>
                <w:rFonts w:eastAsiaTheme="minorEastAsia"/>
                <w:color w:val="000000" w:themeColor="text1"/>
                <w:kern w:val="0"/>
                <w:szCs w:val="21"/>
              </w:rPr>
            </w:pPr>
            <w:r>
              <w:rPr>
                <w:rFonts w:eastAsiaTheme="minorEastAsia" w:hint="eastAsia"/>
                <w:color w:val="000000" w:themeColor="text1"/>
                <w:szCs w:val="21"/>
              </w:rPr>
              <w:t>下属分级</w:t>
            </w:r>
            <w:r>
              <w:rPr>
                <w:rFonts w:eastAsiaTheme="minorEastAsia"/>
                <w:color w:val="000000" w:themeColor="text1"/>
                <w:szCs w:val="21"/>
              </w:rPr>
              <w:t>基金的基金简称</w:t>
            </w:r>
          </w:p>
        </w:tc>
        <w:tc>
          <w:tcPr>
            <w:tcW w:w="2739" w:type="dxa"/>
            <w:vAlign w:val="center"/>
          </w:tcPr>
          <w:p w:rsidR="0075539A" w:rsidRDefault="00F533DF">
            <w:pPr>
              <w:rPr>
                <w:rFonts w:eastAsiaTheme="minorEastAsia"/>
                <w:color w:val="000000" w:themeColor="text1"/>
                <w:szCs w:val="21"/>
              </w:rPr>
            </w:pPr>
            <w:r>
              <w:rPr>
                <w:rFonts w:eastAsiaTheme="minorEastAsia"/>
                <w:color w:val="000000" w:themeColor="text1"/>
                <w:szCs w:val="21"/>
              </w:rPr>
              <w:t>华安安润灵活配置混合</w:t>
            </w:r>
            <w:r>
              <w:rPr>
                <w:rFonts w:eastAsiaTheme="minorEastAsia"/>
                <w:color w:val="000000" w:themeColor="text1"/>
                <w:szCs w:val="21"/>
              </w:rPr>
              <w:t>A</w:t>
            </w:r>
            <w:r>
              <w:rPr>
                <w:rFonts w:eastAsiaTheme="minorEastAsia"/>
                <w:color w:val="000000" w:themeColor="text1"/>
                <w:szCs w:val="21"/>
              </w:rPr>
              <w:t>类</w:t>
            </w:r>
          </w:p>
        </w:tc>
        <w:tc>
          <w:tcPr>
            <w:tcW w:w="2740" w:type="dxa"/>
            <w:vAlign w:val="center"/>
          </w:tcPr>
          <w:p w:rsidR="0075539A" w:rsidRDefault="00F533DF">
            <w:pPr>
              <w:rPr>
                <w:rFonts w:eastAsiaTheme="minorEastAsia"/>
                <w:color w:val="000000" w:themeColor="text1"/>
                <w:szCs w:val="21"/>
              </w:rPr>
            </w:pPr>
            <w:r>
              <w:rPr>
                <w:rFonts w:eastAsiaTheme="minorEastAsia"/>
                <w:color w:val="000000" w:themeColor="text1"/>
                <w:szCs w:val="21"/>
              </w:rPr>
              <w:t>华安安润灵活配置混合</w:t>
            </w:r>
            <w:r>
              <w:rPr>
                <w:rFonts w:eastAsiaTheme="minorEastAsia"/>
                <w:color w:val="000000" w:themeColor="text1"/>
                <w:szCs w:val="21"/>
              </w:rPr>
              <w:t>C</w:t>
            </w:r>
            <w:r>
              <w:rPr>
                <w:rFonts w:eastAsiaTheme="minorEastAsia"/>
                <w:color w:val="000000" w:themeColor="text1"/>
                <w:szCs w:val="21"/>
              </w:rPr>
              <w:t>类</w:t>
            </w:r>
          </w:p>
        </w:tc>
      </w:tr>
      <w:tr w:rsidR="0075539A">
        <w:tc>
          <w:tcPr>
            <w:tcW w:w="2835" w:type="dxa"/>
            <w:vAlign w:val="center"/>
          </w:tcPr>
          <w:p w:rsidR="0075539A" w:rsidRDefault="00F533DF">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下属</w:t>
            </w:r>
            <w:r>
              <w:rPr>
                <w:rFonts w:eastAsiaTheme="minorEastAsia" w:hint="eastAsia"/>
                <w:color w:val="000000" w:themeColor="text1"/>
                <w:szCs w:val="21"/>
              </w:rPr>
              <w:t>分</w:t>
            </w:r>
            <w:r>
              <w:rPr>
                <w:rFonts w:eastAsiaTheme="minorEastAsia"/>
                <w:color w:val="000000" w:themeColor="text1"/>
                <w:szCs w:val="21"/>
              </w:rPr>
              <w:t>级基金的交易代码</w:t>
            </w:r>
          </w:p>
        </w:tc>
        <w:tc>
          <w:tcPr>
            <w:tcW w:w="2739" w:type="dxa"/>
            <w:vAlign w:val="center"/>
          </w:tcPr>
          <w:p w:rsidR="0075539A" w:rsidRDefault="00F533DF">
            <w:pPr>
              <w:rPr>
                <w:rFonts w:eastAsiaTheme="minorEastAsia"/>
                <w:color w:val="000000" w:themeColor="text1"/>
                <w:szCs w:val="21"/>
              </w:rPr>
            </w:pPr>
            <w:r>
              <w:rPr>
                <w:rFonts w:eastAsiaTheme="minorEastAsia"/>
                <w:color w:val="000000" w:themeColor="text1"/>
                <w:szCs w:val="21"/>
              </w:rPr>
              <w:t>002153</w:t>
            </w:r>
          </w:p>
        </w:tc>
        <w:tc>
          <w:tcPr>
            <w:tcW w:w="2740" w:type="dxa"/>
            <w:vAlign w:val="center"/>
          </w:tcPr>
          <w:p w:rsidR="0075539A" w:rsidRDefault="00F533DF">
            <w:pPr>
              <w:rPr>
                <w:rFonts w:eastAsiaTheme="minorEastAsia"/>
                <w:color w:val="000000" w:themeColor="text1"/>
                <w:szCs w:val="21"/>
              </w:rPr>
            </w:pPr>
            <w:r>
              <w:rPr>
                <w:rFonts w:eastAsiaTheme="minorEastAsia"/>
                <w:color w:val="000000" w:themeColor="text1"/>
                <w:szCs w:val="21"/>
              </w:rPr>
              <w:t>002154</w:t>
            </w:r>
          </w:p>
        </w:tc>
      </w:tr>
      <w:tr w:rsidR="0075539A">
        <w:tc>
          <w:tcPr>
            <w:tcW w:w="2835" w:type="dxa"/>
            <w:vAlign w:val="center"/>
          </w:tcPr>
          <w:p w:rsidR="0075539A" w:rsidRDefault="00F533DF">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报告期末下属</w:t>
            </w:r>
            <w:r>
              <w:rPr>
                <w:rFonts w:eastAsiaTheme="minorEastAsia" w:hint="eastAsia"/>
                <w:color w:val="000000" w:themeColor="text1"/>
                <w:szCs w:val="21"/>
              </w:rPr>
              <w:t>分</w:t>
            </w:r>
            <w:r>
              <w:rPr>
                <w:rFonts w:eastAsiaTheme="minorEastAsia"/>
                <w:color w:val="000000" w:themeColor="text1"/>
                <w:szCs w:val="21"/>
              </w:rPr>
              <w:t>级基金的份额总额</w:t>
            </w:r>
          </w:p>
        </w:tc>
        <w:tc>
          <w:tcPr>
            <w:tcW w:w="2739" w:type="dxa"/>
            <w:vAlign w:val="center"/>
          </w:tcPr>
          <w:p w:rsidR="0075539A" w:rsidRDefault="00F533DF">
            <w:pPr>
              <w:rPr>
                <w:rFonts w:eastAsiaTheme="minorEastAsia"/>
                <w:color w:val="000000" w:themeColor="text1"/>
                <w:szCs w:val="21"/>
              </w:rPr>
            </w:pPr>
            <w:r>
              <w:rPr>
                <w:rFonts w:eastAsiaTheme="minorEastAsia"/>
                <w:color w:val="000000" w:themeColor="text1"/>
                <w:szCs w:val="21"/>
              </w:rPr>
              <w:t>8,541,444.64</w:t>
            </w:r>
            <w:r>
              <w:rPr>
                <w:rFonts w:eastAsiaTheme="minorEastAsia"/>
                <w:color w:val="000000" w:themeColor="text1"/>
                <w:kern w:val="0"/>
                <w:szCs w:val="21"/>
              </w:rPr>
              <w:t>份</w:t>
            </w:r>
          </w:p>
        </w:tc>
        <w:tc>
          <w:tcPr>
            <w:tcW w:w="2740" w:type="dxa"/>
            <w:vAlign w:val="center"/>
          </w:tcPr>
          <w:p w:rsidR="0075539A" w:rsidRDefault="00F533DF">
            <w:pPr>
              <w:rPr>
                <w:rFonts w:eastAsiaTheme="minorEastAsia"/>
                <w:color w:val="000000" w:themeColor="text1"/>
                <w:szCs w:val="21"/>
              </w:rPr>
            </w:pPr>
            <w:r>
              <w:rPr>
                <w:rFonts w:eastAsiaTheme="minorEastAsia"/>
                <w:color w:val="000000" w:themeColor="text1"/>
                <w:szCs w:val="21"/>
              </w:rPr>
              <w:t>48,567.27</w:t>
            </w:r>
            <w:r>
              <w:rPr>
                <w:rFonts w:eastAsiaTheme="minorEastAsia"/>
                <w:color w:val="000000" w:themeColor="text1"/>
                <w:kern w:val="0"/>
                <w:szCs w:val="21"/>
              </w:rPr>
              <w:t>份</w:t>
            </w:r>
          </w:p>
        </w:tc>
      </w:tr>
    </w:tbl>
    <w:p w:rsidR="0075539A" w:rsidRDefault="00F533DF" w:rsidP="00F533DF">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§3  </w:t>
      </w:r>
      <w:r>
        <w:rPr>
          <w:rFonts w:eastAsiaTheme="minorEastAsia"/>
          <w:color w:val="000000" w:themeColor="text1"/>
          <w:kern w:val="0"/>
          <w:sz w:val="21"/>
          <w:szCs w:val="21"/>
        </w:rPr>
        <w:t>主要财务指标和基金净值表现</w:t>
      </w:r>
    </w:p>
    <w:p w:rsidR="0075539A" w:rsidRDefault="00F533DF">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3.1 </w:t>
      </w:r>
      <w:r>
        <w:rPr>
          <w:rFonts w:eastAsiaTheme="minorEastAsia"/>
          <w:b/>
          <w:color w:val="000000" w:themeColor="text1"/>
          <w:kern w:val="0"/>
          <w:szCs w:val="21"/>
        </w:rPr>
        <w:t>主要财务指标</w:t>
      </w:r>
    </w:p>
    <w:p w:rsidR="0075539A" w:rsidRDefault="00F533DF">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2481"/>
        <w:gridCol w:w="2481"/>
      </w:tblGrid>
      <w:tr w:rsidR="0075539A">
        <w:tc>
          <w:tcPr>
            <w:tcW w:w="3402" w:type="dxa"/>
            <w:vMerge w:val="restart"/>
            <w:vAlign w:val="center"/>
          </w:tcPr>
          <w:p w:rsidR="0075539A" w:rsidRDefault="00F533D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主要财务指标</w:t>
            </w:r>
          </w:p>
        </w:tc>
        <w:tc>
          <w:tcPr>
            <w:tcW w:w="4962" w:type="dxa"/>
            <w:gridSpan w:val="2"/>
            <w:vAlign w:val="center"/>
          </w:tcPr>
          <w:p w:rsidR="0075539A" w:rsidRDefault="00F533DF">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报告期</w:t>
            </w:r>
          </w:p>
          <w:p w:rsidR="0075539A" w:rsidRDefault="00F533DF">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w:t>
            </w:r>
          </w:p>
        </w:tc>
      </w:tr>
      <w:tr w:rsidR="0075539A">
        <w:tc>
          <w:tcPr>
            <w:tcW w:w="3402" w:type="dxa"/>
            <w:vMerge/>
            <w:vAlign w:val="center"/>
          </w:tcPr>
          <w:p w:rsidR="0075539A" w:rsidRDefault="0075539A">
            <w:pPr>
              <w:adjustRightInd w:val="0"/>
              <w:spacing w:before="29" w:line="360" w:lineRule="auto"/>
              <w:ind w:left="17"/>
              <w:rPr>
                <w:rFonts w:eastAsiaTheme="minorEastAsia"/>
                <w:color w:val="000000" w:themeColor="text1"/>
                <w:kern w:val="0"/>
                <w:szCs w:val="21"/>
              </w:rPr>
            </w:pPr>
          </w:p>
        </w:tc>
        <w:tc>
          <w:tcPr>
            <w:tcW w:w="2481" w:type="dxa"/>
            <w:vAlign w:val="center"/>
          </w:tcPr>
          <w:p w:rsidR="0075539A" w:rsidRDefault="00F533DF">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华安安润灵活配置混合</w:t>
            </w:r>
            <w:r>
              <w:rPr>
                <w:rFonts w:eastAsiaTheme="minorEastAsia"/>
                <w:color w:val="000000" w:themeColor="text1"/>
                <w:szCs w:val="21"/>
              </w:rPr>
              <w:t>A</w:t>
            </w:r>
            <w:r>
              <w:rPr>
                <w:rFonts w:eastAsiaTheme="minorEastAsia"/>
                <w:color w:val="000000" w:themeColor="text1"/>
                <w:szCs w:val="21"/>
              </w:rPr>
              <w:t>类</w:t>
            </w:r>
          </w:p>
        </w:tc>
        <w:tc>
          <w:tcPr>
            <w:tcW w:w="2481" w:type="dxa"/>
            <w:vAlign w:val="center"/>
          </w:tcPr>
          <w:p w:rsidR="0075539A" w:rsidRDefault="00F533DF">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华安安润灵活配置混合</w:t>
            </w:r>
            <w:r>
              <w:rPr>
                <w:rFonts w:eastAsiaTheme="minorEastAsia"/>
                <w:color w:val="000000" w:themeColor="text1"/>
                <w:szCs w:val="21"/>
              </w:rPr>
              <w:t>C</w:t>
            </w:r>
            <w:r>
              <w:rPr>
                <w:rFonts w:eastAsiaTheme="minorEastAsia"/>
                <w:color w:val="000000" w:themeColor="text1"/>
                <w:szCs w:val="21"/>
              </w:rPr>
              <w:t>类</w:t>
            </w:r>
          </w:p>
        </w:tc>
      </w:tr>
      <w:tr w:rsidR="0075539A">
        <w:tc>
          <w:tcPr>
            <w:tcW w:w="3402" w:type="dxa"/>
            <w:vAlign w:val="center"/>
          </w:tcPr>
          <w:p w:rsidR="0075539A" w:rsidRDefault="00F533D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本期已实现收益</w:t>
            </w:r>
          </w:p>
        </w:tc>
        <w:tc>
          <w:tcPr>
            <w:tcW w:w="2481" w:type="dxa"/>
            <w:vAlign w:val="center"/>
          </w:tcPr>
          <w:p w:rsidR="0075539A" w:rsidRDefault="00F533D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5,814,726.98</w:t>
            </w:r>
          </w:p>
        </w:tc>
        <w:tc>
          <w:tcPr>
            <w:tcW w:w="2481" w:type="dxa"/>
            <w:vAlign w:val="center"/>
          </w:tcPr>
          <w:p w:rsidR="0075539A" w:rsidRDefault="00F533D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2,515.09</w:t>
            </w:r>
          </w:p>
        </w:tc>
      </w:tr>
      <w:tr w:rsidR="0075539A">
        <w:tc>
          <w:tcPr>
            <w:tcW w:w="3402" w:type="dxa"/>
            <w:vAlign w:val="center"/>
          </w:tcPr>
          <w:p w:rsidR="0075539A" w:rsidRDefault="00F533D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本期利润</w:t>
            </w:r>
          </w:p>
        </w:tc>
        <w:tc>
          <w:tcPr>
            <w:tcW w:w="2481" w:type="dxa"/>
            <w:vAlign w:val="center"/>
          </w:tcPr>
          <w:p w:rsidR="0075539A" w:rsidRDefault="00F533D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4,901,161.88</w:t>
            </w:r>
          </w:p>
        </w:tc>
        <w:tc>
          <w:tcPr>
            <w:tcW w:w="2481" w:type="dxa"/>
            <w:vAlign w:val="center"/>
          </w:tcPr>
          <w:p w:rsidR="0075539A" w:rsidRDefault="00F533D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511.60</w:t>
            </w:r>
          </w:p>
        </w:tc>
      </w:tr>
      <w:tr w:rsidR="0075539A">
        <w:tc>
          <w:tcPr>
            <w:tcW w:w="3402" w:type="dxa"/>
            <w:vAlign w:val="center"/>
          </w:tcPr>
          <w:p w:rsidR="0075539A" w:rsidRDefault="00F533D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加权平均基金份额本期利润</w:t>
            </w:r>
          </w:p>
        </w:tc>
        <w:tc>
          <w:tcPr>
            <w:tcW w:w="2481" w:type="dxa"/>
            <w:vAlign w:val="center"/>
          </w:tcPr>
          <w:p w:rsidR="0075539A" w:rsidRDefault="00F533D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0.0375</w:t>
            </w:r>
          </w:p>
        </w:tc>
        <w:tc>
          <w:tcPr>
            <w:tcW w:w="2481" w:type="dxa"/>
            <w:vAlign w:val="center"/>
          </w:tcPr>
          <w:p w:rsidR="0075539A" w:rsidRDefault="00F533D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0.0144</w:t>
            </w:r>
          </w:p>
        </w:tc>
      </w:tr>
      <w:tr w:rsidR="0075539A">
        <w:tc>
          <w:tcPr>
            <w:tcW w:w="3402" w:type="dxa"/>
            <w:vAlign w:val="center"/>
          </w:tcPr>
          <w:p w:rsidR="0075539A" w:rsidRDefault="00F533D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期末基金资产净值</w:t>
            </w:r>
          </w:p>
        </w:tc>
        <w:tc>
          <w:tcPr>
            <w:tcW w:w="2481" w:type="dxa"/>
            <w:vAlign w:val="center"/>
          </w:tcPr>
          <w:p w:rsidR="0075539A" w:rsidRDefault="00F533D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8,950,336.55</w:t>
            </w:r>
          </w:p>
        </w:tc>
        <w:tc>
          <w:tcPr>
            <w:tcW w:w="2481" w:type="dxa"/>
            <w:vAlign w:val="center"/>
          </w:tcPr>
          <w:p w:rsidR="0075539A" w:rsidRDefault="00F533D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50,857.87</w:t>
            </w:r>
          </w:p>
        </w:tc>
      </w:tr>
      <w:tr w:rsidR="0075539A">
        <w:trPr>
          <w:trHeight w:val="158"/>
        </w:trPr>
        <w:tc>
          <w:tcPr>
            <w:tcW w:w="3402" w:type="dxa"/>
            <w:vAlign w:val="center"/>
          </w:tcPr>
          <w:p w:rsidR="0075539A" w:rsidRDefault="00F533D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期末基金份额净值</w:t>
            </w:r>
          </w:p>
        </w:tc>
        <w:tc>
          <w:tcPr>
            <w:tcW w:w="2481" w:type="dxa"/>
            <w:vAlign w:val="center"/>
          </w:tcPr>
          <w:p w:rsidR="0075539A" w:rsidRDefault="00F533D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1.048</w:t>
            </w:r>
          </w:p>
        </w:tc>
        <w:tc>
          <w:tcPr>
            <w:tcW w:w="2481" w:type="dxa"/>
            <w:vAlign w:val="center"/>
          </w:tcPr>
          <w:p w:rsidR="0075539A" w:rsidRDefault="00F533D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1.047</w:t>
            </w:r>
          </w:p>
        </w:tc>
      </w:tr>
    </w:tbl>
    <w:p w:rsidR="0075539A" w:rsidRDefault="00F533D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、所述基金业绩指标不包括持有人认购或交易基金的各项费用（例如：封闭式基金交易佣金，开放式基金的申购赎回费、红利再投资费、基金转换费等），计入费用后实际收益水平要低于所列数字。</w:t>
      </w:r>
    </w:p>
    <w:p w:rsidR="0075539A" w:rsidRDefault="00F533D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w:t>
      </w:r>
    </w:p>
    <w:p w:rsidR="0075539A" w:rsidRDefault="00F533DF" w:rsidP="00F533DF">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 </w:t>
      </w:r>
      <w:r>
        <w:rPr>
          <w:rFonts w:eastAsiaTheme="minorEastAsia"/>
          <w:b/>
          <w:color w:val="000000" w:themeColor="text1"/>
          <w:kern w:val="0"/>
          <w:szCs w:val="21"/>
        </w:rPr>
        <w:t>基金净值表现</w:t>
      </w:r>
    </w:p>
    <w:p w:rsidR="0075539A" w:rsidRDefault="00F533DF">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3.2.1</w:t>
      </w:r>
      <w:r>
        <w:rPr>
          <w:rFonts w:eastAsiaTheme="minorEastAsia"/>
          <w:b/>
          <w:color w:val="000000" w:themeColor="text1"/>
          <w:kern w:val="0"/>
          <w:szCs w:val="21"/>
        </w:rPr>
        <w:t>本报告期基金份额净值增长率及其与同期业绩比较基准收益率的比较</w:t>
      </w:r>
    </w:p>
    <w:p w:rsidR="0075539A" w:rsidRDefault="00F533DF">
      <w:pPr>
        <w:spacing w:line="360" w:lineRule="auto"/>
        <w:rPr>
          <w:rFonts w:eastAsiaTheme="minorEastAsia"/>
          <w:b/>
          <w:color w:val="000000" w:themeColor="text1"/>
          <w:szCs w:val="21"/>
        </w:rPr>
      </w:pPr>
      <w:r>
        <w:rPr>
          <w:rFonts w:eastAsiaTheme="minorEastAsia"/>
          <w:b/>
          <w:color w:val="000000" w:themeColor="text1"/>
          <w:szCs w:val="21"/>
        </w:rPr>
        <w:t>1</w:t>
      </w:r>
      <w:r>
        <w:rPr>
          <w:rFonts w:eastAsiaTheme="minorEastAsia"/>
          <w:b/>
          <w:color w:val="000000" w:themeColor="text1"/>
          <w:szCs w:val="21"/>
        </w:rPr>
        <w:t>、</w:t>
      </w:r>
      <w:r>
        <w:rPr>
          <w:rFonts w:eastAsiaTheme="minorEastAsia"/>
          <w:b/>
          <w:color w:val="000000" w:themeColor="text1"/>
          <w:kern w:val="0"/>
          <w:szCs w:val="21"/>
        </w:rPr>
        <w:t>华安安润灵活配置混合</w:t>
      </w:r>
      <w:r>
        <w:rPr>
          <w:rFonts w:eastAsiaTheme="minorEastAsia"/>
          <w:b/>
          <w:color w:val="000000" w:themeColor="text1"/>
          <w:kern w:val="0"/>
          <w:szCs w:val="21"/>
        </w:rPr>
        <w:t>A</w:t>
      </w:r>
      <w:r>
        <w:rPr>
          <w:rFonts w:eastAsiaTheme="minorEastAsia"/>
          <w:b/>
          <w:color w:val="000000" w:themeColor="text1"/>
          <w:kern w:val="0"/>
          <w:szCs w:val="21"/>
        </w:rPr>
        <w:t>类</w:t>
      </w:r>
      <w:r>
        <w:rPr>
          <w:rFonts w:eastAsiaTheme="minorEastAsia"/>
          <w:b/>
          <w:color w:val="000000" w:themeColor="text1"/>
          <w:szCs w:val="21"/>
        </w:rPr>
        <w:t>：</w:t>
      </w:r>
    </w:p>
    <w:tbl>
      <w:tblPr>
        <w:tblStyle w:val="af6"/>
        <w:tblW w:w="9036" w:type="dxa"/>
        <w:tblInd w:w="108" w:type="dxa"/>
        <w:tblLayout w:type="fixed"/>
        <w:tblLook w:val="04A0"/>
      </w:tblPr>
      <w:tblGrid>
        <w:gridCol w:w="1290"/>
        <w:gridCol w:w="1291"/>
        <w:gridCol w:w="1291"/>
        <w:gridCol w:w="1291"/>
        <w:gridCol w:w="1291"/>
        <w:gridCol w:w="1291"/>
        <w:gridCol w:w="1291"/>
      </w:tblGrid>
      <w:tr w:rsidR="0075539A">
        <w:tc>
          <w:tcPr>
            <w:tcW w:w="1290" w:type="dxa"/>
            <w:vAlign w:val="center"/>
          </w:tcPr>
          <w:p w:rsidR="0075539A" w:rsidRDefault="00F533DF">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75539A" w:rsidRDefault="00F533DF">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75539A" w:rsidRDefault="00F533DF">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75539A" w:rsidRDefault="00F533DF">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75539A" w:rsidRDefault="00F533DF">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75539A" w:rsidRDefault="00F533DF">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75539A" w:rsidRDefault="00F533DF">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75539A">
        <w:tc>
          <w:tcPr>
            <w:tcW w:w="1290" w:type="dxa"/>
            <w:vAlign w:val="center"/>
          </w:tcPr>
          <w:p w:rsidR="0075539A" w:rsidRDefault="00F533DF">
            <w:pPr>
              <w:jc w:val="left"/>
            </w:pPr>
            <w:r>
              <w:rPr>
                <w:rFonts w:eastAsiaTheme="minorEastAsia"/>
                <w:color w:val="000000" w:themeColor="text1"/>
                <w:szCs w:val="21"/>
              </w:rPr>
              <w:t>过去三个月</w:t>
            </w:r>
          </w:p>
        </w:tc>
        <w:tc>
          <w:tcPr>
            <w:tcW w:w="1291" w:type="dxa"/>
            <w:vAlign w:val="center"/>
          </w:tcPr>
          <w:p w:rsidR="0075539A" w:rsidRDefault="00F533DF">
            <w:pPr>
              <w:jc w:val="right"/>
            </w:pPr>
            <w:r>
              <w:rPr>
                <w:rFonts w:eastAsiaTheme="minorEastAsia"/>
                <w:color w:val="000000" w:themeColor="text1"/>
                <w:szCs w:val="21"/>
              </w:rPr>
              <w:t>1.85%</w:t>
            </w:r>
          </w:p>
        </w:tc>
        <w:tc>
          <w:tcPr>
            <w:tcW w:w="1291" w:type="dxa"/>
            <w:vAlign w:val="center"/>
          </w:tcPr>
          <w:p w:rsidR="0075539A" w:rsidRDefault="00F533DF">
            <w:pPr>
              <w:jc w:val="right"/>
            </w:pPr>
            <w:r>
              <w:rPr>
                <w:rFonts w:eastAsiaTheme="minorEastAsia"/>
                <w:color w:val="000000" w:themeColor="text1"/>
                <w:szCs w:val="21"/>
              </w:rPr>
              <w:t>0.66%</w:t>
            </w:r>
          </w:p>
        </w:tc>
        <w:tc>
          <w:tcPr>
            <w:tcW w:w="1291" w:type="dxa"/>
            <w:vAlign w:val="center"/>
          </w:tcPr>
          <w:p w:rsidR="0075539A" w:rsidRDefault="00F533DF">
            <w:pPr>
              <w:jc w:val="right"/>
            </w:pPr>
            <w:r>
              <w:rPr>
                <w:rFonts w:eastAsiaTheme="minorEastAsia"/>
                <w:color w:val="000000" w:themeColor="text1"/>
                <w:szCs w:val="21"/>
              </w:rPr>
              <w:t>0.38%</w:t>
            </w:r>
          </w:p>
        </w:tc>
        <w:tc>
          <w:tcPr>
            <w:tcW w:w="1291" w:type="dxa"/>
            <w:vAlign w:val="center"/>
          </w:tcPr>
          <w:p w:rsidR="0075539A" w:rsidRDefault="00F533DF">
            <w:pPr>
              <w:jc w:val="right"/>
            </w:pPr>
            <w:r>
              <w:rPr>
                <w:rFonts w:eastAsiaTheme="minorEastAsia"/>
                <w:color w:val="000000" w:themeColor="text1"/>
                <w:szCs w:val="21"/>
              </w:rPr>
              <w:t>0.38%</w:t>
            </w:r>
          </w:p>
        </w:tc>
        <w:tc>
          <w:tcPr>
            <w:tcW w:w="1291" w:type="dxa"/>
            <w:vAlign w:val="center"/>
          </w:tcPr>
          <w:p w:rsidR="0075539A" w:rsidRDefault="00F533DF">
            <w:pPr>
              <w:jc w:val="right"/>
            </w:pPr>
            <w:r>
              <w:rPr>
                <w:rFonts w:eastAsiaTheme="minorEastAsia"/>
                <w:color w:val="000000" w:themeColor="text1"/>
                <w:szCs w:val="21"/>
              </w:rPr>
              <w:t>1.47%</w:t>
            </w:r>
          </w:p>
        </w:tc>
        <w:tc>
          <w:tcPr>
            <w:tcW w:w="1291" w:type="dxa"/>
            <w:vAlign w:val="center"/>
          </w:tcPr>
          <w:p w:rsidR="0075539A" w:rsidRDefault="00F533DF">
            <w:pPr>
              <w:jc w:val="right"/>
            </w:pPr>
            <w:r>
              <w:rPr>
                <w:rFonts w:eastAsiaTheme="minorEastAsia"/>
                <w:color w:val="000000" w:themeColor="text1"/>
                <w:szCs w:val="21"/>
              </w:rPr>
              <w:t>0.28%</w:t>
            </w:r>
          </w:p>
        </w:tc>
      </w:tr>
    </w:tbl>
    <w:p w:rsidR="0075539A" w:rsidRDefault="00F533DF" w:rsidP="00F533DF">
      <w:pPr>
        <w:adjustRightInd w:val="0"/>
        <w:spacing w:beforeLines="100" w:line="360" w:lineRule="auto"/>
        <w:rPr>
          <w:rFonts w:eastAsiaTheme="minorEastAsia"/>
          <w:b/>
          <w:color w:val="000000" w:themeColor="text1"/>
          <w:kern w:val="0"/>
          <w:szCs w:val="21"/>
        </w:rPr>
      </w:pPr>
      <w:r>
        <w:rPr>
          <w:rFonts w:eastAsiaTheme="minorEastAsia"/>
          <w:b/>
          <w:color w:val="000000" w:themeColor="text1"/>
          <w:szCs w:val="21"/>
        </w:rPr>
        <w:t>2</w:t>
      </w:r>
      <w:r>
        <w:rPr>
          <w:rFonts w:eastAsiaTheme="minorEastAsia"/>
          <w:b/>
          <w:color w:val="000000" w:themeColor="text1"/>
          <w:szCs w:val="21"/>
        </w:rPr>
        <w:t>、</w:t>
      </w:r>
      <w:r>
        <w:rPr>
          <w:rFonts w:eastAsiaTheme="minorEastAsia"/>
          <w:b/>
          <w:color w:val="000000" w:themeColor="text1"/>
          <w:kern w:val="0"/>
          <w:szCs w:val="21"/>
        </w:rPr>
        <w:t>华安安润灵活配置混合</w:t>
      </w:r>
      <w:r>
        <w:rPr>
          <w:rFonts w:eastAsiaTheme="minorEastAsia"/>
          <w:b/>
          <w:color w:val="000000" w:themeColor="text1"/>
          <w:kern w:val="0"/>
          <w:szCs w:val="21"/>
        </w:rPr>
        <w:t>C</w:t>
      </w:r>
      <w:r>
        <w:rPr>
          <w:rFonts w:eastAsiaTheme="minorEastAsia"/>
          <w:b/>
          <w:color w:val="000000" w:themeColor="text1"/>
          <w:kern w:val="0"/>
          <w:szCs w:val="21"/>
        </w:rPr>
        <w:t>类：</w:t>
      </w:r>
    </w:p>
    <w:tbl>
      <w:tblPr>
        <w:tblStyle w:val="af6"/>
        <w:tblW w:w="9036" w:type="dxa"/>
        <w:tblInd w:w="108" w:type="dxa"/>
        <w:tblLayout w:type="fixed"/>
        <w:tblLook w:val="04A0"/>
      </w:tblPr>
      <w:tblGrid>
        <w:gridCol w:w="1290"/>
        <w:gridCol w:w="1291"/>
        <w:gridCol w:w="1291"/>
        <w:gridCol w:w="1291"/>
        <w:gridCol w:w="1291"/>
        <w:gridCol w:w="1291"/>
        <w:gridCol w:w="1291"/>
      </w:tblGrid>
      <w:tr w:rsidR="0075539A">
        <w:tc>
          <w:tcPr>
            <w:tcW w:w="1290" w:type="dxa"/>
            <w:vAlign w:val="center"/>
          </w:tcPr>
          <w:p w:rsidR="0075539A" w:rsidRDefault="00F533DF">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75539A" w:rsidRDefault="00F533DF">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75539A" w:rsidRDefault="00F533DF">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75539A" w:rsidRDefault="00F533DF">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75539A" w:rsidRDefault="00F533DF">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75539A" w:rsidRDefault="00F533DF">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75539A" w:rsidRDefault="00F533DF">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75539A">
        <w:tc>
          <w:tcPr>
            <w:tcW w:w="1290" w:type="dxa"/>
            <w:vAlign w:val="center"/>
          </w:tcPr>
          <w:p w:rsidR="0075539A" w:rsidRDefault="00F533DF">
            <w:pPr>
              <w:jc w:val="left"/>
            </w:pPr>
            <w:r>
              <w:rPr>
                <w:rFonts w:eastAsiaTheme="minorEastAsia"/>
                <w:color w:val="000000" w:themeColor="text1"/>
                <w:szCs w:val="21"/>
              </w:rPr>
              <w:t>过去三个月</w:t>
            </w:r>
          </w:p>
        </w:tc>
        <w:tc>
          <w:tcPr>
            <w:tcW w:w="1291" w:type="dxa"/>
            <w:vAlign w:val="center"/>
          </w:tcPr>
          <w:p w:rsidR="0075539A" w:rsidRDefault="00F533DF">
            <w:pPr>
              <w:jc w:val="right"/>
            </w:pPr>
            <w:r>
              <w:rPr>
                <w:rFonts w:eastAsiaTheme="minorEastAsia"/>
                <w:color w:val="000000" w:themeColor="text1"/>
                <w:szCs w:val="21"/>
              </w:rPr>
              <w:t>1.85%</w:t>
            </w:r>
          </w:p>
        </w:tc>
        <w:tc>
          <w:tcPr>
            <w:tcW w:w="1291" w:type="dxa"/>
            <w:vAlign w:val="center"/>
          </w:tcPr>
          <w:p w:rsidR="0075539A" w:rsidRDefault="00F533DF">
            <w:pPr>
              <w:jc w:val="right"/>
            </w:pPr>
            <w:r>
              <w:rPr>
                <w:rFonts w:eastAsiaTheme="minorEastAsia"/>
                <w:color w:val="000000" w:themeColor="text1"/>
                <w:szCs w:val="21"/>
              </w:rPr>
              <w:t>0.65%</w:t>
            </w:r>
          </w:p>
        </w:tc>
        <w:tc>
          <w:tcPr>
            <w:tcW w:w="1291" w:type="dxa"/>
            <w:vAlign w:val="center"/>
          </w:tcPr>
          <w:p w:rsidR="0075539A" w:rsidRDefault="00F533DF">
            <w:pPr>
              <w:jc w:val="right"/>
            </w:pPr>
            <w:r>
              <w:rPr>
                <w:rFonts w:eastAsiaTheme="minorEastAsia"/>
                <w:color w:val="000000" w:themeColor="text1"/>
                <w:szCs w:val="21"/>
              </w:rPr>
              <w:t>0.38%</w:t>
            </w:r>
          </w:p>
        </w:tc>
        <w:tc>
          <w:tcPr>
            <w:tcW w:w="1291" w:type="dxa"/>
            <w:vAlign w:val="center"/>
          </w:tcPr>
          <w:p w:rsidR="0075539A" w:rsidRDefault="00F533DF">
            <w:pPr>
              <w:jc w:val="right"/>
            </w:pPr>
            <w:r>
              <w:rPr>
                <w:rFonts w:eastAsiaTheme="minorEastAsia"/>
                <w:color w:val="000000" w:themeColor="text1"/>
                <w:szCs w:val="21"/>
              </w:rPr>
              <w:t>0.38%</w:t>
            </w:r>
          </w:p>
        </w:tc>
        <w:tc>
          <w:tcPr>
            <w:tcW w:w="1291" w:type="dxa"/>
            <w:vAlign w:val="center"/>
          </w:tcPr>
          <w:p w:rsidR="0075539A" w:rsidRDefault="00F533DF">
            <w:pPr>
              <w:jc w:val="right"/>
            </w:pPr>
            <w:r>
              <w:rPr>
                <w:rFonts w:eastAsiaTheme="minorEastAsia"/>
                <w:color w:val="000000" w:themeColor="text1"/>
                <w:szCs w:val="21"/>
              </w:rPr>
              <w:t>1.47%</w:t>
            </w:r>
          </w:p>
        </w:tc>
        <w:tc>
          <w:tcPr>
            <w:tcW w:w="1291" w:type="dxa"/>
            <w:vAlign w:val="center"/>
          </w:tcPr>
          <w:p w:rsidR="0075539A" w:rsidRDefault="00F533DF">
            <w:pPr>
              <w:jc w:val="right"/>
            </w:pPr>
            <w:r>
              <w:rPr>
                <w:rFonts w:eastAsiaTheme="minorEastAsia"/>
                <w:color w:val="000000" w:themeColor="text1"/>
                <w:szCs w:val="21"/>
              </w:rPr>
              <w:t>0.27%</w:t>
            </w:r>
          </w:p>
        </w:tc>
      </w:tr>
    </w:tbl>
    <w:p w:rsidR="0075539A" w:rsidRDefault="00F533DF" w:rsidP="00F533DF">
      <w:pPr>
        <w:spacing w:beforeLines="100" w:line="360" w:lineRule="auto"/>
        <w:rPr>
          <w:rFonts w:eastAsiaTheme="minorEastAsia"/>
          <w:b/>
          <w:color w:val="000000" w:themeColor="text1"/>
          <w:kern w:val="0"/>
          <w:szCs w:val="21"/>
        </w:rPr>
      </w:pPr>
      <w:r>
        <w:rPr>
          <w:rFonts w:eastAsiaTheme="minorEastAsia"/>
          <w:b/>
          <w:color w:val="000000" w:themeColor="text1"/>
          <w:kern w:val="0"/>
          <w:szCs w:val="21"/>
        </w:rPr>
        <w:t>3.2.2</w:t>
      </w:r>
      <w:r>
        <w:rPr>
          <w:rFonts w:eastAsiaTheme="minorEastAsia"/>
          <w:b/>
          <w:color w:val="000000" w:themeColor="text1"/>
          <w:kern w:val="0"/>
          <w:szCs w:val="21"/>
        </w:rPr>
        <w:t xml:space="preserve">　</w:t>
      </w:r>
      <w:r>
        <w:rPr>
          <w:rStyle w:val="af1"/>
          <w:color w:val="000000" w:themeColor="text1"/>
          <w:szCs w:val="21"/>
          <w:shd w:val="clear" w:color="auto" w:fill="FFFFFF"/>
        </w:rPr>
        <w:t>自基金合同生效以来</w:t>
      </w:r>
      <w:r>
        <w:rPr>
          <w:rFonts w:eastAsiaTheme="minorEastAsia"/>
          <w:b/>
          <w:color w:val="000000" w:themeColor="text1"/>
          <w:szCs w:val="21"/>
        </w:rPr>
        <w:t>基金累计净值增长率变动及其与同期业绩比较基准收益率变动的比较</w:t>
      </w:r>
    </w:p>
    <w:p w:rsidR="0075539A" w:rsidRDefault="00F533DF">
      <w:pPr>
        <w:spacing w:line="360" w:lineRule="auto"/>
        <w:jc w:val="center"/>
        <w:rPr>
          <w:rFonts w:eastAsiaTheme="minorEastAsia"/>
          <w:color w:val="000000" w:themeColor="text1"/>
          <w:szCs w:val="21"/>
        </w:rPr>
      </w:pPr>
      <w:r>
        <w:rPr>
          <w:rFonts w:eastAsiaTheme="minorEastAsia"/>
          <w:color w:val="000000" w:themeColor="text1"/>
          <w:szCs w:val="21"/>
        </w:rPr>
        <w:t>华安安润灵活配置混合型证券投资基金</w:t>
      </w:r>
    </w:p>
    <w:p w:rsidR="0075539A" w:rsidRDefault="00F533DF">
      <w:pPr>
        <w:pStyle w:val="a9"/>
        <w:snapToGrid w:val="0"/>
        <w:spacing w:line="360"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rPr>
        <w:t>累计净值增长率与业绩比较基准收益率的历史走势对比图</w:t>
      </w:r>
    </w:p>
    <w:p w:rsidR="0075539A" w:rsidRDefault="00F533DF">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(2016</w:t>
      </w:r>
      <w:r>
        <w:rPr>
          <w:rFonts w:ascii="Times New Roman" w:eastAsiaTheme="minorEastAsia" w:hAnsi="Times New Roman"/>
          <w:color w:val="000000" w:themeColor="text1"/>
        </w:rPr>
        <w:t>年</w:t>
      </w:r>
      <w:r>
        <w:rPr>
          <w:rFonts w:ascii="Times New Roman" w:eastAsiaTheme="minorEastAsia" w:hAnsi="Times New Roman"/>
          <w:color w:val="000000" w:themeColor="text1"/>
        </w:rPr>
        <w:t>10</w:t>
      </w:r>
      <w:r>
        <w:rPr>
          <w:rFonts w:ascii="Times New Roman" w:eastAsiaTheme="minorEastAsia" w:hAnsi="Times New Roman"/>
          <w:color w:val="000000" w:themeColor="text1"/>
        </w:rPr>
        <w:t>月</w:t>
      </w:r>
      <w:r>
        <w:rPr>
          <w:rFonts w:ascii="Times New Roman" w:eastAsiaTheme="minorEastAsia" w:hAnsi="Times New Roman"/>
          <w:color w:val="000000" w:themeColor="text1"/>
        </w:rPr>
        <w:t>31</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2017</w:t>
      </w:r>
      <w:r>
        <w:rPr>
          <w:rFonts w:ascii="Times New Roman" w:eastAsiaTheme="minorEastAsia" w:hAnsi="Times New Roman"/>
          <w:color w:val="000000" w:themeColor="text1"/>
        </w:rPr>
        <w:t>年</w:t>
      </w:r>
      <w:r>
        <w:rPr>
          <w:rFonts w:ascii="Times New Roman" w:eastAsiaTheme="minorEastAsia" w:hAnsi="Times New Roman"/>
          <w:color w:val="000000" w:themeColor="text1"/>
        </w:rPr>
        <w:t>12</w:t>
      </w:r>
      <w:r>
        <w:rPr>
          <w:rFonts w:ascii="Times New Roman" w:eastAsiaTheme="minorEastAsia" w:hAnsi="Times New Roman"/>
          <w:color w:val="000000" w:themeColor="text1"/>
        </w:rPr>
        <w:t>月</w:t>
      </w:r>
      <w:r>
        <w:rPr>
          <w:rFonts w:ascii="Times New Roman" w:eastAsiaTheme="minorEastAsia" w:hAnsi="Times New Roman"/>
          <w:color w:val="000000" w:themeColor="text1"/>
        </w:rPr>
        <w:t>31</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75539A" w:rsidRDefault="00F533DF">
      <w:pPr>
        <w:snapToGrid w:val="0"/>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．华安安润灵活配置混合</w:t>
      </w:r>
      <w:r>
        <w:rPr>
          <w:rFonts w:eastAsiaTheme="minorEastAsia"/>
          <w:color w:val="000000" w:themeColor="text1"/>
          <w:szCs w:val="21"/>
        </w:rPr>
        <w:t>A</w:t>
      </w:r>
      <w:r>
        <w:rPr>
          <w:rFonts w:eastAsiaTheme="minorEastAsia"/>
          <w:color w:val="000000" w:themeColor="text1"/>
          <w:szCs w:val="21"/>
        </w:rPr>
        <w:t>类：</w:t>
      </w:r>
    </w:p>
    <w:p w:rsidR="0075539A" w:rsidRDefault="00F533DF">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5="http://schemas.microsoft.com/office/word/2012/wordml"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 val="0"/>
                        </a:ext>
                      </a:extLst>
                    </a:blip>
                    <a:srcRect/>
                    <a:stretch>
                      <a:fillRect/>
                    </a:stretch>
                  </pic:blipFill>
                  <pic:spPr>
                    <a:xfrm>
                      <a:off x="0" y="0"/>
                      <a:ext cx="5591175" cy="3276600"/>
                    </a:xfrm>
                    <a:prstGeom prst="rect">
                      <a:avLst/>
                    </a:prstGeom>
                    <a:noFill/>
                    <a:ln>
                      <a:noFill/>
                    </a:ln>
                  </pic:spPr>
                </pic:pic>
              </a:graphicData>
            </a:graphic>
          </wp:inline>
        </w:drawing>
      </w:r>
    </w:p>
    <w:p w:rsidR="0075539A" w:rsidRDefault="00F533DF" w:rsidP="00F533DF">
      <w:pPr>
        <w:snapToGrid w:val="0"/>
        <w:spacing w:beforeLines="100"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．华安安润灵活配置混合</w:t>
      </w:r>
      <w:r>
        <w:rPr>
          <w:rFonts w:eastAsiaTheme="minorEastAsia"/>
          <w:color w:val="000000" w:themeColor="text1"/>
          <w:szCs w:val="21"/>
        </w:rPr>
        <w:t>C</w:t>
      </w:r>
      <w:r>
        <w:rPr>
          <w:rFonts w:eastAsiaTheme="minorEastAsia"/>
          <w:color w:val="000000" w:themeColor="text1"/>
          <w:szCs w:val="21"/>
        </w:rPr>
        <w:t>类：</w:t>
      </w:r>
    </w:p>
    <w:p w:rsidR="0075539A" w:rsidRDefault="00F533DF">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5="http://schemas.microsoft.com/office/word/2012/wordml"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 val="0"/>
                        </a:ext>
                      </a:extLst>
                    </a:blip>
                    <a:srcRect/>
                    <a:stretch>
                      <a:fillRect/>
                    </a:stretch>
                  </pic:blipFill>
                  <pic:spPr>
                    <a:xfrm>
                      <a:off x="0" y="0"/>
                      <a:ext cx="5591175" cy="3276600"/>
                    </a:xfrm>
                    <a:prstGeom prst="rect">
                      <a:avLst/>
                    </a:prstGeom>
                    <a:noFill/>
                    <a:ln>
                      <a:noFill/>
                    </a:ln>
                  </pic:spPr>
                </pic:pic>
              </a:graphicData>
            </a:graphic>
          </wp:inline>
        </w:drawing>
      </w:r>
    </w:p>
    <w:p w:rsidR="0075539A" w:rsidRDefault="0075539A">
      <w:pPr>
        <w:spacing w:line="360" w:lineRule="auto"/>
        <w:ind w:firstLineChars="200" w:firstLine="420"/>
        <w:rPr>
          <w:rFonts w:eastAsiaTheme="minorEastAsia"/>
          <w:color w:val="000000" w:themeColor="text1"/>
          <w:szCs w:val="21"/>
        </w:rPr>
      </w:pPr>
    </w:p>
    <w:p w:rsidR="0075539A" w:rsidRDefault="00F533DF" w:rsidP="00F533DF">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§4  </w:t>
      </w:r>
      <w:r>
        <w:rPr>
          <w:rFonts w:eastAsiaTheme="minorEastAsia"/>
          <w:color w:val="000000" w:themeColor="text1"/>
          <w:kern w:val="0"/>
          <w:sz w:val="21"/>
          <w:szCs w:val="21"/>
        </w:rPr>
        <w:t>管理人报告</w:t>
      </w:r>
    </w:p>
    <w:p w:rsidR="0075539A" w:rsidRDefault="00F533DF">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 </w:t>
      </w:r>
      <w:r>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930"/>
        <w:gridCol w:w="1210"/>
        <w:gridCol w:w="1309"/>
        <w:gridCol w:w="1254"/>
        <w:gridCol w:w="3276"/>
      </w:tblGrid>
      <w:tr w:rsidR="0075539A">
        <w:tc>
          <w:tcPr>
            <w:tcW w:w="952" w:type="dxa"/>
            <w:vMerge w:val="restart"/>
            <w:vAlign w:val="center"/>
          </w:tcPr>
          <w:p w:rsidR="0075539A" w:rsidRDefault="00F533D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姓名</w:t>
            </w:r>
          </w:p>
        </w:tc>
        <w:tc>
          <w:tcPr>
            <w:tcW w:w="930" w:type="dxa"/>
            <w:vMerge w:val="restart"/>
            <w:vAlign w:val="center"/>
          </w:tcPr>
          <w:p w:rsidR="0075539A" w:rsidRDefault="00F533D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职务</w:t>
            </w:r>
          </w:p>
        </w:tc>
        <w:tc>
          <w:tcPr>
            <w:tcW w:w="2519" w:type="dxa"/>
            <w:gridSpan w:val="2"/>
            <w:vAlign w:val="center"/>
          </w:tcPr>
          <w:p w:rsidR="0075539A" w:rsidRDefault="00F533D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任本基金的基金经理期限</w:t>
            </w:r>
          </w:p>
        </w:tc>
        <w:tc>
          <w:tcPr>
            <w:tcW w:w="1254" w:type="dxa"/>
            <w:vMerge w:val="restart"/>
            <w:vAlign w:val="center"/>
          </w:tcPr>
          <w:p w:rsidR="0075539A" w:rsidRDefault="00F533D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证券从业年限</w:t>
            </w:r>
          </w:p>
        </w:tc>
        <w:tc>
          <w:tcPr>
            <w:tcW w:w="3276" w:type="dxa"/>
            <w:vMerge w:val="restart"/>
            <w:vAlign w:val="center"/>
          </w:tcPr>
          <w:p w:rsidR="0075539A" w:rsidRDefault="00F533D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说明</w:t>
            </w:r>
          </w:p>
        </w:tc>
      </w:tr>
      <w:tr w:rsidR="0075539A">
        <w:tc>
          <w:tcPr>
            <w:tcW w:w="952" w:type="dxa"/>
            <w:vMerge/>
            <w:vAlign w:val="center"/>
          </w:tcPr>
          <w:p w:rsidR="0075539A" w:rsidRDefault="0075539A">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75539A" w:rsidRDefault="0075539A">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75539A" w:rsidRDefault="00F533D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任职日期</w:t>
            </w:r>
          </w:p>
        </w:tc>
        <w:tc>
          <w:tcPr>
            <w:tcW w:w="1309" w:type="dxa"/>
            <w:vAlign w:val="center"/>
          </w:tcPr>
          <w:p w:rsidR="0075539A" w:rsidRDefault="00F533D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离任日期</w:t>
            </w:r>
          </w:p>
        </w:tc>
        <w:tc>
          <w:tcPr>
            <w:tcW w:w="1254" w:type="dxa"/>
            <w:vMerge/>
            <w:vAlign w:val="center"/>
          </w:tcPr>
          <w:p w:rsidR="0075539A" w:rsidRDefault="0075539A">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75539A" w:rsidRDefault="0075539A">
            <w:pPr>
              <w:autoSpaceDE w:val="0"/>
              <w:autoSpaceDN w:val="0"/>
              <w:adjustRightInd w:val="0"/>
              <w:spacing w:before="29" w:line="288" w:lineRule="auto"/>
              <w:ind w:left="15"/>
              <w:jc w:val="center"/>
              <w:rPr>
                <w:rFonts w:eastAsiaTheme="minorEastAsia"/>
                <w:color w:val="000000" w:themeColor="text1"/>
                <w:kern w:val="0"/>
                <w:szCs w:val="21"/>
              </w:rPr>
            </w:pPr>
          </w:p>
        </w:tc>
      </w:tr>
      <w:tr w:rsidR="0075539A">
        <w:tc>
          <w:tcPr>
            <w:tcW w:w="952" w:type="dxa"/>
            <w:vAlign w:val="center"/>
          </w:tcPr>
          <w:p w:rsidR="0075539A" w:rsidRDefault="00F533DF">
            <w:pPr>
              <w:jc w:val="center"/>
            </w:pPr>
            <w:r>
              <w:rPr>
                <w:rFonts w:eastAsiaTheme="minorEastAsia"/>
                <w:color w:val="000000" w:themeColor="text1"/>
                <w:szCs w:val="21"/>
              </w:rPr>
              <w:t>郑可成</w:t>
            </w:r>
          </w:p>
        </w:tc>
        <w:tc>
          <w:tcPr>
            <w:tcW w:w="930" w:type="dxa"/>
            <w:vAlign w:val="center"/>
          </w:tcPr>
          <w:p w:rsidR="0075539A" w:rsidRDefault="00F533DF">
            <w:pPr>
              <w:jc w:val="center"/>
            </w:pPr>
            <w:r>
              <w:rPr>
                <w:rFonts w:eastAsiaTheme="minorEastAsia"/>
                <w:color w:val="000000" w:themeColor="text1"/>
                <w:szCs w:val="21"/>
              </w:rPr>
              <w:t>本基金的基金经理，固定收益部助理总监</w:t>
            </w:r>
          </w:p>
        </w:tc>
        <w:tc>
          <w:tcPr>
            <w:tcW w:w="1210" w:type="dxa"/>
            <w:vAlign w:val="center"/>
          </w:tcPr>
          <w:p w:rsidR="0075539A" w:rsidRDefault="00F533DF">
            <w:pPr>
              <w:jc w:val="center"/>
            </w:pPr>
            <w:r>
              <w:rPr>
                <w:rFonts w:eastAsiaTheme="minorEastAsia"/>
                <w:color w:val="000000" w:themeColor="text1"/>
                <w:szCs w:val="21"/>
              </w:rPr>
              <w:t>2016-10-31</w:t>
            </w:r>
          </w:p>
        </w:tc>
        <w:tc>
          <w:tcPr>
            <w:tcW w:w="1309" w:type="dxa"/>
            <w:vAlign w:val="center"/>
          </w:tcPr>
          <w:p w:rsidR="0075539A" w:rsidRDefault="00F533DF">
            <w:pPr>
              <w:jc w:val="center"/>
            </w:pPr>
            <w:r>
              <w:rPr>
                <w:rFonts w:eastAsiaTheme="minorEastAsia"/>
                <w:color w:val="000000" w:themeColor="text1"/>
                <w:szCs w:val="21"/>
              </w:rPr>
              <w:t>-</w:t>
            </w:r>
          </w:p>
        </w:tc>
        <w:tc>
          <w:tcPr>
            <w:tcW w:w="1254" w:type="dxa"/>
            <w:vAlign w:val="center"/>
          </w:tcPr>
          <w:p w:rsidR="0075539A" w:rsidRDefault="00F533DF">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75539A" w:rsidRDefault="00F533DF">
            <w:r>
              <w:rPr>
                <w:rFonts w:eastAsiaTheme="minorEastAsia"/>
                <w:color w:val="000000" w:themeColor="text1"/>
                <w:szCs w:val="21"/>
              </w:rPr>
              <w:t>硕士研究生，</w:t>
            </w:r>
            <w:r>
              <w:rPr>
                <w:rFonts w:eastAsiaTheme="minorEastAsia"/>
                <w:color w:val="000000" w:themeColor="text1"/>
                <w:szCs w:val="21"/>
              </w:rPr>
              <w:t>16</w:t>
            </w:r>
            <w:r>
              <w:rPr>
                <w:rFonts w:eastAsiaTheme="minorEastAsia"/>
                <w:color w:val="000000" w:themeColor="text1"/>
                <w:szCs w:val="21"/>
              </w:rPr>
              <w:t>年证券基金从业经历。</w:t>
            </w:r>
            <w:r>
              <w:rPr>
                <w:rFonts w:eastAsiaTheme="minorEastAsia"/>
                <w:color w:val="000000" w:themeColor="text1"/>
                <w:szCs w:val="21"/>
              </w:rPr>
              <w:t>2001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月在闽发证券有限责任公司担任研究员，从事债券研究及投资，</w:t>
            </w:r>
            <w:r>
              <w:rPr>
                <w:rFonts w:eastAsiaTheme="minorEastAsia"/>
                <w:color w:val="000000" w:themeColor="text1"/>
                <w:szCs w:val="21"/>
              </w:rPr>
              <w:t>2005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2005</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月在福建儒林投资顾问有限公司任研究员，</w:t>
            </w:r>
            <w:r>
              <w:rPr>
                <w:rFonts w:eastAsiaTheme="minorEastAsia"/>
                <w:color w:val="000000" w:themeColor="text1"/>
                <w:szCs w:val="21"/>
              </w:rPr>
              <w:t>2005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月在益民基金管理有限公司任基金经理，</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月至今任职于华安基金管理有限公司固定收益部。</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月起担任华安稳固收益债券型证券投资基金的基金经理。</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月起同时担任华安安心收益债券型证券投资基金的基金经理。</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月同时</w:t>
            </w:r>
            <w:r>
              <w:rPr>
                <w:rFonts w:eastAsiaTheme="minorEastAsia"/>
                <w:color w:val="000000" w:themeColor="text1"/>
                <w:szCs w:val="21"/>
              </w:rPr>
              <w:t>担任华安日日鑫货币市场基金的基金经理。</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月起同时担任华安信用增强债券型证券投资基金的基金经理。</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月起同时担任华安保本混合型证券投资基金的基金经理。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月，同时担任华安七日鑫短期理财债券型证券投资基金的基金经理，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月起，同时担任华安年年红定期开放债券型证券投资基金的基金经理。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月起担任华安新动力灵活配置混合型证券投资基金的基金经理。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月起同时担任华安新机遇保本混合型证券投资基金的基金经理。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月起同时担任华安添颐养老混合型发起</w:t>
            </w:r>
            <w:r>
              <w:rPr>
                <w:rFonts w:eastAsiaTheme="minorEastAsia"/>
                <w:color w:val="000000" w:themeColor="text1"/>
                <w:szCs w:val="21"/>
              </w:rPr>
              <w:t>式证券投资基金的基金经理。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月起，同时担任华安安益保本混合型证券投资基金的基金经理；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月起，同时担任华安乐惠保本混合型证券投资基金的基金经理。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月，同时担任华安安康保本混合型证券投资基金的基金经理。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月，同时担任华安安禧保本混合型证券投资基金的基金经理。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月起，同时担任本基金的基金经理。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月起，同时担任华安安享灵活配置混合型证券投资基金的基金经理。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月起，同时担任华安现金宝货币市场基金的基金经理。</w:t>
            </w:r>
          </w:p>
        </w:tc>
      </w:tr>
      <w:tr w:rsidR="0075539A">
        <w:tc>
          <w:tcPr>
            <w:tcW w:w="952" w:type="dxa"/>
            <w:vAlign w:val="center"/>
          </w:tcPr>
          <w:p w:rsidR="0075539A" w:rsidRDefault="00F533DF">
            <w:pPr>
              <w:jc w:val="center"/>
            </w:pPr>
            <w:r>
              <w:rPr>
                <w:rFonts w:eastAsiaTheme="minorEastAsia"/>
                <w:color w:val="000000" w:themeColor="text1"/>
                <w:szCs w:val="21"/>
              </w:rPr>
              <w:t>孙丽娜</w:t>
            </w:r>
          </w:p>
        </w:tc>
        <w:tc>
          <w:tcPr>
            <w:tcW w:w="930" w:type="dxa"/>
            <w:vAlign w:val="center"/>
          </w:tcPr>
          <w:p w:rsidR="0075539A" w:rsidRDefault="00F533DF">
            <w:pPr>
              <w:jc w:val="center"/>
            </w:pPr>
            <w:r>
              <w:rPr>
                <w:rFonts w:eastAsiaTheme="minorEastAsia"/>
                <w:color w:val="000000" w:themeColor="text1"/>
                <w:szCs w:val="21"/>
              </w:rPr>
              <w:t>本基金的基金经理</w:t>
            </w:r>
          </w:p>
        </w:tc>
        <w:tc>
          <w:tcPr>
            <w:tcW w:w="1210" w:type="dxa"/>
            <w:vAlign w:val="center"/>
          </w:tcPr>
          <w:p w:rsidR="0075539A" w:rsidRDefault="00F533DF">
            <w:pPr>
              <w:jc w:val="center"/>
            </w:pPr>
            <w:r>
              <w:rPr>
                <w:rFonts w:eastAsiaTheme="minorEastAsia"/>
                <w:color w:val="000000" w:themeColor="text1"/>
                <w:szCs w:val="21"/>
              </w:rPr>
              <w:t>2016-10-31</w:t>
            </w:r>
          </w:p>
        </w:tc>
        <w:tc>
          <w:tcPr>
            <w:tcW w:w="1309" w:type="dxa"/>
            <w:vAlign w:val="center"/>
          </w:tcPr>
          <w:p w:rsidR="0075539A" w:rsidRDefault="00F533DF">
            <w:pPr>
              <w:jc w:val="center"/>
            </w:pPr>
            <w:r>
              <w:rPr>
                <w:rFonts w:eastAsiaTheme="minorEastAsia"/>
                <w:color w:val="000000" w:themeColor="text1"/>
                <w:szCs w:val="21"/>
              </w:rPr>
              <w:t>-</w:t>
            </w:r>
          </w:p>
        </w:tc>
        <w:tc>
          <w:tcPr>
            <w:tcW w:w="1254" w:type="dxa"/>
            <w:vAlign w:val="center"/>
          </w:tcPr>
          <w:p w:rsidR="0075539A" w:rsidRDefault="00F533DF">
            <w:pPr>
              <w:jc w:val="center"/>
            </w:pPr>
            <w:r>
              <w:rPr>
                <w:rFonts w:eastAsiaTheme="minorEastAsia"/>
                <w:color w:val="000000" w:themeColor="text1"/>
                <w:szCs w:val="21"/>
              </w:rPr>
              <w:t>7</w:t>
            </w:r>
            <w:r>
              <w:rPr>
                <w:rFonts w:eastAsiaTheme="minorEastAsia"/>
                <w:color w:val="000000" w:themeColor="text1"/>
                <w:szCs w:val="21"/>
              </w:rPr>
              <w:t>年</w:t>
            </w:r>
          </w:p>
        </w:tc>
        <w:tc>
          <w:tcPr>
            <w:tcW w:w="3276" w:type="dxa"/>
            <w:vAlign w:val="center"/>
          </w:tcPr>
          <w:p w:rsidR="0075539A" w:rsidRDefault="00F533DF">
            <w:r>
              <w:rPr>
                <w:rFonts w:eastAsiaTheme="minorEastAsia"/>
                <w:color w:val="000000" w:themeColor="text1"/>
                <w:szCs w:val="21"/>
              </w:rPr>
              <w:t>硕士研究生，</w:t>
            </w:r>
            <w:r>
              <w:rPr>
                <w:rFonts w:eastAsiaTheme="minorEastAsia"/>
                <w:color w:val="000000" w:themeColor="text1"/>
                <w:szCs w:val="21"/>
              </w:rPr>
              <w:t>7</w:t>
            </w:r>
            <w:r>
              <w:rPr>
                <w:rFonts w:eastAsiaTheme="minorEastAsia"/>
                <w:color w:val="000000" w:themeColor="text1"/>
                <w:szCs w:val="21"/>
              </w:rPr>
              <w:t>年债券、基金行业从业经验。曾任上海国际货币经纪公司债券经纪人。</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月加入华安基金管理有限公司，先后担任债券交易员、基金经理助理。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月，担任华安日日鑫货币市场基金及华安汇财通货币市场基金的基金经理，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月，同时担任华安七日鑫短期理财债券型证券投资基金的基金经理。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月起同时担任华安现金富利投资基金的基金经理。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月起担任华华安年年盈定期开放债券型证券投资基金的基金</w:t>
            </w:r>
            <w:r>
              <w:rPr>
                <w:rFonts w:eastAsiaTheme="minorEastAsia"/>
                <w:color w:val="000000" w:themeColor="text1"/>
                <w:szCs w:val="21"/>
              </w:rPr>
              <w:t>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月起同时担任华安添颐养老混合型发起式证券投资基金的基金经理。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月起，同时担任本基金的基金经理。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月起，同时担任华安新丰利灵活配置混合型证券投资基金的基金经理。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月起，同时担任华安现金宝货币市场基金的基金经理。</w:t>
            </w:r>
          </w:p>
        </w:tc>
      </w:tr>
    </w:tbl>
    <w:p w:rsidR="0075539A" w:rsidRDefault="00F533D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注：此处的任职日期和离任日期均指公司作出决定之日，即以公告日为准。证券从业的含义遵从行业协会《证券业从业人员资格管理办法》的相关规定。</w:t>
      </w:r>
    </w:p>
    <w:p w:rsidR="0075539A" w:rsidRDefault="00F533DF" w:rsidP="00F533DF">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4.2</w:t>
      </w:r>
      <w:r>
        <w:rPr>
          <w:rFonts w:eastAsiaTheme="minorEastAsia" w:hint="eastAsia"/>
          <w:b/>
          <w:color w:val="000000" w:themeColor="text1"/>
          <w:kern w:val="0"/>
          <w:szCs w:val="21"/>
        </w:rPr>
        <w:t>管理人对报告期内本基金运作遵规守信情况的说明</w:t>
      </w:r>
    </w:p>
    <w:p w:rsidR="0075539A" w:rsidRDefault="00F533D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基金管理人严格遵守《证券投资基金法》等有关法律法规及基金合同、招募说明书等有关基金法律文件的规定，本着诚实信用、勤勉尽责的原则管理和运用基金资产，在控制风险的前提下，为基金份额持有人谋求最大利益，不存在违法违规或未履行基金合同承诺的情形。</w:t>
      </w:r>
    </w:p>
    <w:p w:rsidR="0075539A" w:rsidRDefault="00F533DF" w:rsidP="00F533DF">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 </w:t>
      </w:r>
      <w:r>
        <w:rPr>
          <w:rFonts w:eastAsiaTheme="minorEastAsia"/>
          <w:b/>
          <w:color w:val="000000" w:themeColor="text1"/>
          <w:kern w:val="0"/>
          <w:szCs w:val="21"/>
        </w:rPr>
        <w:t>公平交易专项说明</w:t>
      </w:r>
    </w:p>
    <w:p w:rsidR="0075539A" w:rsidRDefault="00F533DF">
      <w:pPr>
        <w:spacing w:line="360" w:lineRule="auto"/>
        <w:rPr>
          <w:rFonts w:eastAsiaTheme="minorEastAsia"/>
          <w:color w:val="000000" w:themeColor="text1"/>
          <w:szCs w:val="21"/>
        </w:rPr>
      </w:pPr>
      <w:r>
        <w:rPr>
          <w:rFonts w:eastAsiaTheme="minorEastAsia"/>
          <w:color w:val="000000" w:themeColor="text1"/>
          <w:szCs w:val="21"/>
        </w:rPr>
        <w:t xml:space="preserve">4.3.1 </w:t>
      </w:r>
      <w:r>
        <w:rPr>
          <w:rFonts w:eastAsiaTheme="minorEastAsia"/>
          <w:color w:val="000000" w:themeColor="text1"/>
          <w:szCs w:val="21"/>
        </w:rPr>
        <w:t>公平交易制度的执行情况</w:t>
      </w:r>
    </w:p>
    <w:p w:rsidR="0075539A" w:rsidRDefault="00F533DF">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国证监会《证券投资基金管理公司公平交易制度指导意见》，公司制定了《华安基金管理有限公司公平交易管理制度》，将封闭式基金、开放式基金、特定客户资产管理组合及其他投资组合资产在研究分析、投资决策</w:t>
      </w:r>
      <w:r>
        <w:rPr>
          <w:rFonts w:eastAsiaTheme="minorEastAsia"/>
          <w:color w:val="000000" w:themeColor="text1"/>
          <w:szCs w:val="21"/>
        </w:rPr>
        <w:t>、交易执行等方面全部纳入公平交易管理中。控制措施包括：在研究环节，研究员在为公司管理的各类投资组合提供研究信息、投资建议过程中，使用晨会发言、发送邮件、登录在研究报告管理系统中等方式来确保各类投资组合经理可以公平享有信息获取机会。在投资环节，公司各投资组合经理根据投资组合的风格和投资策略，制定并严格执行交易决策规则，以保证各投资组合交易决策的客观性和独立性。同时严格执行投资决策委员会、投资总监、投资组合经理等各投资决策主体授权机制，投资组合经理在授权范围内自主决策，超过投资权限的操作需要经过严格的审批程序。</w:t>
      </w:r>
      <w:r>
        <w:rPr>
          <w:rFonts w:eastAsiaTheme="minorEastAsia"/>
          <w:color w:val="000000" w:themeColor="text1"/>
          <w:szCs w:val="21"/>
        </w:rPr>
        <w:t>在交易环节，公司实行强制公平交易机制，确保各投资组合享有公平的交易执行机会。（</w:t>
      </w:r>
      <w:r>
        <w:rPr>
          <w:rFonts w:eastAsiaTheme="minorEastAsia"/>
          <w:color w:val="000000" w:themeColor="text1"/>
          <w:szCs w:val="21"/>
        </w:rPr>
        <w:t>1</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交易所二级市场业务，遵循价格优先、时间优先、比例分配、综合平衡的控制原则，实现同一时间下达指令的投资组合在交易时机上的公平性。（</w:t>
      </w:r>
      <w:r>
        <w:rPr>
          <w:rFonts w:eastAsiaTheme="minorEastAsia"/>
          <w:color w:val="000000" w:themeColor="text1"/>
          <w:szCs w:val="21"/>
        </w:rPr>
        <w:t>2</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交易所一级市场业务，投资组合经理按意愿独立进行业务申报，集中交易部以投资组合名义对外进行申报。若该业务以公司名义进行申报与中签，则按实际中签情况以价格优先、比例分配原则进行分配。若中签量过小无法合理进行比例分配，且以公司名义获得，则投资部门在合规监察员监督参与下，进行公平协商分配。（</w:t>
      </w:r>
      <w:r>
        <w:rPr>
          <w:rFonts w:eastAsiaTheme="minorEastAsia"/>
          <w:color w:val="000000" w:themeColor="text1"/>
          <w:szCs w:val="21"/>
        </w:rPr>
        <w:t>3</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银行</w:t>
      </w:r>
      <w:r>
        <w:rPr>
          <w:rFonts w:eastAsiaTheme="minorEastAsia"/>
          <w:color w:val="000000" w:themeColor="text1"/>
          <w:szCs w:val="21"/>
        </w:rPr>
        <w:t>间市场业务遵循指令时间优先原则，先到先询价的控制原则。通过内部共同的</w:t>
      </w:r>
      <w:r>
        <w:rPr>
          <w:rFonts w:eastAsiaTheme="minorEastAsia"/>
          <w:color w:val="000000" w:themeColor="text1"/>
          <w:szCs w:val="21"/>
        </w:rPr>
        <w:t>iwind</w:t>
      </w:r>
      <w:r>
        <w:rPr>
          <w:rFonts w:eastAsiaTheme="minorEastAsia"/>
          <w:color w:val="000000" w:themeColor="text1"/>
          <w:szCs w:val="21"/>
        </w:rPr>
        <w:t>群，发布询价需求和结果，做到信息公开。若是多个投资组合进行一级市场投标，则各投资组合经理须以各投资组合名义向集中交易部下达投资意向，交易员以此进行投标，以确保中签结果与投资组合投标意向一一对应。若中签量过小无法合理进行比例分配，且以公司名义获得，则投资部门在风控部门的监督参与下，进行公平协商分配。交易监控、分析与评估环节，公司风险管理部对公司旗下的各投资组合投资境内证券市场上市交易的投资品种、进行场外的非公开发行股票申购、以公司名</w:t>
      </w:r>
      <w:r>
        <w:rPr>
          <w:rFonts w:eastAsiaTheme="minorEastAsia"/>
          <w:color w:val="000000" w:themeColor="text1"/>
          <w:szCs w:val="21"/>
        </w:rPr>
        <w:t>义进行的债券一级市场申购、不同投资组合同日和临近交易日的反向交易以及可能导致不公平交易和利益输送的异常交易行为进行监控；风险管理部根据市场公认的第三方信息（如：中债登的债券估值），定期对各投资组合与交易对手之间议价交易的交易价格公允性进行审查，对不同投资组合临近交易日的同向交易的交易时机和交易价差进行分析。</w:t>
      </w:r>
      <w:r>
        <w:rPr>
          <w:rFonts w:eastAsiaTheme="minorEastAsia"/>
          <w:color w:val="000000" w:themeColor="text1"/>
          <w:szCs w:val="21"/>
        </w:rPr>
        <w:t xml:space="preserve"> </w:t>
      </w:r>
      <w:r>
        <w:rPr>
          <w:rFonts w:eastAsiaTheme="minorEastAsia"/>
          <w:color w:val="000000" w:themeColor="text1"/>
          <w:szCs w:val="21"/>
        </w:rPr>
        <w:t>本报告期内，公司公平交易制度总体执行情况良好。</w:t>
      </w:r>
    </w:p>
    <w:p w:rsidR="0075539A" w:rsidRDefault="00F533DF">
      <w:pPr>
        <w:spacing w:line="360" w:lineRule="auto"/>
        <w:rPr>
          <w:rFonts w:eastAsiaTheme="minorEastAsia"/>
          <w:color w:val="000000" w:themeColor="text1"/>
          <w:szCs w:val="21"/>
        </w:rPr>
      </w:pPr>
      <w:r>
        <w:rPr>
          <w:rFonts w:eastAsiaTheme="minorEastAsia"/>
          <w:color w:val="000000" w:themeColor="text1"/>
          <w:szCs w:val="21"/>
        </w:rPr>
        <w:t xml:space="preserve">4.3.2 </w:t>
      </w:r>
      <w:r>
        <w:rPr>
          <w:rFonts w:eastAsiaTheme="minorEastAsia"/>
          <w:color w:val="000000" w:themeColor="text1"/>
          <w:szCs w:val="21"/>
        </w:rPr>
        <w:t>异常交易行为的专项说明</w:t>
      </w:r>
    </w:p>
    <w:p w:rsidR="0075539A" w:rsidRDefault="00F533DF">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根据中国证监会《证券投资基金管理公司公平交易制度指导意见》，公司合规监察稽核部会同基金投资、交易部门讨论制定了公募基金</w:t>
      </w:r>
      <w:r>
        <w:rPr>
          <w:rFonts w:eastAsiaTheme="minorEastAsia"/>
          <w:color w:val="000000" w:themeColor="text1"/>
          <w:szCs w:val="21"/>
        </w:rPr>
        <w:t>、专户针对股票、债券、回购等投资品种在交易所及银行间的同日反向交易控制规则，并在投资系统中进行了设置，实现了完全的系统控制。同时加强了对基金、专户间的同日反向交易的监控与隔日反向交易的检查；风险管理部开发了同向交易分析系统，对相关同向交易指标进行持续监控，并定期对组合间的同向交易行为进行了重点分析。本报告期内，除指数基金以外的所有投资组合参与的交易所公开竞价交易中，出现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的次数为</w:t>
      </w:r>
      <w:r>
        <w:rPr>
          <w:rFonts w:eastAsiaTheme="minorEastAsia"/>
          <w:color w:val="000000" w:themeColor="text1"/>
          <w:szCs w:val="21"/>
        </w:rPr>
        <w:t>0</w:t>
      </w:r>
      <w:r>
        <w:rPr>
          <w:rFonts w:eastAsiaTheme="minorEastAsia"/>
          <w:color w:val="000000" w:themeColor="text1"/>
          <w:szCs w:val="21"/>
        </w:rPr>
        <w:t>次，未出现异常交易。</w:t>
      </w:r>
    </w:p>
    <w:p w:rsidR="0075539A" w:rsidRDefault="00F533DF" w:rsidP="00F533DF">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4.4 </w:t>
      </w:r>
      <w:r>
        <w:rPr>
          <w:rFonts w:eastAsiaTheme="minorEastAsia"/>
          <w:b/>
          <w:color w:val="000000" w:themeColor="text1"/>
          <w:kern w:val="0"/>
          <w:szCs w:val="21"/>
        </w:rPr>
        <w:t>报告期内基金的投资策略和业绩表现说明</w:t>
      </w:r>
    </w:p>
    <w:p w:rsidR="0075539A" w:rsidRDefault="00F533DF">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4.1</w:t>
      </w:r>
      <w:r>
        <w:rPr>
          <w:rFonts w:eastAsiaTheme="minorEastAsia"/>
          <w:color w:val="000000" w:themeColor="text1"/>
          <w:szCs w:val="21"/>
        </w:rPr>
        <w:t>报告期内基金投资策略和运作分析</w:t>
      </w:r>
    </w:p>
    <w:p w:rsidR="0075539A" w:rsidRDefault="00F533DF">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四季度，美国经济延续复苏态势，美联储如期加息，减税法案获得通过，引领全球债市震荡。国内供给侧改革持续推进，宏观经济韧性仍强，通胀亦有上升迹象。货币政策中性稳健，央行增加</w:t>
      </w:r>
      <w:r>
        <w:rPr>
          <w:rFonts w:eastAsiaTheme="minorEastAsia"/>
          <w:color w:val="000000" w:themeColor="text1"/>
          <w:szCs w:val="21"/>
        </w:rPr>
        <w:t>28</w:t>
      </w:r>
      <w:r>
        <w:rPr>
          <w:rFonts w:eastAsiaTheme="minorEastAsia"/>
          <w:color w:val="000000" w:themeColor="text1"/>
          <w:szCs w:val="21"/>
        </w:rPr>
        <w:t>天、</w:t>
      </w:r>
      <w:r>
        <w:rPr>
          <w:rFonts w:eastAsiaTheme="minorEastAsia"/>
          <w:color w:val="000000" w:themeColor="text1"/>
          <w:szCs w:val="21"/>
        </w:rPr>
        <w:t>63</w:t>
      </w:r>
      <w:r>
        <w:rPr>
          <w:rFonts w:eastAsiaTheme="minorEastAsia"/>
          <w:color w:val="000000" w:themeColor="text1"/>
          <w:szCs w:val="21"/>
        </w:rPr>
        <w:t>天逆回购对资金面进行预调微调，同时上调公开市场操作利率，市场资金成本继续上升，整体流动性紧平衡。四季度多项监管政策落地，一行三会联合发布资管产品管理办法；证监会颁布公募基金流动性管理办法；银监会发布资产新规征询意见稿，对未来金融业态重塑产生深远影响。中美利差继续走阔，外储持续回升，人民币加速升</w:t>
      </w:r>
      <w:r>
        <w:rPr>
          <w:rFonts w:eastAsiaTheme="minorEastAsia"/>
          <w:color w:val="000000" w:themeColor="text1"/>
          <w:szCs w:val="21"/>
        </w:rPr>
        <w:t>值。债券市场收益率显著走高，信用债净融资额大幅减少，信用利差较三季度走阔。</w:t>
      </w:r>
    </w:p>
    <w:p w:rsidR="0075539A" w:rsidRDefault="00F533D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本基金四季度配置短融和同业存单，保持较低久期。权益方面，组合以低估值蓝筹股为主，着眼</w:t>
      </w:r>
      <w:r>
        <w:rPr>
          <w:rFonts w:eastAsiaTheme="minorEastAsia"/>
          <w:color w:val="000000" w:themeColor="text1"/>
          <w:szCs w:val="21"/>
        </w:rPr>
        <w:t>EPS</w:t>
      </w:r>
      <w:r>
        <w:rPr>
          <w:rFonts w:eastAsiaTheme="minorEastAsia"/>
          <w:color w:val="000000" w:themeColor="text1"/>
          <w:szCs w:val="21"/>
        </w:rPr>
        <w:t>增长的持续性，分散化投资提升股票仓位，并且积极参与新股申购。</w:t>
      </w:r>
    </w:p>
    <w:p w:rsidR="0075539A" w:rsidRDefault="00F533DF">
      <w:pPr>
        <w:spacing w:line="360" w:lineRule="auto"/>
        <w:rPr>
          <w:rFonts w:eastAsiaTheme="minorEastAsia"/>
          <w:color w:val="000000" w:themeColor="text1"/>
          <w:szCs w:val="21"/>
        </w:rPr>
      </w:pPr>
      <w:r>
        <w:rPr>
          <w:rFonts w:eastAsiaTheme="minorEastAsia"/>
          <w:color w:val="000000" w:themeColor="text1"/>
          <w:szCs w:val="21"/>
        </w:rPr>
        <w:t>4.4.2</w:t>
      </w:r>
      <w:r>
        <w:rPr>
          <w:rFonts w:eastAsiaTheme="minorEastAsia"/>
          <w:color w:val="000000" w:themeColor="text1"/>
          <w:szCs w:val="21"/>
        </w:rPr>
        <w:t>报告期内基金的业绩表现</w:t>
      </w:r>
    </w:p>
    <w:p w:rsidR="0075539A" w:rsidRDefault="00F533DF">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日，华安安润灵活配置混合</w:t>
      </w:r>
      <w:r>
        <w:rPr>
          <w:rFonts w:eastAsiaTheme="minorEastAsia"/>
          <w:color w:val="000000" w:themeColor="text1"/>
          <w:szCs w:val="21"/>
        </w:rPr>
        <w:t>A</w:t>
      </w:r>
      <w:r>
        <w:rPr>
          <w:rFonts w:eastAsiaTheme="minorEastAsia"/>
          <w:color w:val="000000" w:themeColor="text1"/>
          <w:szCs w:val="21"/>
        </w:rPr>
        <w:t>份额净值为</w:t>
      </w:r>
      <w:r>
        <w:rPr>
          <w:rFonts w:eastAsiaTheme="minorEastAsia"/>
          <w:color w:val="000000" w:themeColor="text1"/>
          <w:szCs w:val="21"/>
        </w:rPr>
        <w:t>1.048</w:t>
      </w:r>
      <w:r>
        <w:rPr>
          <w:rFonts w:eastAsiaTheme="minorEastAsia"/>
          <w:color w:val="000000" w:themeColor="text1"/>
          <w:szCs w:val="21"/>
        </w:rPr>
        <w:t>元，</w:t>
      </w:r>
      <w:r>
        <w:rPr>
          <w:rFonts w:eastAsiaTheme="minorEastAsia"/>
          <w:color w:val="000000" w:themeColor="text1"/>
          <w:szCs w:val="21"/>
        </w:rPr>
        <w:t>C</w:t>
      </w:r>
      <w:r>
        <w:rPr>
          <w:rFonts w:eastAsiaTheme="minorEastAsia"/>
          <w:color w:val="000000" w:themeColor="text1"/>
          <w:szCs w:val="21"/>
        </w:rPr>
        <w:t>份额净值为</w:t>
      </w:r>
      <w:r>
        <w:rPr>
          <w:rFonts w:eastAsiaTheme="minorEastAsia"/>
          <w:color w:val="000000" w:themeColor="text1"/>
          <w:szCs w:val="21"/>
        </w:rPr>
        <w:t>1.047</w:t>
      </w:r>
      <w:r>
        <w:rPr>
          <w:rFonts w:eastAsiaTheme="minorEastAsia"/>
          <w:color w:val="000000" w:themeColor="text1"/>
          <w:szCs w:val="21"/>
        </w:rPr>
        <w:t>元；华安安润灵活配置混合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1.85%</w:t>
      </w:r>
      <w:r>
        <w:rPr>
          <w:rFonts w:eastAsiaTheme="minorEastAsia"/>
          <w:color w:val="000000" w:themeColor="text1"/>
          <w:szCs w:val="21"/>
        </w:rPr>
        <w:t>，</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1.85%</w:t>
      </w:r>
      <w:r>
        <w:rPr>
          <w:rFonts w:eastAsiaTheme="minorEastAsia"/>
          <w:color w:val="000000" w:themeColor="text1"/>
          <w:szCs w:val="21"/>
        </w:rPr>
        <w:t>，同期业绩比较基准增长率为</w:t>
      </w:r>
      <w:r>
        <w:rPr>
          <w:rFonts w:eastAsiaTheme="minorEastAsia"/>
          <w:color w:val="000000" w:themeColor="text1"/>
          <w:szCs w:val="21"/>
        </w:rPr>
        <w:t>0.38%</w:t>
      </w:r>
      <w:r>
        <w:rPr>
          <w:rFonts w:eastAsiaTheme="minorEastAsia"/>
          <w:color w:val="000000" w:themeColor="text1"/>
          <w:szCs w:val="21"/>
        </w:rPr>
        <w:t>。</w:t>
      </w:r>
    </w:p>
    <w:p w:rsidR="0075539A" w:rsidRDefault="0075539A">
      <w:pPr>
        <w:spacing w:line="360" w:lineRule="auto"/>
        <w:ind w:firstLineChars="200" w:firstLine="420"/>
        <w:rPr>
          <w:rFonts w:eastAsiaTheme="minorEastAsia"/>
          <w:color w:val="000000" w:themeColor="text1"/>
          <w:szCs w:val="21"/>
        </w:rPr>
      </w:pPr>
    </w:p>
    <w:p w:rsidR="0075539A" w:rsidRDefault="00F533DF">
      <w:pPr>
        <w:autoSpaceDE w:val="0"/>
        <w:autoSpaceDN w:val="0"/>
        <w:adjustRightInd w:val="0"/>
        <w:spacing w:line="360" w:lineRule="auto"/>
        <w:jc w:val="left"/>
        <w:rPr>
          <w:rFonts w:eastAsiaTheme="minorEastAsia"/>
          <w:b/>
          <w:color w:val="000000" w:themeColor="text1"/>
          <w:kern w:val="0"/>
          <w:szCs w:val="21"/>
        </w:rPr>
      </w:pPr>
      <w:bookmarkStart w:id="0" w:name="_Toc245193825"/>
      <w:bookmarkStart w:id="1" w:name="_Toc255486598"/>
      <w:r>
        <w:rPr>
          <w:rFonts w:eastAsiaTheme="minorEastAsia"/>
          <w:b/>
          <w:color w:val="000000" w:themeColor="text1"/>
          <w:kern w:val="0"/>
          <w:szCs w:val="21"/>
        </w:rPr>
        <w:t>4</w:t>
      </w:r>
      <w:r>
        <w:rPr>
          <w:rFonts w:eastAsiaTheme="minorEastAsia" w:hint="eastAsia"/>
          <w:b/>
          <w:color w:val="000000" w:themeColor="text1"/>
          <w:kern w:val="0"/>
          <w:szCs w:val="21"/>
        </w:rPr>
        <w:t>.5</w:t>
      </w:r>
      <w:r>
        <w:rPr>
          <w:rFonts w:eastAsiaTheme="minorEastAsia"/>
          <w:b/>
          <w:color w:val="000000" w:themeColor="text1"/>
          <w:kern w:val="0"/>
          <w:szCs w:val="21"/>
        </w:rPr>
        <w:t>管理人对宏观经济、证券市场及行业走势的简要展望</w:t>
      </w:r>
      <w:bookmarkEnd w:id="0"/>
      <w:bookmarkEnd w:id="1"/>
    </w:p>
    <w:p w:rsidR="0075539A" w:rsidRDefault="00F533DF">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一季度，减税落地后美国经济预期向好，联储加息步伐或将有所加快。国内经济依然平稳，房地产投资和政府基建投资面临下行压力，但制造业升级和消费升级点燃中国经济新动能。通胀受春节因素影响，整体中枢水平向上。宏观审慎下，严监管氛围不改，金融去杠杆步入下半场，大资管行业将继续面临负债和资产收缩的局面。货币政策维持中性姿态，货币政策工具进一步丰富，精准调控流动性，资金面将保持紧平衡。债市收益率预期高位震荡，收益率曲线依然较平坦。超预期信用风险下降，但在融资环境趋紧、严监</w:t>
      </w:r>
      <w:r>
        <w:rPr>
          <w:rFonts w:eastAsiaTheme="minorEastAsia"/>
          <w:color w:val="000000" w:themeColor="text1"/>
          <w:szCs w:val="21"/>
        </w:rPr>
        <w:t>管挤泡沫的大环境下，信用风险仍需高度警惕，尤其是对于信用资质较差的民企。转债市场我们仍将关注一级申购机会，存量券精挑细选，关注低吸机会。股票市场关注业绩确定性高、符合政策和产业升级方向的个股。</w:t>
      </w:r>
    </w:p>
    <w:p w:rsidR="0075539A" w:rsidRDefault="00F533D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本基金将继续积极参与新股申购，同时保持适中的债券仓位和较低的久期。组合将严格控制个券筛选，配置利率债和高等级信用债。</w:t>
      </w:r>
    </w:p>
    <w:p w:rsidR="0075539A" w:rsidRDefault="0075539A">
      <w:pPr>
        <w:spacing w:line="360" w:lineRule="auto"/>
        <w:ind w:firstLineChars="200" w:firstLine="420"/>
        <w:rPr>
          <w:rFonts w:eastAsiaTheme="minorEastAsia"/>
          <w:color w:val="000000" w:themeColor="text1"/>
          <w:szCs w:val="21"/>
        </w:rPr>
      </w:pPr>
    </w:p>
    <w:p w:rsidR="0075539A" w:rsidRDefault="00F533DF">
      <w:pPr>
        <w:spacing w:line="360" w:lineRule="auto"/>
        <w:rPr>
          <w:rFonts w:eastAsiaTheme="minorEastAsia"/>
          <w:color w:val="000000" w:themeColor="text1"/>
          <w:szCs w:val="21"/>
        </w:rPr>
      </w:pPr>
      <w:r>
        <w:rPr>
          <w:rFonts w:eastAsiaTheme="minorEastAsia"/>
          <w:b/>
          <w:color w:val="000000" w:themeColor="text1"/>
          <w:kern w:val="0"/>
          <w:szCs w:val="21"/>
        </w:rPr>
        <w:t>4</w:t>
      </w:r>
      <w:r>
        <w:rPr>
          <w:rFonts w:eastAsiaTheme="minorEastAsia" w:hint="eastAsia"/>
          <w:b/>
          <w:color w:val="000000" w:themeColor="text1"/>
          <w:kern w:val="0"/>
          <w:szCs w:val="21"/>
        </w:rPr>
        <w:t>.6</w:t>
      </w:r>
      <w:r>
        <w:rPr>
          <w:rFonts w:asciiTheme="minorEastAsia" w:eastAsiaTheme="minorEastAsia" w:hAnsiTheme="minorEastAsia" w:hint="eastAsia"/>
          <w:b/>
          <w:color w:val="000000" w:themeColor="text1"/>
          <w:kern w:val="0"/>
          <w:szCs w:val="21"/>
        </w:rPr>
        <w:t>报告期内基金持有人数或基金资产净值预警说明</w:t>
      </w:r>
    </w:p>
    <w:p w:rsidR="0075539A" w:rsidRDefault="00F533D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本基金报告期内基金持有人数不低于</w:t>
      </w:r>
      <w:r>
        <w:rPr>
          <w:rFonts w:eastAsiaTheme="minorEastAsia"/>
          <w:color w:val="000000" w:themeColor="text1"/>
          <w:kern w:val="0"/>
          <w:szCs w:val="21"/>
        </w:rPr>
        <w:t>200</w:t>
      </w:r>
      <w:r>
        <w:rPr>
          <w:rFonts w:eastAsiaTheme="minorEastAsia"/>
          <w:color w:val="000000" w:themeColor="text1"/>
          <w:kern w:val="0"/>
          <w:szCs w:val="21"/>
        </w:rPr>
        <w:t>人；基金资产净值连续超过</w:t>
      </w:r>
      <w:r>
        <w:rPr>
          <w:rFonts w:eastAsiaTheme="minorEastAsia"/>
          <w:color w:val="000000" w:themeColor="text1"/>
          <w:kern w:val="0"/>
          <w:szCs w:val="21"/>
        </w:rPr>
        <w:t>20</w:t>
      </w:r>
      <w:r>
        <w:rPr>
          <w:rFonts w:eastAsiaTheme="minorEastAsia"/>
          <w:color w:val="000000" w:themeColor="text1"/>
          <w:kern w:val="0"/>
          <w:szCs w:val="21"/>
        </w:rPr>
        <w:t>个工作日低于</w:t>
      </w:r>
      <w:r>
        <w:rPr>
          <w:rFonts w:eastAsiaTheme="minorEastAsia"/>
          <w:color w:val="000000" w:themeColor="text1"/>
          <w:kern w:val="0"/>
          <w:szCs w:val="21"/>
        </w:rPr>
        <w:t>5000</w:t>
      </w:r>
      <w:r>
        <w:rPr>
          <w:rFonts w:eastAsiaTheme="minorEastAsia"/>
          <w:color w:val="000000" w:themeColor="text1"/>
          <w:kern w:val="0"/>
          <w:szCs w:val="21"/>
        </w:rPr>
        <w:t>万元。</w:t>
      </w:r>
    </w:p>
    <w:p w:rsidR="0075539A" w:rsidRDefault="0075539A">
      <w:pPr>
        <w:spacing w:line="360" w:lineRule="auto"/>
        <w:ind w:firstLineChars="200" w:firstLine="420"/>
        <w:rPr>
          <w:rFonts w:asciiTheme="minorEastAsia" w:eastAsiaTheme="minorEastAsia" w:hAnsiTheme="minorEastAsia"/>
          <w:color w:val="000000" w:themeColor="text1"/>
          <w:szCs w:val="21"/>
        </w:rPr>
      </w:pPr>
    </w:p>
    <w:p w:rsidR="0075539A" w:rsidRDefault="00F533DF" w:rsidP="00F533DF">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§5  </w:t>
      </w:r>
      <w:r>
        <w:rPr>
          <w:rFonts w:eastAsiaTheme="minorEastAsia"/>
          <w:color w:val="000000" w:themeColor="text1"/>
          <w:kern w:val="0"/>
          <w:sz w:val="21"/>
          <w:szCs w:val="21"/>
        </w:rPr>
        <w:t>投资组合报告</w:t>
      </w:r>
    </w:p>
    <w:p w:rsidR="0075539A" w:rsidRDefault="00F533DF">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5.1 </w:t>
      </w:r>
      <w:r>
        <w:rPr>
          <w:rFonts w:eastAsiaTheme="minorEastAsia"/>
          <w:b/>
          <w:color w:val="000000" w:themeColor="text1"/>
          <w:kern w:val="0"/>
          <w:szCs w:val="21"/>
        </w:rPr>
        <w:t>报告期末基金资产组合情</w:t>
      </w:r>
      <w:r>
        <w:rPr>
          <w:rFonts w:eastAsiaTheme="minorEastAsia"/>
          <w:b/>
          <w:color w:val="000000" w:themeColor="text1"/>
          <w:kern w:val="0"/>
          <w:szCs w:val="21"/>
        </w:rPr>
        <w:t>况</w:t>
      </w:r>
    </w:p>
    <w:tbl>
      <w:tblPr>
        <w:tblStyle w:val="af6"/>
        <w:tblW w:w="8897" w:type="dxa"/>
        <w:tblInd w:w="108" w:type="dxa"/>
        <w:tblLayout w:type="fixed"/>
        <w:tblLook w:val="04A0"/>
      </w:tblPr>
      <w:tblGrid>
        <w:gridCol w:w="720"/>
        <w:gridCol w:w="3357"/>
        <w:gridCol w:w="2977"/>
        <w:gridCol w:w="1843"/>
      </w:tblGrid>
      <w:tr w:rsidR="0075539A">
        <w:tc>
          <w:tcPr>
            <w:tcW w:w="720" w:type="dxa"/>
            <w:vAlign w:val="center"/>
          </w:tcPr>
          <w:p w:rsidR="0075539A" w:rsidRDefault="00F533DF">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357" w:type="dxa"/>
            <w:vAlign w:val="center"/>
          </w:tcPr>
          <w:p w:rsidR="0075539A" w:rsidRDefault="00F533DF">
            <w:pPr>
              <w:spacing w:before="29" w:line="360" w:lineRule="auto"/>
              <w:ind w:left="17"/>
              <w:jc w:val="center"/>
              <w:rPr>
                <w:rFonts w:eastAsiaTheme="minorEastAsia"/>
                <w:color w:val="000000" w:themeColor="text1"/>
                <w:szCs w:val="21"/>
              </w:rPr>
            </w:pPr>
            <w:r>
              <w:rPr>
                <w:rFonts w:eastAsiaTheme="minorEastAsia"/>
                <w:color w:val="000000" w:themeColor="text1"/>
                <w:szCs w:val="21"/>
              </w:rPr>
              <w:t>项目</w:t>
            </w:r>
          </w:p>
        </w:tc>
        <w:tc>
          <w:tcPr>
            <w:tcW w:w="2977" w:type="dxa"/>
            <w:vAlign w:val="center"/>
          </w:tcPr>
          <w:p w:rsidR="0075539A" w:rsidRDefault="00F533DF">
            <w:pPr>
              <w:spacing w:before="29" w:line="360" w:lineRule="auto"/>
              <w:ind w:left="17"/>
              <w:jc w:val="center"/>
              <w:rPr>
                <w:rFonts w:eastAsiaTheme="minorEastAsia"/>
                <w:color w:val="000000" w:themeColor="text1"/>
                <w:szCs w:val="21"/>
              </w:rPr>
            </w:pPr>
            <w:r>
              <w:rPr>
                <w:rFonts w:eastAsiaTheme="minorEastAsia"/>
                <w:color w:val="000000" w:themeColor="text1"/>
                <w:szCs w:val="21"/>
              </w:rPr>
              <w:t>金额</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843" w:type="dxa"/>
            <w:vAlign w:val="center"/>
          </w:tcPr>
          <w:p w:rsidR="0075539A" w:rsidRDefault="00F533DF">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p>
        </w:tc>
      </w:tr>
      <w:tr w:rsidR="0075539A">
        <w:tc>
          <w:tcPr>
            <w:tcW w:w="720" w:type="dxa"/>
            <w:vAlign w:val="center"/>
          </w:tcPr>
          <w:p w:rsidR="0075539A" w:rsidRDefault="00F533DF">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357" w:type="dxa"/>
            <w:vAlign w:val="center"/>
          </w:tcPr>
          <w:p w:rsidR="0075539A" w:rsidRDefault="00F533DF">
            <w:pPr>
              <w:spacing w:before="29" w:line="360" w:lineRule="auto"/>
              <w:ind w:left="17"/>
              <w:jc w:val="left"/>
              <w:rPr>
                <w:rFonts w:eastAsiaTheme="minorEastAsia"/>
                <w:color w:val="000000" w:themeColor="text1"/>
                <w:szCs w:val="21"/>
              </w:rPr>
            </w:pPr>
            <w:r>
              <w:rPr>
                <w:rFonts w:eastAsiaTheme="minorEastAsia"/>
                <w:color w:val="000000" w:themeColor="text1"/>
                <w:szCs w:val="21"/>
              </w:rPr>
              <w:t>权益投资</w:t>
            </w:r>
          </w:p>
        </w:tc>
        <w:tc>
          <w:tcPr>
            <w:tcW w:w="2977" w:type="dxa"/>
            <w:vAlign w:val="center"/>
          </w:tcPr>
          <w:p w:rsidR="0075539A" w:rsidRDefault="00F533DF">
            <w:pPr>
              <w:spacing w:before="29" w:line="360" w:lineRule="auto"/>
              <w:ind w:left="17"/>
              <w:jc w:val="right"/>
              <w:rPr>
                <w:rFonts w:eastAsiaTheme="minorEastAsia"/>
                <w:color w:val="000000" w:themeColor="text1"/>
                <w:szCs w:val="21"/>
              </w:rPr>
            </w:pPr>
            <w:r>
              <w:rPr>
                <w:rFonts w:eastAsiaTheme="minorEastAsia"/>
                <w:color w:val="000000" w:themeColor="text1"/>
                <w:szCs w:val="21"/>
              </w:rPr>
              <w:t>4,701,436.00</w:t>
            </w:r>
          </w:p>
        </w:tc>
        <w:tc>
          <w:tcPr>
            <w:tcW w:w="1843" w:type="dxa"/>
            <w:vAlign w:val="center"/>
          </w:tcPr>
          <w:p w:rsidR="0075539A" w:rsidRDefault="00F533DF">
            <w:pPr>
              <w:spacing w:before="29" w:line="360" w:lineRule="auto"/>
              <w:ind w:left="17"/>
              <w:jc w:val="right"/>
              <w:rPr>
                <w:rFonts w:eastAsiaTheme="minorEastAsia"/>
                <w:color w:val="000000" w:themeColor="text1"/>
                <w:szCs w:val="21"/>
              </w:rPr>
            </w:pPr>
            <w:r>
              <w:rPr>
                <w:rFonts w:eastAsiaTheme="minorEastAsia"/>
                <w:color w:val="000000" w:themeColor="text1"/>
                <w:szCs w:val="21"/>
              </w:rPr>
              <w:t>49.38</w:t>
            </w:r>
          </w:p>
        </w:tc>
      </w:tr>
      <w:tr w:rsidR="0075539A">
        <w:tc>
          <w:tcPr>
            <w:tcW w:w="720" w:type="dxa"/>
            <w:vAlign w:val="center"/>
          </w:tcPr>
          <w:p w:rsidR="0075539A" w:rsidRDefault="0075539A">
            <w:pPr>
              <w:spacing w:before="29" w:line="360" w:lineRule="auto"/>
              <w:ind w:left="17"/>
              <w:jc w:val="center"/>
              <w:rPr>
                <w:rFonts w:eastAsiaTheme="minorEastAsia"/>
                <w:color w:val="000000" w:themeColor="text1"/>
                <w:szCs w:val="21"/>
              </w:rPr>
            </w:pPr>
          </w:p>
        </w:tc>
        <w:tc>
          <w:tcPr>
            <w:tcW w:w="3357" w:type="dxa"/>
            <w:vAlign w:val="center"/>
          </w:tcPr>
          <w:p w:rsidR="0075539A" w:rsidRDefault="00F533DF">
            <w:pPr>
              <w:spacing w:before="29" w:line="360" w:lineRule="auto"/>
              <w:ind w:left="17"/>
              <w:jc w:val="left"/>
              <w:rPr>
                <w:rFonts w:eastAsiaTheme="minorEastAsia"/>
                <w:color w:val="000000" w:themeColor="text1"/>
                <w:szCs w:val="21"/>
              </w:rPr>
            </w:pPr>
            <w:r>
              <w:rPr>
                <w:rFonts w:eastAsiaTheme="minorEastAsia"/>
                <w:color w:val="000000" w:themeColor="text1"/>
                <w:szCs w:val="21"/>
              </w:rPr>
              <w:t>其中：股票</w:t>
            </w:r>
          </w:p>
        </w:tc>
        <w:tc>
          <w:tcPr>
            <w:tcW w:w="2977" w:type="dxa"/>
            <w:vAlign w:val="center"/>
          </w:tcPr>
          <w:p w:rsidR="0075539A" w:rsidRDefault="00F533DF">
            <w:pPr>
              <w:spacing w:before="29" w:line="360" w:lineRule="auto"/>
              <w:ind w:left="17"/>
              <w:jc w:val="right"/>
              <w:rPr>
                <w:rFonts w:eastAsiaTheme="minorEastAsia"/>
                <w:color w:val="000000" w:themeColor="text1"/>
                <w:szCs w:val="21"/>
              </w:rPr>
            </w:pPr>
            <w:r>
              <w:rPr>
                <w:rFonts w:eastAsiaTheme="minorEastAsia"/>
                <w:color w:val="000000" w:themeColor="text1"/>
                <w:szCs w:val="21"/>
              </w:rPr>
              <w:t>4,701,436.00</w:t>
            </w:r>
          </w:p>
        </w:tc>
        <w:tc>
          <w:tcPr>
            <w:tcW w:w="1843" w:type="dxa"/>
            <w:vAlign w:val="center"/>
          </w:tcPr>
          <w:p w:rsidR="0075539A" w:rsidRDefault="00F533DF">
            <w:pPr>
              <w:spacing w:before="29" w:line="360" w:lineRule="auto"/>
              <w:ind w:left="17"/>
              <w:jc w:val="right"/>
              <w:rPr>
                <w:rFonts w:eastAsiaTheme="minorEastAsia"/>
                <w:color w:val="000000" w:themeColor="text1"/>
                <w:szCs w:val="21"/>
              </w:rPr>
            </w:pPr>
            <w:r>
              <w:rPr>
                <w:rFonts w:eastAsiaTheme="minorEastAsia"/>
                <w:color w:val="000000" w:themeColor="text1"/>
                <w:szCs w:val="21"/>
              </w:rPr>
              <w:t>49.38</w:t>
            </w:r>
          </w:p>
        </w:tc>
      </w:tr>
      <w:tr w:rsidR="0075539A">
        <w:tc>
          <w:tcPr>
            <w:tcW w:w="720" w:type="dxa"/>
            <w:vAlign w:val="center"/>
          </w:tcPr>
          <w:p w:rsidR="0075539A" w:rsidRDefault="00F533DF">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357" w:type="dxa"/>
            <w:vAlign w:val="center"/>
          </w:tcPr>
          <w:p w:rsidR="0075539A" w:rsidRDefault="00F533DF">
            <w:pPr>
              <w:spacing w:before="29" w:line="360" w:lineRule="auto"/>
              <w:ind w:left="17"/>
              <w:jc w:val="left"/>
              <w:rPr>
                <w:rFonts w:eastAsiaTheme="minorEastAsia"/>
                <w:color w:val="000000" w:themeColor="text1"/>
                <w:szCs w:val="21"/>
              </w:rPr>
            </w:pPr>
            <w:r>
              <w:rPr>
                <w:rFonts w:eastAsiaTheme="minorEastAsia"/>
                <w:color w:val="000000" w:themeColor="text1"/>
                <w:szCs w:val="21"/>
              </w:rPr>
              <w:t>固定收益投资</w:t>
            </w:r>
          </w:p>
        </w:tc>
        <w:tc>
          <w:tcPr>
            <w:tcW w:w="2977" w:type="dxa"/>
            <w:vAlign w:val="center"/>
          </w:tcPr>
          <w:p w:rsidR="0075539A" w:rsidRDefault="00F533D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75539A" w:rsidRDefault="00F533D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5539A">
        <w:tc>
          <w:tcPr>
            <w:tcW w:w="720" w:type="dxa"/>
            <w:vAlign w:val="center"/>
          </w:tcPr>
          <w:p w:rsidR="0075539A" w:rsidRDefault="0075539A">
            <w:pPr>
              <w:spacing w:before="29" w:line="360" w:lineRule="auto"/>
              <w:ind w:left="17"/>
              <w:jc w:val="center"/>
              <w:rPr>
                <w:rFonts w:eastAsiaTheme="minorEastAsia"/>
                <w:color w:val="000000" w:themeColor="text1"/>
                <w:szCs w:val="21"/>
              </w:rPr>
            </w:pPr>
          </w:p>
        </w:tc>
        <w:tc>
          <w:tcPr>
            <w:tcW w:w="3357" w:type="dxa"/>
            <w:vAlign w:val="center"/>
          </w:tcPr>
          <w:p w:rsidR="0075539A" w:rsidRDefault="00F533DF">
            <w:pPr>
              <w:spacing w:before="29" w:line="360" w:lineRule="auto"/>
              <w:ind w:left="17"/>
              <w:jc w:val="left"/>
              <w:rPr>
                <w:rFonts w:eastAsiaTheme="minorEastAsia"/>
                <w:color w:val="000000" w:themeColor="text1"/>
                <w:szCs w:val="21"/>
              </w:rPr>
            </w:pPr>
            <w:r>
              <w:rPr>
                <w:rFonts w:eastAsiaTheme="minorEastAsia"/>
                <w:color w:val="000000" w:themeColor="text1"/>
                <w:szCs w:val="21"/>
              </w:rPr>
              <w:t>其中：债券</w:t>
            </w:r>
          </w:p>
        </w:tc>
        <w:tc>
          <w:tcPr>
            <w:tcW w:w="2977" w:type="dxa"/>
            <w:vAlign w:val="center"/>
          </w:tcPr>
          <w:p w:rsidR="0075539A" w:rsidRDefault="00F533D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75539A" w:rsidRDefault="00F533D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5539A">
        <w:tc>
          <w:tcPr>
            <w:tcW w:w="720" w:type="dxa"/>
            <w:vAlign w:val="center"/>
          </w:tcPr>
          <w:p w:rsidR="0075539A" w:rsidRDefault="0075539A">
            <w:pPr>
              <w:spacing w:before="29" w:line="360" w:lineRule="auto"/>
              <w:ind w:left="17"/>
              <w:jc w:val="center"/>
              <w:rPr>
                <w:rFonts w:eastAsiaTheme="minorEastAsia"/>
                <w:color w:val="000000" w:themeColor="text1"/>
                <w:szCs w:val="21"/>
              </w:rPr>
            </w:pPr>
          </w:p>
        </w:tc>
        <w:tc>
          <w:tcPr>
            <w:tcW w:w="3357" w:type="dxa"/>
            <w:vAlign w:val="center"/>
          </w:tcPr>
          <w:p w:rsidR="0075539A" w:rsidRDefault="00F533DF">
            <w:pPr>
              <w:autoSpaceDE w:val="0"/>
              <w:autoSpaceDN w:val="0"/>
              <w:adjustRightInd w:val="0"/>
              <w:spacing w:before="29" w:line="360" w:lineRule="auto"/>
              <w:ind w:left="17" w:firstLineChars="300" w:firstLine="630"/>
              <w:jc w:val="left"/>
              <w:rPr>
                <w:rFonts w:eastAsiaTheme="minorEastAsia"/>
                <w:color w:val="000000" w:themeColor="text1"/>
                <w:szCs w:val="21"/>
              </w:rPr>
            </w:pPr>
            <w:r>
              <w:rPr>
                <w:rFonts w:eastAsiaTheme="minorEastAsia"/>
                <w:color w:val="000000" w:themeColor="text1"/>
                <w:szCs w:val="21"/>
              </w:rPr>
              <w:t>资产支持证券</w:t>
            </w:r>
          </w:p>
        </w:tc>
        <w:tc>
          <w:tcPr>
            <w:tcW w:w="2977" w:type="dxa"/>
            <w:vAlign w:val="center"/>
          </w:tcPr>
          <w:p w:rsidR="0075539A" w:rsidRDefault="00F533D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75539A" w:rsidRDefault="00F533D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5539A">
        <w:tc>
          <w:tcPr>
            <w:tcW w:w="720" w:type="dxa"/>
          </w:tcPr>
          <w:p w:rsidR="0075539A" w:rsidRDefault="00F533DF">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357" w:type="dxa"/>
          </w:tcPr>
          <w:p w:rsidR="0075539A" w:rsidRDefault="00F533DF">
            <w:pPr>
              <w:spacing w:before="29" w:line="360"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977" w:type="dxa"/>
            <w:vAlign w:val="center"/>
          </w:tcPr>
          <w:p w:rsidR="0075539A" w:rsidRDefault="00F533D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75539A" w:rsidRDefault="00F533D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5539A">
        <w:tc>
          <w:tcPr>
            <w:tcW w:w="720" w:type="dxa"/>
            <w:vAlign w:val="center"/>
          </w:tcPr>
          <w:p w:rsidR="0075539A" w:rsidRDefault="00F533DF">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357" w:type="dxa"/>
            <w:vAlign w:val="center"/>
          </w:tcPr>
          <w:p w:rsidR="0075539A" w:rsidRDefault="00F533DF">
            <w:pPr>
              <w:spacing w:before="29" w:line="360" w:lineRule="auto"/>
              <w:ind w:left="17"/>
              <w:jc w:val="left"/>
              <w:rPr>
                <w:rFonts w:eastAsiaTheme="minorEastAsia"/>
                <w:color w:val="000000" w:themeColor="text1"/>
                <w:szCs w:val="21"/>
              </w:rPr>
            </w:pPr>
            <w:r>
              <w:rPr>
                <w:rFonts w:eastAsiaTheme="minorEastAsia"/>
                <w:color w:val="000000" w:themeColor="text1"/>
                <w:szCs w:val="21"/>
              </w:rPr>
              <w:t>金融衍生品投资</w:t>
            </w:r>
          </w:p>
        </w:tc>
        <w:tc>
          <w:tcPr>
            <w:tcW w:w="2977" w:type="dxa"/>
            <w:vAlign w:val="center"/>
          </w:tcPr>
          <w:p w:rsidR="0075539A" w:rsidRDefault="00F533D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75539A" w:rsidRDefault="00F533D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5539A">
        <w:tc>
          <w:tcPr>
            <w:tcW w:w="720" w:type="dxa"/>
            <w:vAlign w:val="center"/>
          </w:tcPr>
          <w:p w:rsidR="0075539A" w:rsidRDefault="00F533DF">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357" w:type="dxa"/>
            <w:vAlign w:val="center"/>
          </w:tcPr>
          <w:p w:rsidR="0075539A" w:rsidRDefault="00F533DF">
            <w:pPr>
              <w:spacing w:before="29" w:line="360" w:lineRule="auto"/>
              <w:ind w:left="17"/>
              <w:jc w:val="left"/>
              <w:rPr>
                <w:rFonts w:eastAsiaTheme="minorEastAsia"/>
                <w:color w:val="000000" w:themeColor="text1"/>
                <w:szCs w:val="21"/>
              </w:rPr>
            </w:pPr>
            <w:r>
              <w:rPr>
                <w:rFonts w:eastAsiaTheme="minorEastAsia"/>
                <w:color w:val="000000" w:themeColor="text1"/>
                <w:szCs w:val="21"/>
              </w:rPr>
              <w:t>买入返售金融资产</w:t>
            </w:r>
          </w:p>
        </w:tc>
        <w:tc>
          <w:tcPr>
            <w:tcW w:w="2977" w:type="dxa"/>
            <w:vAlign w:val="center"/>
          </w:tcPr>
          <w:p w:rsidR="0075539A" w:rsidRDefault="00F533D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75539A" w:rsidRDefault="00F533D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5539A">
        <w:tc>
          <w:tcPr>
            <w:tcW w:w="720" w:type="dxa"/>
            <w:vAlign w:val="center"/>
          </w:tcPr>
          <w:p w:rsidR="0075539A" w:rsidRDefault="0075539A">
            <w:pPr>
              <w:spacing w:before="29" w:line="360" w:lineRule="auto"/>
              <w:ind w:left="17"/>
              <w:jc w:val="center"/>
              <w:rPr>
                <w:rFonts w:eastAsiaTheme="minorEastAsia"/>
                <w:color w:val="000000" w:themeColor="text1"/>
                <w:szCs w:val="21"/>
              </w:rPr>
            </w:pPr>
          </w:p>
        </w:tc>
        <w:tc>
          <w:tcPr>
            <w:tcW w:w="3357" w:type="dxa"/>
            <w:vAlign w:val="center"/>
          </w:tcPr>
          <w:p w:rsidR="0075539A" w:rsidRDefault="00F533DF">
            <w:pPr>
              <w:spacing w:before="29" w:line="360" w:lineRule="auto"/>
              <w:ind w:left="17"/>
              <w:jc w:val="left"/>
              <w:rPr>
                <w:rFonts w:eastAsiaTheme="minorEastAsia"/>
                <w:color w:val="000000" w:themeColor="text1"/>
                <w:szCs w:val="21"/>
              </w:rPr>
            </w:pPr>
            <w:r>
              <w:rPr>
                <w:rFonts w:eastAsiaTheme="minorEastAsia"/>
                <w:color w:val="000000" w:themeColor="text1"/>
                <w:szCs w:val="21"/>
              </w:rPr>
              <w:t>其中：买断式回购的买入返售金融资产</w:t>
            </w:r>
          </w:p>
        </w:tc>
        <w:tc>
          <w:tcPr>
            <w:tcW w:w="2977" w:type="dxa"/>
            <w:vAlign w:val="center"/>
          </w:tcPr>
          <w:p w:rsidR="0075539A" w:rsidRDefault="00F533D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75539A" w:rsidRDefault="00F533D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5539A">
        <w:tc>
          <w:tcPr>
            <w:tcW w:w="720" w:type="dxa"/>
            <w:vAlign w:val="center"/>
          </w:tcPr>
          <w:p w:rsidR="0075539A" w:rsidRDefault="00F533DF">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357" w:type="dxa"/>
            <w:vAlign w:val="center"/>
          </w:tcPr>
          <w:p w:rsidR="0075539A" w:rsidRDefault="00F533DF">
            <w:pPr>
              <w:spacing w:before="29" w:line="360" w:lineRule="auto"/>
              <w:ind w:left="17"/>
              <w:jc w:val="left"/>
              <w:rPr>
                <w:rFonts w:eastAsiaTheme="minorEastAsia"/>
                <w:color w:val="000000" w:themeColor="text1"/>
                <w:szCs w:val="21"/>
              </w:rPr>
            </w:pPr>
            <w:r>
              <w:rPr>
                <w:rFonts w:eastAsiaTheme="minorEastAsia"/>
                <w:color w:val="000000" w:themeColor="text1"/>
                <w:szCs w:val="21"/>
              </w:rPr>
              <w:t>银行存款和结算备付金合计</w:t>
            </w:r>
          </w:p>
        </w:tc>
        <w:tc>
          <w:tcPr>
            <w:tcW w:w="2977" w:type="dxa"/>
            <w:vAlign w:val="center"/>
          </w:tcPr>
          <w:p w:rsidR="0075539A" w:rsidRDefault="00F533DF">
            <w:pPr>
              <w:spacing w:before="29" w:line="360" w:lineRule="auto"/>
              <w:ind w:left="17"/>
              <w:jc w:val="right"/>
              <w:rPr>
                <w:rFonts w:eastAsiaTheme="minorEastAsia"/>
                <w:color w:val="000000" w:themeColor="text1"/>
                <w:szCs w:val="21"/>
              </w:rPr>
            </w:pPr>
            <w:r>
              <w:rPr>
                <w:rFonts w:eastAsiaTheme="minorEastAsia"/>
                <w:color w:val="000000" w:themeColor="text1"/>
                <w:szCs w:val="21"/>
              </w:rPr>
              <w:t>4,537,986.42</w:t>
            </w:r>
          </w:p>
        </w:tc>
        <w:tc>
          <w:tcPr>
            <w:tcW w:w="1843" w:type="dxa"/>
            <w:vAlign w:val="center"/>
          </w:tcPr>
          <w:p w:rsidR="0075539A" w:rsidRDefault="00F533DF">
            <w:pPr>
              <w:spacing w:before="29" w:line="360" w:lineRule="auto"/>
              <w:ind w:left="17"/>
              <w:jc w:val="right"/>
              <w:rPr>
                <w:rFonts w:eastAsiaTheme="minorEastAsia"/>
                <w:color w:val="000000" w:themeColor="text1"/>
                <w:szCs w:val="21"/>
              </w:rPr>
            </w:pPr>
            <w:r>
              <w:rPr>
                <w:rFonts w:eastAsiaTheme="minorEastAsia"/>
                <w:color w:val="000000" w:themeColor="text1"/>
                <w:szCs w:val="21"/>
              </w:rPr>
              <w:t>47.66</w:t>
            </w:r>
          </w:p>
        </w:tc>
      </w:tr>
      <w:tr w:rsidR="0075539A">
        <w:tc>
          <w:tcPr>
            <w:tcW w:w="720" w:type="dxa"/>
            <w:vAlign w:val="center"/>
          </w:tcPr>
          <w:p w:rsidR="0075539A" w:rsidRDefault="00F533DF">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357" w:type="dxa"/>
            <w:vAlign w:val="center"/>
          </w:tcPr>
          <w:p w:rsidR="0075539A" w:rsidRDefault="00F533DF">
            <w:pPr>
              <w:rPr>
                <w:rFonts w:eastAsiaTheme="minorEastAsia"/>
                <w:color w:val="000000" w:themeColor="text1"/>
                <w:szCs w:val="21"/>
              </w:rPr>
            </w:pPr>
            <w:r>
              <w:rPr>
                <w:rFonts w:eastAsiaTheme="minorEastAsia"/>
                <w:color w:val="000000" w:themeColor="text1"/>
                <w:szCs w:val="21"/>
              </w:rPr>
              <w:t>其他各项资产</w:t>
            </w:r>
          </w:p>
        </w:tc>
        <w:tc>
          <w:tcPr>
            <w:tcW w:w="2977" w:type="dxa"/>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281,434.82</w:t>
            </w:r>
          </w:p>
        </w:tc>
        <w:tc>
          <w:tcPr>
            <w:tcW w:w="1843" w:type="dxa"/>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2.96</w:t>
            </w:r>
          </w:p>
        </w:tc>
      </w:tr>
      <w:tr w:rsidR="0075539A">
        <w:tc>
          <w:tcPr>
            <w:tcW w:w="720" w:type="dxa"/>
            <w:vAlign w:val="center"/>
          </w:tcPr>
          <w:p w:rsidR="0075539A" w:rsidRDefault="00F533DF">
            <w:pPr>
              <w:spacing w:before="29" w:line="360" w:lineRule="auto"/>
              <w:ind w:left="17"/>
              <w:jc w:val="center"/>
              <w:rPr>
                <w:rFonts w:eastAsiaTheme="minorEastAsia"/>
                <w:color w:val="000000" w:themeColor="text1"/>
                <w:szCs w:val="21"/>
              </w:rPr>
            </w:pPr>
            <w:r>
              <w:rPr>
                <w:rFonts w:eastAsiaTheme="minorEastAsia"/>
                <w:color w:val="000000" w:themeColor="text1"/>
                <w:szCs w:val="21"/>
              </w:rPr>
              <w:t>8</w:t>
            </w:r>
          </w:p>
        </w:tc>
        <w:tc>
          <w:tcPr>
            <w:tcW w:w="3357" w:type="dxa"/>
            <w:vAlign w:val="center"/>
          </w:tcPr>
          <w:p w:rsidR="0075539A" w:rsidRDefault="00F533DF">
            <w:pPr>
              <w:rPr>
                <w:rFonts w:eastAsiaTheme="minorEastAsia"/>
                <w:color w:val="000000" w:themeColor="text1"/>
                <w:szCs w:val="21"/>
              </w:rPr>
            </w:pPr>
            <w:r>
              <w:rPr>
                <w:rFonts w:eastAsiaTheme="minorEastAsia"/>
                <w:color w:val="000000" w:themeColor="text1"/>
                <w:szCs w:val="21"/>
              </w:rPr>
              <w:t>合计</w:t>
            </w:r>
          </w:p>
        </w:tc>
        <w:tc>
          <w:tcPr>
            <w:tcW w:w="2977" w:type="dxa"/>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9,520,857.24</w:t>
            </w:r>
          </w:p>
        </w:tc>
        <w:tc>
          <w:tcPr>
            <w:tcW w:w="1843" w:type="dxa"/>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100.00</w:t>
            </w:r>
          </w:p>
        </w:tc>
      </w:tr>
    </w:tbl>
    <w:p w:rsidR="0075539A" w:rsidRDefault="00F533DF" w:rsidP="00F533DF">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5.2 </w:t>
      </w:r>
      <w:r>
        <w:rPr>
          <w:rFonts w:eastAsiaTheme="minorEastAsia"/>
          <w:b/>
          <w:color w:val="000000" w:themeColor="text1"/>
          <w:kern w:val="0"/>
          <w:szCs w:val="21"/>
        </w:rPr>
        <w:t>报告期末按行业分类的股票投资组合</w:t>
      </w:r>
    </w:p>
    <w:p w:rsidR="0075539A" w:rsidRDefault="00F533DF">
      <w:pPr>
        <w:rPr>
          <w:b/>
        </w:rPr>
      </w:pPr>
      <w:r>
        <w:rPr>
          <w:rFonts w:eastAsiaTheme="minorEastAsia" w:hint="eastAsia"/>
          <w:b/>
          <w:color w:val="000000" w:themeColor="text1"/>
          <w:kern w:val="0"/>
          <w:szCs w:val="21"/>
        </w:rPr>
        <w:t>5.2.1</w:t>
      </w:r>
      <w:r>
        <w:rPr>
          <w:rFonts w:eastAsiaTheme="minorEastAsia" w:hint="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40"/>
        <w:gridCol w:w="3691"/>
        <w:gridCol w:w="2852"/>
        <w:gridCol w:w="1648"/>
      </w:tblGrid>
      <w:tr w:rsidR="007553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75539A" w:rsidRDefault="00F533D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5539A" w:rsidRDefault="00F533D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75539A" w:rsidRDefault="00F533D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占基金资产净值比例（％）</w:t>
            </w:r>
          </w:p>
        </w:tc>
      </w:tr>
      <w:tr w:rsidR="007553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5539A" w:rsidRDefault="00F533DF">
            <w:pPr>
              <w:adjustRightInd w:val="0"/>
              <w:snapToGrid w:val="0"/>
              <w:spacing w:line="400" w:lineRule="exact"/>
              <w:rPr>
                <w:rFonts w:eastAsiaTheme="minorEastAsia"/>
                <w:color w:val="000000" w:themeColor="text1"/>
                <w:szCs w:val="21"/>
              </w:rPr>
            </w:pPr>
            <w:r>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75539A" w:rsidRDefault="00F533DF">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7553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5539A" w:rsidRDefault="00F533DF">
            <w:pPr>
              <w:adjustRightInd w:val="0"/>
              <w:snapToGrid w:val="0"/>
              <w:spacing w:line="400" w:lineRule="exact"/>
              <w:rPr>
                <w:rFonts w:eastAsiaTheme="minorEastAsia"/>
                <w:color w:val="000000" w:themeColor="text1"/>
                <w:szCs w:val="21"/>
              </w:rPr>
            </w:pPr>
            <w:r>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p w:rsidR="0075539A" w:rsidRDefault="0075539A">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p w:rsidR="0075539A" w:rsidRDefault="0075539A">
            <w:pPr>
              <w:jc w:val="right"/>
              <w:rPr>
                <w:rFonts w:eastAsiaTheme="minorEastAsia"/>
                <w:color w:val="000000" w:themeColor="text1"/>
                <w:szCs w:val="21"/>
              </w:rPr>
            </w:pPr>
          </w:p>
        </w:tc>
      </w:tr>
      <w:tr w:rsidR="007553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5539A" w:rsidRDefault="00F533DF">
            <w:pPr>
              <w:adjustRightInd w:val="0"/>
              <w:snapToGrid w:val="0"/>
              <w:spacing w:line="400" w:lineRule="exact"/>
              <w:rPr>
                <w:rFonts w:eastAsiaTheme="minorEastAsia"/>
                <w:color w:val="000000" w:themeColor="text1"/>
                <w:szCs w:val="21"/>
              </w:rPr>
            </w:pPr>
            <w:r>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4,701,436.00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52.23</w:t>
            </w:r>
          </w:p>
        </w:tc>
      </w:tr>
      <w:tr w:rsidR="007553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5539A" w:rsidRDefault="00F533DF">
            <w:pPr>
              <w:adjustRightInd w:val="0"/>
              <w:snapToGrid w:val="0"/>
              <w:spacing w:line="400" w:lineRule="exact"/>
              <w:rPr>
                <w:rFonts w:eastAsiaTheme="minorEastAsia"/>
                <w:color w:val="000000" w:themeColor="text1"/>
                <w:szCs w:val="21"/>
              </w:rPr>
            </w:pPr>
            <w:r>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tc>
      </w:tr>
      <w:tr w:rsidR="007553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5539A" w:rsidRDefault="00F533DF">
            <w:pPr>
              <w:adjustRightInd w:val="0"/>
              <w:snapToGrid w:val="0"/>
              <w:spacing w:line="400" w:lineRule="exact"/>
              <w:rPr>
                <w:rFonts w:eastAsiaTheme="minorEastAsia"/>
                <w:color w:val="000000" w:themeColor="text1"/>
                <w:szCs w:val="21"/>
              </w:rPr>
            </w:pPr>
            <w:r>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tc>
      </w:tr>
      <w:tr w:rsidR="007553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5539A" w:rsidRDefault="00F533DF">
            <w:pPr>
              <w:adjustRightInd w:val="0"/>
              <w:snapToGrid w:val="0"/>
              <w:spacing w:line="400" w:lineRule="exact"/>
              <w:rPr>
                <w:rFonts w:eastAsiaTheme="minorEastAsia"/>
                <w:color w:val="000000" w:themeColor="text1"/>
                <w:szCs w:val="21"/>
              </w:rPr>
            </w:pPr>
            <w:r>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tc>
      </w:tr>
      <w:tr w:rsidR="007553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5539A" w:rsidRDefault="00F533DF">
            <w:pPr>
              <w:adjustRightInd w:val="0"/>
              <w:snapToGrid w:val="0"/>
              <w:spacing w:line="400" w:lineRule="exact"/>
              <w:rPr>
                <w:rFonts w:eastAsiaTheme="minorEastAsia"/>
                <w:color w:val="000000" w:themeColor="text1"/>
                <w:szCs w:val="21"/>
              </w:rPr>
            </w:pPr>
            <w:r>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tc>
      </w:tr>
      <w:tr w:rsidR="007553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5539A" w:rsidRDefault="00F533DF">
            <w:pPr>
              <w:adjustRightInd w:val="0"/>
              <w:snapToGrid w:val="0"/>
              <w:spacing w:line="400" w:lineRule="exact"/>
              <w:rPr>
                <w:rFonts w:eastAsiaTheme="minorEastAsia"/>
                <w:color w:val="000000" w:themeColor="text1"/>
                <w:szCs w:val="21"/>
              </w:rPr>
            </w:pPr>
            <w:r>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tc>
      </w:tr>
      <w:tr w:rsidR="007553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5539A" w:rsidRDefault="00F533DF">
            <w:pPr>
              <w:adjustRightInd w:val="0"/>
              <w:snapToGrid w:val="0"/>
              <w:spacing w:line="400" w:lineRule="exact"/>
              <w:rPr>
                <w:rFonts w:eastAsiaTheme="minorEastAsia"/>
                <w:color w:val="000000" w:themeColor="text1"/>
                <w:szCs w:val="21"/>
              </w:rPr>
            </w:pPr>
            <w:r>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tc>
      </w:tr>
      <w:tr w:rsidR="007553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5539A" w:rsidRDefault="00F533DF">
            <w:pPr>
              <w:adjustRightInd w:val="0"/>
              <w:snapToGrid w:val="0"/>
              <w:spacing w:line="400" w:lineRule="exact"/>
              <w:rPr>
                <w:rFonts w:eastAsiaTheme="minorEastAsia"/>
                <w:color w:val="000000" w:themeColor="text1"/>
                <w:szCs w:val="21"/>
              </w:rPr>
            </w:pPr>
            <w:r>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tc>
      </w:tr>
      <w:tr w:rsidR="007553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5539A" w:rsidRDefault="00F533DF">
            <w:pPr>
              <w:adjustRightInd w:val="0"/>
              <w:snapToGrid w:val="0"/>
              <w:spacing w:line="400" w:lineRule="exact"/>
              <w:rPr>
                <w:rFonts w:eastAsiaTheme="minorEastAsia"/>
                <w:color w:val="000000" w:themeColor="text1"/>
                <w:szCs w:val="21"/>
              </w:rPr>
            </w:pPr>
            <w:r>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tc>
      </w:tr>
      <w:tr w:rsidR="007553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5539A" w:rsidRDefault="00F533DF">
            <w:pPr>
              <w:adjustRightInd w:val="0"/>
              <w:snapToGrid w:val="0"/>
              <w:spacing w:line="400" w:lineRule="exact"/>
              <w:rPr>
                <w:rFonts w:eastAsiaTheme="minorEastAsia"/>
                <w:color w:val="000000" w:themeColor="text1"/>
                <w:szCs w:val="21"/>
              </w:rPr>
            </w:pPr>
            <w:r>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tc>
      </w:tr>
      <w:tr w:rsidR="007553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5539A" w:rsidRDefault="00F533DF">
            <w:pPr>
              <w:adjustRightInd w:val="0"/>
              <w:snapToGrid w:val="0"/>
              <w:spacing w:line="400" w:lineRule="exact"/>
              <w:rPr>
                <w:rFonts w:eastAsiaTheme="minorEastAsia"/>
                <w:color w:val="000000" w:themeColor="text1"/>
                <w:szCs w:val="21"/>
              </w:rPr>
            </w:pPr>
            <w:r>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tc>
      </w:tr>
      <w:tr w:rsidR="007553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5539A" w:rsidRDefault="00F533DF">
            <w:pPr>
              <w:adjustRightInd w:val="0"/>
              <w:snapToGrid w:val="0"/>
              <w:spacing w:line="400" w:lineRule="exact"/>
              <w:rPr>
                <w:rFonts w:eastAsiaTheme="minorEastAsia"/>
                <w:color w:val="000000" w:themeColor="text1"/>
                <w:szCs w:val="21"/>
              </w:rPr>
            </w:pPr>
            <w:r>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tc>
      </w:tr>
      <w:tr w:rsidR="007553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5539A" w:rsidRDefault="00F533DF">
            <w:pPr>
              <w:adjustRightInd w:val="0"/>
              <w:snapToGrid w:val="0"/>
              <w:spacing w:line="400" w:lineRule="exact"/>
              <w:rPr>
                <w:rFonts w:eastAsiaTheme="minorEastAsia"/>
                <w:color w:val="000000" w:themeColor="text1"/>
                <w:szCs w:val="21"/>
              </w:rPr>
            </w:pPr>
            <w:r>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tc>
      </w:tr>
      <w:tr w:rsidR="007553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5539A" w:rsidRDefault="00F533DF">
            <w:pPr>
              <w:adjustRightInd w:val="0"/>
              <w:snapToGrid w:val="0"/>
              <w:spacing w:line="400" w:lineRule="exact"/>
              <w:rPr>
                <w:rFonts w:eastAsiaTheme="minorEastAsia"/>
                <w:color w:val="000000" w:themeColor="text1"/>
                <w:szCs w:val="21"/>
              </w:rPr>
            </w:pPr>
            <w:r>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tc>
      </w:tr>
      <w:tr w:rsidR="007553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5539A" w:rsidRDefault="00F533DF">
            <w:pPr>
              <w:adjustRightInd w:val="0"/>
              <w:snapToGrid w:val="0"/>
              <w:spacing w:line="400" w:lineRule="exact"/>
              <w:rPr>
                <w:rFonts w:eastAsiaTheme="minorEastAsia"/>
                <w:color w:val="000000" w:themeColor="text1"/>
                <w:szCs w:val="21"/>
              </w:rPr>
            </w:pPr>
            <w:r>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tc>
      </w:tr>
      <w:tr w:rsidR="007553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5539A" w:rsidRDefault="00F533DF">
            <w:pPr>
              <w:adjustRightInd w:val="0"/>
              <w:snapToGrid w:val="0"/>
              <w:spacing w:line="400" w:lineRule="exact"/>
              <w:rPr>
                <w:rFonts w:eastAsiaTheme="minorEastAsia"/>
                <w:color w:val="000000" w:themeColor="text1"/>
                <w:szCs w:val="21"/>
              </w:rPr>
            </w:pPr>
            <w:r>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tc>
      </w:tr>
      <w:tr w:rsidR="007553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5539A" w:rsidRDefault="00F533DF">
            <w:pPr>
              <w:adjustRightInd w:val="0"/>
              <w:snapToGrid w:val="0"/>
              <w:spacing w:line="400" w:lineRule="exact"/>
              <w:rPr>
                <w:rFonts w:eastAsiaTheme="minorEastAsia"/>
                <w:color w:val="000000" w:themeColor="text1"/>
                <w:szCs w:val="21"/>
              </w:rPr>
            </w:pPr>
            <w:r>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w:t>
            </w:r>
          </w:p>
        </w:tc>
      </w:tr>
      <w:tr w:rsidR="007553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75539A">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5539A" w:rsidRDefault="00F533DF">
            <w:pPr>
              <w:adjustRightInd w:val="0"/>
              <w:snapToGrid w:val="0"/>
              <w:spacing w:line="400" w:lineRule="exact"/>
              <w:rPr>
                <w:rFonts w:eastAsiaTheme="minorEastAsia"/>
                <w:color w:val="000000" w:themeColor="text1"/>
                <w:szCs w:val="21"/>
              </w:rPr>
            </w:pPr>
            <w:r>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4,701,436.00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5539A" w:rsidRDefault="00F533DF">
            <w:pPr>
              <w:jc w:val="right"/>
              <w:rPr>
                <w:rFonts w:eastAsiaTheme="minorEastAsia"/>
                <w:color w:val="000000" w:themeColor="text1"/>
                <w:szCs w:val="21"/>
              </w:rPr>
            </w:pPr>
            <w:r>
              <w:rPr>
                <w:rFonts w:eastAsiaTheme="minorEastAsia"/>
                <w:color w:val="000000" w:themeColor="text1"/>
                <w:szCs w:val="21"/>
              </w:rPr>
              <w:t>52.23</w:t>
            </w:r>
          </w:p>
        </w:tc>
      </w:tr>
    </w:tbl>
    <w:p w:rsidR="0075539A" w:rsidRDefault="00F533DF">
      <w:pPr>
        <w:jc w:val="left"/>
        <w:rPr>
          <w:b/>
        </w:rPr>
      </w:pPr>
      <w:r>
        <w:rPr>
          <w:rFonts w:ascii="宋体" w:hAnsi="宋体" w:hint="eastAsia"/>
          <w:b/>
          <w:kern w:val="0"/>
          <w:sz w:val="18"/>
        </w:rPr>
        <w:t>5.2.2</w:t>
      </w:r>
      <w:r>
        <w:rPr>
          <w:rFonts w:hint="eastAsia"/>
          <w:b/>
        </w:rPr>
        <w:t>报告期末按行业分类的</w:t>
      </w:r>
      <w:r>
        <w:rPr>
          <w:rFonts w:hint="eastAsia"/>
          <w:b/>
        </w:rPr>
        <w:t>港股通</w:t>
      </w:r>
      <w:r>
        <w:rPr>
          <w:rFonts w:hint="eastAsia"/>
          <w:b/>
        </w:rPr>
        <w:t>投资股票投资组合</w:t>
      </w:r>
    </w:p>
    <w:p w:rsidR="0075539A" w:rsidRDefault="00F533D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75539A" w:rsidRDefault="00F533DF" w:rsidP="00F533DF">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5.3 </w:t>
      </w:r>
      <w:r>
        <w:rPr>
          <w:rFonts w:eastAsiaTheme="minorEastAsia"/>
          <w:b/>
          <w:color w:val="000000" w:themeColor="text1"/>
          <w:kern w:val="0"/>
          <w:szCs w:val="21"/>
        </w:rPr>
        <w:t>报告期末按公允价值占基金资产净值比例大小排序的前十名股票投资明细</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1701"/>
        <w:gridCol w:w="1276"/>
        <w:gridCol w:w="1842"/>
        <w:gridCol w:w="1616"/>
      </w:tblGrid>
      <w:tr w:rsidR="0075539A">
        <w:tc>
          <w:tcPr>
            <w:tcW w:w="817" w:type="dxa"/>
            <w:vAlign w:val="center"/>
          </w:tcPr>
          <w:p w:rsidR="0075539A" w:rsidRDefault="00F533DF">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276" w:type="dxa"/>
            <w:vAlign w:val="center"/>
          </w:tcPr>
          <w:p w:rsidR="0075539A" w:rsidRDefault="00F533DF">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701" w:type="dxa"/>
            <w:vAlign w:val="center"/>
          </w:tcPr>
          <w:p w:rsidR="0075539A" w:rsidRDefault="00F533DF">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1276" w:type="dxa"/>
            <w:vAlign w:val="center"/>
          </w:tcPr>
          <w:p w:rsidR="0075539A" w:rsidRDefault="00F533DF">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股</w:t>
            </w:r>
            <w:r>
              <w:rPr>
                <w:rFonts w:eastAsiaTheme="minorEastAsia"/>
                <w:color w:val="000000" w:themeColor="text1"/>
                <w:szCs w:val="21"/>
              </w:rPr>
              <w:t>)</w:t>
            </w:r>
          </w:p>
        </w:tc>
        <w:tc>
          <w:tcPr>
            <w:tcW w:w="1842" w:type="dxa"/>
            <w:vAlign w:val="center"/>
          </w:tcPr>
          <w:p w:rsidR="0075539A" w:rsidRDefault="00F533DF">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75539A" w:rsidRDefault="00F533DF">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75539A">
        <w:tc>
          <w:tcPr>
            <w:tcW w:w="817" w:type="dxa"/>
            <w:vAlign w:val="center"/>
          </w:tcPr>
          <w:p w:rsidR="0075539A" w:rsidRDefault="00F533DF">
            <w:pPr>
              <w:jc w:val="center"/>
            </w:pPr>
            <w:r>
              <w:rPr>
                <w:rFonts w:eastAsiaTheme="minorEastAsia"/>
                <w:color w:val="000000" w:themeColor="text1"/>
                <w:szCs w:val="21"/>
              </w:rPr>
              <w:t>1</w:t>
            </w:r>
          </w:p>
        </w:tc>
        <w:tc>
          <w:tcPr>
            <w:tcW w:w="1276" w:type="dxa"/>
            <w:vAlign w:val="center"/>
          </w:tcPr>
          <w:p w:rsidR="0075539A" w:rsidRDefault="00F533DF">
            <w:pPr>
              <w:jc w:val="center"/>
            </w:pPr>
            <w:r>
              <w:rPr>
                <w:rFonts w:eastAsiaTheme="minorEastAsia"/>
                <w:color w:val="000000" w:themeColor="text1"/>
                <w:szCs w:val="21"/>
              </w:rPr>
              <w:t>601600</w:t>
            </w:r>
          </w:p>
        </w:tc>
        <w:tc>
          <w:tcPr>
            <w:tcW w:w="1701" w:type="dxa"/>
            <w:vAlign w:val="center"/>
          </w:tcPr>
          <w:p w:rsidR="0075539A" w:rsidRDefault="00F533DF">
            <w:pPr>
              <w:jc w:val="center"/>
            </w:pPr>
            <w:r>
              <w:rPr>
                <w:rFonts w:eastAsiaTheme="minorEastAsia"/>
                <w:color w:val="000000" w:themeColor="text1"/>
                <w:szCs w:val="21"/>
              </w:rPr>
              <w:t>中国铝业</w:t>
            </w:r>
          </w:p>
        </w:tc>
        <w:tc>
          <w:tcPr>
            <w:tcW w:w="1276" w:type="dxa"/>
            <w:vAlign w:val="center"/>
          </w:tcPr>
          <w:p w:rsidR="0075539A" w:rsidRDefault="00F533DF">
            <w:pPr>
              <w:jc w:val="right"/>
            </w:pPr>
            <w:r>
              <w:rPr>
                <w:rFonts w:eastAsiaTheme="minorEastAsia"/>
                <w:color w:val="000000" w:themeColor="text1"/>
                <w:szCs w:val="21"/>
              </w:rPr>
              <w:t>700,000</w:t>
            </w:r>
          </w:p>
        </w:tc>
        <w:tc>
          <w:tcPr>
            <w:tcW w:w="1842" w:type="dxa"/>
            <w:vAlign w:val="center"/>
          </w:tcPr>
          <w:p w:rsidR="0075539A" w:rsidRDefault="00F533DF">
            <w:pPr>
              <w:jc w:val="right"/>
            </w:pPr>
            <w:r>
              <w:rPr>
                <w:rFonts w:eastAsiaTheme="minorEastAsia"/>
                <w:color w:val="000000" w:themeColor="text1"/>
                <w:szCs w:val="21"/>
              </w:rPr>
              <w:t>4,669,000.00</w:t>
            </w:r>
          </w:p>
        </w:tc>
        <w:tc>
          <w:tcPr>
            <w:tcW w:w="1616" w:type="dxa"/>
            <w:vAlign w:val="center"/>
          </w:tcPr>
          <w:p w:rsidR="0075539A" w:rsidRDefault="00F533DF">
            <w:pPr>
              <w:jc w:val="right"/>
            </w:pPr>
            <w:r>
              <w:rPr>
                <w:rFonts w:eastAsiaTheme="minorEastAsia"/>
                <w:color w:val="000000" w:themeColor="text1"/>
                <w:szCs w:val="21"/>
              </w:rPr>
              <w:t>51.87</w:t>
            </w:r>
          </w:p>
        </w:tc>
      </w:tr>
      <w:tr w:rsidR="0075539A">
        <w:tc>
          <w:tcPr>
            <w:tcW w:w="817" w:type="dxa"/>
            <w:vAlign w:val="center"/>
          </w:tcPr>
          <w:p w:rsidR="0075539A" w:rsidRDefault="00F533DF">
            <w:pPr>
              <w:jc w:val="center"/>
            </w:pPr>
            <w:r>
              <w:rPr>
                <w:rFonts w:eastAsiaTheme="minorEastAsia"/>
                <w:color w:val="000000" w:themeColor="text1"/>
                <w:szCs w:val="21"/>
              </w:rPr>
              <w:t>2</w:t>
            </w:r>
          </w:p>
        </w:tc>
        <w:tc>
          <w:tcPr>
            <w:tcW w:w="1276" w:type="dxa"/>
            <w:vAlign w:val="center"/>
          </w:tcPr>
          <w:p w:rsidR="0075539A" w:rsidRDefault="00F533DF">
            <w:pPr>
              <w:jc w:val="center"/>
            </w:pPr>
            <w:r>
              <w:rPr>
                <w:rFonts w:eastAsiaTheme="minorEastAsia"/>
                <w:color w:val="000000" w:themeColor="text1"/>
                <w:szCs w:val="21"/>
              </w:rPr>
              <w:t>603809</w:t>
            </w:r>
          </w:p>
        </w:tc>
        <w:tc>
          <w:tcPr>
            <w:tcW w:w="1701" w:type="dxa"/>
            <w:vAlign w:val="center"/>
          </w:tcPr>
          <w:p w:rsidR="0075539A" w:rsidRDefault="00F533DF">
            <w:pPr>
              <w:jc w:val="center"/>
            </w:pPr>
            <w:r>
              <w:rPr>
                <w:rFonts w:eastAsiaTheme="minorEastAsia"/>
                <w:color w:val="000000" w:themeColor="text1"/>
                <w:szCs w:val="21"/>
              </w:rPr>
              <w:t>豪能股份</w:t>
            </w:r>
          </w:p>
        </w:tc>
        <w:tc>
          <w:tcPr>
            <w:tcW w:w="1276" w:type="dxa"/>
            <w:vAlign w:val="center"/>
          </w:tcPr>
          <w:p w:rsidR="0075539A" w:rsidRDefault="00F533DF">
            <w:pPr>
              <w:jc w:val="right"/>
            </w:pPr>
            <w:r>
              <w:rPr>
                <w:rFonts w:eastAsiaTheme="minorEastAsia"/>
                <w:color w:val="000000" w:themeColor="text1"/>
                <w:szCs w:val="21"/>
              </w:rPr>
              <w:t>900</w:t>
            </w:r>
          </w:p>
        </w:tc>
        <w:tc>
          <w:tcPr>
            <w:tcW w:w="1842" w:type="dxa"/>
            <w:vAlign w:val="center"/>
          </w:tcPr>
          <w:p w:rsidR="0075539A" w:rsidRDefault="00F533DF">
            <w:pPr>
              <w:jc w:val="right"/>
            </w:pPr>
            <w:r>
              <w:rPr>
                <w:rFonts w:eastAsiaTheme="minorEastAsia"/>
                <w:color w:val="000000" w:themeColor="text1"/>
                <w:szCs w:val="21"/>
              </w:rPr>
              <w:t>32,436.00</w:t>
            </w:r>
          </w:p>
        </w:tc>
        <w:tc>
          <w:tcPr>
            <w:tcW w:w="1616" w:type="dxa"/>
            <w:vAlign w:val="center"/>
          </w:tcPr>
          <w:p w:rsidR="0075539A" w:rsidRDefault="00F533DF">
            <w:pPr>
              <w:jc w:val="right"/>
            </w:pPr>
            <w:r>
              <w:rPr>
                <w:rFonts w:eastAsiaTheme="minorEastAsia"/>
                <w:color w:val="000000" w:themeColor="text1"/>
                <w:szCs w:val="21"/>
              </w:rPr>
              <w:t>0.36</w:t>
            </w:r>
          </w:p>
        </w:tc>
      </w:tr>
    </w:tbl>
    <w:p w:rsidR="0075539A" w:rsidRDefault="00F533DF" w:rsidP="00F533DF">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5.4 </w:t>
      </w:r>
      <w:r>
        <w:rPr>
          <w:rFonts w:eastAsiaTheme="minorEastAsia"/>
          <w:b/>
          <w:color w:val="000000" w:themeColor="text1"/>
          <w:kern w:val="0"/>
          <w:szCs w:val="21"/>
        </w:rPr>
        <w:t>报告期末按债券品种分类的债券投资组合</w:t>
      </w:r>
    </w:p>
    <w:p w:rsidR="0075539A" w:rsidRDefault="00F533D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本基金本报告期末未持有债券投资。</w:t>
      </w:r>
    </w:p>
    <w:p w:rsidR="0075539A" w:rsidRDefault="00F533DF" w:rsidP="00F533DF">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5.5 </w:t>
      </w:r>
      <w:r>
        <w:rPr>
          <w:rFonts w:eastAsiaTheme="minorEastAsia"/>
          <w:b/>
          <w:color w:val="000000" w:themeColor="text1"/>
          <w:kern w:val="0"/>
          <w:szCs w:val="21"/>
        </w:rPr>
        <w:t>报告期末按公允价值占基金资产净值比例大小排序的前五名债券投资明细</w:t>
      </w:r>
    </w:p>
    <w:p w:rsidR="0075539A" w:rsidRDefault="00F533D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本基金本报告期末未持有债券投资。</w:t>
      </w:r>
    </w:p>
    <w:p w:rsidR="0075539A" w:rsidRDefault="00F533DF" w:rsidP="00F533DF">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5.6</w:t>
      </w:r>
      <w:r>
        <w:rPr>
          <w:rFonts w:eastAsiaTheme="minorEastAsia"/>
          <w:b/>
          <w:color w:val="000000" w:themeColor="text1"/>
          <w:kern w:val="0"/>
          <w:szCs w:val="21"/>
        </w:rPr>
        <w:t xml:space="preserve">　报告期末按公允价值占基金资产净值比例大小排序的前十名资产支持证券投资明细</w:t>
      </w:r>
    </w:p>
    <w:p w:rsidR="0075539A" w:rsidRDefault="00F533D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本基金本报告期末未持有资产支持证券。</w:t>
      </w:r>
    </w:p>
    <w:p w:rsidR="0075539A" w:rsidRDefault="00F533DF" w:rsidP="00F533DF">
      <w:pPr>
        <w:autoSpaceDE w:val="0"/>
        <w:autoSpaceDN w:val="0"/>
        <w:adjustRightInd w:val="0"/>
        <w:spacing w:beforeLines="100" w:line="360" w:lineRule="auto"/>
        <w:jc w:val="left"/>
        <w:rPr>
          <w:rFonts w:eastAsiaTheme="minorEastAsia"/>
          <w:b/>
          <w:bCs/>
          <w:color w:val="000000" w:themeColor="text1"/>
          <w:kern w:val="0"/>
          <w:szCs w:val="21"/>
        </w:rPr>
      </w:pPr>
      <w:r>
        <w:rPr>
          <w:rFonts w:eastAsiaTheme="minorEastAsia"/>
          <w:b/>
          <w:bCs/>
          <w:color w:val="000000" w:themeColor="text1"/>
          <w:kern w:val="0"/>
          <w:szCs w:val="21"/>
        </w:rPr>
        <w:t xml:space="preserve">5.7 </w:t>
      </w:r>
      <w:r>
        <w:rPr>
          <w:rFonts w:eastAsiaTheme="minorEastAsia"/>
          <w:b/>
          <w:bCs/>
          <w:color w:val="000000" w:themeColor="text1"/>
          <w:kern w:val="0"/>
          <w:szCs w:val="21"/>
        </w:rPr>
        <w:t>报告期末按公允价值占基金资产净值比例大小排序的前五名贵金属投资明细</w:t>
      </w:r>
    </w:p>
    <w:p w:rsidR="0075539A" w:rsidRDefault="00F533DF">
      <w:pPr>
        <w:widowControl/>
        <w:spacing w:line="360" w:lineRule="auto"/>
        <w:ind w:firstLineChars="200" w:firstLine="420"/>
        <w:jc w:val="left"/>
        <w:rPr>
          <w:color w:val="000000" w:themeColor="text1"/>
          <w:szCs w:val="21"/>
        </w:rPr>
      </w:pPr>
      <w:r>
        <w:rPr>
          <w:color w:val="000000" w:themeColor="text1"/>
          <w:szCs w:val="21"/>
        </w:rPr>
        <w:t>本基金本报告期末未持有贵金属投资。</w:t>
      </w:r>
    </w:p>
    <w:p w:rsidR="0075539A" w:rsidRDefault="00F533DF" w:rsidP="00F533DF">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5.8</w:t>
      </w:r>
      <w:r>
        <w:rPr>
          <w:rFonts w:eastAsiaTheme="minorEastAsia"/>
          <w:b/>
          <w:color w:val="000000" w:themeColor="text1"/>
          <w:kern w:val="0"/>
          <w:szCs w:val="21"/>
        </w:rPr>
        <w:t>报告期末按公允价值占基金资产净值比例大小排序的前五名权证投资明细</w:t>
      </w:r>
    </w:p>
    <w:p w:rsidR="0075539A" w:rsidRDefault="00F533D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本基金本报告期末未持有权证投资。</w:t>
      </w:r>
    </w:p>
    <w:p w:rsidR="0075539A" w:rsidRDefault="00F533DF" w:rsidP="00F533DF">
      <w:pPr>
        <w:adjustRightInd w:val="0"/>
        <w:snapToGrid w:val="0"/>
        <w:spacing w:beforeLines="100" w:line="360" w:lineRule="auto"/>
        <w:rPr>
          <w:rFonts w:eastAsiaTheme="minorEastAsia"/>
          <w:b/>
          <w:color w:val="000000" w:themeColor="text1"/>
          <w:szCs w:val="21"/>
        </w:rPr>
      </w:pPr>
      <w:r>
        <w:rPr>
          <w:rFonts w:eastAsiaTheme="minorEastAsia"/>
          <w:b/>
          <w:color w:val="000000" w:themeColor="text1"/>
          <w:szCs w:val="21"/>
        </w:rPr>
        <w:t xml:space="preserve">5.9 </w:t>
      </w:r>
      <w:r>
        <w:rPr>
          <w:rFonts w:eastAsiaTheme="minorEastAsia"/>
          <w:b/>
          <w:color w:val="000000" w:themeColor="text1"/>
          <w:szCs w:val="21"/>
        </w:rPr>
        <w:t>报告期末本基金投资的股指期货交易情况说明</w:t>
      </w:r>
    </w:p>
    <w:p w:rsidR="0075539A" w:rsidRDefault="00F533DF">
      <w:pPr>
        <w:adjustRightInd w:val="0"/>
        <w:snapToGrid w:val="0"/>
        <w:spacing w:line="360" w:lineRule="auto"/>
        <w:rPr>
          <w:rFonts w:eastAsiaTheme="minorEastAsia"/>
          <w:b/>
          <w:color w:val="000000" w:themeColor="text1"/>
          <w:szCs w:val="21"/>
        </w:rPr>
      </w:pPr>
      <w:r>
        <w:rPr>
          <w:rFonts w:eastAsiaTheme="minorEastAsia"/>
          <w:b/>
          <w:color w:val="000000" w:themeColor="text1"/>
          <w:szCs w:val="21"/>
        </w:rPr>
        <w:t xml:space="preserve">5.9.1 </w:t>
      </w:r>
      <w:r>
        <w:rPr>
          <w:rFonts w:eastAsiaTheme="minorEastAsia"/>
          <w:b/>
          <w:color w:val="000000" w:themeColor="text1"/>
          <w:szCs w:val="21"/>
        </w:rPr>
        <w:t>报告期末本基金投资的股指期货持仓和损益明细</w:t>
      </w:r>
    </w:p>
    <w:p w:rsidR="0075539A" w:rsidRDefault="00F533D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本基金本报告期末未持有股指期货。</w:t>
      </w:r>
    </w:p>
    <w:p w:rsidR="0075539A" w:rsidRDefault="00F533DF" w:rsidP="00F533DF">
      <w:pPr>
        <w:adjustRightInd w:val="0"/>
        <w:snapToGrid w:val="0"/>
        <w:spacing w:beforeLines="100" w:line="360" w:lineRule="auto"/>
        <w:rPr>
          <w:rFonts w:eastAsiaTheme="minorEastAsia"/>
          <w:b/>
          <w:color w:val="000000" w:themeColor="text1"/>
          <w:szCs w:val="21"/>
        </w:rPr>
      </w:pPr>
      <w:r>
        <w:rPr>
          <w:rFonts w:eastAsiaTheme="minorEastAsia"/>
          <w:b/>
          <w:color w:val="000000" w:themeColor="text1"/>
          <w:szCs w:val="21"/>
        </w:rPr>
        <w:t xml:space="preserve">5.9.2 </w:t>
      </w:r>
      <w:r>
        <w:rPr>
          <w:rFonts w:eastAsiaTheme="minorEastAsia"/>
          <w:b/>
          <w:color w:val="000000" w:themeColor="text1"/>
          <w:szCs w:val="21"/>
        </w:rPr>
        <w:t>本基金投资股指期货的投资政策</w:t>
      </w:r>
    </w:p>
    <w:p w:rsidR="0075539A" w:rsidRDefault="00F533D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本基金将根据风险管理的原则，以套期保值为目的，有选择地投资于流动性好、交易</w:t>
      </w:r>
      <w:r>
        <w:rPr>
          <w:rFonts w:eastAsiaTheme="minorEastAsia"/>
          <w:color w:val="000000" w:themeColor="text1"/>
          <w:szCs w:val="21"/>
        </w:rPr>
        <w:t>活跃的股指期货合约。</w:t>
      </w:r>
    </w:p>
    <w:p w:rsidR="0075539A" w:rsidRDefault="00F533D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进行股指期货投资时，首先将基于对证券市场总体行情的判断和组合风险收益的分析确定投资时机以及套期保值的类型（多头套期保值或空头套期保值），并根据风险资产投资（或拟投资）的总体规模和风险系数决定股指期货的投资比例；其次，本基金将在综合考虑证券市场和期货市场运行趋势以及股指期货流动性、收益性、风险特征和估值水平的基础上进行投资品种选择，以对冲风险资产组合的系统性风险和流动性风险。</w:t>
      </w:r>
    </w:p>
    <w:p w:rsidR="0075539A" w:rsidRDefault="00F533DF" w:rsidP="00F533DF">
      <w:pPr>
        <w:adjustRightInd w:val="0"/>
        <w:snapToGrid w:val="0"/>
        <w:spacing w:beforeLines="100" w:line="360" w:lineRule="auto"/>
        <w:rPr>
          <w:rFonts w:eastAsiaTheme="minorEastAsia"/>
          <w:b/>
          <w:color w:val="000000" w:themeColor="text1"/>
          <w:szCs w:val="21"/>
        </w:rPr>
      </w:pPr>
      <w:r>
        <w:rPr>
          <w:rFonts w:eastAsiaTheme="minorEastAsia"/>
          <w:b/>
          <w:color w:val="000000" w:themeColor="text1"/>
          <w:szCs w:val="21"/>
        </w:rPr>
        <w:t>5.10</w:t>
      </w:r>
      <w:r>
        <w:rPr>
          <w:rFonts w:eastAsiaTheme="minorEastAsia"/>
          <w:b/>
          <w:color w:val="000000" w:themeColor="text1"/>
          <w:szCs w:val="21"/>
        </w:rPr>
        <w:t>报告期末本基金投资的国债期货交易情况说明</w:t>
      </w:r>
    </w:p>
    <w:p w:rsidR="0075539A" w:rsidRDefault="00F533DF">
      <w:pPr>
        <w:adjustRightInd w:val="0"/>
        <w:snapToGrid w:val="0"/>
        <w:spacing w:line="360" w:lineRule="auto"/>
        <w:rPr>
          <w:rFonts w:eastAsiaTheme="minorEastAsia"/>
          <w:b/>
          <w:color w:val="000000" w:themeColor="text1"/>
          <w:szCs w:val="21"/>
        </w:rPr>
      </w:pPr>
      <w:r>
        <w:rPr>
          <w:rFonts w:eastAsiaTheme="minorEastAsia"/>
          <w:b/>
          <w:color w:val="000000" w:themeColor="text1"/>
          <w:szCs w:val="21"/>
        </w:rPr>
        <w:t xml:space="preserve">5.10.1 </w:t>
      </w:r>
      <w:r>
        <w:rPr>
          <w:rFonts w:eastAsiaTheme="minorEastAsia"/>
          <w:b/>
          <w:color w:val="000000" w:themeColor="text1"/>
          <w:szCs w:val="21"/>
        </w:rPr>
        <w:t>本期国债期货投资政策</w:t>
      </w:r>
    </w:p>
    <w:p w:rsidR="0075539A" w:rsidRDefault="00F533DF">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75539A" w:rsidRDefault="00F533DF">
      <w:pPr>
        <w:autoSpaceDE w:val="0"/>
        <w:autoSpaceDN w:val="0"/>
        <w:adjustRightInd w:val="0"/>
        <w:spacing w:line="360" w:lineRule="auto"/>
        <w:jc w:val="left"/>
        <w:rPr>
          <w:rFonts w:eastAsiaTheme="minorEastAsia"/>
          <w:b/>
          <w:color w:val="000000" w:themeColor="text1"/>
          <w:szCs w:val="21"/>
        </w:rPr>
      </w:pPr>
      <w:r>
        <w:rPr>
          <w:rFonts w:eastAsiaTheme="minorEastAsia"/>
          <w:b/>
          <w:color w:val="000000" w:themeColor="text1"/>
          <w:szCs w:val="21"/>
        </w:rPr>
        <w:t>5.10.2</w:t>
      </w:r>
      <w:r>
        <w:rPr>
          <w:rFonts w:eastAsiaTheme="minorEastAsia"/>
          <w:b/>
          <w:color w:val="000000" w:themeColor="text1"/>
          <w:szCs w:val="21"/>
        </w:rPr>
        <w:t xml:space="preserve"> </w:t>
      </w:r>
      <w:r>
        <w:rPr>
          <w:rFonts w:eastAsiaTheme="minorEastAsia"/>
          <w:b/>
          <w:color w:val="000000" w:themeColor="text1"/>
          <w:szCs w:val="21"/>
        </w:rPr>
        <w:t>报告期末本基金投资的国债期货持仓和损益明细</w:t>
      </w:r>
    </w:p>
    <w:p w:rsidR="0075539A" w:rsidRDefault="00F533D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本基金本报告期末未持有国债期货。</w:t>
      </w:r>
    </w:p>
    <w:p w:rsidR="0075539A" w:rsidRDefault="00F533DF">
      <w:pPr>
        <w:adjustRightInd w:val="0"/>
        <w:snapToGrid w:val="0"/>
        <w:spacing w:line="360" w:lineRule="auto"/>
        <w:rPr>
          <w:rFonts w:eastAsiaTheme="minorEastAsia"/>
          <w:b/>
          <w:color w:val="000000" w:themeColor="text1"/>
          <w:szCs w:val="21"/>
        </w:rPr>
      </w:pPr>
      <w:r>
        <w:rPr>
          <w:rFonts w:eastAsiaTheme="minorEastAsia"/>
          <w:b/>
          <w:color w:val="000000" w:themeColor="text1"/>
          <w:szCs w:val="21"/>
        </w:rPr>
        <w:t xml:space="preserve">5.10.3 </w:t>
      </w:r>
      <w:r>
        <w:rPr>
          <w:rFonts w:eastAsiaTheme="minorEastAsia"/>
          <w:b/>
          <w:color w:val="000000" w:themeColor="text1"/>
          <w:szCs w:val="21"/>
        </w:rPr>
        <w:t>本期国债期货投资评价</w:t>
      </w:r>
    </w:p>
    <w:p w:rsidR="0075539A" w:rsidRDefault="00F533DF">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75539A" w:rsidRDefault="00F533DF" w:rsidP="00F533DF">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5.11</w:t>
      </w:r>
      <w:r>
        <w:rPr>
          <w:rFonts w:eastAsiaTheme="minorEastAsia"/>
          <w:b/>
          <w:color w:val="000000" w:themeColor="text1"/>
          <w:kern w:val="0"/>
          <w:szCs w:val="21"/>
        </w:rPr>
        <w:t>投资组合报告附注</w:t>
      </w:r>
    </w:p>
    <w:p w:rsidR="0075539A" w:rsidRDefault="00F533DF">
      <w:pPr>
        <w:widowControl/>
        <w:spacing w:line="360" w:lineRule="auto"/>
        <w:rPr>
          <w:rFonts w:eastAsiaTheme="minorEastAsia"/>
          <w:color w:val="000000" w:themeColor="text1"/>
          <w:szCs w:val="21"/>
        </w:rPr>
      </w:pPr>
      <w:r>
        <w:rPr>
          <w:rFonts w:eastAsiaTheme="minorEastAsia"/>
          <w:color w:val="000000" w:themeColor="text1"/>
          <w:szCs w:val="21"/>
        </w:rPr>
        <w:t>5.11.1</w:t>
      </w:r>
      <w:r>
        <w:rPr>
          <w:rFonts w:eastAsiaTheme="minorEastAsia"/>
          <w:color w:val="000000" w:themeColor="text1"/>
          <w:szCs w:val="21"/>
        </w:rPr>
        <w:t>本报告期内，本基金投资的前十名证券的发行主体没有被监管部门立案调查的，也没有在报告编制日前一年内受到公开谴责、处罚的情况。</w:t>
      </w:r>
    </w:p>
    <w:p w:rsidR="0075539A" w:rsidRDefault="00F533DF">
      <w:pPr>
        <w:widowControl/>
        <w:spacing w:line="360" w:lineRule="auto"/>
        <w:rPr>
          <w:rFonts w:eastAsiaTheme="minorEastAsia"/>
          <w:color w:val="000000" w:themeColor="text1"/>
          <w:szCs w:val="21"/>
        </w:rPr>
      </w:pPr>
      <w:r>
        <w:rPr>
          <w:rFonts w:eastAsiaTheme="minorEastAsia"/>
          <w:color w:val="000000" w:themeColor="text1"/>
          <w:szCs w:val="21"/>
        </w:rPr>
        <w:t>5.11.2</w:t>
      </w:r>
      <w:r>
        <w:rPr>
          <w:rFonts w:eastAsiaTheme="minorEastAsia"/>
          <w:color w:val="000000" w:themeColor="text1"/>
          <w:szCs w:val="21"/>
        </w:rPr>
        <w:t>本基金投资的前十名股票中，不存在投资于超出基金合同规定备选股票库之外的股票。</w:t>
      </w:r>
    </w:p>
    <w:p w:rsidR="0075539A" w:rsidRDefault="00F533DF">
      <w:pPr>
        <w:autoSpaceDE w:val="0"/>
        <w:autoSpaceDN w:val="0"/>
        <w:adjustRightInd w:val="0"/>
        <w:spacing w:line="360" w:lineRule="auto"/>
        <w:rPr>
          <w:rFonts w:eastAsiaTheme="minorEastAsia"/>
          <w:b/>
          <w:color w:val="000000" w:themeColor="text1"/>
          <w:kern w:val="0"/>
          <w:szCs w:val="21"/>
        </w:rPr>
      </w:pPr>
      <w:r>
        <w:rPr>
          <w:rFonts w:eastAsiaTheme="minorEastAsia"/>
          <w:b/>
          <w:color w:val="000000" w:themeColor="text1"/>
          <w:kern w:val="0"/>
          <w:szCs w:val="21"/>
        </w:rPr>
        <w:t>5.11.3</w:t>
      </w:r>
      <w:r>
        <w:rPr>
          <w:rFonts w:eastAsiaTheme="minorEastAsia" w:hint="eastAsia"/>
          <w:b/>
          <w:color w:val="000000" w:themeColor="text1"/>
          <w:kern w:val="0"/>
          <w:szCs w:val="21"/>
        </w:rPr>
        <w:t>其他资产构成</w:t>
      </w:r>
    </w:p>
    <w:tbl>
      <w:tblPr>
        <w:tblStyle w:val="af6"/>
        <w:tblW w:w="8679" w:type="dxa"/>
        <w:tblInd w:w="108" w:type="dxa"/>
        <w:tblLayout w:type="fixed"/>
        <w:tblLook w:val="04A0"/>
      </w:tblPr>
      <w:tblGrid>
        <w:gridCol w:w="1110"/>
        <w:gridCol w:w="2761"/>
        <w:gridCol w:w="4808"/>
      </w:tblGrid>
      <w:tr w:rsidR="0075539A">
        <w:tc>
          <w:tcPr>
            <w:tcW w:w="1110" w:type="dxa"/>
            <w:vAlign w:val="center"/>
          </w:tcPr>
          <w:p w:rsidR="0075539A" w:rsidRDefault="00F533DF">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序号</w:t>
            </w:r>
          </w:p>
        </w:tc>
        <w:tc>
          <w:tcPr>
            <w:tcW w:w="2761" w:type="dxa"/>
            <w:vAlign w:val="center"/>
          </w:tcPr>
          <w:p w:rsidR="0075539A" w:rsidRDefault="00F533DF">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名称</w:t>
            </w:r>
          </w:p>
        </w:tc>
        <w:tc>
          <w:tcPr>
            <w:tcW w:w="4808" w:type="dxa"/>
            <w:vAlign w:val="center"/>
          </w:tcPr>
          <w:p w:rsidR="0075539A" w:rsidRDefault="00F533DF">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金额</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r>
      <w:tr w:rsidR="0075539A">
        <w:tc>
          <w:tcPr>
            <w:tcW w:w="1110" w:type="dxa"/>
            <w:vAlign w:val="center"/>
          </w:tcPr>
          <w:p w:rsidR="0075539A" w:rsidRDefault="00F533DF">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1</w:t>
            </w:r>
          </w:p>
        </w:tc>
        <w:tc>
          <w:tcPr>
            <w:tcW w:w="2761" w:type="dxa"/>
            <w:vAlign w:val="center"/>
          </w:tcPr>
          <w:p w:rsidR="0075539A" w:rsidRDefault="00F533D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存出保证金</w:t>
            </w:r>
          </w:p>
        </w:tc>
        <w:tc>
          <w:tcPr>
            <w:tcW w:w="4808" w:type="dxa"/>
            <w:vAlign w:val="center"/>
          </w:tcPr>
          <w:p w:rsidR="0075539A" w:rsidRDefault="00F533D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280,401.02</w:t>
            </w:r>
          </w:p>
        </w:tc>
      </w:tr>
      <w:tr w:rsidR="0075539A">
        <w:tc>
          <w:tcPr>
            <w:tcW w:w="1110" w:type="dxa"/>
            <w:vAlign w:val="center"/>
          </w:tcPr>
          <w:p w:rsidR="0075539A" w:rsidRDefault="00F533D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2</w:t>
            </w:r>
          </w:p>
        </w:tc>
        <w:tc>
          <w:tcPr>
            <w:tcW w:w="2761" w:type="dxa"/>
            <w:vAlign w:val="center"/>
          </w:tcPr>
          <w:p w:rsidR="0075539A" w:rsidRDefault="00F533D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应收证券清算款</w:t>
            </w:r>
          </w:p>
        </w:tc>
        <w:tc>
          <w:tcPr>
            <w:tcW w:w="4808" w:type="dxa"/>
            <w:vAlign w:val="center"/>
          </w:tcPr>
          <w:p w:rsidR="0075539A" w:rsidRDefault="00F533D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75539A">
        <w:tc>
          <w:tcPr>
            <w:tcW w:w="1110" w:type="dxa"/>
            <w:vAlign w:val="center"/>
          </w:tcPr>
          <w:p w:rsidR="0075539A" w:rsidRDefault="00F533D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3</w:t>
            </w:r>
          </w:p>
        </w:tc>
        <w:tc>
          <w:tcPr>
            <w:tcW w:w="2761" w:type="dxa"/>
            <w:vAlign w:val="center"/>
          </w:tcPr>
          <w:p w:rsidR="0075539A" w:rsidRDefault="00F533D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应收股利</w:t>
            </w:r>
          </w:p>
        </w:tc>
        <w:tc>
          <w:tcPr>
            <w:tcW w:w="4808" w:type="dxa"/>
            <w:vAlign w:val="center"/>
          </w:tcPr>
          <w:p w:rsidR="0075539A" w:rsidRDefault="00F533D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75539A">
        <w:tc>
          <w:tcPr>
            <w:tcW w:w="1110" w:type="dxa"/>
            <w:vAlign w:val="center"/>
          </w:tcPr>
          <w:p w:rsidR="0075539A" w:rsidRDefault="00F533D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4</w:t>
            </w:r>
          </w:p>
        </w:tc>
        <w:tc>
          <w:tcPr>
            <w:tcW w:w="2761" w:type="dxa"/>
            <w:vAlign w:val="center"/>
          </w:tcPr>
          <w:p w:rsidR="0075539A" w:rsidRDefault="00F533D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应收利息</w:t>
            </w:r>
          </w:p>
        </w:tc>
        <w:tc>
          <w:tcPr>
            <w:tcW w:w="4808" w:type="dxa"/>
            <w:vAlign w:val="center"/>
          </w:tcPr>
          <w:p w:rsidR="0075539A" w:rsidRDefault="00F533D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1,033.80</w:t>
            </w:r>
          </w:p>
        </w:tc>
      </w:tr>
      <w:tr w:rsidR="0075539A">
        <w:tc>
          <w:tcPr>
            <w:tcW w:w="1110" w:type="dxa"/>
            <w:vAlign w:val="center"/>
          </w:tcPr>
          <w:p w:rsidR="0075539A" w:rsidRDefault="00F533D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5</w:t>
            </w:r>
          </w:p>
        </w:tc>
        <w:tc>
          <w:tcPr>
            <w:tcW w:w="2761" w:type="dxa"/>
            <w:vAlign w:val="center"/>
          </w:tcPr>
          <w:p w:rsidR="0075539A" w:rsidRDefault="00F533D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应收申购款</w:t>
            </w:r>
          </w:p>
        </w:tc>
        <w:tc>
          <w:tcPr>
            <w:tcW w:w="4808" w:type="dxa"/>
            <w:vAlign w:val="center"/>
          </w:tcPr>
          <w:p w:rsidR="0075539A" w:rsidRDefault="00F533D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75539A">
        <w:tc>
          <w:tcPr>
            <w:tcW w:w="1110" w:type="dxa"/>
            <w:vAlign w:val="center"/>
          </w:tcPr>
          <w:p w:rsidR="0075539A" w:rsidRDefault="00F533D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6</w:t>
            </w:r>
          </w:p>
        </w:tc>
        <w:tc>
          <w:tcPr>
            <w:tcW w:w="2761" w:type="dxa"/>
            <w:vAlign w:val="center"/>
          </w:tcPr>
          <w:p w:rsidR="0075539A" w:rsidRDefault="00F533D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其他应收款</w:t>
            </w:r>
          </w:p>
        </w:tc>
        <w:tc>
          <w:tcPr>
            <w:tcW w:w="4808" w:type="dxa"/>
            <w:vAlign w:val="center"/>
          </w:tcPr>
          <w:p w:rsidR="0075539A" w:rsidRDefault="00F533D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75539A">
        <w:tc>
          <w:tcPr>
            <w:tcW w:w="1110" w:type="dxa"/>
            <w:vAlign w:val="center"/>
          </w:tcPr>
          <w:p w:rsidR="0075539A" w:rsidRDefault="00F533D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7</w:t>
            </w:r>
          </w:p>
        </w:tc>
        <w:tc>
          <w:tcPr>
            <w:tcW w:w="2761" w:type="dxa"/>
            <w:vAlign w:val="center"/>
          </w:tcPr>
          <w:p w:rsidR="0075539A" w:rsidRDefault="00F533DF">
            <w:pPr>
              <w:autoSpaceDE w:val="0"/>
              <w:autoSpaceDN w:val="0"/>
              <w:adjustRightInd w:val="0"/>
              <w:spacing w:before="29" w:line="360" w:lineRule="auto"/>
              <w:ind w:left="15"/>
              <w:jc w:val="left"/>
              <w:rPr>
                <w:rFonts w:eastAsiaTheme="minorEastAsia"/>
                <w:color w:val="000000" w:themeColor="text1"/>
                <w:szCs w:val="21"/>
              </w:rPr>
            </w:pPr>
            <w:r>
              <w:rPr>
                <w:rFonts w:eastAsiaTheme="minorEastAsia"/>
                <w:color w:val="000000" w:themeColor="text1"/>
                <w:szCs w:val="21"/>
              </w:rPr>
              <w:t>待摊费用</w:t>
            </w:r>
          </w:p>
        </w:tc>
        <w:tc>
          <w:tcPr>
            <w:tcW w:w="4808" w:type="dxa"/>
            <w:vAlign w:val="center"/>
          </w:tcPr>
          <w:p w:rsidR="0075539A" w:rsidRDefault="00F533DF">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75539A">
        <w:tc>
          <w:tcPr>
            <w:tcW w:w="1110" w:type="dxa"/>
            <w:vAlign w:val="center"/>
          </w:tcPr>
          <w:p w:rsidR="0075539A" w:rsidRDefault="00F533D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2761" w:type="dxa"/>
            <w:vAlign w:val="center"/>
          </w:tcPr>
          <w:p w:rsidR="0075539A" w:rsidRDefault="00F533D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w:t>
            </w:r>
          </w:p>
        </w:tc>
        <w:tc>
          <w:tcPr>
            <w:tcW w:w="4808" w:type="dxa"/>
            <w:vAlign w:val="center"/>
          </w:tcPr>
          <w:p w:rsidR="0075539A" w:rsidRDefault="00F533D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75539A">
        <w:tc>
          <w:tcPr>
            <w:tcW w:w="1110" w:type="dxa"/>
            <w:vAlign w:val="center"/>
          </w:tcPr>
          <w:p w:rsidR="0075539A" w:rsidRDefault="00F533D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2761" w:type="dxa"/>
            <w:vAlign w:val="center"/>
          </w:tcPr>
          <w:p w:rsidR="0075539A" w:rsidRDefault="00F533D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合计</w:t>
            </w:r>
          </w:p>
        </w:tc>
        <w:tc>
          <w:tcPr>
            <w:tcW w:w="4808" w:type="dxa"/>
            <w:vAlign w:val="center"/>
          </w:tcPr>
          <w:p w:rsidR="0075539A" w:rsidRDefault="00F533D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281,434.82</w:t>
            </w:r>
          </w:p>
        </w:tc>
      </w:tr>
    </w:tbl>
    <w:p w:rsidR="0075539A" w:rsidRDefault="00F533DF" w:rsidP="00F533DF">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5.11.4</w:t>
      </w:r>
      <w:r>
        <w:rPr>
          <w:rFonts w:eastAsiaTheme="minorEastAsia"/>
          <w:b/>
          <w:color w:val="000000" w:themeColor="text1"/>
          <w:kern w:val="0"/>
          <w:szCs w:val="21"/>
        </w:rPr>
        <w:t>报告期末持有的处于转股期的可转换债券明细</w:t>
      </w:r>
    </w:p>
    <w:p w:rsidR="0075539A" w:rsidRDefault="00F533D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75539A" w:rsidRDefault="00F533DF" w:rsidP="00F533DF">
      <w:pPr>
        <w:autoSpaceDE w:val="0"/>
        <w:autoSpaceDN w:val="0"/>
        <w:adjustRightInd w:val="0"/>
        <w:spacing w:beforeLines="100" w:line="360" w:lineRule="auto"/>
        <w:jc w:val="left"/>
        <w:rPr>
          <w:rFonts w:eastAsiaTheme="minorEastAsia"/>
          <w:b/>
          <w:bCs/>
          <w:color w:val="000000" w:themeColor="text1"/>
          <w:szCs w:val="21"/>
        </w:rPr>
      </w:pPr>
      <w:r>
        <w:rPr>
          <w:rFonts w:eastAsiaTheme="minorEastAsia"/>
          <w:b/>
          <w:color w:val="000000" w:themeColor="text1"/>
          <w:kern w:val="0"/>
          <w:szCs w:val="21"/>
        </w:rPr>
        <w:t>5.11.5</w:t>
      </w:r>
      <w:r>
        <w:rPr>
          <w:rFonts w:eastAsiaTheme="minorEastAsia"/>
          <w:b/>
          <w:bCs/>
          <w:color w:val="000000" w:themeColor="text1"/>
          <w:szCs w:val="21"/>
        </w:rPr>
        <w:t>报告期末前十名股票中存在流通受限情况的说明</w:t>
      </w:r>
    </w:p>
    <w:tbl>
      <w:tblPr>
        <w:tblStyle w:val="af6"/>
        <w:tblW w:w="8513" w:type="dxa"/>
        <w:tblInd w:w="108" w:type="dxa"/>
        <w:tblLayout w:type="fixed"/>
        <w:tblLook w:val="04A0"/>
      </w:tblPr>
      <w:tblGrid>
        <w:gridCol w:w="1083"/>
        <w:gridCol w:w="1302"/>
        <w:gridCol w:w="1301"/>
        <w:gridCol w:w="1805"/>
        <w:gridCol w:w="1655"/>
        <w:gridCol w:w="1367"/>
      </w:tblGrid>
      <w:tr w:rsidR="0075539A">
        <w:tc>
          <w:tcPr>
            <w:tcW w:w="1083" w:type="dxa"/>
            <w:vAlign w:val="center"/>
          </w:tcPr>
          <w:p w:rsidR="0075539A" w:rsidRDefault="00F533DF">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302" w:type="dxa"/>
            <w:vAlign w:val="center"/>
          </w:tcPr>
          <w:p w:rsidR="0075539A" w:rsidRDefault="00F533DF">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301" w:type="dxa"/>
            <w:vAlign w:val="center"/>
          </w:tcPr>
          <w:p w:rsidR="0075539A" w:rsidRDefault="00F533DF">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1805" w:type="dxa"/>
            <w:vAlign w:val="center"/>
          </w:tcPr>
          <w:p w:rsidR="0075539A" w:rsidRDefault="00F533DF">
            <w:pPr>
              <w:spacing w:before="29" w:line="360" w:lineRule="auto"/>
              <w:ind w:left="17"/>
              <w:jc w:val="center"/>
              <w:rPr>
                <w:rFonts w:eastAsiaTheme="minorEastAsia"/>
                <w:color w:val="000000" w:themeColor="text1"/>
                <w:szCs w:val="21"/>
              </w:rPr>
            </w:pPr>
            <w:r>
              <w:rPr>
                <w:rFonts w:eastAsiaTheme="minorEastAsia"/>
                <w:color w:val="000000" w:themeColor="text1"/>
                <w:szCs w:val="21"/>
              </w:rPr>
              <w:t>流通受限部分的公允价值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55" w:type="dxa"/>
            <w:vAlign w:val="center"/>
          </w:tcPr>
          <w:p w:rsidR="0075539A" w:rsidRDefault="00F533DF">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p>
        </w:tc>
        <w:tc>
          <w:tcPr>
            <w:tcW w:w="1367" w:type="dxa"/>
            <w:vAlign w:val="center"/>
          </w:tcPr>
          <w:p w:rsidR="0075539A" w:rsidRDefault="00F533DF">
            <w:pPr>
              <w:spacing w:before="29" w:line="360" w:lineRule="auto"/>
              <w:ind w:left="17"/>
              <w:jc w:val="center"/>
              <w:rPr>
                <w:rFonts w:eastAsiaTheme="minorEastAsia"/>
                <w:color w:val="000000" w:themeColor="text1"/>
                <w:szCs w:val="21"/>
              </w:rPr>
            </w:pPr>
            <w:r>
              <w:rPr>
                <w:rFonts w:eastAsiaTheme="minorEastAsia"/>
                <w:color w:val="000000" w:themeColor="text1"/>
                <w:szCs w:val="21"/>
              </w:rPr>
              <w:t>流通受限情况说明</w:t>
            </w:r>
          </w:p>
        </w:tc>
      </w:tr>
      <w:tr w:rsidR="0075539A">
        <w:tc>
          <w:tcPr>
            <w:tcW w:w="1083" w:type="dxa"/>
            <w:vAlign w:val="center"/>
          </w:tcPr>
          <w:p w:rsidR="0075539A" w:rsidRDefault="00F533DF">
            <w:pPr>
              <w:jc w:val="center"/>
            </w:pPr>
            <w:r>
              <w:rPr>
                <w:rFonts w:eastAsiaTheme="minorEastAsia"/>
                <w:color w:val="000000" w:themeColor="text1"/>
                <w:szCs w:val="21"/>
              </w:rPr>
              <w:t>1</w:t>
            </w:r>
          </w:p>
        </w:tc>
        <w:tc>
          <w:tcPr>
            <w:tcW w:w="1302" w:type="dxa"/>
            <w:vAlign w:val="center"/>
          </w:tcPr>
          <w:p w:rsidR="0075539A" w:rsidRDefault="00F533DF">
            <w:pPr>
              <w:jc w:val="center"/>
            </w:pPr>
            <w:r>
              <w:rPr>
                <w:rFonts w:eastAsiaTheme="minorEastAsia"/>
                <w:color w:val="000000" w:themeColor="text1"/>
                <w:szCs w:val="21"/>
              </w:rPr>
              <w:t>601600</w:t>
            </w:r>
          </w:p>
        </w:tc>
        <w:tc>
          <w:tcPr>
            <w:tcW w:w="1301" w:type="dxa"/>
            <w:vAlign w:val="center"/>
          </w:tcPr>
          <w:p w:rsidR="0075539A" w:rsidRDefault="00F533DF">
            <w:pPr>
              <w:jc w:val="center"/>
            </w:pPr>
            <w:r>
              <w:rPr>
                <w:rFonts w:eastAsiaTheme="minorEastAsia"/>
                <w:color w:val="000000" w:themeColor="text1"/>
                <w:szCs w:val="21"/>
              </w:rPr>
              <w:t>中国铝业</w:t>
            </w:r>
          </w:p>
        </w:tc>
        <w:tc>
          <w:tcPr>
            <w:tcW w:w="1805" w:type="dxa"/>
            <w:vAlign w:val="center"/>
          </w:tcPr>
          <w:p w:rsidR="0075539A" w:rsidRDefault="00F533DF">
            <w:pPr>
              <w:jc w:val="right"/>
            </w:pPr>
            <w:r>
              <w:rPr>
                <w:rFonts w:eastAsiaTheme="minorEastAsia"/>
                <w:color w:val="000000" w:themeColor="text1"/>
                <w:szCs w:val="21"/>
              </w:rPr>
              <w:t>4,669,000.00</w:t>
            </w:r>
          </w:p>
        </w:tc>
        <w:tc>
          <w:tcPr>
            <w:tcW w:w="1655" w:type="dxa"/>
            <w:vAlign w:val="center"/>
          </w:tcPr>
          <w:p w:rsidR="0075539A" w:rsidRDefault="00F533DF">
            <w:pPr>
              <w:jc w:val="right"/>
            </w:pPr>
            <w:r>
              <w:rPr>
                <w:rFonts w:eastAsiaTheme="minorEastAsia"/>
                <w:color w:val="000000" w:themeColor="text1"/>
                <w:szCs w:val="21"/>
              </w:rPr>
              <w:t>51.87</w:t>
            </w:r>
          </w:p>
        </w:tc>
        <w:tc>
          <w:tcPr>
            <w:tcW w:w="1367" w:type="dxa"/>
            <w:vAlign w:val="center"/>
          </w:tcPr>
          <w:p w:rsidR="0075539A" w:rsidRDefault="00F533DF">
            <w:pPr>
              <w:jc w:val="right"/>
            </w:pPr>
            <w:r>
              <w:rPr>
                <w:rFonts w:eastAsiaTheme="minorEastAsia"/>
                <w:color w:val="000000" w:themeColor="text1"/>
                <w:szCs w:val="21"/>
              </w:rPr>
              <w:t>重大资产重组</w:t>
            </w:r>
          </w:p>
        </w:tc>
      </w:tr>
    </w:tbl>
    <w:p w:rsidR="0075539A" w:rsidRDefault="00F533DF" w:rsidP="00F533DF">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§6  </w:t>
      </w:r>
      <w:r>
        <w:rPr>
          <w:rFonts w:eastAsiaTheme="minorEastAsia"/>
          <w:color w:val="000000" w:themeColor="text1"/>
          <w:kern w:val="0"/>
          <w:sz w:val="21"/>
          <w:szCs w:val="21"/>
        </w:rPr>
        <w:t>开放式基金份额变动</w:t>
      </w:r>
    </w:p>
    <w:p w:rsidR="0075539A" w:rsidRDefault="00F533DF">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单位：份</w:t>
      </w:r>
    </w:p>
    <w:tbl>
      <w:tblPr>
        <w:tblW w:w="8634" w:type="dxa"/>
        <w:tblInd w:w="108" w:type="dxa"/>
        <w:tblLayout w:type="fixed"/>
        <w:tblLook w:val="04A0"/>
      </w:tblPr>
      <w:tblGrid>
        <w:gridCol w:w="3900"/>
        <w:gridCol w:w="2367"/>
        <w:gridCol w:w="2367"/>
      </w:tblGrid>
      <w:tr w:rsidR="0075539A">
        <w:tc>
          <w:tcPr>
            <w:tcW w:w="3900" w:type="dxa"/>
            <w:tcBorders>
              <w:top w:val="single" w:sz="8" w:space="0" w:color="000000"/>
              <w:left w:val="single" w:sz="8" w:space="0" w:color="000000"/>
              <w:bottom w:val="single" w:sz="8" w:space="0" w:color="000000"/>
              <w:right w:val="single" w:sz="8" w:space="0" w:color="000000"/>
            </w:tcBorders>
            <w:vAlign w:val="center"/>
          </w:tcPr>
          <w:p w:rsidR="0075539A" w:rsidRDefault="00F533DF">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75539A" w:rsidRDefault="00F533D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华安安润灵活配置混合</w:t>
            </w:r>
            <w:r>
              <w:rPr>
                <w:rFonts w:eastAsiaTheme="minorEastAsia"/>
                <w:color w:val="000000" w:themeColor="text1"/>
                <w:szCs w:val="21"/>
              </w:rPr>
              <w:t>A</w:t>
            </w:r>
            <w:r>
              <w:rPr>
                <w:rFonts w:eastAsiaTheme="minorEastAsia"/>
                <w:color w:val="000000" w:themeColor="text1"/>
                <w:szCs w:val="21"/>
              </w:rPr>
              <w:t>类</w:t>
            </w:r>
          </w:p>
        </w:tc>
        <w:tc>
          <w:tcPr>
            <w:tcW w:w="2367" w:type="dxa"/>
            <w:tcBorders>
              <w:top w:val="single" w:sz="8" w:space="0" w:color="000000"/>
              <w:left w:val="single" w:sz="8" w:space="0" w:color="000000"/>
              <w:bottom w:val="single" w:sz="8" w:space="0" w:color="000000"/>
              <w:right w:val="single" w:sz="8" w:space="0" w:color="000000"/>
            </w:tcBorders>
            <w:vAlign w:val="center"/>
          </w:tcPr>
          <w:p w:rsidR="0075539A" w:rsidRDefault="00F533D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华安安润灵活配置混合</w:t>
            </w:r>
            <w:r>
              <w:rPr>
                <w:rFonts w:eastAsiaTheme="minorEastAsia"/>
                <w:color w:val="000000" w:themeColor="text1"/>
                <w:szCs w:val="21"/>
              </w:rPr>
              <w:t>C</w:t>
            </w:r>
            <w:r>
              <w:rPr>
                <w:rFonts w:eastAsiaTheme="minorEastAsia"/>
                <w:color w:val="000000" w:themeColor="text1"/>
                <w:szCs w:val="21"/>
              </w:rPr>
              <w:t>类</w:t>
            </w:r>
          </w:p>
        </w:tc>
      </w:tr>
      <w:tr w:rsidR="0075539A">
        <w:tc>
          <w:tcPr>
            <w:tcW w:w="3900" w:type="dxa"/>
            <w:tcBorders>
              <w:top w:val="single" w:sz="8" w:space="0" w:color="000000"/>
              <w:left w:val="single" w:sz="8" w:space="0" w:color="000000"/>
              <w:bottom w:val="single" w:sz="8" w:space="0" w:color="000000"/>
              <w:right w:val="single" w:sz="8" w:space="0" w:color="000000"/>
            </w:tcBorders>
            <w:vAlign w:val="center"/>
          </w:tcPr>
          <w:p w:rsidR="0075539A" w:rsidRDefault="00F533DF">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75539A" w:rsidRDefault="00F533D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500,042,635.36</w:t>
            </w:r>
          </w:p>
        </w:tc>
        <w:tc>
          <w:tcPr>
            <w:tcW w:w="2367" w:type="dxa"/>
            <w:tcBorders>
              <w:top w:val="single" w:sz="8" w:space="0" w:color="000000"/>
              <w:left w:val="single" w:sz="8" w:space="0" w:color="000000"/>
              <w:bottom w:val="single" w:sz="8" w:space="0" w:color="000000"/>
              <w:right w:val="single" w:sz="8" w:space="0" w:color="000000"/>
            </w:tcBorders>
            <w:vAlign w:val="center"/>
          </w:tcPr>
          <w:p w:rsidR="0075539A" w:rsidRDefault="00F533D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21,821.55</w:t>
            </w:r>
          </w:p>
        </w:tc>
      </w:tr>
      <w:tr w:rsidR="0075539A">
        <w:tc>
          <w:tcPr>
            <w:tcW w:w="3900" w:type="dxa"/>
            <w:tcBorders>
              <w:top w:val="single" w:sz="8" w:space="0" w:color="000000"/>
              <w:left w:val="single" w:sz="8" w:space="0" w:color="000000"/>
              <w:bottom w:val="single" w:sz="8" w:space="0" w:color="000000"/>
              <w:right w:val="single" w:sz="8" w:space="0" w:color="000000"/>
            </w:tcBorders>
            <w:vAlign w:val="center"/>
          </w:tcPr>
          <w:p w:rsidR="0075539A" w:rsidRDefault="00F533DF">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75539A" w:rsidRDefault="00F533D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9.66</w:t>
            </w:r>
          </w:p>
        </w:tc>
        <w:tc>
          <w:tcPr>
            <w:tcW w:w="2367" w:type="dxa"/>
            <w:tcBorders>
              <w:top w:val="single" w:sz="8" w:space="0" w:color="000000"/>
              <w:left w:val="single" w:sz="8" w:space="0" w:color="000000"/>
              <w:bottom w:val="single" w:sz="8" w:space="0" w:color="000000"/>
              <w:right w:val="single" w:sz="8" w:space="0" w:color="000000"/>
            </w:tcBorders>
            <w:vAlign w:val="center"/>
          </w:tcPr>
          <w:p w:rsidR="0075539A" w:rsidRDefault="00F533D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26,754.72</w:t>
            </w:r>
          </w:p>
        </w:tc>
      </w:tr>
      <w:tr w:rsidR="0075539A">
        <w:tc>
          <w:tcPr>
            <w:tcW w:w="3900" w:type="dxa"/>
            <w:tcBorders>
              <w:top w:val="single" w:sz="8" w:space="0" w:color="000000"/>
              <w:left w:val="single" w:sz="8" w:space="0" w:color="000000"/>
              <w:bottom w:val="single" w:sz="8" w:space="0" w:color="000000"/>
              <w:right w:val="single" w:sz="8" w:space="0" w:color="000000"/>
            </w:tcBorders>
            <w:vAlign w:val="center"/>
          </w:tcPr>
          <w:p w:rsidR="0075539A" w:rsidRDefault="00F533DF">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75539A" w:rsidRDefault="00F533D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491,501,200.38</w:t>
            </w:r>
          </w:p>
        </w:tc>
        <w:tc>
          <w:tcPr>
            <w:tcW w:w="2367" w:type="dxa"/>
            <w:tcBorders>
              <w:top w:val="single" w:sz="8" w:space="0" w:color="000000"/>
              <w:left w:val="single" w:sz="8" w:space="0" w:color="000000"/>
              <w:bottom w:val="single" w:sz="8" w:space="0" w:color="000000"/>
              <w:right w:val="single" w:sz="8" w:space="0" w:color="000000"/>
            </w:tcBorders>
            <w:vAlign w:val="center"/>
          </w:tcPr>
          <w:p w:rsidR="0075539A" w:rsidRDefault="00F533D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9.00</w:t>
            </w:r>
          </w:p>
        </w:tc>
      </w:tr>
      <w:tr w:rsidR="0075539A">
        <w:tc>
          <w:tcPr>
            <w:tcW w:w="3900" w:type="dxa"/>
            <w:tcBorders>
              <w:top w:val="single" w:sz="8" w:space="0" w:color="000000"/>
              <w:left w:val="single" w:sz="8" w:space="0" w:color="000000"/>
              <w:bottom w:val="single" w:sz="8" w:space="0" w:color="000000"/>
              <w:right w:val="single" w:sz="8" w:space="0" w:color="000000"/>
            </w:tcBorders>
            <w:vAlign w:val="center"/>
          </w:tcPr>
          <w:p w:rsidR="0075539A" w:rsidRDefault="00F533DF">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75539A" w:rsidRDefault="00F533D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75539A" w:rsidRDefault="00F533D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5539A">
        <w:tc>
          <w:tcPr>
            <w:tcW w:w="3900" w:type="dxa"/>
            <w:tcBorders>
              <w:top w:val="single" w:sz="8" w:space="0" w:color="000000"/>
              <w:left w:val="single" w:sz="8" w:space="0" w:color="000000"/>
              <w:bottom w:val="single" w:sz="8" w:space="0" w:color="000000"/>
              <w:right w:val="single" w:sz="8" w:space="0" w:color="000000"/>
            </w:tcBorders>
            <w:vAlign w:val="center"/>
          </w:tcPr>
          <w:p w:rsidR="0075539A" w:rsidRDefault="00F533DF">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75539A" w:rsidRDefault="00F533D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8,541,444.64</w:t>
            </w:r>
          </w:p>
        </w:tc>
        <w:tc>
          <w:tcPr>
            <w:tcW w:w="2367" w:type="dxa"/>
            <w:tcBorders>
              <w:top w:val="single" w:sz="8" w:space="0" w:color="000000"/>
              <w:left w:val="single" w:sz="8" w:space="0" w:color="000000"/>
              <w:bottom w:val="single" w:sz="8" w:space="0" w:color="000000"/>
              <w:right w:val="single" w:sz="8" w:space="0" w:color="000000"/>
            </w:tcBorders>
            <w:vAlign w:val="center"/>
          </w:tcPr>
          <w:p w:rsidR="0075539A" w:rsidRDefault="00F533D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48,567.27</w:t>
            </w:r>
          </w:p>
        </w:tc>
      </w:tr>
    </w:tbl>
    <w:p w:rsidR="0075539A" w:rsidRDefault="00F533DF" w:rsidP="00F533DF">
      <w:pPr>
        <w:pStyle w:val="1"/>
        <w:tabs>
          <w:tab w:val="center" w:pos="4156"/>
          <w:tab w:val="right" w:pos="8312"/>
        </w:tabs>
        <w:spacing w:beforeLines="100" w:afterLines="100" w:line="360" w:lineRule="auto"/>
        <w:jc w:val="center"/>
        <w:rPr>
          <w:color w:val="000000" w:themeColor="text1"/>
          <w:sz w:val="21"/>
          <w:szCs w:val="21"/>
        </w:rPr>
      </w:pPr>
      <w:r>
        <w:rPr>
          <w:rFonts w:eastAsiaTheme="minorEastAsia"/>
          <w:color w:val="000000" w:themeColor="text1"/>
          <w:kern w:val="0"/>
          <w:sz w:val="21"/>
          <w:szCs w:val="21"/>
        </w:rPr>
        <w:t>§7</w:t>
      </w:r>
      <w:r>
        <w:rPr>
          <w:rFonts w:hint="eastAsia"/>
          <w:color w:val="000000"/>
          <w:sz w:val="21"/>
          <w:szCs w:val="21"/>
          <w:shd w:val="clear" w:color="auto" w:fill="FFFFFF"/>
        </w:rPr>
        <w:t>基金管理人运用固有资金投资本基金情况</w:t>
      </w:r>
    </w:p>
    <w:p w:rsidR="0075539A" w:rsidRDefault="00F533DF">
      <w:pPr>
        <w:spacing w:line="360" w:lineRule="auto"/>
        <w:jc w:val="left"/>
        <w:rPr>
          <w:color w:val="000000" w:themeColor="text1"/>
          <w:szCs w:val="21"/>
        </w:rPr>
      </w:pPr>
      <w:r>
        <w:rPr>
          <w:b/>
          <w:color w:val="000000" w:themeColor="text1"/>
          <w:szCs w:val="21"/>
        </w:rPr>
        <w:t>7.1</w:t>
      </w:r>
      <w:r>
        <w:rPr>
          <w:rFonts w:eastAsiaTheme="minorEastAsia" w:hint="eastAsia"/>
          <w:b/>
          <w:bCs/>
          <w:color w:val="000000" w:themeColor="text1"/>
          <w:kern w:val="44"/>
          <w:szCs w:val="21"/>
        </w:rPr>
        <w:t>基金管理人持有本基金份额变动情况</w:t>
      </w:r>
    </w:p>
    <w:p w:rsidR="0075539A" w:rsidRDefault="00F533D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75539A" w:rsidRDefault="00F533DF" w:rsidP="00F533DF">
      <w:pPr>
        <w:spacing w:beforeLines="100" w:line="360" w:lineRule="auto"/>
        <w:jc w:val="left"/>
        <w:rPr>
          <w:color w:val="000000" w:themeColor="text1"/>
          <w:szCs w:val="21"/>
        </w:rPr>
      </w:pPr>
      <w:r>
        <w:rPr>
          <w:b/>
          <w:color w:val="000000" w:themeColor="text1"/>
          <w:szCs w:val="21"/>
        </w:rPr>
        <w:t>7.2</w:t>
      </w:r>
      <w:r>
        <w:rPr>
          <w:rFonts w:hint="eastAsia"/>
          <w:b/>
          <w:color w:val="000000"/>
          <w:szCs w:val="21"/>
          <w:shd w:val="clear" w:color="auto" w:fill="FFFFFF"/>
        </w:rPr>
        <w:t>基金管理人运用固有资金投资本基金交易明细</w:t>
      </w:r>
    </w:p>
    <w:p w:rsidR="0075539A" w:rsidRDefault="00F533D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75539A" w:rsidRDefault="00F533DF" w:rsidP="00F533DF">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color w:val="000000" w:themeColor="text1"/>
          <w:kern w:val="0"/>
          <w:sz w:val="21"/>
          <w:szCs w:val="21"/>
        </w:rPr>
        <w:t>影响投资者决策的其他重要信息</w:t>
      </w:r>
    </w:p>
    <w:p w:rsidR="0075539A" w:rsidRDefault="00F533DF">
      <w:pPr>
        <w:autoSpaceDE w:val="0"/>
        <w:autoSpaceDN w:val="0"/>
        <w:adjustRightInd w:val="0"/>
        <w:spacing w:line="360" w:lineRule="auto"/>
        <w:jc w:val="left"/>
        <w:rPr>
          <w:rFonts w:ascii="宋体" w:hAnsi="宋体"/>
          <w:b/>
          <w:bCs/>
          <w:color w:val="000000"/>
          <w:kern w:val="0"/>
          <w:szCs w:val="21"/>
        </w:rPr>
      </w:pPr>
      <w:r>
        <w:rPr>
          <w:rFonts w:ascii="宋体" w:hAnsi="宋体"/>
          <w:b/>
          <w:bCs/>
          <w:color w:val="000000"/>
          <w:kern w:val="0"/>
          <w:szCs w:val="21"/>
        </w:rPr>
        <w:t>8.</w:t>
      </w:r>
      <w:r>
        <w:rPr>
          <w:rFonts w:ascii="宋体" w:hAnsi="宋体" w:hint="eastAsia"/>
          <w:b/>
          <w:bCs/>
          <w:color w:val="000000"/>
          <w:kern w:val="0"/>
          <w:szCs w:val="21"/>
        </w:rPr>
        <w:t xml:space="preserve">1 </w:t>
      </w:r>
      <w:r>
        <w:rPr>
          <w:rFonts w:ascii="宋体" w:hAnsi="宋体" w:hint="eastAsia"/>
          <w:b/>
          <w:bCs/>
          <w:color w:val="000000"/>
          <w:kern w:val="0"/>
          <w:szCs w:val="21"/>
        </w:rPr>
        <w:t>报告期内单一投资者持有基金份额比例达到或超过</w:t>
      </w:r>
      <w:r>
        <w:rPr>
          <w:rFonts w:ascii="宋体" w:hAnsi="宋体" w:hint="eastAsia"/>
          <w:b/>
          <w:bCs/>
          <w:color w:val="000000"/>
          <w:kern w:val="0"/>
          <w:szCs w:val="21"/>
        </w:rPr>
        <w:t>20%</w:t>
      </w:r>
      <w:r>
        <w:rPr>
          <w:rFonts w:ascii="宋体" w:hAnsi="宋体" w:hint="eastAsia"/>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1843"/>
        <w:gridCol w:w="851"/>
        <w:gridCol w:w="850"/>
        <w:gridCol w:w="1134"/>
        <w:gridCol w:w="1419"/>
        <w:gridCol w:w="1130"/>
      </w:tblGrid>
      <w:tr w:rsidR="0075539A">
        <w:tc>
          <w:tcPr>
            <w:tcW w:w="993" w:type="dxa"/>
            <w:vMerge w:val="restart"/>
            <w:vAlign w:val="center"/>
          </w:tcPr>
          <w:p w:rsidR="0075539A" w:rsidRDefault="00F533D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p>
        </w:tc>
        <w:tc>
          <w:tcPr>
            <w:tcW w:w="5670" w:type="dxa"/>
            <w:gridSpan w:val="5"/>
            <w:vAlign w:val="center"/>
          </w:tcPr>
          <w:p w:rsidR="0075539A" w:rsidRDefault="00F533D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75539A" w:rsidRDefault="00F533D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75539A">
        <w:tc>
          <w:tcPr>
            <w:tcW w:w="993" w:type="dxa"/>
            <w:vMerge/>
            <w:vAlign w:val="center"/>
          </w:tcPr>
          <w:p w:rsidR="0075539A" w:rsidRDefault="0075539A">
            <w:pPr>
              <w:autoSpaceDE w:val="0"/>
              <w:autoSpaceDN w:val="0"/>
              <w:adjustRightInd w:val="0"/>
              <w:jc w:val="center"/>
              <w:rPr>
                <w:rFonts w:ascii="宋体" w:hAnsi="宋体"/>
                <w:b/>
                <w:bCs/>
                <w:color w:val="000000"/>
                <w:kern w:val="0"/>
                <w:szCs w:val="21"/>
              </w:rPr>
            </w:pPr>
          </w:p>
        </w:tc>
        <w:tc>
          <w:tcPr>
            <w:tcW w:w="992" w:type="dxa"/>
            <w:vAlign w:val="center"/>
          </w:tcPr>
          <w:p w:rsidR="0075539A" w:rsidRDefault="00F533D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75539A" w:rsidRDefault="00F533D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w:t>
            </w:r>
            <w:r>
              <w:rPr>
                <w:rFonts w:ascii="宋体" w:hAnsi="宋体" w:hint="eastAsia"/>
                <w:color w:val="000000"/>
                <w:kern w:val="0"/>
                <w:szCs w:val="21"/>
              </w:rPr>
              <w:t>20%</w:t>
            </w:r>
            <w:r>
              <w:rPr>
                <w:rFonts w:ascii="宋体" w:hAnsi="宋体" w:hint="eastAsia"/>
                <w:color w:val="000000"/>
                <w:kern w:val="0"/>
                <w:szCs w:val="21"/>
              </w:rPr>
              <w:t>的时间区间</w:t>
            </w:r>
          </w:p>
        </w:tc>
        <w:tc>
          <w:tcPr>
            <w:tcW w:w="851" w:type="dxa"/>
            <w:vAlign w:val="center"/>
          </w:tcPr>
          <w:p w:rsidR="0075539A" w:rsidRDefault="00F533DF">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75539A" w:rsidRDefault="00F533DF">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75539A" w:rsidRDefault="00F533DF">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75539A" w:rsidRDefault="00F533D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75539A" w:rsidRDefault="00F533D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75539A">
        <w:tc>
          <w:tcPr>
            <w:tcW w:w="993" w:type="dxa"/>
            <w:vMerge w:val="restart"/>
          </w:tcPr>
          <w:p w:rsidR="0075539A" w:rsidRDefault="0075539A"/>
          <w:p w:rsidR="0075539A" w:rsidRDefault="00F533DF">
            <w:r>
              <w:rPr>
                <w:rFonts w:ascii="宋体" w:hAnsi="宋体" w:hint="eastAsia"/>
                <w:bCs/>
                <w:color w:val="000000"/>
                <w:kern w:val="0"/>
                <w:szCs w:val="21"/>
              </w:rPr>
              <w:t>机构</w:t>
            </w:r>
          </w:p>
        </w:tc>
        <w:tc>
          <w:tcPr>
            <w:tcW w:w="992" w:type="dxa"/>
            <w:vAlign w:val="center"/>
          </w:tcPr>
          <w:p w:rsidR="0075539A" w:rsidRDefault="00F533DF">
            <w:pPr>
              <w:jc w:val="center"/>
            </w:pPr>
            <w:r>
              <w:rPr>
                <w:rFonts w:ascii="宋体" w:hAnsi="宋体"/>
                <w:color w:val="000000"/>
                <w:kern w:val="0"/>
                <w:szCs w:val="21"/>
              </w:rPr>
              <w:t>1</w:t>
            </w:r>
          </w:p>
        </w:tc>
        <w:tc>
          <w:tcPr>
            <w:tcW w:w="1843" w:type="dxa"/>
            <w:vAlign w:val="center"/>
          </w:tcPr>
          <w:p w:rsidR="0075539A" w:rsidRDefault="00F533DF">
            <w:pPr>
              <w:jc w:val="center"/>
            </w:pPr>
            <w:r>
              <w:rPr>
                <w:rFonts w:ascii="宋体" w:hAnsi="宋体"/>
                <w:color w:val="000000"/>
                <w:kern w:val="0"/>
                <w:szCs w:val="21"/>
              </w:rPr>
              <w:t>20171001-20171231</w:t>
            </w:r>
          </w:p>
        </w:tc>
        <w:tc>
          <w:tcPr>
            <w:tcW w:w="851" w:type="dxa"/>
            <w:vAlign w:val="center"/>
          </w:tcPr>
          <w:p w:rsidR="0075539A" w:rsidRDefault="00F533DF">
            <w:pPr>
              <w:jc w:val="center"/>
            </w:pPr>
            <w:r>
              <w:rPr>
                <w:rFonts w:ascii="宋体" w:hAnsi="宋体"/>
                <w:color w:val="000000"/>
                <w:kern w:val="0"/>
                <w:szCs w:val="21"/>
              </w:rPr>
              <w:t>499,999,000.00</w:t>
            </w:r>
          </w:p>
        </w:tc>
        <w:tc>
          <w:tcPr>
            <w:tcW w:w="850" w:type="dxa"/>
            <w:vAlign w:val="center"/>
          </w:tcPr>
          <w:p w:rsidR="0075539A" w:rsidRDefault="00F533DF">
            <w:pPr>
              <w:jc w:val="center"/>
            </w:pPr>
            <w:r>
              <w:rPr>
                <w:rFonts w:ascii="宋体" w:hAnsi="宋体"/>
                <w:color w:val="000000"/>
                <w:kern w:val="0"/>
                <w:szCs w:val="21"/>
              </w:rPr>
              <w:t>0.00</w:t>
            </w:r>
          </w:p>
        </w:tc>
        <w:tc>
          <w:tcPr>
            <w:tcW w:w="1134" w:type="dxa"/>
            <w:vAlign w:val="center"/>
          </w:tcPr>
          <w:p w:rsidR="0075539A" w:rsidRDefault="00F533DF">
            <w:pPr>
              <w:jc w:val="center"/>
            </w:pPr>
            <w:r>
              <w:rPr>
                <w:rFonts w:ascii="宋体" w:hAnsi="宋体"/>
                <w:color w:val="000000"/>
                <w:kern w:val="0"/>
                <w:szCs w:val="21"/>
              </w:rPr>
              <w:t>491,500,000.00</w:t>
            </w:r>
          </w:p>
        </w:tc>
        <w:tc>
          <w:tcPr>
            <w:tcW w:w="1419" w:type="dxa"/>
            <w:vAlign w:val="center"/>
          </w:tcPr>
          <w:p w:rsidR="0075539A" w:rsidRDefault="00F533DF">
            <w:pPr>
              <w:jc w:val="center"/>
            </w:pPr>
            <w:r>
              <w:rPr>
                <w:rFonts w:ascii="宋体" w:hAnsi="宋体"/>
                <w:color w:val="000000"/>
                <w:kern w:val="0"/>
                <w:szCs w:val="21"/>
              </w:rPr>
              <w:t>8,499,000.00</w:t>
            </w:r>
          </w:p>
        </w:tc>
        <w:tc>
          <w:tcPr>
            <w:tcW w:w="1130" w:type="dxa"/>
            <w:vAlign w:val="center"/>
          </w:tcPr>
          <w:p w:rsidR="0075539A" w:rsidRDefault="00F533DF">
            <w:pPr>
              <w:jc w:val="center"/>
            </w:pPr>
            <w:r>
              <w:rPr>
                <w:rFonts w:ascii="宋体" w:hAnsi="宋体"/>
                <w:color w:val="000000"/>
                <w:kern w:val="0"/>
                <w:szCs w:val="21"/>
              </w:rPr>
              <w:t>98.94%</w:t>
            </w:r>
          </w:p>
        </w:tc>
      </w:tr>
      <w:tr w:rsidR="0075539A">
        <w:tc>
          <w:tcPr>
            <w:tcW w:w="9212" w:type="dxa"/>
            <w:gridSpan w:val="8"/>
            <w:vAlign w:val="center"/>
          </w:tcPr>
          <w:p w:rsidR="0075539A" w:rsidRDefault="00F533DF">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75539A">
        <w:tc>
          <w:tcPr>
            <w:tcW w:w="9212" w:type="dxa"/>
            <w:gridSpan w:val="8"/>
            <w:vAlign w:val="center"/>
          </w:tcPr>
          <w:p w:rsidR="0075539A" w:rsidRDefault="00F533DF">
            <w:pPr>
              <w:autoSpaceDE w:val="0"/>
              <w:autoSpaceDN w:val="0"/>
              <w:adjustRightInd w:val="0"/>
              <w:jc w:val="left"/>
              <w:rPr>
                <w:rFonts w:ascii="宋体" w:hAnsi="宋体"/>
                <w:kern w:val="0"/>
                <w:szCs w:val="21"/>
              </w:rPr>
            </w:pPr>
            <w:r>
              <w:rPr>
                <w:rFonts w:ascii="宋体" w:hAnsi="宋体" w:hint="eastAsia"/>
                <w:kern w:val="0"/>
                <w:szCs w:val="21"/>
              </w:rPr>
              <w:t>本基金报告期内出现单一投资者持有基金份额比例达到或者超过</w:t>
            </w:r>
            <w:r>
              <w:rPr>
                <w:rFonts w:ascii="宋体" w:hAnsi="宋体" w:hint="eastAsia"/>
                <w:kern w:val="0"/>
                <w:szCs w:val="21"/>
              </w:rPr>
              <w:t>20%</w:t>
            </w:r>
            <w:r>
              <w:rPr>
                <w:rFonts w:ascii="宋体" w:hAnsi="宋体" w:hint="eastAsia"/>
                <w:kern w:val="0"/>
                <w:szCs w:val="21"/>
              </w:rPr>
              <w:t>的情形。如该单一投资者大额赎回将可能导致基金份额净值波动风险、基金流动性风险等特定风险。</w:t>
            </w:r>
          </w:p>
        </w:tc>
      </w:tr>
    </w:tbl>
    <w:p w:rsidR="0075539A" w:rsidRDefault="00F533DF">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 xml:space="preserve">8.2 </w:t>
      </w:r>
      <w:r>
        <w:rPr>
          <w:rFonts w:ascii="宋体" w:hAnsi="宋体" w:hint="eastAsia"/>
          <w:b/>
          <w:bCs/>
          <w:color w:val="000000"/>
          <w:kern w:val="0"/>
          <w:szCs w:val="21"/>
        </w:rPr>
        <w:t>影响投资者决策的其他重要信息</w:t>
      </w:r>
    </w:p>
    <w:p w:rsidR="0075539A" w:rsidRDefault="00F533DF">
      <w:pPr>
        <w:spacing w:line="360" w:lineRule="auto"/>
        <w:ind w:firstLineChars="200" w:firstLine="420"/>
        <w:rPr>
          <w:rFonts w:ascii="宋体" w:hAnsi="宋体"/>
          <w:color w:val="000000"/>
          <w:szCs w:val="21"/>
        </w:rPr>
      </w:pPr>
      <w:r>
        <w:rPr>
          <w:rFonts w:ascii="宋体" w:hAnsi="宋体"/>
          <w:color w:val="000000"/>
          <w:szCs w:val="21"/>
        </w:rPr>
        <w:t>无。</w:t>
      </w:r>
    </w:p>
    <w:p w:rsidR="0075539A" w:rsidRDefault="00F533DF" w:rsidP="00F533DF">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Pr>
          <w:rFonts w:eastAsiaTheme="minorEastAsia"/>
          <w:color w:val="000000" w:themeColor="text1"/>
          <w:kern w:val="0"/>
          <w:sz w:val="21"/>
          <w:szCs w:val="21"/>
        </w:rPr>
        <w:t>备查文件目录</w:t>
      </w:r>
    </w:p>
    <w:p w:rsidR="0075539A" w:rsidRDefault="00F533DF">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9.1</w:t>
      </w:r>
      <w:r>
        <w:rPr>
          <w:rFonts w:eastAsiaTheme="minorEastAsia"/>
          <w:b/>
          <w:bCs/>
          <w:color w:val="000000" w:themeColor="text1"/>
          <w:kern w:val="0"/>
          <w:szCs w:val="21"/>
        </w:rPr>
        <w:t>备查文件目录</w:t>
      </w:r>
    </w:p>
    <w:p w:rsidR="0075539A" w:rsidRDefault="00F533DF">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、《华安安润灵活配置混合型证券投资基金基金合同》</w:t>
      </w:r>
    </w:p>
    <w:p w:rsidR="0075539A" w:rsidRDefault="00F533DF">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、《华安安润灵活配置混合型证券投资基金招募说明书》</w:t>
      </w:r>
    </w:p>
    <w:p w:rsidR="0075539A" w:rsidRDefault="00F533DF">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、《华安安润灵活配置混合型证券投资基金托管协议》</w:t>
      </w:r>
    </w:p>
    <w:p w:rsidR="0075539A" w:rsidRDefault="00F533DF" w:rsidP="00F533DF">
      <w:pPr>
        <w:autoSpaceDE w:val="0"/>
        <w:autoSpaceDN w:val="0"/>
        <w:adjustRightInd w:val="0"/>
        <w:spacing w:beforeLines="100" w:line="360" w:lineRule="auto"/>
        <w:jc w:val="left"/>
        <w:rPr>
          <w:rFonts w:eastAsiaTheme="minorEastAsia"/>
          <w:b/>
          <w:bCs/>
          <w:color w:val="000000" w:themeColor="text1"/>
          <w:kern w:val="0"/>
          <w:szCs w:val="21"/>
        </w:rPr>
      </w:pPr>
      <w:r>
        <w:rPr>
          <w:rFonts w:eastAsiaTheme="minorEastAsia"/>
          <w:b/>
          <w:bCs/>
          <w:color w:val="000000" w:themeColor="text1"/>
          <w:kern w:val="0"/>
          <w:szCs w:val="21"/>
        </w:rPr>
        <w:t>9.2</w:t>
      </w:r>
      <w:r>
        <w:rPr>
          <w:rFonts w:eastAsiaTheme="minorEastAsia"/>
          <w:b/>
          <w:bCs/>
          <w:color w:val="000000" w:themeColor="text1"/>
          <w:kern w:val="0"/>
          <w:szCs w:val="21"/>
        </w:rPr>
        <w:t>存放地点</w:t>
      </w:r>
    </w:p>
    <w:p w:rsidR="0075539A" w:rsidRDefault="00F533D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基金管理人和基金托管人的办公场所，并登载于基金管理人互联网站</w:t>
      </w:r>
      <w:r>
        <w:rPr>
          <w:rFonts w:eastAsiaTheme="minorEastAsia"/>
          <w:color w:val="000000" w:themeColor="text1"/>
          <w:szCs w:val="21"/>
        </w:rPr>
        <w:t>http://www.huaan.com.cn</w:t>
      </w:r>
      <w:r>
        <w:rPr>
          <w:rFonts w:eastAsiaTheme="minorEastAsia"/>
          <w:color w:val="000000" w:themeColor="text1"/>
          <w:szCs w:val="21"/>
        </w:rPr>
        <w:t>。</w:t>
      </w:r>
    </w:p>
    <w:p w:rsidR="0075539A" w:rsidRDefault="00F533DF" w:rsidP="00F533DF">
      <w:pPr>
        <w:autoSpaceDE w:val="0"/>
        <w:autoSpaceDN w:val="0"/>
        <w:adjustRightInd w:val="0"/>
        <w:spacing w:beforeLines="100" w:line="360" w:lineRule="auto"/>
        <w:jc w:val="left"/>
        <w:rPr>
          <w:rFonts w:eastAsiaTheme="minorEastAsia"/>
          <w:b/>
          <w:bCs/>
          <w:color w:val="000000" w:themeColor="text1"/>
          <w:kern w:val="0"/>
          <w:szCs w:val="21"/>
        </w:rPr>
      </w:pPr>
      <w:r>
        <w:rPr>
          <w:rFonts w:eastAsiaTheme="minorEastAsia"/>
          <w:b/>
          <w:bCs/>
          <w:color w:val="000000" w:themeColor="text1"/>
          <w:kern w:val="0"/>
          <w:szCs w:val="21"/>
        </w:rPr>
        <w:t>9.3</w:t>
      </w:r>
      <w:r>
        <w:rPr>
          <w:rFonts w:eastAsiaTheme="minorEastAsia"/>
          <w:b/>
          <w:bCs/>
          <w:color w:val="000000" w:themeColor="text1"/>
          <w:kern w:val="0"/>
          <w:szCs w:val="21"/>
        </w:rPr>
        <w:t>查阅方式</w:t>
      </w:r>
    </w:p>
    <w:p w:rsidR="0075539A" w:rsidRDefault="00F533DF">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投资者可登录基金管理人互联网站查阅，或在营业时间内至基金管理人或基金托管人的办公场所免费查阅。</w:t>
      </w:r>
    </w:p>
    <w:p w:rsidR="0075539A" w:rsidRDefault="0075539A">
      <w:pPr>
        <w:spacing w:line="360" w:lineRule="auto"/>
        <w:ind w:left="840"/>
        <w:jc w:val="right"/>
        <w:rPr>
          <w:rFonts w:eastAsiaTheme="minorEastAsia"/>
          <w:color w:val="000000" w:themeColor="text1"/>
          <w:szCs w:val="21"/>
        </w:rPr>
      </w:pPr>
    </w:p>
    <w:p w:rsidR="0075539A" w:rsidRDefault="0075539A">
      <w:pPr>
        <w:spacing w:line="360" w:lineRule="auto"/>
        <w:ind w:left="840"/>
        <w:jc w:val="center"/>
        <w:rPr>
          <w:rFonts w:eastAsiaTheme="minorEastAsia"/>
          <w:b/>
          <w:color w:val="000000" w:themeColor="text1"/>
          <w:szCs w:val="21"/>
        </w:rPr>
      </w:pPr>
    </w:p>
    <w:p w:rsidR="0075539A" w:rsidRDefault="00F533DF">
      <w:pPr>
        <w:spacing w:line="360" w:lineRule="auto"/>
        <w:jc w:val="right"/>
        <w:rPr>
          <w:rFonts w:eastAsiaTheme="minorEastAsia"/>
          <w:b/>
          <w:bCs/>
          <w:color w:val="000000" w:themeColor="text1"/>
          <w:szCs w:val="21"/>
        </w:rPr>
      </w:pPr>
      <w:r>
        <w:rPr>
          <w:rFonts w:eastAsiaTheme="minorEastAsia"/>
          <w:b/>
          <w:bCs/>
          <w:color w:val="000000" w:themeColor="text1"/>
          <w:szCs w:val="21"/>
        </w:rPr>
        <w:t>华安基金管理有限公司</w:t>
      </w:r>
    </w:p>
    <w:p w:rsidR="0075539A" w:rsidRDefault="00F533DF">
      <w:pPr>
        <w:spacing w:line="360" w:lineRule="auto"/>
        <w:jc w:val="right"/>
        <w:rPr>
          <w:rFonts w:eastAsiaTheme="minorEastAsia"/>
          <w:b/>
          <w:bCs/>
          <w:color w:val="000000" w:themeColor="text1"/>
          <w:szCs w:val="21"/>
        </w:rPr>
      </w:pPr>
      <w:r>
        <w:rPr>
          <w:rFonts w:eastAsiaTheme="minorEastAsia"/>
          <w:b/>
          <w:bCs/>
          <w:color w:val="000000" w:themeColor="text1"/>
          <w:szCs w:val="21"/>
        </w:rPr>
        <w:t>二〇一八年一月二十二日</w:t>
      </w:r>
    </w:p>
    <w:sectPr w:rsidR="0075539A" w:rsidSect="0075539A">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39A" w:rsidRDefault="0075539A" w:rsidP="0075539A">
      <w:r>
        <w:separator/>
      </w:r>
    </w:p>
  </w:endnote>
  <w:endnote w:type="continuationSeparator" w:id="1">
    <w:p w:rsidR="0075539A" w:rsidRDefault="0075539A" w:rsidP="007553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charset w:val="86"/>
    <w:family w:val="auto"/>
    <w:pitch w:val="default"/>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39A" w:rsidRDefault="00F533DF">
    <w:pPr>
      <w:pStyle w:val="ac"/>
      <w:jc w:val="center"/>
    </w:pPr>
    <w:r>
      <w:rPr>
        <w:rFonts w:hint="eastAsia"/>
        <w:kern w:val="0"/>
        <w:szCs w:val="21"/>
      </w:rPr>
      <w:t>第</w:t>
    </w:r>
    <w:r w:rsidR="0075539A">
      <w:rPr>
        <w:kern w:val="0"/>
        <w:szCs w:val="21"/>
      </w:rPr>
      <w:fldChar w:fldCharType="begin"/>
    </w:r>
    <w:r>
      <w:rPr>
        <w:kern w:val="0"/>
        <w:szCs w:val="21"/>
      </w:rPr>
      <w:instrText xml:space="preserve"> PAGE </w:instrText>
    </w:r>
    <w:r w:rsidR="0075539A">
      <w:rPr>
        <w:kern w:val="0"/>
        <w:szCs w:val="21"/>
      </w:rPr>
      <w:fldChar w:fldCharType="separate"/>
    </w:r>
    <w:r>
      <w:rPr>
        <w:noProof/>
        <w:kern w:val="0"/>
        <w:szCs w:val="21"/>
      </w:rPr>
      <w:t>1</w:t>
    </w:r>
    <w:r w:rsidR="0075539A">
      <w:rPr>
        <w:kern w:val="0"/>
        <w:szCs w:val="21"/>
      </w:rPr>
      <w:fldChar w:fldCharType="end"/>
    </w:r>
    <w:r>
      <w:rPr>
        <w:rFonts w:hint="eastAsia"/>
        <w:kern w:val="0"/>
        <w:szCs w:val="21"/>
      </w:rPr>
      <w:t>页共</w:t>
    </w:r>
    <w:r w:rsidR="0075539A">
      <w:rPr>
        <w:kern w:val="0"/>
        <w:szCs w:val="21"/>
      </w:rPr>
      <w:fldChar w:fldCharType="begin"/>
    </w:r>
    <w:r>
      <w:rPr>
        <w:kern w:val="0"/>
        <w:szCs w:val="21"/>
      </w:rPr>
      <w:instrText xml:space="preserve"> NUMPAGES </w:instrText>
    </w:r>
    <w:r w:rsidR="0075539A">
      <w:rPr>
        <w:kern w:val="0"/>
        <w:szCs w:val="21"/>
      </w:rPr>
      <w:fldChar w:fldCharType="separate"/>
    </w:r>
    <w:r>
      <w:rPr>
        <w:noProof/>
        <w:kern w:val="0"/>
        <w:szCs w:val="21"/>
      </w:rPr>
      <w:t>3</w:t>
    </w:r>
    <w:r w:rsidR="0075539A">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39A" w:rsidRDefault="0075539A">
    <w:pPr>
      <w:pStyle w:val="ac"/>
      <w:framePr w:wrap="around" w:vAnchor="text" w:hAnchor="margin" w:xAlign="center" w:y="1"/>
      <w:rPr>
        <w:rStyle w:val="af2"/>
      </w:rPr>
    </w:pPr>
    <w:r>
      <w:rPr>
        <w:rStyle w:val="af2"/>
      </w:rPr>
      <w:fldChar w:fldCharType="begin"/>
    </w:r>
    <w:r w:rsidR="00F533DF">
      <w:rPr>
        <w:rStyle w:val="af2"/>
      </w:rPr>
      <w:instrText xml:space="preserve">PAGE  </w:instrText>
    </w:r>
    <w:r>
      <w:rPr>
        <w:rStyle w:val="af2"/>
      </w:rPr>
      <w:fldChar w:fldCharType="end"/>
    </w:r>
  </w:p>
  <w:p w:rsidR="0075539A" w:rsidRDefault="0075539A">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39A" w:rsidRDefault="0075539A">
    <w:pPr>
      <w:pStyle w:val="ac"/>
      <w:framePr w:wrap="around" w:vAnchor="text" w:hAnchor="margin" w:xAlign="center" w:y="1"/>
      <w:rPr>
        <w:rStyle w:val="af2"/>
      </w:rPr>
    </w:pPr>
    <w:r>
      <w:rPr>
        <w:rStyle w:val="af2"/>
      </w:rPr>
      <w:fldChar w:fldCharType="begin"/>
    </w:r>
    <w:r w:rsidR="00F533DF">
      <w:rPr>
        <w:rStyle w:val="af2"/>
      </w:rPr>
      <w:instrText xml:space="preserve">PAGE  </w:instrText>
    </w:r>
    <w:r>
      <w:rPr>
        <w:rStyle w:val="af2"/>
      </w:rPr>
      <w:fldChar w:fldCharType="separate"/>
    </w:r>
    <w:r w:rsidR="00F533DF">
      <w:rPr>
        <w:rStyle w:val="af2"/>
        <w:noProof/>
      </w:rPr>
      <w:t>2</w:t>
    </w:r>
    <w:r>
      <w:rPr>
        <w:rStyle w:val="af2"/>
      </w:rPr>
      <w:fldChar w:fldCharType="end"/>
    </w:r>
  </w:p>
  <w:p w:rsidR="0075539A" w:rsidRDefault="0075539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39A" w:rsidRDefault="0075539A" w:rsidP="0075539A">
      <w:r>
        <w:separator/>
      </w:r>
    </w:p>
  </w:footnote>
  <w:footnote w:type="continuationSeparator" w:id="1">
    <w:p w:rsidR="0075539A" w:rsidRDefault="0075539A" w:rsidP="007553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39A" w:rsidRDefault="00F533DF">
    <w:pPr>
      <w:pStyle w:val="ad"/>
      <w:pBdr>
        <w:bottom w:val="single" w:sz="6" w:space="0" w:color="auto"/>
      </w:pBdr>
      <w:jc w:val="right"/>
    </w:pPr>
    <w:r>
      <w:t>华安安润灵活配置混合型证券投资基金</w:t>
    </w:r>
    <w:r>
      <w:t>2017</w:t>
    </w:r>
    <w:r>
      <w:t>年第</w:t>
    </w:r>
    <w:r>
      <w:t>4</w:t>
    </w:r>
    <w:r>
      <w:t>季度报告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6B97"/>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43C"/>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47F8"/>
    <w:rsid w:val="000C5956"/>
    <w:rsid w:val="000C757F"/>
    <w:rsid w:val="000C7DD4"/>
    <w:rsid w:val="000D0474"/>
    <w:rsid w:val="000D1164"/>
    <w:rsid w:val="000D1BBE"/>
    <w:rsid w:val="000D3773"/>
    <w:rsid w:val="000D4DE9"/>
    <w:rsid w:val="000D6660"/>
    <w:rsid w:val="000D6BA0"/>
    <w:rsid w:val="000D7ECA"/>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80E"/>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2BFF"/>
    <w:rsid w:val="00343016"/>
    <w:rsid w:val="0034447B"/>
    <w:rsid w:val="00346037"/>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2BA"/>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FF7"/>
    <w:rsid w:val="005C7C75"/>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571B"/>
    <w:rsid w:val="00706046"/>
    <w:rsid w:val="007112F0"/>
    <w:rsid w:val="00711343"/>
    <w:rsid w:val="00714309"/>
    <w:rsid w:val="007143C1"/>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539A"/>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2CF"/>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1677"/>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501"/>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E7A52"/>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3FA"/>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33DF"/>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46AC16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539A"/>
    <w:pPr>
      <w:widowControl w:val="0"/>
      <w:jc w:val="both"/>
    </w:pPr>
    <w:rPr>
      <w:kern w:val="2"/>
      <w:sz w:val="21"/>
      <w:szCs w:val="24"/>
    </w:rPr>
  </w:style>
  <w:style w:type="paragraph" w:styleId="1">
    <w:name w:val="heading 1"/>
    <w:basedOn w:val="a"/>
    <w:next w:val="a"/>
    <w:link w:val="1Char"/>
    <w:qFormat/>
    <w:rsid w:val="0075539A"/>
    <w:pPr>
      <w:keepNext/>
      <w:keepLines/>
      <w:spacing w:before="340" w:after="330" w:line="578" w:lineRule="auto"/>
      <w:outlineLvl w:val="0"/>
    </w:pPr>
    <w:rPr>
      <w:b/>
      <w:bCs/>
      <w:kern w:val="44"/>
      <w:sz w:val="44"/>
      <w:szCs w:val="44"/>
    </w:rPr>
  </w:style>
  <w:style w:type="paragraph" w:styleId="2">
    <w:name w:val="heading 2"/>
    <w:basedOn w:val="a"/>
    <w:next w:val="a0"/>
    <w:qFormat/>
    <w:rsid w:val="0075539A"/>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Char"/>
    <w:uiPriority w:val="9"/>
    <w:unhideWhenUsed/>
    <w:qFormat/>
    <w:rsid w:val="0075539A"/>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75539A"/>
    <w:pPr>
      <w:ind w:firstLineChars="200" w:firstLine="420"/>
    </w:pPr>
  </w:style>
  <w:style w:type="paragraph" w:styleId="a4">
    <w:name w:val="annotation subject"/>
    <w:basedOn w:val="a5"/>
    <w:next w:val="a5"/>
    <w:semiHidden/>
    <w:qFormat/>
    <w:rsid w:val="0075539A"/>
    <w:rPr>
      <w:b/>
      <w:bCs/>
    </w:rPr>
  </w:style>
  <w:style w:type="paragraph" w:styleId="a5">
    <w:name w:val="annotation text"/>
    <w:basedOn w:val="a"/>
    <w:semiHidden/>
    <w:qFormat/>
    <w:rsid w:val="0075539A"/>
    <w:pPr>
      <w:jc w:val="left"/>
    </w:pPr>
  </w:style>
  <w:style w:type="paragraph" w:styleId="a6">
    <w:name w:val="Document Map"/>
    <w:basedOn w:val="a"/>
    <w:semiHidden/>
    <w:qFormat/>
    <w:rsid w:val="0075539A"/>
    <w:pPr>
      <w:shd w:val="clear" w:color="auto" w:fill="000080"/>
    </w:pPr>
  </w:style>
  <w:style w:type="paragraph" w:styleId="a7">
    <w:name w:val="Body Text"/>
    <w:basedOn w:val="a"/>
    <w:qFormat/>
    <w:rsid w:val="0075539A"/>
    <w:pPr>
      <w:spacing w:after="120"/>
    </w:pPr>
  </w:style>
  <w:style w:type="paragraph" w:styleId="a8">
    <w:name w:val="Body Text Indent"/>
    <w:basedOn w:val="a"/>
    <w:qFormat/>
    <w:rsid w:val="0075539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Char"/>
    <w:uiPriority w:val="99"/>
    <w:qFormat/>
    <w:rsid w:val="0075539A"/>
    <w:rPr>
      <w:rFonts w:ascii="宋体" w:hAnsi="Courier New"/>
      <w:szCs w:val="21"/>
    </w:rPr>
  </w:style>
  <w:style w:type="paragraph" w:styleId="aa">
    <w:name w:val="Date"/>
    <w:basedOn w:val="a"/>
    <w:next w:val="a"/>
    <w:link w:val="Char0"/>
    <w:qFormat/>
    <w:rsid w:val="0075539A"/>
    <w:rPr>
      <w:sz w:val="24"/>
      <w:szCs w:val="20"/>
    </w:rPr>
  </w:style>
  <w:style w:type="paragraph" w:styleId="20">
    <w:name w:val="Body Text Indent 2"/>
    <w:basedOn w:val="a"/>
    <w:qFormat/>
    <w:rsid w:val="0075539A"/>
    <w:pPr>
      <w:spacing w:line="560" w:lineRule="exact"/>
      <w:ind w:firstLineChars="200" w:firstLine="480"/>
    </w:pPr>
    <w:rPr>
      <w:rFonts w:ascii="宋体" w:hAnsi="宋体"/>
      <w:color w:val="FF0000"/>
      <w:sz w:val="24"/>
    </w:rPr>
  </w:style>
  <w:style w:type="paragraph" w:styleId="ab">
    <w:name w:val="Balloon Text"/>
    <w:basedOn w:val="a"/>
    <w:semiHidden/>
    <w:qFormat/>
    <w:rsid w:val="0075539A"/>
    <w:rPr>
      <w:sz w:val="18"/>
      <w:szCs w:val="18"/>
    </w:rPr>
  </w:style>
  <w:style w:type="paragraph" w:styleId="ac">
    <w:name w:val="footer"/>
    <w:basedOn w:val="a"/>
    <w:qFormat/>
    <w:rsid w:val="0075539A"/>
    <w:pPr>
      <w:tabs>
        <w:tab w:val="center" w:pos="4153"/>
        <w:tab w:val="right" w:pos="8306"/>
      </w:tabs>
      <w:snapToGrid w:val="0"/>
      <w:jc w:val="left"/>
    </w:pPr>
    <w:rPr>
      <w:sz w:val="18"/>
      <w:szCs w:val="18"/>
    </w:rPr>
  </w:style>
  <w:style w:type="paragraph" w:styleId="ad">
    <w:name w:val="header"/>
    <w:basedOn w:val="a"/>
    <w:link w:val="Char1"/>
    <w:uiPriority w:val="99"/>
    <w:qFormat/>
    <w:rsid w:val="0075539A"/>
    <w:pPr>
      <w:pBdr>
        <w:bottom w:val="single" w:sz="6" w:space="1" w:color="auto"/>
      </w:pBdr>
      <w:tabs>
        <w:tab w:val="center" w:pos="4153"/>
        <w:tab w:val="right" w:pos="8306"/>
      </w:tabs>
      <w:snapToGrid w:val="0"/>
      <w:jc w:val="center"/>
    </w:pPr>
    <w:rPr>
      <w:sz w:val="18"/>
      <w:szCs w:val="18"/>
    </w:rPr>
  </w:style>
  <w:style w:type="paragraph" w:styleId="ae">
    <w:name w:val="List"/>
    <w:basedOn w:val="a7"/>
    <w:qFormat/>
    <w:rsid w:val="0075539A"/>
    <w:pPr>
      <w:spacing w:after="220" w:line="220" w:lineRule="atLeast"/>
      <w:ind w:left="1440" w:hanging="360"/>
    </w:pPr>
    <w:rPr>
      <w:szCs w:val="20"/>
    </w:rPr>
  </w:style>
  <w:style w:type="paragraph" w:styleId="af">
    <w:name w:val="footnote text"/>
    <w:basedOn w:val="a"/>
    <w:link w:val="Char2"/>
    <w:qFormat/>
    <w:rsid w:val="0075539A"/>
    <w:pPr>
      <w:snapToGrid w:val="0"/>
      <w:jc w:val="left"/>
    </w:pPr>
    <w:rPr>
      <w:sz w:val="18"/>
      <w:szCs w:val="18"/>
    </w:rPr>
  </w:style>
  <w:style w:type="paragraph" w:styleId="30">
    <w:name w:val="Body Text Indent 3"/>
    <w:basedOn w:val="a"/>
    <w:qFormat/>
    <w:rsid w:val="0075539A"/>
    <w:pPr>
      <w:spacing w:line="560" w:lineRule="exact"/>
      <w:ind w:firstLineChars="200" w:firstLine="420"/>
    </w:pPr>
    <w:rPr>
      <w:rFonts w:ascii="Arial" w:hAnsi="Arial" w:cs="Arial"/>
      <w:color w:val="FF0000"/>
    </w:rPr>
  </w:style>
  <w:style w:type="paragraph" w:styleId="af0">
    <w:name w:val="Normal (Web)"/>
    <w:basedOn w:val="a"/>
    <w:qFormat/>
    <w:rsid w:val="0075539A"/>
    <w:pPr>
      <w:widowControl/>
      <w:spacing w:before="100" w:beforeAutospacing="1" w:after="100" w:afterAutospacing="1"/>
      <w:jc w:val="left"/>
    </w:pPr>
    <w:rPr>
      <w:rFonts w:ascii="宋体" w:hAnsi="宋体"/>
      <w:kern w:val="0"/>
      <w:sz w:val="24"/>
    </w:rPr>
  </w:style>
  <w:style w:type="paragraph" w:styleId="10">
    <w:name w:val="index 1"/>
    <w:basedOn w:val="a"/>
    <w:next w:val="a"/>
    <w:semiHidden/>
    <w:qFormat/>
    <w:rsid w:val="0075539A"/>
    <w:pPr>
      <w:jc w:val="right"/>
    </w:pPr>
    <w:rPr>
      <w:color w:val="008000"/>
    </w:rPr>
  </w:style>
  <w:style w:type="character" w:styleId="af1">
    <w:name w:val="Strong"/>
    <w:basedOn w:val="a1"/>
    <w:uiPriority w:val="22"/>
    <w:qFormat/>
    <w:rsid w:val="0075539A"/>
    <w:rPr>
      <w:b/>
      <w:bCs/>
    </w:rPr>
  </w:style>
  <w:style w:type="character" w:styleId="af2">
    <w:name w:val="page number"/>
    <w:basedOn w:val="a1"/>
    <w:qFormat/>
    <w:rsid w:val="0075539A"/>
  </w:style>
  <w:style w:type="character" w:styleId="af3">
    <w:name w:val="Hyperlink"/>
    <w:basedOn w:val="a1"/>
    <w:qFormat/>
    <w:rsid w:val="0075539A"/>
    <w:rPr>
      <w:color w:val="0000FF"/>
      <w:u w:val="single"/>
    </w:rPr>
  </w:style>
  <w:style w:type="character" w:styleId="af4">
    <w:name w:val="annotation reference"/>
    <w:basedOn w:val="a1"/>
    <w:semiHidden/>
    <w:qFormat/>
    <w:rsid w:val="0075539A"/>
    <w:rPr>
      <w:sz w:val="21"/>
      <w:szCs w:val="21"/>
    </w:rPr>
  </w:style>
  <w:style w:type="character" w:styleId="af5">
    <w:name w:val="footnote reference"/>
    <w:basedOn w:val="a1"/>
    <w:qFormat/>
    <w:rsid w:val="0075539A"/>
    <w:rPr>
      <w:vertAlign w:val="superscript"/>
    </w:rPr>
  </w:style>
  <w:style w:type="table" w:styleId="af6">
    <w:name w:val="Table Grid"/>
    <w:basedOn w:val="a2"/>
    <w:qFormat/>
    <w:rsid w:val="0075539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已访问的超链接1"/>
    <w:basedOn w:val="a1"/>
    <w:qFormat/>
    <w:rsid w:val="0075539A"/>
    <w:rPr>
      <w:color w:val="800080"/>
      <w:u w:val="single"/>
    </w:rPr>
  </w:style>
  <w:style w:type="character" w:customStyle="1" w:styleId="c1">
    <w:name w:val="c1"/>
    <w:basedOn w:val="a1"/>
    <w:qFormat/>
    <w:rsid w:val="0075539A"/>
    <w:rPr>
      <w:color w:val="000000"/>
      <w:sz w:val="18"/>
      <w:szCs w:val="18"/>
    </w:rPr>
  </w:style>
  <w:style w:type="paragraph" w:customStyle="1" w:styleId="font5">
    <w:name w:val="font5"/>
    <w:basedOn w:val="a"/>
    <w:qFormat/>
    <w:rsid w:val="0075539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rsid w:val="0075539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rsid w:val="0075539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rsid w:val="007553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rsid w:val="007553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rsid w:val="0075539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rsid w:val="007553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rsid w:val="007553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rsid w:val="0075539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rsid w:val="007553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rsid w:val="007553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rsid w:val="0075539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rsid w:val="0075539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rsid w:val="007553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rsid w:val="007553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rsid w:val="0075539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3">
    <w:name w:val="Char"/>
    <w:basedOn w:val="a"/>
    <w:qFormat/>
    <w:rsid w:val="0075539A"/>
  </w:style>
  <w:style w:type="paragraph" w:customStyle="1" w:styleId="Char10">
    <w:name w:val="Char1"/>
    <w:basedOn w:val="a"/>
    <w:qFormat/>
    <w:rsid w:val="0075539A"/>
  </w:style>
  <w:style w:type="character" w:customStyle="1" w:styleId="t1">
    <w:name w:val="t1"/>
    <w:basedOn w:val="a1"/>
    <w:qFormat/>
    <w:rsid w:val="0075539A"/>
    <w:rPr>
      <w:color w:val="990000"/>
    </w:rPr>
  </w:style>
  <w:style w:type="character" w:customStyle="1" w:styleId="Char">
    <w:name w:val="纯文本 Char"/>
    <w:basedOn w:val="a1"/>
    <w:link w:val="a9"/>
    <w:uiPriority w:val="99"/>
    <w:rsid w:val="0075539A"/>
    <w:rPr>
      <w:rFonts w:ascii="宋体" w:hAnsi="Courier New"/>
      <w:kern w:val="2"/>
      <w:sz w:val="21"/>
      <w:szCs w:val="21"/>
    </w:rPr>
  </w:style>
  <w:style w:type="character" w:customStyle="1" w:styleId="Char2">
    <w:name w:val="脚注文本 Char"/>
    <w:basedOn w:val="a1"/>
    <w:link w:val="af"/>
    <w:qFormat/>
    <w:rsid w:val="0075539A"/>
    <w:rPr>
      <w:kern w:val="2"/>
      <w:sz w:val="18"/>
      <w:szCs w:val="18"/>
    </w:rPr>
  </w:style>
  <w:style w:type="paragraph" w:customStyle="1" w:styleId="Default">
    <w:name w:val="Default"/>
    <w:qFormat/>
    <w:rsid w:val="0075539A"/>
    <w:pPr>
      <w:widowControl w:val="0"/>
      <w:autoSpaceDE w:val="0"/>
      <w:autoSpaceDN w:val="0"/>
      <w:adjustRightInd w:val="0"/>
    </w:pPr>
    <w:rPr>
      <w:rFonts w:ascii="仿宋" w:hAnsi="仿宋" w:cs="仿宋"/>
      <w:color w:val="000000"/>
      <w:sz w:val="24"/>
      <w:szCs w:val="24"/>
    </w:rPr>
  </w:style>
  <w:style w:type="character" w:customStyle="1" w:styleId="Char1">
    <w:name w:val="页眉 Char"/>
    <w:basedOn w:val="a1"/>
    <w:link w:val="ad"/>
    <w:uiPriority w:val="99"/>
    <w:rsid w:val="0075539A"/>
    <w:rPr>
      <w:kern w:val="2"/>
      <w:sz w:val="18"/>
      <w:szCs w:val="18"/>
    </w:rPr>
  </w:style>
  <w:style w:type="character" w:customStyle="1" w:styleId="1Char">
    <w:name w:val="标题 1 Char"/>
    <w:basedOn w:val="a1"/>
    <w:link w:val="1"/>
    <w:qFormat/>
    <w:rsid w:val="0075539A"/>
    <w:rPr>
      <w:b/>
      <w:bCs/>
      <w:kern w:val="44"/>
      <w:sz w:val="44"/>
      <w:szCs w:val="44"/>
    </w:rPr>
  </w:style>
  <w:style w:type="character" w:customStyle="1" w:styleId="Char0">
    <w:name w:val="日期 Char"/>
    <w:basedOn w:val="a1"/>
    <w:link w:val="aa"/>
    <w:qFormat/>
    <w:rsid w:val="0075539A"/>
    <w:rPr>
      <w:kern w:val="2"/>
      <w:sz w:val="24"/>
    </w:rPr>
  </w:style>
  <w:style w:type="character" w:customStyle="1" w:styleId="3Char">
    <w:name w:val="标题 3 Char"/>
    <w:basedOn w:val="a1"/>
    <w:link w:val="3"/>
    <w:uiPriority w:val="9"/>
    <w:qFormat/>
    <w:rsid w:val="0075539A"/>
    <w:rPr>
      <w:rFonts w:asciiTheme="minorHAnsi" w:eastAsiaTheme="minorEastAsia" w:hAnsiTheme="minorHAnsi" w:cstheme="minorBidi"/>
      <w:b/>
      <w:bCs/>
      <w:kern w:val="2"/>
      <w:sz w:val="32"/>
      <w:szCs w:val="32"/>
    </w:rPr>
  </w:style>
  <w:style w:type="table" w:customStyle="1" w:styleId="12">
    <w:name w:val="网格型1"/>
    <w:basedOn w:val="a2"/>
    <w:qFormat/>
    <w:rsid w:val="0075539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2"/>
    <w:qFormat/>
    <w:rsid w:val="0075539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5F644C13-61A5-40BA-BC52-D6B10E505EA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0</TotalTime>
  <Pages>3</Pages>
  <Words>1298</Words>
  <Characters>7403</Characters>
  <Application>Microsoft Office Word</Application>
  <DocSecurity>4</DocSecurity>
  <Lines>61</Lines>
  <Paragraphs>17</Paragraphs>
  <ScaleCrop>false</ScaleCrop>
  <Company>TRT. Ltd. Co.</Company>
  <LinksUpToDate>false</LinksUpToDate>
  <CharactersWithSpaces>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ZHONGM</cp:lastModifiedBy>
  <cp:revision>2</cp:revision>
  <cp:lastPrinted>2007-07-19T00:46:00Z</cp:lastPrinted>
  <dcterms:created xsi:type="dcterms:W3CDTF">2018-01-21T14:13:00Z</dcterms:created>
  <dcterms:modified xsi:type="dcterms:W3CDTF">2018-01-21T14:13:00Z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