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FD" w:rsidRDefault="002C18FD">
      <w:pPr>
        <w:autoSpaceDE w:val="0"/>
        <w:autoSpaceDN w:val="0"/>
        <w:adjustRightInd w:val="0"/>
        <w:spacing w:before="29" w:line="288" w:lineRule="auto"/>
        <w:jc w:val="left"/>
        <w:rPr>
          <w:color w:val="000000"/>
          <w:kern w:val="0"/>
          <w:sz w:val="24"/>
          <w:szCs w:val="24"/>
        </w:rPr>
      </w:pPr>
    </w:p>
    <w:p w:rsidR="002C18FD" w:rsidRDefault="002C18FD">
      <w:pPr>
        <w:autoSpaceDE w:val="0"/>
        <w:autoSpaceDN w:val="0"/>
        <w:adjustRightInd w:val="0"/>
        <w:spacing w:before="29" w:line="288" w:lineRule="auto"/>
        <w:jc w:val="left"/>
        <w:rPr>
          <w:color w:val="000000"/>
          <w:kern w:val="0"/>
          <w:sz w:val="24"/>
          <w:szCs w:val="24"/>
        </w:rPr>
      </w:pPr>
    </w:p>
    <w:p w:rsidR="002C18FD" w:rsidRDefault="002C18FD">
      <w:pPr>
        <w:autoSpaceDE w:val="0"/>
        <w:autoSpaceDN w:val="0"/>
        <w:adjustRightInd w:val="0"/>
        <w:spacing w:before="29" w:line="288" w:lineRule="auto"/>
        <w:jc w:val="left"/>
        <w:rPr>
          <w:color w:val="000000"/>
          <w:kern w:val="0"/>
          <w:sz w:val="24"/>
          <w:szCs w:val="24"/>
        </w:rPr>
      </w:pPr>
    </w:p>
    <w:p w:rsidR="002C18FD" w:rsidRDefault="002C18FD">
      <w:pPr>
        <w:autoSpaceDE w:val="0"/>
        <w:autoSpaceDN w:val="0"/>
        <w:adjustRightInd w:val="0"/>
        <w:spacing w:before="29" w:line="288" w:lineRule="auto"/>
        <w:jc w:val="left"/>
        <w:rPr>
          <w:color w:val="000000"/>
          <w:kern w:val="0"/>
          <w:sz w:val="24"/>
          <w:szCs w:val="24"/>
        </w:rPr>
      </w:pP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spacing w:before="29" w:line="288" w:lineRule="auto"/>
        <w:jc w:val="center"/>
        <w:rPr>
          <w:b/>
          <w:sz w:val="36"/>
          <w:szCs w:val="36"/>
        </w:rPr>
      </w:pPr>
      <w:r>
        <w:rPr>
          <w:b/>
          <w:sz w:val="36"/>
          <w:szCs w:val="36"/>
        </w:rPr>
        <w:t>海富通欣盛定期开放混合型证券投资基金</w:t>
      </w:r>
    </w:p>
    <w:p w:rsidR="002C18FD" w:rsidRDefault="00494A7D">
      <w:pPr>
        <w:spacing w:before="29" w:line="288" w:lineRule="auto"/>
        <w:jc w:val="center"/>
        <w:rPr>
          <w:b/>
          <w:sz w:val="36"/>
          <w:szCs w:val="36"/>
        </w:rPr>
      </w:pPr>
      <w:r>
        <w:rPr>
          <w:b/>
          <w:sz w:val="36"/>
          <w:szCs w:val="36"/>
        </w:rPr>
        <w:t>2017</w:t>
      </w:r>
      <w:r>
        <w:rPr>
          <w:b/>
          <w:sz w:val="36"/>
          <w:szCs w:val="36"/>
        </w:rPr>
        <w:t>年第</w:t>
      </w:r>
      <w:r>
        <w:rPr>
          <w:b/>
          <w:sz w:val="36"/>
          <w:szCs w:val="36"/>
        </w:rPr>
        <w:t>4</w:t>
      </w:r>
      <w:r>
        <w:rPr>
          <w:b/>
          <w:sz w:val="36"/>
          <w:szCs w:val="36"/>
        </w:rPr>
        <w:t>季度报告</w:t>
      </w:r>
    </w:p>
    <w:p w:rsidR="002C18FD" w:rsidRDefault="00494A7D">
      <w:pPr>
        <w:spacing w:before="29" w:line="288" w:lineRule="auto"/>
        <w:jc w:val="center"/>
        <w:rPr>
          <w:b/>
          <w:sz w:val="36"/>
          <w:szCs w:val="36"/>
        </w:rPr>
      </w:pPr>
      <w:r>
        <w:rPr>
          <w:b/>
          <w:sz w:val="36"/>
          <w:szCs w:val="36"/>
        </w:rPr>
        <w:t>2017</w:t>
      </w:r>
      <w:r>
        <w:rPr>
          <w:b/>
          <w:sz w:val="36"/>
          <w:szCs w:val="36"/>
        </w:rPr>
        <w:t>年</w:t>
      </w:r>
      <w:r>
        <w:rPr>
          <w:b/>
          <w:sz w:val="36"/>
          <w:szCs w:val="36"/>
        </w:rPr>
        <w:t>12</w:t>
      </w:r>
      <w:r>
        <w:rPr>
          <w:b/>
          <w:sz w:val="36"/>
          <w:szCs w:val="36"/>
        </w:rPr>
        <w:t>月</w:t>
      </w:r>
      <w:r>
        <w:rPr>
          <w:b/>
          <w:sz w:val="36"/>
          <w:szCs w:val="36"/>
        </w:rPr>
        <w:t>31</w:t>
      </w:r>
      <w:r>
        <w:rPr>
          <w:b/>
          <w:sz w:val="36"/>
          <w:szCs w:val="36"/>
        </w:rPr>
        <w:t>日</w:t>
      </w: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2C18FD">
      <w:pPr>
        <w:spacing w:before="29" w:line="288" w:lineRule="auto"/>
        <w:jc w:val="center"/>
        <w:rPr>
          <w:b/>
          <w:bCs/>
          <w:color w:val="000000"/>
          <w:sz w:val="24"/>
          <w:szCs w:val="24"/>
        </w:rPr>
      </w:pPr>
    </w:p>
    <w:p w:rsidR="002C18FD" w:rsidRDefault="00494A7D">
      <w:pPr>
        <w:spacing w:before="29" w:line="288" w:lineRule="auto"/>
        <w:ind w:firstLineChars="900" w:firstLine="2168"/>
        <w:rPr>
          <w:b/>
          <w:color w:val="000000"/>
          <w:sz w:val="24"/>
          <w:szCs w:val="24"/>
        </w:rPr>
      </w:pPr>
      <w:r>
        <w:rPr>
          <w:b/>
          <w:color w:val="000000"/>
          <w:sz w:val="24"/>
          <w:szCs w:val="24"/>
        </w:rPr>
        <w:t>基金管理人：海富通基金管理有限公司</w:t>
      </w:r>
    </w:p>
    <w:p w:rsidR="002C18FD" w:rsidRDefault="00494A7D">
      <w:pPr>
        <w:spacing w:before="29" w:line="288" w:lineRule="auto"/>
        <w:ind w:firstLineChars="900" w:firstLine="2168"/>
        <w:rPr>
          <w:b/>
          <w:color w:val="000000"/>
          <w:sz w:val="24"/>
          <w:szCs w:val="24"/>
        </w:rPr>
      </w:pPr>
      <w:r>
        <w:rPr>
          <w:b/>
          <w:color w:val="000000"/>
          <w:sz w:val="24"/>
          <w:szCs w:val="24"/>
        </w:rPr>
        <w:t>基金托管人：交通银行股份有限公司</w:t>
      </w:r>
    </w:p>
    <w:p w:rsidR="002C18FD" w:rsidRDefault="00494A7D">
      <w:pPr>
        <w:spacing w:before="29" w:line="288" w:lineRule="auto"/>
        <w:ind w:firstLineChars="900" w:firstLine="2168"/>
        <w:rPr>
          <w:b/>
          <w:color w:val="000000"/>
          <w:sz w:val="24"/>
          <w:szCs w:val="24"/>
        </w:rPr>
        <w:sectPr w:rsidR="002C18FD">
          <w:headerReference w:type="default" r:id="rId8"/>
          <w:footerReference w:type="default" r:id="rId9"/>
          <w:pgSz w:w="11926" w:h="15840"/>
          <w:pgMar w:top="1418" w:right="1440" w:bottom="851" w:left="1440" w:header="851" w:footer="992" w:gutter="0"/>
          <w:cols w:space="720"/>
        </w:sectPr>
      </w:pPr>
      <w:r>
        <w:rPr>
          <w:b/>
          <w:color w:val="000000"/>
          <w:sz w:val="24"/>
          <w:szCs w:val="24"/>
        </w:rPr>
        <w:t>报告送出日期：二〇一八年一月二十二日</w:t>
      </w:r>
    </w:p>
    <w:p w:rsidR="002C18FD" w:rsidRDefault="00494A7D" w:rsidP="00494A7D">
      <w:pPr>
        <w:pStyle w:val="1"/>
        <w:spacing w:beforeLines="100" w:afterLines="100" w:line="288" w:lineRule="auto"/>
        <w:jc w:val="center"/>
        <w:rPr>
          <w:b w:val="0"/>
          <w:bCs w:val="0"/>
          <w:color w:val="000000"/>
          <w:kern w:val="0"/>
          <w:sz w:val="24"/>
          <w:szCs w:val="24"/>
        </w:rPr>
      </w:pPr>
      <w:r>
        <w:rPr>
          <w:color w:val="000000"/>
          <w:kern w:val="0"/>
          <w:sz w:val="24"/>
          <w:szCs w:val="24"/>
        </w:rPr>
        <w:lastRenderedPageBreak/>
        <w:t xml:space="preserve">§1  </w:t>
      </w:r>
      <w:r>
        <w:rPr>
          <w:color w:val="000000"/>
          <w:kern w:val="0"/>
          <w:sz w:val="24"/>
          <w:szCs w:val="24"/>
        </w:rPr>
        <w:t>重要提示</w:t>
      </w:r>
    </w:p>
    <w:p w:rsidR="002C18FD" w:rsidRDefault="00494A7D">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基金托管人交通银行股份有限公司根据本基金合同规定，于</w:t>
      </w:r>
      <w:r>
        <w:rPr>
          <w:color w:val="000000"/>
          <w:sz w:val="24"/>
          <w:szCs w:val="24"/>
        </w:rPr>
        <w:t>2018</w:t>
      </w:r>
      <w:r>
        <w:rPr>
          <w:color w:val="000000"/>
          <w:sz w:val="24"/>
          <w:szCs w:val="24"/>
        </w:rPr>
        <w:t>年</w:t>
      </w:r>
      <w:r>
        <w:rPr>
          <w:color w:val="000000"/>
          <w:sz w:val="24"/>
          <w:szCs w:val="24"/>
        </w:rPr>
        <w:t>1</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w:t>
      </w:r>
      <w:r>
        <w:rPr>
          <w:color w:val="000000"/>
          <w:sz w:val="24"/>
          <w:szCs w:val="24"/>
        </w:rPr>
        <w:t>的招募说明书。</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本报告期自</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1</w:t>
      </w:r>
      <w:r>
        <w:rPr>
          <w:color w:val="000000"/>
          <w:sz w:val="24"/>
          <w:szCs w:val="24"/>
        </w:rPr>
        <w:t>日起至</w:t>
      </w:r>
      <w:r>
        <w:rPr>
          <w:color w:val="000000"/>
          <w:sz w:val="24"/>
          <w:szCs w:val="24"/>
        </w:rPr>
        <w:t>11</w:t>
      </w:r>
      <w:r>
        <w:rPr>
          <w:color w:val="000000"/>
          <w:sz w:val="24"/>
          <w:szCs w:val="24"/>
        </w:rPr>
        <w:t>月</w:t>
      </w:r>
      <w:r>
        <w:rPr>
          <w:color w:val="000000"/>
          <w:sz w:val="24"/>
          <w:szCs w:val="24"/>
        </w:rPr>
        <w:t>5</w:t>
      </w:r>
      <w:r>
        <w:rPr>
          <w:color w:val="000000"/>
          <w:sz w:val="24"/>
          <w:szCs w:val="24"/>
        </w:rPr>
        <w:t>日（最后运作日）止。</w:t>
      </w:r>
    </w:p>
    <w:p w:rsidR="002C18FD" w:rsidRDefault="002C18FD">
      <w:pPr>
        <w:spacing w:before="29" w:line="288" w:lineRule="auto"/>
        <w:ind w:firstLineChars="200" w:firstLine="480"/>
        <w:rPr>
          <w:color w:val="000000"/>
          <w:sz w:val="24"/>
          <w:szCs w:val="24"/>
        </w:rPr>
      </w:pPr>
    </w:p>
    <w:p w:rsidR="002C18FD" w:rsidRDefault="00494A7D" w:rsidP="00494A7D">
      <w:pPr>
        <w:pStyle w:val="1"/>
        <w:spacing w:beforeLines="100" w:afterLines="100" w:line="288" w:lineRule="auto"/>
        <w:jc w:val="center"/>
        <w:rPr>
          <w:color w:val="000000"/>
          <w:kern w:val="0"/>
          <w:sz w:val="24"/>
          <w:szCs w:val="24"/>
        </w:rPr>
      </w:pPr>
      <w:r>
        <w:rPr>
          <w:color w:val="000000"/>
          <w:kern w:val="0"/>
          <w:sz w:val="24"/>
          <w:szCs w:val="24"/>
        </w:rPr>
        <w:t xml:space="preserve">§2  </w:t>
      </w:r>
      <w:r>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3"/>
        <w:gridCol w:w="5845"/>
      </w:tblGrid>
      <w:tr w:rsidR="002C18FD">
        <w:trPr>
          <w:jc w:val="center"/>
        </w:trPr>
        <w:tc>
          <w:tcPr>
            <w:tcW w:w="3023" w:type="dxa"/>
            <w:vAlign w:val="center"/>
          </w:tcPr>
          <w:p w:rsidR="002C18FD" w:rsidRDefault="00494A7D">
            <w:pPr>
              <w:adjustRightInd w:val="0"/>
              <w:spacing w:before="29" w:line="288" w:lineRule="auto"/>
              <w:ind w:left="17"/>
              <w:jc w:val="left"/>
              <w:rPr>
                <w:kern w:val="0"/>
                <w:sz w:val="24"/>
                <w:szCs w:val="24"/>
              </w:rPr>
            </w:pPr>
            <w:r>
              <w:rPr>
                <w:kern w:val="0"/>
                <w:sz w:val="24"/>
                <w:szCs w:val="24"/>
              </w:rPr>
              <w:t>基金简称</w:t>
            </w:r>
          </w:p>
        </w:tc>
        <w:tc>
          <w:tcPr>
            <w:tcW w:w="5845" w:type="dxa"/>
            <w:vAlign w:val="center"/>
          </w:tcPr>
          <w:p w:rsidR="002C18FD" w:rsidRDefault="00494A7D">
            <w:pPr>
              <w:adjustRightInd w:val="0"/>
              <w:spacing w:before="29" w:line="288" w:lineRule="auto"/>
              <w:ind w:left="17"/>
              <w:jc w:val="left"/>
              <w:rPr>
                <w:color w:val="000000"/>
                <w:kern w:val="0"/>
                <w:sz w:val="24"/>
                <w:szCs w:val="24"/>
              </w:rPr>
            </w:pPr>
            <w:r>
              <w:rPr>
                <w:color w:val="000000"/>
                <w:kern w:val="0"/>
                <w:sz w:val="24"/>
                <w:szCs w:val="24"/>
              </w:rPr>
              <w:t>海富通欣盛定开混合</w:t>
            </w:r>
          </w:p>
        </w:tc>
      </w:tr>
      <w:tr w:rsidR="002C18FD">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2C18FD" w:rsidRDefault="00494A7D">
            <w:pPr>
              <w:adjustRightInd w:val="0"/>
              <w:spacing w:before="29" w:line="288" w:lineRule="auto"/>
              <w:ind w:left="17"/>
              <w:jc w:val="left"/>
              <w:rPr>
                <w:kern w:val="0"/>
                <w:sz w:val="24"/>
                <w:szCs w:val="24"/>
              </w:rPr>
            </w:pPr>
            <w:r>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tcPr>
          <w:p w:rsidR="002C18FD" w:rsidRDefault="00494A7D">
            <w:pPr>
              <w:adjustRightInd w:val="0"/>
              <w:spacing w:before="29" w:line="288" w:lineRule="auto"/>
              <w:ind w:left="17"/>
              <w:jc w:val="left"/>
              <w:rPr>
                <w:color w:val="000000"/>
                <w:kern w:val="0"/>
                <w:sz w:val="24"/>
                <w:szCs w:val="24"/>
              </w:rPr>
            </w:pPr>
            <w:r>
              <w:rPr>
                <w:color w:val="000000"/>
                <w:kern w:val="0"/>
                <w:sz w:val="24"/>
                <w:szCs w:val="24"/>
              </w:rPr>
              <w:t>519227</w:t>
            </w:r>
          </w:p>
        </w:tc>
      </w:tr>
      <w:tr w:rsidR="002C18FD">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2C18FD" w:rsidRDefault="00494A7D">
            <w:pPr>
              <w:adjustRightInd w:val="0"/>
              <w:spacing w:before="29" w:line="288" w:lineRule="auto"/>
              <w:ind w:left="17"/>
              <w:jc w:val="left"/>
              <w:rPr>
                <w:kern w:val="0"/>
                <w:sz w:val="24"/>
                <w:szCs w:val="24"/>
              </w:rPr>
            </w:pPr>
            <w:r>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2C18FD" w:rsidRDefault="00494A7D">
            <w:pPr>
              <w:adjustRightInd w:val="0"/>
              <w:spacing w:before="29" w:line="288" w:lineRule="auto"/>
              <w:ind w:left="17"/>
              <w:jc w:val="left"/>
              <w:rPr>
                <w:color w:val="000000"/>
                <w:kern w:val="0"/>
                <w:sz w:val="24"/>
                <w:szCs w:val="24"/>
              </w:rPr>
            </w:pPr>
            <w:r>
              <w:rPr>
                <w:kern w:val="0"/>
                <w:sz w:val="24"/>
              </w:rPr>
              <w:t>519227</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基金运作方式</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契约型、开放式</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基金合同生效日</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2017</w:t>
            </w:r>
            <w:r>
              <w:rPr>
                <w:color w:val="000000"/>
                <w:kern w:val="0"/>
                <w:sz w:val="24"/>
                <w:szCs w:val="24"/>
              </w:rPr>
              <w:t>年</w:t>
            </w:r>
            <w:r>
              <w:rPr>
                <w:color w:val="000000"/>
                <w:kern w:val="0"/>
                <w:sz w:val="24"/>
                <w:szCs w:val="24"/>
              </w:rPr>
              <w:t>3</w:t>
            </w:r>
            <w:r>
              <w:rPr>
                <w:color w:val="000000"/>
                <w:kern w:val="0"/>
                <w:sz w:val="24"/>
                <w:szCs w:val="24"/>
              </w:rPr>
              <w:t>月</w:t>
            </w:r>
            <w:r>
              <w:rPr>
                <w:color w:val="000000"/>
                <w:kern w:val="0"/>
                <w:sz w:val="24"/>
                <w:szCs w:val="24"/>
              </w:rPr>
              <w:t>16</w:t>
            </w:r>
            <w:r>
              <w:rPr>
                <w:color w:val="000000"/>
                <w:kern w:val="0"/>
                <w:sz w:val="24"/>
                <w:szCs w:val="24"/>
              </w:rPr>
              <w:t>日</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报告期末基金份额总额</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200,062,274.03</w:t>
            </w:r>
            <w:r>
              <w:rPr>
                <w:color w:val="000000"/>
                <w:kern w:val="0"/>
                <w:sz w:val="24"/>
                <w:szCs w:val="24"/>
              </w:rPr>
              <w:t>份</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投资目标</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本基金在力求本金长期安全的基础上，</w:t>
            </w:r>
            <w:r>
              <w:rPr>
                <w:color w:val="000000"/>
                <w:kern w:val="0"/>
                <w:sz w:val="24"/>
                <w:szCs w:val="24"/>
              </w:rPr>
              <w:t xml:space="preserve"> </w:t>
            </w:r>
            <w:r>
              <w:rPr>
                <w:color w:val="000000"/>
                <w:kern w:val="0"/>
                <w:sz w:val="24"/>
                <w:szCs w:val="24"/>
              </w:rPr>
              <w:t>通过稳健的大类资产配置策略和个券及个股精选策略，力争为基金份额持有人创造超额收益。</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投资策略</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本基金为混合型基金，对债券资产的投资比例不低于基金资产的</w:t>
            </w:r>
            <w:r>
              <w:rPr>
                <w:color w:val="000000"/>
                <w:kern w:val="0"/>
                <w:sz w:val="24"/>
                <w:szCs w:val="24"/>
              </w:rPr>
              <w:t>60%</w:t>
            </w:r>
            <w:r>
              <w:rPr>
                <w:color w:val="000000"/>
                <w:kern w:val="0"/>
                <w:sz w:val="24"/>
                <w:szCs w:val="24"/>
              </w:rPr>
              <w:t>。在此约束下，本基金通过对宏观经济趋势、金融货币政策、供求因素、估值因素、市场风险收益特征及市场行为因素等进行评估分析，对固定收益类资产和股票资产等的预期风险收益进行动态跟踪，从而决定其配置比例。</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业绩比较基准</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中证全债指数收益率</w:t>
            </w:r>
            <w:r>
              <w:rPr>
                <w:color w:val="000000"/>
                <w:kern w:val="0"/>
                <w:sz w:val="24"/>
                <w:szCs w:val="24"/>
              </w:rPr>
              <w:t>×70%</w:t>
            </w:r>
            <w:r>
              <w:rPr>
                <w:color w:val="000000"/>
                <w:kern w:val="0"/>
                <w:sz w:val="24"/>
                <w:szCs w:val="24"/>
              </w:rPr>
              <w:t>＋沪深</w:t>
            </w:r>
            <w:r>
              <w:rPr>
                <w:color w:val="000000"/>
                <w:kern w:val="0"/>
                <w:sz w:val="24"/>
                <w:szCs w:val="24"/>
              </w:rPr>
              <w:t xml:space="preserve">300 </w:t>
            </w:r>
            <w:r>
              <w:rPr>
                <w:color w:val="000000"/>
                <w:kern w:val="0"/>
                <w:sz w:val="24"/>
                <w:szCs w:val="24"/>
              </w:rPr>
              <w:t>指数收益率</w:t>
            </w:r>
            <w:r>
              <w:rPr>
                <w:color w:val="000000"/>
                <w:kern w:val="0"/>
                <w:sz w:val="24"/>
                <w:szCs w:val="24"/>
              </w:rPr>
              <w:t>×30</w:t>
            </w:r>
            <w:r>
              <w:rPr>
                <w:color w:val="000000"/>
                <w:kern w:val="0"/>
                <w:sz w:val="24"/>
                <w:szCs w:val="24"/>
              </w:rPr>
              <w:t>％</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风险收益特征</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本基金为混合型基金，其预期收益及预期风险水平高</w:t>
            </w:r>
            <w:r>
              <w:rPr>
                <w:color w:val="000000"/>
                <w:kern w:val="0"/>
                <w:sz w:val="24"/>
                <w:szCs w:val="24"/>
              </w:rPr>
              <w:lastRenderedPageBreak/>
              <w:t>于债券型基金和货币市场基金，但低于股票型基金，属于中等风险水平的投资品种。</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lastRenderedPageBreak/>
              <w:t>基金管理人</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海富通基金管理有限公司</w:t>
            </w:r>
          </w:p>
        </w:tc>
      </w:tr>
      <w:tr w:rsidR="002C18FD">
        <w:trPr>
          <w:jc w:val="center"/>
        </w:trPr>
        <w:tc>
          <w:tcPr>
            <w:tcW w:w="3023" w:type="dxa"/>
            <w:vAlign w:val="center"/>
          </w:tcPr>
          <w:p w:rsidR="002C18FD" w:rsidRDefault="00494A7D">
            <w:pPr>
              <w:adjustRightInd w:val="0"/>
              <w:spacing w:before="29" w:line="288" w:lineRule="auto"/>
              <w:ind w:left="17"/>
              <w:jc w:val="left"/>
              <w:rPr>
                <w:sz w:val="24"/>
                <w:szCs w:val="24"/>
              </w:rPr>
            </w:pPr>
            <w:r>
              <w:rPr>
                <w:kern w:val="0"/>
                <w:sz w:val="24"/>
                <w:szCs w:val="24"/>
              </w:rPr>
              <w:t>基金托管人</w:t>
            </w:r>
          </w:p>
        </w:tc>
        <w:tc>
          <w:tcPr>
            <w:tcW w:w="5845" w:type="dxa"/>
            <w:vAlign w:val="center"/>
          </w:tcPr>
          <w:p w:rsidR="002C18FD" w:rsidRDefault="00494A7D">
            <w:pPr>
              <w:adjustRightInd w:val="0"/>
              <w:spacing w:before="29" w:line="288" w:lineRule="auto"/>
              <w:ind w:left="17"/>
              <w:jc w:val="left"/>
              <w:rPr>
                <w:color w:val="000000"/>
                <w:sz w:val="24"/>
                <w:szCs w:val="24"/>
              </w:rPr>
            </w:pPr>
            <w:r>
              <w:rPr>
                <w:color w:val="000000"/>
                <w:kern w:val="0"/>
                <w:sz w:val="24"/>
                <w:szCs w:val="24"/>
              </w:rPr>
              <w:t>交通银行股份有限公司</w:t>
            </w:r>
          </w:p>
        </w:tc>
      </w:tr>
    </w:tbl>
    <w:p w:rsidR="002C18FD" w:rsidRDefault="002C18FD">
      <w:pPr>
        <w:autoSpaceDE w:val="0"/>
        <w:autoSpaceDN w:val="0"/>
        <w:adjustRightInd w:val="0"/>
        <w:spacing w:before="29" w:line="288" w:lineRule="auto"/>
        <w:jc w:val="left"/>
        <w:rPr>
          <w:color w:val="000000"/>
          <w:kern w:val="0"/>
          <w:sz w:val="24"/>
          <w:szCs w:val="24"/>
        </w:rPr>
      </w:pPr>
    </w:p>
    <w:p w:rsidR="002C18FD" w:rsidRDefault="00494A7D" w:rsidP="00494A7D">
      <w:pPr>
        <w:pStyle w:val="1"/>
        <w:spacing w:beforeLines="100" w:afterLines="100" w:line="288" w:lineRule="auto"/>
        <w:jc w:val="center"/>
        <w:rPr>
          <w:color w:val="000000"/>
          <w:kern w:val="0"/>
          <w:sz w:val="24"/>
          <w:szCs w:val="24"/>
        </w:rPr>
      </w:pPr>
      <w:r>
        <w:rPr>
          <w:color w:val="000000"/>
          <w:kern w:val="0"/>
          <w:sz w:val="24"/>
          <w:szCs w:val="24"/>
        </w:rPr>
        <w:t xml:space="preserve">§3  </w:t>
      </w:r>
      <w:r>
        <w:rPr>
          <w:color w:val="000000"/>
          <w:kern w:val="0"/>
          <w:sz w:val="24"/>
          <w:szCs w:val="24"/>
        </w:rPr>
        <w:t>主要财务指标和基金净值表现</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3.1 </w:t>
      </w:r>
      <w:r>
        <w:rPr>
          <w:b/>
          <w:bCs/>
          <w:color w:val="000000"/>
          <w:kern w:val="0"/>
          <w:sz w:val="24"/>
          <w:szCs w:val="24"/>
        </w:rPr>
        <w:t>主要财务指标</w:t>
      </w:r>
    </w:p>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7"/>
        <w:gridCol w:w="1"/>
        <w:gridCol w:w="5260"/>
      </w:tblGrid>
      <w:tr w:rsidR="002C18FD">
        <w:trPr>
          <w:jc w:val="center"/>
        </w:trPr>
        <w:tc>
          <w:tcPr>
            <w:tcW w:w="3607" w:type="dxa"/>
            <w:vAlign w:val="center"/>
          </w:tcPr>
          <w:p w:rsidR="002C18FD" w:rsidRDefault="00494A7D">
            <w:pPr>
              <w:adjustRightInd w:val="0"/>
              <w:spacing w:before="29" w:line="288" w:lineRule="auto"/>
              <w:ind w:left="17"/>
              <w:jc w:val="center"/>
              <w:rPr>
                <w:kern w:val="0"/>
                <w:sz w:val="24"/>
                <w:szCs w:val="24"/>
              </w:rPr>
            </w:pPr>
            <w:r>
              <w:rPr>
                <w:kern w:val="0"/>
                <w:sz w:val="24"/>
                <w:szCs w:val="24"/>
              </w:rPr>
              <w:t>主要财务指标</w:t>
            </w:r>
          </w:p>
        </w:tc>
        <w:tc>
          <w:tcPr>
            <w:tcW w:w="5261" w:type="dxa"/>
            <w:hMerge w:val="restart"/>
            <w:vAlign w:val="center"/>
          </w:tcPr>
          <w:p w:rsidR="002C18FD" w:rsidRDefault="00494A7D">
            <w:pPr>
              <w:adjustRightInd w:val="0"/>
              <w:spacing w:before="29" w:line="288" w:lineRule="auto"/>
              <w:ind w:left="17"/>
              <w:jc w:val="center"/>
              <w:rPr>
                <w:color w:val="000000"/>
                <w:sz w:val="24"/>
                <w:szCs w:val="24"/>
              </w:rPr>
            </w:pPr>
            <w:r>
              <w:rPr>
                <w:color w:val="000000"/>
                <w:sz w:val="24"/>
                <w:szCs w:val="24"/>
              </w:rPr>
              <w:t>报告期</w:t>
            </w:r>
          </w:p>
          <w:p w:rsidR="002C18FD" w:rsidRDefault="00494A7D">
            <w:pPr>
              <w:adjustRightInd w:val="0"/>
              <w:spacing w:before="29" w:line="288" w:lineRule="auto"/>
              <w:ind w:left="17"/>
              <w:jc w:val="center"/>
              <w:rPr>
                <w:color w:val="000000"/>
                <w:sz w:val="24"/>
                <w:szCs w:val="24"/>
              </w:rPr>
            </w:pP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1</w:t>
            </w:r>
            <w:r>
              <w:rPr>
                <w:color w:val="000000"/>
                <w:sz w:val="24"/>
                <w:szCs w:val="24"/>
              </w:rPr>
              <w:t>日</w:t>
            </w:r>
            <w:r>
              <w:rPr>
                <w:color w:val="000000"/>
                <w:sz w:val="24"/>
                <w:szCs w:val="24"/>
              </w:rPr>
              <w:t>-2017</w:t>
            </w:r>
            <w:r>
              <w:rPr>
                <w:color w:val="000000"/>
                <w:sz w:val="24"/>
                <w:szCs w:val="24"/>
              </w:rPr>
              <w:t>年</w:t>
            </w:r>
            <w:r>
              <w:rPr>
                <w:color w:val="000000"/>
                <w:sz w:val="24"/>
                <w:szCs w:val="24"/>
              </w:rPr>
              <w:t>12</w:t>
            </w:r>
            <w:r>
              <w:rPr>
                <w:color w:val="000000"/>
                <w:sz w:val="24"/>
                <w:szCs w:val="24"/>
              </w:rPr>
              <w:t>月</w:t>
            </w:r>
            <w:r>
              <w:rPr>
                <w:color w:val="000000"/>
                <w:sz w:val="24"/>
                <w:szCs w:val="24"/>
              </w:rPr>
              <w:t>31</w:t>
            </w:r>
            <w:r>
              <w:rPr>
                <w:color w:val="000000"/>
                <w:sz w:val="24"/>
                <w:szCs w:val="24"/>
              </w:rPr>
              <w:t>日</w:t>
            </w:r>
            <w:r>
              <w:rPr>
                <w:color w:val="000000"/>
                <w:sz w:val="24"/>
                <w:szCs w:val="24"/>
              </w:rPr>
              <w:t>)</w:t>
            </w:r>
          </w:p>
        </w:tc>
        <w:tc>
          <w:tcPr>
            <w:tcW w:w="2555" w:type="dxa"/>
            <w:hMerge/>
            <w:vAlign w:val="center"/>
          </w:tcPr>
          <w:p w:rsidR="002C18FD" w:rsidRDefault="00494A7D">
            <w:pPr>
              <w:adjustRightInd w:val="0"/>
              <w:spacing w:before="29" w:line="288" w:lineRule="auto"/>
              <w:ind w:left="17"/>
              <w:jc w:val="center"/>
              <w:rPr>
                <w:color w:val="000000"/>
                <w:sz w:val="24"/>
                <w:szCs w:val="24"/>
              </w:rPr>
            </w:pPr>
            <w:r>
              <w:rPr>
                <w:color w:val="000000"/>
                <w:sz w:val="24"/>
                <w:szCs w:val="24"/>
              </w:rPr>
              <w:t>上期金额</w:t>
            </w:r>
          </w:p>
        </w:tc>
      </w:tr>
      <w:tr w:rsidR="002C18FD">
        <w:trPr>
          <w:jc w:val="center"/>
        </w:trPr>
        <w:tc>
          <w:tcPr>
            <w:tcW w:w="3607" w:type="dxa"/>
            <w:vAlign w:val="center"/>
          </w:tcPr>
          <w:p w:rsidR="002C18FD" w:rsidRDefault="00494A7D">
            <w:pPr>
              <w:adjustRightInd w:val="0"/>
              <w:spacing w:before="29" w:line="288" w:lineRule="auto"/>
              <w:ind w:left="17"/>
              <w:rPr>
                <w:kern w:val="0"/>
                <w:sz w:val="24"/>
                <w:szCs w:val="24"/>
              </w:rPr>
            </w:pPr>
            <w:r>
              <w:rPr>
                <w:kern w:val="0"/>
                <w:sz w:val="24"/>
                <w:szCs w:val="24"/>
              </w:rPr>
              <w:t>1.</w:t>
            </w:r>
            <w:r>
              <w:rPr>
                <w:kern w:val="0"/>
                <w:sz w:val="24"/>
                <w:szCs w:val="24"/>
              </w:rPr>
              <w:t>本期已实现收益</w:t>
            </w:r>
          </w:p>
        </w:tc>
        <w:tc>
          <w:tcPr>
            <w:tcW w:w="5261" w:type="dxa"/>
            <w:hMerge w:val="restart"/>
            <w:vAlign w:val="center"/>
          </w:tcPr>
          <w:p w:rsidR="002C18FD" w:rsidRDefault="00494A7D">
            <w:pPr>
              <w:adjustRightInd w:val="0"/>
              <w:spacing w:before="29" w:line="288" w:lineRule="auto"/>
              <w:ind w:left="17"/>
              <w:jc w:val="right"/>
              <w:rPr>
                <w:color w:val="000000"/>
                <w:sz w:val="24"/>
                <w:szCs w:val="24"/>
              </w:rPr>
            </w:pPr>
            <w:r>
              <w:rPr>
                <w:color w:val="000000"/>
                <w:sz w:val="24"/>
                <w:szCs w:val="24"/>
              </w:rPr>
              <w:t>8,753,187.61</w:t>
            </w:r>
          </w:p>
        </w:tc>
        <w:tc>
          <w:tcPr>
            <w:tcW w:w="2555" w:type="dxa"/>
            <w:hMerge/>
            <w:vAlign w:val="center"/>
          </w:tcPr>
          <w:p w:rsidR="002C18FD" w:rsidRDefault="00494A7D">
            <w:pPr>
              <w:adjustRightInd w:val="0"/>
              <w:spacing w:before="29" w:line="288" w:lineRule="auto"/>
              <w:ind w:left="17"/>
              <w:jc w:val="right"/>
              <w:rPr>
                <w:color w:val="000000"/>
                <w:sz w:val="24"/>
                <w:szCs w:val="24"/>
              </w:rPr>
            </w:pPr>
            <w:r>
              <w:rPr>
                <w:color w:val="000000"/>
                <w:sz w:val="24"/>
                <w:szCs w:val="24"/>
              </w:rPr>
              <w:t>-</w:t>
            </w:r>
          </w:p>
        </w:tc>
      </w:tr>
      <w:tr w:rsidR="002C18FD">
        <w:trPr>
          <w:jc w:val="center"/>
        </w:trPr>
        <w:tc>
          <w:tcPr>
            <w:tcW w:w="3607" w:type="dxa"/>
            <w:vAlign w:val="center"/>
          </w:tcPr>
          <w:p w:rsidR="002C18FD" w:rsidRDefault="00494A7D">
            <w:pPr>
              <w:adjustRightInd w:val="0"/>
              <w:spacing w:before="29" w:line="288" w:lineRule="auto"/>
              <w:ind w:left="17"/>
              <w:rPr>
                <w:kern w:val="0"/>
                <w:sz w:val="24"/>
                <w:szCs w:val="24"/>
              </w:rPr>
            </w:pPr>
            <w:r>
              <w:rPr>
                <w:kern w:val="0"/>
                <w:sz w:val="24"/>
                <w:szCs w:val="24"/>
              </w:rPr>
              <w:t>2.</w:t>
            </w:r>
            <w:r>
              <w:rPr>
                <w:kern w:val="0"/>
                <w:sz w:val="24"/>
                <w:szCs w:val="24"/>
              </w:rPr>
              <w:t>本期利润</w:t>
            </w:r>
          </w:p>
        </w:tc>
        <w:tc>
          <w:tcPr>
            <w:tcW w:w="5261" w:type="dxa"/>
            <w:hMerge w:val="restart"/>
            <w:vAlign w:val="center"/>
          </w:tcPr>
          <w:p w:rsidR="002C18FD" w:rsidRDefault="00494A7D">
            <w:pPr>
              <w:adjustRightInd w:val="0"/>
              <w:spacing w:before="29" w:line="288" w:lineRule="auto"/>
              <w:ind w:left="17"/>
              <w:jc w:val="right"/>
              <w:rPr>
                <w:color w:val="000000"/>
                <w:sz w:val="24"/>
                <w:szCs w:val="24"/>
              </w:rPr>
            </w:pPr>
            <w:r>
              <w:rPr>
                <w:color w:val="000000"/>
                <w:sz w:val="24"/>
                <w:szCs w:val="24"/>
              </w:rPr>
              <w:t>5,610,916.33</w:t>
            </w:r>
          </w:p>
        </w:tc>
        <w:tc>
          <w:tcPr>
            <w:tcW w:w="2555" w:type="dxa"/>
            <w:hMerge/>
            <w:vAlign w:val="center"/>
          </w:tcPr>
          <w:p w:rsidR="002C18FD" w:rsidRDefault="00494A7D">
            <w:pPr>
              <w:adjustRightInd w:val="0"/>
              <w:spacing w:before="29" w:line="288" w:lineRule="auto"/>
              <w:ind w:left="17"/>
              <w:jc w:val="right"/>
              <w:rPr>
                <w:color w:val="000000"/>
                <w:sz w:val="24"/>
                <w:szCs w:val="24"/>
              </w:rPr>
            </w:pPr>
            <w:r>
              <w:rPr>
                <w:color w:val="000000"/>
                <w:sz w:val="24"/>
                <w:szCs w:val="24"/>
              </w:rPr>
              <w:t>-</w:t>
            </w:r>
          </w:p>
        </w:tc>
      </w:tr>
      <w:tr w:rsidR="002C18FD">
        <w:trPr>
          <w:jc w:val="center"/>
        </w:trPr>
        <w:tc>
          <w:tcPr>
            <w:tcW w:w="3607" w:type="dxa"/>
            <w:vAlign w:val="center"/>
          </w:tcPr>
          <w:p w:rsidR="002C18FD" w:rsidRDefault="00494A7D">
            <w:pPr>
              <w:adjustRightInd w:val="0"/>
              <w:spacing w:before="29" w:line="288" w:lineRule="auto"/>
              <w:ind w:left="17"/>
              <w:rPr>
                <w:kern w:val="0"/>
                <w:sz w:val="24"/>
                <w:szCs w:val="24"/>
              </w:rPr>
            </w:pPr>
            <w:r>
              <w:rPr>
                <w:kern w:val="0"/>
                <w:sz w:val="24"/>
                <w:szCs w:val="24"/>
              </w:rPr>
              <w:t>3.</w:t>
            </w:r>
            <w:r>
              <w:rPr>
                <w:kern w:val="0"/>
                <w:sz w:val="24"/>
                <w:szCs w:val="24"/>
              </w:rPr>
              <w:t>加权平均基金份额本期利润</w:t>
            </w:r>
          </w:p>
        </w:tc>
        <w:tc>
          <w:tcPr>
            <w:tcW w:w="5261" w:type="dxa"/>
            <w:hMerge w:val="restart"/>
            <w:vAlign w:val="center"/>
          </w:tcPr>
          <w:p w:rsidR="002C18FD" w:rsidRDefault="00494A7D">
            <w:pPr>
              <w:adjustRightInd w:val="0"/>
              <w:spacing w:before="29" w:line="288" w:lineRule="auto"/>
              <w:ind w:left="17"/>
              <w:jc w:val="right"/>
              <w:rPr>
                <w:color w:val="000000"/>
                <w:sz w:val="24"/>
                <w:szCs w:val="24"/>
              </w:rPr>
            </w:pPr>
            <w:r>
              <w:rPr>
                <w:color w:val="000000"/>
                <w:sz w:val="24"/>
                <w:szCs w:val="24"/>
              </w:rPr>
              <w:t>0.0280</w:t>
            </w:r>
          </w:p>
        </w:tc>
        <w:tc>
          <w:tcPr>
            <w:tcW w:w="2555" w:type="dxa"/>
            <w:hMerge/>
            <w:vAlign w:val="center"/>
          </w:tcPr>
          <w:p w:rsidR="002C18FD" w:rsidRDefault="00494A7D">
            <w:pPr>
              <w:adjustRightInd w:val="0"/>
              <w:spacing w:before="29" w:line="288" w:lineRule="auto"/>
              <w:ind w:left="17"/>
              <w:jc w:val="right"/>
              <w:rPr>
                <w:color w:val="000000"/>
                <w:sz w:val="24"/>
                <w:szCs w:val="24"/>
              </w:rPr>
            </w:pPr>
            <w:r>
              <w:rPr>
                <w:color w:val="000000"/>
                <w:sz w:val="24"/>
                <w:szCs w:val="24"/>
              </w:rPr>
              <w:t>-</w:t>
            </w:r>
          </w:p>
        </w:tc>
      </w:tr>
      <w:tr w:rsidR="002C18FD">
        <w:trPr>
          <w:jc w:val="center"/>
        </w:trPr>
        <w:tc>
          <w:tcPr>
            <w:tcW w:w="3607" w:type="dxa"/>
            <w:vAlign w:val="center"/>
          </w:tcPr>
          <w:p w:rsidR="002C18FD" w:rsidRDefault="00494A7D">
            <w:pPr>
              <w:adjustRightInd w:val="0"/>
              <w:spacing w:before="29" w:line="288" w:lineRule="auto"/>
              <w:ind w:left="17"/>
              <w:rPr>
                <w:kern w:val="0"/>
                <w:sz w:val="24"/>
                <w:szCs w:val="24"/>
              </w:rPr>
            </w:pPr>
            <w:r>
              <w:rPr>
                <w:kern w:val="0"/>
                <w:sz w:val="24"/>
                <w:szCs w:val="24"/>
              </w:rPr>
              <w:t>4.</w:t>
            </w:r>
            <w:r>
              <w:rPr>
                <w:kern w:val="0"/>
                <w:sz w:val="24"/>
                <w:szCs w:val="24"/>
              </w:rPr>
              <w:t>期末基金资产净值</w:t>
            </w:r>
          </w:p>
        </w:tc>
        <w:tc>
          <w:tcPr>
            <w:tcW w:w="5261" w:type="dxa"/>
            <w:hMerge w:val="restart"/>
            <w:vAlign w:val="center"/>
          </w:tcPr>
          <w:p w:rsidR="002C18FD" w:rsidRDefault="00494A7D">
            <w:pPr>
              <w:adjustRightInd w:val="0"/>
              <w:spacing w:before="29" w:line="288" w:lineRule="auto"/>
              <w:ind w:left="17"/>
              <w:jc w:val="right"/>
              <w:rPr>
                <w:color w:val="000000"/>
                <w:sz w:val="24"/>
                <w:szCs w:val="24"/>
              </w:rPr>
            </w:pPr>
            <w:r>
              <w:rPr>
                <w:color w:val="000000"/>
                <w:sz w:val="24"/>
                <w:szCs w:val="24"/>
              </w:rPr>
              <w:t>211,119,790.67</w:t>
            </w:r>
          </w:p>
        </w:tc>
        <w:tc>
          <w:tcPr>
            <w:tcW w:w="2555" w:type="dxa"/>
            <w:hMerge/>
            <w:vAlign w:val="center"/>
          </w:tcPr>
          <w:p w:rsidR="002C18FD" w:rsidRDefault="00494A7D">
            <w:pPr>
              <w:adjustRightInd w:val="0"/>
              <w:spacing w:before="29" w:line="288" w:lineRule="auto"/>
              <w:ind w:left="17"/>
              <w:jc w:val="right"/>
              <w:rPr>
                <w:color w:val="000000"/>
                <w:sz w:val="24"/>
                <w:szCs w:val="24"/>
              </w:rPr>
            </w:pPr>
            <w:r>
              <w:rPr>
                <w:color w:val="000000"/>
                <w:sz w:val="24"/>
                <w:szCs w:val="24"/>
              </w:rPr>
              <w:t>-</w:t>
            </w:r>
          </w:p>
        </w:tc>
      </w:tr>
      <w:tr w:rsidR="002C18FD">
        <w:trPr>
          <w:trHeight w:val="158"/>
          <w:jc w:val="center"/>
        </w:trPr>
        <w:tc>
          <w:tcPr>
            <w:tcW w:w="3607" w:type="dxa"/>
            <w:vAlign w:val="center"/>
          </w:tcPr>
          <w:p w:rsidR="002C18FD" w:rsidRDefault="00494A7D">
            <w:pPr>
              <w:adjustRightInd w:val="0"/>
              <w:spacing w:before="29" w:line="288" w:lineRule="auto"/>
              <w:ind w:left="17"/>
              <w:rPr>
                <w:kern w:val="0"/>
                <w:sz w:val="24"/>
                <w:szCs w:val="24"/>
              </w:rPr>
            </w:pPr>
            <w:r>
              <w:rPr>
                <w:kern w:val="0"/>
                <w:sz w:val="24"/>
                <w:szCs w:val="24"/>
              </w:rPr>
              <w:t>5.</w:t>
            </w:r>
            <w:r>
              <w:rPr>
                <w:kern w:val="0"/>
                <w:sz w:val="24"/>
                <w:szCs w:val="24"/>
              </w:rPr>
              <w:t>期末基金份额净值</w:t>
            </w:r>
          </w:p>
        </w:tc>
        <w:tc>
          <w:tcPr>
            <w:tcW w:w="5261" w:type="dxa"/>
            <w:hMerge w:val="restart"/>
            <w:vAlign w:val="center"/>
          </w:tcPr>
          <w:p w:rsidR="002C18FD" w:rsidRDefault="00494A7D">
            <w:pPr>
              <w:adjustRightInd w:val="0"/>
              <w:spacing w:before="29" w:line="288" w:lineRule="auto"/>
              <w:ind w:left="17"/>
              <w:jc w:val="right"/>
              <w:rPr>
                <w:color w:val="000000"/>
                <w:sz w:val="24"/>
                <w:szCs w:val="24"/>
              </w:rPr>
            </w:pPr>
            <w:r>
              <w:rPr>
                <w:color w:val="000000"/>
                <w:sz w:val="24"/>
                <w:szCs w:val="24"/>
              </w:rPr>
              <w:t>1.055</w:t>
            </w:r>
          </w:p>
        </w:tc>
        <w:tc>
          <w:tcPr>
            <w:tcW w:w="2555" w:type="dxa"/>
            <w:hMerge/>
            <w:vAlign w:val="center"/>
          </w:tcPr>
          <w:p w:rsidR="002C18FD" w:rsidRDefault="00494A7D">
            <w:pPr>
              <w:adjustRightInd w:val="0"/>
              <w:spacing w:before="29" w:line="288" w:lineRule="auto"/>
              <w:ind w:left="17"/>
              <w:jc w:val="right"/>
              <w:rPr>
                <w:color w:val="000000"/>
                <w:sz w:val="24"/>
                <w:szCs w:val="24"/>
              </w:rPr>
            </w:pPr>
            <w:r>
              <w:rPr>
                <w:color w:val="000000"/>
                <w:sz w:val="24"/>
                <w:szCs w:val="24"/>
              </w:rPr>
              <w:t>-</w:t>
            </w:r>
          </w:p>
        </w:tc>
      </w:tr>
    </w:tbl>
    <w:p w:rsidR="002C18FD" w:rsidRDefault="00494A7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）所述基金业绩指标不包括持有人认购或交易基金的各项费用，计入费用后实际收益水平要低于所列数字。</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w:t>
      </w:r>
      <w:r>
        <w:rPr>
          <w:color w:val="000000"/>
          <w:sz w:val="24"/>
          <w:szCs w:val="24"/>
        </w:rPr>
        <w:t>3</w:t>
      </w:r>
      <w:r>
        <w:rPr>
          <w:color w:val="000000"/>
          <w:sz w:val="24"/>
          <w:szCs w:val="24"/>
        </w:rPr>
        <w:t>）海富通欣盛定期开放混合型证券投资基金的最后运作日为</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5</w:t>
      </w:r>
      <w:r>
        <w:rPr>
          <w:color w:val="000000"/>
          <w:sz w:val="24"/>
          <w:szCs w:val="24"/>
        </w:rPr>
        <w:t>日，自</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6</w:t>
      </w:r>
      <w:r>
        <w:rPr>
          <w:color w:val="000000"/>
          <w:sz w:val="24"/>
          <w:szCs w:val="24"/>
        </w:rPr>
        <w:t>日进入清盘期。</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 </w:t>
      </w:r>
      <w:r>
        <w:rPr>
          <w:b/>
          <w:bCs/>
          <w:color w:val="000000"/>
          <w:kern w:val="0"/>
          <w:sz w:val="24"/>
          <w:szCs w:val="24"/>
        </w:rPr>
        <w:t>基金净值表现</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3.2.1 </w:t>
      </w:r>
      <w:r>
        <w:rPr>
          <w:b/>
          <w:bCs/>
          <w:color w:val="000000"/>
          <w:kern w:val="0"/>
          <w:sz w:val="24"/>
          <w:szCs w:val="24"/>
        </w:rPr>
        <w:t>本报告期基金份额净值增长率及其与同期业绩比较基准收益率的比较</w:t>
      </w:r>
    </w:p>
    <w:tbl>
      <w:tblPr>
        <w:tblStyle w:val="af8"/>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2C18FD">
        <w:trPr>
          <w:jc w:val="center"/>
        </w:trPr>
        <w:tc>
          <w:tcPr>
            <w:tcW w:w="1701"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阶段</w:t>
            </w:r>
          </w:p>
        </w:tc>
        <w:tc>
          <w:tcPr>
            <w:tcW w:w="1045"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w:t>
            </w:r>
            <w:r>
              <w:rPr>
                <w:rFonts w:hAnsi="宋体"/>
                <w:color w:val="000000"/>
                <w:kern w:val="0"/>
                <w:sz w:val="24"/>
                <w:szCs w:val="24"/>
              </w:rPr>
              <w:t>①</w:t>
            </w:r>
          </w:p>
        </w:tc>
        <w:tc>
          <w:tcPr>
            <w:tcW w:w="1344"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净值增长率标准差</w:t>
            </w:r>
            <w:r>
              <w:rPr>
                <w:rFonts w:hAnsi="宋体"/>
                <w:color w:val="000000"/>
                <w:kern w:val="0"/>
                <w:sz w:val="24"/>
                <w:szCs w:val="24"/>
              </w:rPr>
              <w:t>②</w:t>
            </w:r>
          </w:p>
        </w:tc>
        <w:tc>
          <w:tcPr>
            <w:tcW w:w="1194"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w:t>
            </w:r>
            <w:r>
              <w:rPr>
                <w:rFonts w:hAnsi="宋体"/>
                <w:color w:val="000000"/>
                <w:kern w:val="0"/>
                <w:sz w:val="24"/>
                <w:szCs w:val="24"/>
              </w:rPr>
              <w:t>③</w:t>
            </w:r>
          </w:p>
        </w:tc>
        <w:tc>
          <w:tcPr>
            <w:tcW w:w="1492"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业绩比较基准收益率标准差</w:t>
            </w:r>
            <w:r>
              <w:rPr>
                <w:rFonts w:hAnsi="宋体"/>
                <w:color w:val="000000"/>
                <w:kern w:val="0"/>
                <w:sz w:val="24"/>
                <w:szCs w:val="24"/>
              </w:rPr>
              <w:t>④</w:t>
            </w:r>
          </w:p>
        </w:tc>
        <w:tc>
          <w:tcPr>
            <w:tcW w:w="1194"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①</w:t>
            </w:r>
            <w:r>
              <w:rPr>
                <w:color w:val="000000"/>
                <w:kern w:val="0"/>
                <w:sz w:val="24"/>
                <w:szCs w:val="24"/>
              </w:rPr>
              <w:t>-</w:t>
            </w:r>
            <w:r>
              <w:rPr>
                <w:rFonts w:hAnsi="宋体"/>
                <w:color w:val="000000"/>
                <w:kern w:val="0"/>
                <w:sz w:val="24"/>
                <w:szCs w:val="24"/>
              </w:rPr>
              <w:t>③</w:t>
            </w:r>
          </w:p>
        </w:tc>
        <w:tc>
          <w:tcPr>
            <w:tcW w:w="898"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rFonts w:hAnsi="宋体"/>
                <w:color w:val="000000"/>
                <w:kern w:val="0"/>
                <w:sz w:val="24"/>
                <w:szCs w:val="24"/>
              </w:rPr>
              <w:t>②</w:t>
            </w:r>
            <w:r>
              <w:rPr>
                <w:color w:val="000000"/>
                <w:kern w:val="0"/>
                <w:sz w:val="24"/>
                <w:szCs w:val="24"/>
              </w:rPr>
              <w:t>-</w:t>
            </w:r>
            <w:r>
              <w:rPr>
                <w:rFonts w:hAnsi="宋体"/>
                <w:color w:val="000000"/>
                <w:kern w:val="0"/>
                <w:sz w:val="24"/>
                <w:szCs w:val="24"/>
              </w:rPr>
              <w:t>④</w:t>
            </w:r>
          </w:p>
        </w:tc>
      </w:tr>
      <w:tr w:rsidR="002C18FD">
        <w:trPr>
          <w:jc w:val="center"/>
        </w:trPr>
        <w:tc>
          <w:tcPr>
            <w:tcW w:w="1701" w:type="dxa"/>
            <w:vAlign w:val="center"/>
          </w:tcPr>
          <w:p w:rsidR="002C18FD" w:rsidRDefault="00494A7D">
            <w:pPr>
              <w:jc w:val="left"/>
            </w:pPr>
            <w:r>
              <w:rPr>
                <w:color w:val="000000"/>
                <w:kern w:val="0"/>
                <w:sz w:val="24"/>
                <w:szCs w:val="24"/>
              </w:rPr>
              <w:t>2017.10.1-2017.11.5</w:t>
            </w:r>
          </w:p>
        </w:tc>
        <w:tc>
          <w:tcPr>
            <w:tcW w:w="1045" w:type="dxa"/>
            <w:vAlign w:val="center"/>
          </w:tcPr>
          <w:p w:rsidR="002C18FD" w:rsidRDefault="00494A7D">
            <w:pPr>
              <w:jc w:val="center"/>
            </w:pPr>
            <w:r>
              <w:rPr>
                <w:color w:val="000000"/>
                <w:kern w:val="0"/>
                <w:sz w:val="24"/>
                <w:szCs w:val="24"/>
              </w:rPr>
              <w:t>2.73%</w:t>
            </w:r>
          </w:p>
        </w:tc>
        <w:tc>
          <w:tcPr>
            <w:tcW w:w="1344" w:type="dxa"/>
            <w:vAlign w:val="center"/>
          </w:tcPr>
          <w:p w:rsidR="002C18FD" w:rsidRDefault="00494A7D">
            <w:pPr>
              <w:jc w:val="center"/>
            </w:pPr>
            <w:r>
              <w:rPr>
                <w:color w:val="000000"/>
                <w:kern w:val="0"/>
                <w:sz w:val="24"/>
                <w:szCs w:val="24"/>
              </w:rPr>
              <w:t>0.21%</w:t>
            </w:r>
          </w:p>
        </w:tc>
        <w:tc>
          <w:tcPr>
            <w:tcW w:w="1194" w:type="dxa"/>
            <w:vAlign w:val="center"/>
          </w:tcPr>
          <w:p w:rsidR="002C18FD" w:rsidRDefault="00494A7D">
            <w:pPr>
              <w:jc w:val="center"/>
            </w:pPr>
            <w:r>
              <w:rPr>
                <w:color w:val="000000"/>
                <w:kern w:val="0"/>
                <w:sz w:val="24"/>
                <w:szCs w:val="24"/>
              </w:rPr>
              <w:t>1.00%</w:t>
            </w:r>
          </w:p>
        </w:tc>
        <w:tc>
          <w:tcPr>
            <w:tcW w:w="1492" w:type="dxa"/>
            <w:vAlign w:val="center"/>
          </w:tcPr>
          <w:p w:rsidR="002C18FD" w:rsidRDefault="00494A7D">
            <w:pPr>
              <w:jc w:val="center"/>
            </w:pPr>
            <w:r>
              <w:rPr>
                <w:color w:val="000000"/>
                <w:kern w:val="0"/>
                <w:sz w:val="24"/>
                <w:szCs w:val="24"/>
              </w:rPr>
              <w:t>0.14%</w:t>
            </w:r>
          </w:p>
        </w:tc>
        <w:tc>
          <w:tcPr>
            <w:tcW w:w="1194" w:type="dxa"/>
            <w:vAlign w:val="center"/>
          </w:tcPr>
          <w:p w:rsidR="002C18FD" w:rsidRDefault="00494A7D">
            <w:pPr>
              <w:jc w:val="center"/>
            </w:pPr>
            <w:r>
              <w:rPr>
                <w:color w:val="000000"/>
                <w:kern w:val="0"/>
                <w:sz w:val="24"/>
                <w:szCs w:val="24"/>
              </w:rPr>
              <w:t>1.73%</w:t>
            </w:r>
          </w:p>
        </w:tc>
        <w:tc>
          <w:tcPr>
            <w:tcW w:w="898" w:type="dxa"/>
            <w:vAlign w:val="center"/>
          </w:tcPr>
          <w:p w:rsidR="002C18FD" w:rsidRDefault="00494A7D">
            <w:pPr>
              <w:jc w:val="center"/>
            </w:pPr>
            <w:r>
              <w:rPr>
                <w:color w:val="000000"/>
                <w:kern w:val="0"/>
                <w:sz w:val="24"/>
                <w:szCs w:val="24"/>
              </w:rPr>
              <w:t>0.07%</w:t>
            </w:r>
          </w:p>
        </w:tc>
      </w:tr>
    </w:tbl>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3.2.2</w:t>
      </w:r>
      <w:r>
        <w:rPr>
          <w:rFonts w:hint="eastAsia"/>
          <w:b/>
          <w:bCs/>
          <w:color w:val="000000"/>
          <w:kern w:val="0"/>
          <w:sz w:val="24"/>
          <w:szCs w:val="24"/>
        </w:rPr>
        <w:t xml:space="preserve">  </w:t>
      </w:r>
      <w:r>
        <w:rPr>
          <w:rFonts w:hint="eastAsia"/>
          <w:b/>
          <w:bCs/>
          <w:color w:val="000000"/>
          <w:kern w:val="0"/>
          <w:sz w:val="24"/>
          <w:szCs w:val="24"/>
        </w:rPr>
        <w:t>自基金合同生效以来</w:t>
      </w:r>
      <w:r>
        <w:rPr>
          <w:b/>
          <w:bCs/>
          <w:color w:val="000000"/>
          <w:sz w:val="24"/>
        </w:rPr>
        <w:t>基金份额累计净值增长率变动及其与同期业绩比较基准收益率变动的比较</w:t>
      </w:r>
    </w:p>
    <w:p w:rsidR="002C18FD" w:rsidRDefault="00494A7D">
      <w:pPr>
        <w:spacing w:before="29" w:line="288" w:lineRule="auto"/>
        <w:jc w:val="center"/>
        <w:rPr>
          <w:color w:val="000000"/>
          <w:sz w:val="24"/>
          <w:szCs w:val="24"/>
        </w:rPr>
      </w:pPr>
      <w:r>
        <w:rPr>
          <w:color w:val="000000"/>
          <w:sz w:val="24"/>
          <w:szCs w:val="24"/>
        </w:rPr>
        <w:t>海富通欣盛定期开放混合型证券投资基金</w:t>
      </w:r>
    </w:p>
    <w:p w:rsidR="002C18FD" w:rsidRDefault="00494A7D">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份额累计净值增长率与业绩比较基准收益率历史走势对比图</w:t>
      </w:r>
    </w:p>
    <w:p w:rsidR="002C18FD" w:rsidRDefault="00494A7D">
      <w:pPr>
        <w:snapToGrid w:val="0"/>
        <w:spacing w:before="29" w:line="288" w:lineRule="auto"/>
        <w:jc w:val="center"/>
        <w:rPr>
          <w:color w:val="000000"/>
          <w:sz w:val="24"/>
        </w:rPr>
      </w:pPr>
      <w:r>
        <w:rPr>
          <w:rFonts w:hint="eastAsia"/>
          <w:color w:val="000000"/>
          <w:sz w:val="24"/>
        </w:rPr>
        <w:t>(2017</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16</w:t>
      </w:r>
      <w:r>
        <w:rPr>
          <w:rFonts w:hint="eastAsia"/>
          <w:color w:val="000000"/>
          <w:sz w:val="24"/>
        </w:rPr>
        <w:t>日至</w:t>
      </w:r>
      <w:r>
        <w:rPr>
          <w:color w:val="000000"/>
          <w:sz w:val="24"/>
        </w:rPr>
        <w:t>2017</w:t>
      </w:r>
      <w:r>
        <w:rPr>
          <w:color w:val="000000"/>
          <w:sz w:val="24"/>
        </w:rPr>
        <w:t>年</w:t>
      </w:r>
      <w:r>
        <w:rPr>
          <w:color w:val="000000"/>
          <w:sz w:val="24"/>
        </w:rPr>
        <w:t>11</w:t>
      </w:r>
      <w:r>
        <w:rPr>
          <w:color w:val="000000"/>
          <w:sz w:val="24"/>
        </w:rPr>
        <w:t>月</w:t>
      </w:r>
      <w:r>
        <w:rPr>
          <w:color w:val="000000"/>
          <w:sz w:val="24"/>
        </w:rPr>
        <w:t>5</w:t>
      </w:r>
      <w:r>
        <w:rPr>
          <w:color w:val="000000"/>
          <w:sz w:val="24"/>
        </w:rPr>
        <w:t>日</w:t>
      </w:r>
      <w:r>
        <w:rPr>
          <w:rFonts w:hint="eastAsia"/>
          <w:color w:val="000000"/>
          <w:sz w:val="24"/>
        </w:rPr>
        <w:t>)</w:t>
      </w:r>
    </w:p>
    <w:p w:rsidR="002C18FD" w:rsidRDefault="00494A7D">
      <w:pPr>
        <w:pStyle w:val="a9"/>
        <w:snapToGrid w:val="0"/>
        <w:spacing w:before="29" w:line="288"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走势图1.jpg"/>
                    <pic:cNvPicPr>
                      <a:picLocks noChangeAspect="1"/>
                    </pic:cNvPicPr>
                  </pic:nvPicPr>
                  <pic:blipFill>
                    <a:blip r:embed="rId10" cstate="print"/>
                    <a:stretch>
                      <a:fillRect/>
                    </a:stretch>
                  </pic:blipFill>
                  <pic:spPr>
                    <a:xfrm>
                      <a:off x="0" y="0"/>
                      <a:ext cx="5731510" cy="3356610"/>
                    </a:xfrm>
                    <a:prstGeom prst="rect">
                      <a:avLst/>
                    </a:prstGeom>
                  </pic:spPr>
                </pic:pic>
              </a:graphicData>
            </a:graphic>
          </wp:inline>
        </w:drawing>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、本基金合同于</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16</w:t>
      </w:r>
      <w:r>
        <w:rPr>
          <w:color w:val="000000"/>
          <w:sz w:val="24"/>
          <w:szCs w:val="24"/>
        </w:rPr>
        <w:t>日生效，最后运作日为</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5</w:t>
      </w:r>
      <w:r>
        <w:rPr>
          <w:color w:val="000000"/>
          <w:sz w:val="24"/>
          <w:szCs w:val="24"/>
        </w:rPr>
        <w:t>日。</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、按基金合同规定，本基金自基金合同生效起</w:t>
      </w:r>
      <w:r>
        <w:rPr>
          <w:color w:val="000000"/>
          <w:sz w:val="24"/>
          <w:szCs w:val="24"/>
        </w:rPr>
        <w:t>6</w:t>
      </w:r>
      <w:r>
        <w:rPr>
          <w:color w:val="000000"/>
          <w:sz w:val="24"/>
          <w:szCs w:val="24"/>
        </w:rPr>
        <w:t>个月内为建仓期。建仓期结束时本基金的各项投资比例已达到基金合同第十二部分（二）投资范围、（四）投资限制中规定的各项比例。</w:t>
      </w:r>
    </w:p>
    <w:p w:rsidR="002C18FD" w:rsidRDefault="002C18FD">
      <w:pPr>
        <w:tabs>
          <w:tab w:val="left" w:pos="1800"/>
        </w:tabs>
        <w:spacing w:before="29" w:line="288" w:lineRule="auto"/>
        <w:rPr>
          <w:color w:val="000000"/>
          <w:sz w:val="24"/>
          <w:szCs w:val="24"/>
        </w:rPr>
      </w:pPr>
    </w:p>
    <w:p w:rsidR="002C18FD" w:rsidRDefault="002C18FD">
      <w:pPr>
        <w:tabs>
          <w:tab w:val="left" w:pos="1800"/>
        </w:tabs>
        <w:spacing w:before="29" w:line="288" w:lineRule="auto"/>
        <w:rPr>
          <w:color w:val="000000"/>
          <w:sz w:val="24"/>
          <w:szCs w:val="24"/>
        </w:rPr>
      </w:pPr>
    </w:p>
    <w:p w:rsidR="002C18FD" w:rsidRDefault="00494A7D" w:rsidP="00494A7D">
      <w:pPr>
        <w:pStyle w:val="1"/>
        <w:spacing w:beforeLines="100" w:afterLines="100" w:line="288" w:lineRule="auto"/>
        <w:jc w:val="center"/>
        <w:rPr>
          <w:color w:val="000000"/>
          <w:kern w:val="0"/>
          <w:sz w:val="24"/>
          <w:szCs w:val="24"/>
        </w:rPr>
      </w:pPr>
      <w:r>
        <w:rPr>
          <w:color w:val="000000"/>
          <w:kern w:val="0"/>
          <w:sz w:val="24"/>
          <w:szCs w:val="24"/>
        </w:rPr>
        <w:t xml:space="preserve">§4  </w:t>
      </w:r>
      <w:r>
        <w:rPr>
          <w:color w:val="000000"/>
          <w:kern w:val="0"/>
          <w:sz w:val="24"/>
          <w:szCs w:val="24"/>
        </w:rPr>
        <w:t>管理人报告</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4.1 </w:t>
      </w:r>
      <w:r>
        <w:rPr>
          <w:b/>
          <w:bCs/>
          <w:color w:val="000000"/>
          <w:kern w:val="0"/>
          <w:sz w:val="24"/>
          <w:szCs w:val="24"/>
        </w:rPr>
        <w:t>基金经理</w:t>
      </w:r>
      <w:r>
        <w:rPr>
          <w:b/>
          <w:color w:val="000000"/>
          <w:kern w:val="0"/>
          <w:sz w:val="24"/>
        </w:rPr>
        <w:t>（</w:t>
      </w:r>
      <w:r>
        <w:rPr>
          <w:b/>
          <w:bCs/>
          <w:color w:val="000000"/>
          <w:kern w:val="0"/>
          <w:sz w:val="24"/>
          <w:szCs w:val="24"/>
        </w:rPr>
        <w:t>或基金经理小组</w:t>
      </w:r>
      <w:r>
        <w:rPr>
          <w:b/>
          <w:color w:val="000000"/>
          <w:kern w:val="0"/>
          <w:sz w:val="24"/>
        </w:rPr>
        <w:t>）</w:t>
      </w:r>
      <w:r>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45"/>
        <w:gridCol w:w="1549"/>
        <w:gridCol w:w="1548"/>
        <w:gridCol w:w="1407"/>
        <w:gridCol w:w="2673"/>
      </w:tblGrid>
      <w:tr w:rsidR="002C18FD">
        <w:trPr>
          <w:trHeight w:val="292"/>
          <w:jc w:val="center"/>
        </w:trPr>
        <w:tc>
          <w:tcPr>
            <w:tcW w:w="846" w:type="dxa"/>
            <w:vMerge w:val="restart"/>
            <w:vAlign w:val="center"/>
          </w:tcPr>
          <w:p w:rsidR="002C18FD" w:rsidRDefault="00494A7D">
            <w:pPr>
              <w:widowControl/>
              <w:spacing w:before="29" w:line="288" w:lineRule="auto"/>
              <w:ind w:left="17"/>
              <w:jc w:val="center"/>
              <w:rPr>
                <w:color w:val="000000"/>
                <w:kern w:val="0"/>
                <w:sz w:val="24"/>
                <w:szCs w:val="24"/>
              </w:rPr>
            </w:pPr>
            <w:r>
              <w:rPr>
                <w:color w:val="000000"/>
                <w:kern w:val="0"/>
                <w:sz w:val="24"/>
                <w:szCs w:val="24"/>
              </w:rPr>
              <w:t>姓名</w:t>
            </w:r>
          </w:p>
        </w:tc>
        <w:tc>
          <w:tcPr>
            <w:tcW w:w="845" w:type="dxa"/>
            <w:vMerge w:val="restart"/>
            <w:vAlign w:val="center"/>
          </w:tcPr>
          <w:p w:rsidR="002C18FD" w:rsidRDefault="00494A7D">
            <w:pPr>
              <w:widowControl/>
              <w:spacing w:before="29" w:line="288" w:lineRule="auto"/>
              <w:ind w:left="17"/>
              <w:jc w:val="center"/>
              <w:rPr>
                <w:color w:val="000000"/>
                <w:kern w:val="0"/>
                <w:sz w:val="24"/>
                <w:szCs w:val="24"/>
              </w:rPr>
            </w:pPr>
            <w:r>
              <w:rPr>
                <w:color w:val="000000"/>
                <w:kern w:val="0"/>
                <w:sz w:val="24"/>
                <w:szCs w:val="24"/>
              </w:rPr>
              <w:t>职务</w:t>
            </w:r>
          </w:p>
        </w:tc>
        <w:tc>
          <w:tcPr>
            <w:tcW w:w="3097" w:type="dxa"/>
            <w:gridSpan w:val="2"/>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任本基金的基金经理期限</w:t>
            </w:r>
          </w:p>
        </w:tc>
        <w:tc>
          <w:tcPr>
            <w:tcW w:w="1407" w:type="dxa"/>
            <w:vMerge w:val="restart"/>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证券从业年限</w:t>
            </w:r>
          </w:p>
        </w:tc>
        <w:tc>
          <w:tcPr>
            <w:tcW w:w="2673" w:type="dxa"/>
            <w:vMerge w:val="restart"/>
            <w:vAlign w:val="center"/>
          </w:tcPr>
          <w:p w:rsidR="002C18FD" w:rsidRDefault="00494A7D">
            <w:pPr>
              <w:widowControl/>
              <w:spacing w:before="29" w:line="288" w:lineRule="auto"/>
              <w:ind w:left="17"/>
              <w:jc w:val="center"/>
              <w:rPr>
                <w:color w:val="000000"/>
                <w:kern w:val="0"/>
                <w:sz w:val="24"/>
                <w:szCs w:val="24"/>
              </w:rPr>
            </w:pPr>
            <w:r>
              <w:rPr>
                <w:color w:val="000000"/>
                <w:kern w:val="0"/>
                <w:sz w:val="24"/>
                <w:szCs w:val="24"/>
              </w:rPr>
              <w:t>说明</w:t>
            </w:r>
          </w:p>
        </w:tc>
      </w:tr>
      <w:tr w:rsidR="002C18FD">
        <w:trPr>
          <w:jc w:val="center"/>
        </w:trPr>
        <w:tc>
          <w:tcPr>
            <w:tcW w:w="846" w:type="dxa"/>
            <w:vMerge/>
            <w:vAlign w:val="center"/>
          </w:tcPr>
          <w:p w:rsidR="002C18FD" w:rsidRDefault="002C18FD">
            <w:pPr>
              <w:widowControl/>
              <w:spacing w:before="29" w:line="288" w:lineRule="auto"/>
              <w:jc w:val="left"/>
              <w:rPr>
                <w:color w:val="000000"/>
                <w:kern w:val="0"/>
                <w:sz w:val="24"/>
                <w:szCs w:val="24"/>
              </w:rPr>
            </w:pPr>
          </w:p>
        </w:tc>
        <w:tc>
          <w:tcPr>
            <w:tcW w:w="845" w:type="dxa"/>
            <w:vMerge/>
            <w:vAlign w:val="center"/>
          </w:tcPr>
          <w:p w:rsidR="002C18FD" w:rsidRDefault="002C18FD">
            <w:pPr>
              <w:widowControl/>
              <w:spacing w:before="29" w:line="288" w:lineRule="auto"/>
              <w:jc w:val="left"/>
              <w:rPr>
                <w:color w:val="000000"/>
                <w:kern w:val="0"/>
                <w:sz w:val="24"/>
                <w:szCs w:val="24"/>
              </w:rPr>
            </w:pPr>
          </w:p>
        </w:tc>
        <w:tc>
          <w:tcPr>
            <w:tcW w:w="1549"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任职日期</w:t>
            </w:r>
          </w:p>
        </w:tc>
        <w:tc>
          <w:tcPr>
            <w:tcW w:w="1548"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离任日期</w:t>
            </w:r>
          </w:p>
        </w:tc>
        <w:tc>
          <w:tcPr>
            <w:tcW w:w="1407" w:type="dxa"/>
            <w:vMerge/>
            <w:vAlign w:val="center"/>
          </w:tcPr>
          <w:p w:rsidR="002C18FD" w:rsidRDefault="002C18FD">
            <w:pPr>
              <w:widowControl/>
              <w:spacing w:before="29" w:line="288" w:lineRule="auto"/>
              <w:jc w:val="left"/>
              <w:rPr>
                <w:color w:val="000000"/>
                <w:kern w:val="0"/>
                <w:sz w:val="24"/>
                <w:szCs w:val="24"/>
              </w:rPr>
            </w:pPr>
          </w:p>
        </w:tc>
        <w:tc>
          <w:tcPr>
            <w:tcW w:w="2673" w:type="dxa"/>
            <w:vMerge/>
            <w:vAlign w:val="center"/>
          </w:tcPr>
          <w:p w:rsidR="002C18FD" w:rsidRDefault="002C18FD">
            <w:pPr>
              <w:widowControl/>
              <w:spacing w:before="29" w:line="288" w:lineRule="auto"/>
              <w:jc w:val="left"/>
              <w:rPr>
                <w:color w:val="000000"/>
                <w:kern w:val="0"/>
                <w:sz w:val="24"/>
                <w:szCs w:val="24"/>
              </w:rPr>
            </w:pPr>
          </w:p>
        </w:tc>
      </w:tr>
      <w:tr w:rsidR="002C18FD">
        <w:trPr>
          <w:jc w:val="center"/>
        </w:trPr>
        <w:tc>
          <w:tcPr>
            <w:tcW w:w="846" w:type="dxa"/>
            <w:vAlign w:val="center"/>
          </w:tcPr>
          <w:p w:rsidR="002C18FD" w:rsidRDefault="00494A7D">
            <w:pPr>
              <w:jc w:val="center"/>
            </w:pPr>
            <w:r>
              <w:rPr>
                <w:color w:val="000000"/>
                <w:sz w:val="24"/>
                <w:szCs w:val="24"/>
              </w:rPr>
              <w:t>谈云飞</w:t>
            </w:r>
          </w:p>
        </w:tc>
        <w:tc>
          <w:tcPr>
            <w:tcW w:w="845" w:type="dxa"/>
            <w:vAlign w:val="center"/>
          </w:tcPr>
          <w:p w:rsidR="002C18FD" w:rsidRDefault="00494A7D">
            <w:pPr>
              <w:jc w:val="center"/>
            </w:pPr>
            <w:r>
              <w:rPr>
                <w:color w:val="000000"/>
                <w:sz w:val="24"/>
                <w:szCs w:val="24"/>
              </w:rPr>
              <w:t>本基金的基金经理；海富通季季增利理财债券基金经理；海富通稳健添利债券基金经理；海富通货币基金经理；海富通养老收益混合基金经理；海富通欣益混合基金经理；海富通新内需混合基金经理；海富通聚利债券基金经理；海富通欣荣混合基金经理；海富通强化回报混合基金经理；海富通欣享混合基金经理；海富通季季通利理财债券基金经理。</w:t>
            </w:r>
          </w:p>
        </w:tc>
        <w:tc>
          <w:tcPr>
            <w:tcW w:w="1549" w:type="dxa"/>
            <w:vAlign w:val="center"/>
          </w:tcPr>
          <w:p w:rsidR="002C18FD" w:rsidRDefault="00494A7D">
            <w:pPr>
              <w:jc w:val="center"/>
            </w:pPr>
            <w:r>
              <w:rPr>
                <w:color w:val="000000"/>
                <w:sz w:val="24"/>
                <w:szCs w:val="24"/>
              </w:rPr>
              <w:t>2017-03-16</w:t>
            </w:r>
          </w:p>
        </w:tc>
        <w:tc>
          <w:tcPr>
            <w:tcW w:w="1548" w:type="dxa"/>
            <w:vAlign w:val="center"/>
          </w:tcPr>
          <w:p w:rsidR="002C18FD" w:rsidRDefault="00494A7D">
            <w:pPr>
              <w:jc w:val="center"/>
            </w:pPr>
            <w:r>
              <w:rPr>
                <w:color w:val="000000"/>
                <w:sz w:val="24"/>
                <w:szCs w:val="24"/>
              </w:rPr>
              <w:t>-</w:t>
            </w:r>
          </w:p>
        </w:tc>
        <w:tc>
          <w:tcPr>
            <w:tcW w:w="1407" w:type="dxa"/>
            <w:vAlign w:val="center"/>
          </w:tcPr>
          <w:p w:rsidR="002C18FD" w:rsidRDefault="00494A7D">
            <w:pPr>
              <w:jc w:val="center"/>
            </w:pPr>
            <w:r>
              <w:rPr>
                <w:color w:val="000000"/>
                <w:sz w:val="24"/>
                <w:szCs w:val="24"/>
              </w:rPr>
              <w:t>12</w:t>
            </w:r>
            <w:r>
              <w:rPr>
                <w:color w:val="000000"/>
                <w:sz w:val="24"/>
                <w:szCs w:val="24"/>
              </w:rPr>
              <w:t>年</w:t>
            </w:r>
          </w:p>
        </w:tc>
        <w:tc>
          <w:tcPr>
            <w:tcW w:w="2673" w:type="dxa"/>
            <w:vAlign w:val="center"/>
          </w:tcPr>
          <w:p w:rsidR="002C18FD" w:rsidRDefault="00494A7D">
            <w:r>
              <w:rPr>
                <w:color w:val="000000"/>
                <w:sz w:val="24"/>
                <w:szCs w:val="24"/>
              </w:rPr>
              <w:t>硕士，持有基金从业人员资格证书。</w:t>
            </w:r>
            <w:r>
              <w:rPr>
                <w:color w:val="000000"/>
                <w:sz w:val="24"/>
                <w:szCs w:val="24"/>
              </w:rPr>
              <w:t>2005</w:t>
            </w:r>
            <w:r>
              <w:rPr>
                <w:color w:val="000000"/>
                <w:sz w:val="24"/>
                <w:szCs w:val="24"/>
              </w:rPr>
              <w:t>年</w:t>
            </w:r>
            <w:r>
              <w:rPr>
                <w:color w:val="000000"/>
                <w:sz w:val="24"/>
                <w:szCs w:val="24"/>
              </w:rPr>
              <w:t>4</w:t>
            </w:r>
            <w:r>
              <w:rPr>
                <w:color w:val="000000"/>
                <w:sz w:val="24"/>
                <w:szCs w:val="24"/>
              </w:rPr>
              <w:t>月至</w:t>
            </w:r>
            <w:r>
              <w:rPr>
                <w:color w:val="000000"/>
                <w:sz w:val="24"/>
                <w:szCs w:val="24"/>
              </w:rPr>
              <w:t>2014</w:t>
            </w:r>
            <w:r>
              <w:rPr>
                <w:color w:val="000000"/>
                <w:sz w:val="24"/>
                <w:szCs w:val="24"/>
              </w:rPr>
              <w:t>年</w:t>
            </w:r>
            <w:r>
              <w:rPr>
                <w:color w:val="000000"/>
                <w:sz w:val="24"/>
                <w:szCs w:val="24"/>
              </w:rPr>
              <w:t>6</w:t>
            </w:r>
            <w:r>
              <w:rPr>
                <w:color w:val="000000"/>
                <w:sz w:val="24"/>
                <w:szCs w:val="24"/>
              </w:rPr>
              <w:t>月就职于华宝兴业基金管理有限公司，曾任产品经理、研究员、专户投资经理</w:t>
            </w:r>
            <w:r>
              <w:rPr>
                <w:color w:val="000000"/>
                <w:sz w:val="24"/>
                <w:szCs w:val="24"/>
              </w:rPr>
              <w:t xml:space="preserve"> </w:t>
            </w:r>
            <w:r>
              <w:rPr>
                <w:color w:val="000000"/>
                <w:sz w:val="24"/>
                <w:szCs w:val="24"/>
              </w:rPr>
              <w:t>、基金经理助理，</w:t>
            </w:r>
            <w:r>
              <w:rPr>
                <w:color w:val="000000"/>
                <w:sz w:val="24"/>
                <w:szCs w:val="24"/>
              </w:rPr>
              <w:t>2014</w:t>
            </w:r>
            <w:r>
              <w:rPr>
                <w:color w:val="000000"/>
                <w:sz w:val="24"/>
                <w:szCs w:val="24"/>
              </w:rPr>
              <w:t>年</w:t>
            </w:r>
            <w:r>
              <w:rPr>
                <w:color w:val="000000"/>
                <w:sz w:val="24"/>
                <w:szCs w:val="24"/>
              </w:rPr>
              <w:t>6</w:t>
            </w:r>
            <w:r>
              <w:rPr>
                <w:color w:val="000000"/>
                <w:sz w:val="24"/>
                <w:szCs w:val="24"/>
              </w:rPr>
              <w:t>月加入海富</w:t>
            </w:r>
            <w:r>
              <w:rPr>
                <w:color w:val="000000"/>
                <w:sz w:val="24"/>
                <w:szCs w:val="24"/>
              </w:rPr>
              <w:t>通基金管理有限公司。</w:t>
            </w:r>
            <w:r>
              <w:rPr>
                <w:color w:val="000000"/>
                <w:sz w:val="24"/>
                <w:szCs w:val="24"/>
              </w:rPr>
              <w:t>2014</w:t>
            </w:r>
            <w:r>
              <w:rPr>
                <w:color w:val="000000"/>
                <w:sz w:val="24"/>
                <w:szCs w:val="24"/>
              </w:rPr>
              <w:t>年</w:t>
            </w:r>
            <w:r>
              <w:rPr>
                <w:color w:val="000000"/>
                <w:sz w:val="24"/>
                <w:szCs w:val="24"/>
              </w:rPr>
              <w:t>7</w:t>
            </w:r>
            <w:r>
              <w:rPr>
                <w:color w:val="000000"/>
                <w:sz w:val="24"/>
                <w:szCs w:val="24"/>
              </w:rPr>
              <w:t>月至</w:t>
            </w:r>
            <w:r>
              <w:rPr>
                <w:color w:val="000000"/>
                <w:sz w:val="24"/>
                <w:szCs w:val="24"/>
              </w:rPr>
              <w:t>2015</w:t>
            </w:r>
            <w:r>
              <w:rPr>
                <w:color w:val="000000"/>
                <w:sz w:val="24"/>
                <w:szCs w:val="24"/>
              </w:rPr>
              <w:t>年</w:t>
            </w:r>
            <w:r>
              <w:rPr>
                <w:color w:val="000000"/>
                <w:sz w:val="24"/>
                <w:szCs w:val="24"/>
              </w:rPr>
              <w:t>10</w:t>
            </w:r>
            <w:r>
              <w:rPr>
                <w:color w:val="000000"/>
                <w:sz w:val="24"/>
                <w:szCs w:val="24"/>
              </w:rPr>
              <w:t>月任海富通现金管理货币基金经理。</w:t>
            </w:r>
            <w:r>
              <w:rPr>
                <w:color w:val="000000"/>
                <w:sz w:val="24"/>
                <w:szCs w:val="24"/>
              </w:rPr>
              <w:t>2014</w:t>
            </w:r>
            <w:r>
              <w:rPr>
                <w:color w:val="000000"/>
                <w:sz w:val="24"/>
                <w:szCs w:val="24"/>
              </w:rPr>
              <w:t>年</w:t>
            </w:r>
            <w:r>
              <w:rPr>
                <w:color w:val="000000"/>
                <w:sz w:val="24"/>
                <w:szCs w:val="24"/>
              </w:rPr>
              <w:t>9</w:t>
            </w:r>
            <w:r>
              <w:rPr>
                <w:color w:val="000000"/>
                <w:sz w:val="24"/>
                <w:szCs w:val="24"/>
              </w:rPr>
              <w:t>月起兼任海富通季季增利理财债券基金经理。</w:t>
            </w:r>
            <w:r>
              <w:rPr>
                <w:color w:val="000000"/>
                <w:sz w:val="24"/>
                <w:szCs w:val="24"/>
              </w:rPr>
              <w:t>2015</w:t>
            </w:r>
            <w:r>
              <w:rPr>
                <w:color w:val="000000"/>
                <w:sz w:val="24"/>
                <w:szCs w:val="24"/>
              </w:rPr>
              <w:t>年</w:t>
            </w:r>
            <w:r>
              <w:rPr>
                <w:color w:val="000000"/>
                <w:sz w:val="24"/>
                <w:szCs w:val="24"/>
              </w:rPr>
              <w:t>1</w:t>
            </w:r>
            <w:r>
              <w:rPr>
                <w:color w:val="000000"/>
                <w:sz w:val="24"/>
                <w:szCs w:val="24"/>
              </w:rPr>
              <w:t>月起兼任海富通稳健添利债券基金经理。</w:t>
            </w:r>
            <w:r>
              <w:rPr>
                <w:color w:val="000000"/>
                <w:sz w:val="24"/>
                <w:szCs w:val="24"/>
              </w:rPr>
              <w:t>2015</w:t>
            </w:r>
            <w:r>
              <w:rPr>
                <w:color w:val="000000"/>
                <w:sz w:val="24"/>
                <w:szCs w:val="24"/>
              </w:rPr>
              <w:t>年</w:t>
            </w:r>
            <w:r>
              <w:rPr>
                <w:color w:val="000000"/>
                <w:sz w:val="24"/>
                <w:szCs w:val="24"/>
              </w:rPr>
              <w:t>4</w:t>
            </w:r>
            <w:r>
              <w:rPr>
                <w:color w:val="000000"/>
                <w:sz w:val="24"/>
                <w:szCs w:val="24"/>
              </w:rPr>
              <w:t>月起兼任海富通新内需混合基金经理。</w:t>
            </w:r>
            <w:r>
              <w:rPr>
                <w:color w:val="000000"/>
                <w:sz w:val="24"/>
                <w:szCs w:val="24"/>
              </w:rPr>
              <w:t>2016</w:t>
            </w:r>
            <w:r>
              <w:rPr>
                <w:color w:val="000000"/>
                <w:sz w:val="24"/>
                <w:szCs w:val="24"/>
              </w:rPr>
              <w:t>年</w:t>
            </w:r>
            <w:r>
              <w:rPr>
                <w:color w:val="000000"/>
                <w:sz w:val="24"/>
                <w:szCs w:val="24"/>
              </w:rPr>
              <w:t>2</w:t>
            </w:r>
            <w:r>
              <w:rPr>
                <w:color w:val="000000"/>
                <w:sz w:val="24"/>
                <w:szCs w:val="24"/>
              </w:rPr>
              <w:t>月起兼任海富通货币基金经理。</w:t>
            </w:r>
            <w:r>
              <w:rPr>
                <w:color w:val="000000"/>
                <w:sz w:val="24"/>
                <w:szCs w:val="24"/>
              </w:rPr>
              <w:t>2016</w:t>
            </w:r>
            <w:r>
              <w:rPr>
                <w:color w:val="000000"/>
                <w:sz w:val="24"/>
                <w:szCs w:val="24"/>
              </w:rPr>
              <w:t>年</w:t>
            </w:r>
            <w:r>
              <w:rPr>
                <w:color w:val="000000"/>
                <w:sz w:val="24"/>
                <w:szCs w:val="24"/>
              </w:rPr>
              <w:t>4</w:t>
            </w:r>
            <w:r>
              <w:rPr>
                <w:color w:val="000000"/>
                <w:sz w:val="24"/>
                <w:szCs w:val="24"/>
              </w:rPr>
              <w:t>月至</w:t>
            </w:r>
            <w:r>
              <w:rPr>
                <w:color w:val="000000"/>
                <w:sz w:val="24"/>
                <w:szCs w:val="24"/>
              </w:rPr>
              <w:t>2017</w:t>
            </w:r>
            <w:r>
              <w:rPr>
                <w:color w:val="000000"/>
                <w:sz w:val="24"/>
                <w:szCs w:val="24"/>
              </w:rPr>
              <w:t>年</w:t>
            </w:r>
            <w:r>
              <w:rPr>
                <w:color w:val="000000"/>
                <w:sz w:val="24"/>
                <w:szCs w:val="24"/>
              </w:rPr>
              <w:t>6</w:t>
            </w:r>
            <w:r>
              <w:rPr>
                <w:color w:val="000000"/>
                <w:sz w:val="24"/>
                <w:szCs w:val="24"/>
              </w:rPr>
              <w:t>月兼任海富通纯债债券、海富通双福分级债券、海富通双利债券基金经理。</w:t>
            </w:r>
            <w:r>
              <w:rPr>
                <w:color w:val="000000"/>
                <w:sz w:val="24"/>
                <w:szCs w:val="24"/>
              </w:rPr>
              <w:t>2016</w:t>
            </w:r>
            <w:r>
              <w:rPr>
                <w:color w:val="000000"/>
                <w:sz w:val="24"/>
                <w:szCs w:val="24"/>
              </w:rPr>
              <w:t>年</w:t>
            </w:r>
            <w:r>
              <w:rPr>
                <w:color w:val="000000"/>
                <w:sz w:val="24"/>
                <w:szCs w:val="24"/>
              </w:rPr>
              <w:t>4</w:t>
            </w:r>
            <w:r>
              <w:rPr>
                <w:color w:val="000000"/>
                <w:sz w:val="24"/>
                <w:szCs w:val="24"/>
              </w:rPr>
              <w:t>月起兼任海富通养老收益混合基金经理。</w:t>
            </w:r>
            <w:r>
              <w:rPr>
                <w:color w:val="000000"/>
                <w:sz w:val="24"/>
                <w:szCs w:val="24"/>
              </w:rPr>
              <w:t>2016</w:t>
            </w:r>
            <w:r>
              <w:rPr>
                <w:color w:val="000000"/>
                <w:sz w:val="24"/>
                <w:szCs w:val="24"/>
              </w:rPr>
              <w:t>年</w:t>
            </w:r>
            <w:r>
              <w:rPr>
                <w:color w:val="000000"/>
                <w:sz w:val="24"/>
                <w:szCs w:val="24"/>
              </w:rPr>
              <w:t>9</w:t>
            </w:r>
            <w:r>
              <w:rPr>
                <w:color w:val="000000"/>
                <w:sz w:val="24"/>
                <w:szCs w:val="24"/>
              </w:rPr>
              <w:t>月起兼任海富通欣益混合、海富通聚利债券及海富通欣荣混合基金经理。</w:t>
            </w:r>
            <w:r>
              <w:rPr>
                <w:color w:val="000000"/>
                <w:sz w:val="24"/>
                <w:szCs w:val="24"/>
              </w:rPr>
              <w:t>2017</w:t>
            </w:r>
            <w:r>
              <w:rPr>
                <w:color w:val="000000"/>
                <w:sz w:val="24"/>
                <w:szCs w:val="24"/>
              </w:rPr>
              <w:t>年</w:t>
            </w:r>
            <w:r>
              <w:rPr>
                <w:color w:val="000000"/>
                <w:sz w:val="24"/>
                <w:szCs w:val="24"/>
              </w:rPr>
              <w:t>2</w:t>
            </w:r>
            <w:r>
              <w:rPr>
                <w:color w:val="000000"/>
                <w:sz w:val="24"/>
                <w:szCs w:val="24"/>
              </w:rPr>
              <w:t>月起兼任海富通</w:t>
            </w:r>
            <w:r>
              <w:rPr>
                <w:color w:val="000000"/>
                <w:sz w:val="24"/>
                <w:szCs w:val="24"/>
              </w:rPr>
              <w:t>强化回报混合基金经理。</w:t>
            </w:r>
            <w:r>
              <w:rPr>
                <w:color w:val="000000"/>
                <w:sz w:val="24"/>
                <w:szCs w:val="24"/>
              </w:rPr>
              <w:t>2017</w:t>
            </w:r>
            <w:r>
              <w:rPr>
                <w:color w:val="000000"/>
                <w:sz w:val="24"/>
                <w:szCs w:val="24"/>
              </w:rPr>
              <w:t>年</w:t>
            </w:r>
            <w:r>
              <w:rPr>
                <w:color w:val="000000"/>
                <w:sz w:val="24"/>
                <w:szCs w:val="24"/>
              </w:rPr>
              <w:t>3</w:t>
            </w:r>
            <w:r>
              <w:rPr>
                <w:color w:val="000000"/>
                <w:sz w:val="24"/>
                <w:szCs w:val="24"/>
              </w:rPr>
              <w:t>月起兼任海富通欣享混合和海富通欣盛定开混合基金经理。</w:t>
            </w:r>
            <w:r>
              <w:rPr>
                <w:color w:val="000000"/>
                <w:sz w:val="24"/>
                <w:szCs w:val="24"/>
              </w:rPr>
              <w:t>2017</w:t>
            </w:r>
            <w:r>
              <w:rPr>
                <w:color w:val="000000"/>
                <w:sz w:val="24"/>
                <w:szCs w:val="24"/>
              </w:rPr>
              <w:t>年</w:t>
            </w:r>
            <w:r>
              <w:rPr>
                <w:color w:val="000000"/>
                <w:sz w:val="24"/>
                <w:szCs w:val="24"/>
              </w:rPr>
              <w:t>7</w:t>
            </w:r>
            <w:r>
              <w:rPr>
                <w:color w:val="000000"/>
                <w:sz w:val="24"/>
                <w:szCs w:val="24"/>
              </w:rPr>
              <w:t>月起兼任海富通季季通利理财债券基金经理。</w:t>
            </w:r>
          </w:p>
        </w:tc>
      </w:tr>
      <w:tr w:rsidR="002C18FD">
        <w:trPr>
          <w:jc w:val="center"/>
        </w:trPr>
        <w:tc>
          <w:tcPr>
            <w:tcW w:w="846" w:type="dxa"/>
            <w:vAlign w:val="center"/>
          </w:tcPr>
          <w:p w:rsidR="002C18FD" w:rsidRDefault="00494A7D">
            <w:pPr>
              <w:jc w:val="center"/>
            </w:pPr>
            <w:r>
              <w:rPr>
                <w:color w:val="000000"/>
                <w:sz w:val="24"/>
                <w:szCs w:val="24"/>
              </w:rPr>
              <w:t>杜晓海</w:t>
            </w:r>
          </w:p>
        </w:tc>
        <w:tc>
          <w:tcPr>
            <w:tcW w:w="845" w:type="dxa"/>
            <w:vAlign w:val="center"/>
          </w:tcPr>
          <w:p w:rsidR="002C18FD" w:rsidRDefault="00494A7D">
            <w:pPr>
              <w:jc w:val="center"/>
            </w:pPr>
            <w:r>
              <w:rPr>
                <w:color w:val="000000"/>
                <w:sz w:val="24"/>
                <w:szCs w:val="24"/>
              </w:rPr>
              <w:t>本基金的基金经理；海富通养老收益混合基金经理；海富通新内需混合基金经理；海富通欣荣混合基金经理；海富通富睿混合基金经理；多资产策略投资部总监</w:t>
            </w:r>
          </w:p>
        </w:tc>
        <w:tc>
          <w:tcPr>
            <w:tcW w:w="1549" w:type="dxa"/>
            <w:vAlign w:val="center"/>
          </w:tcPr>
          <w:p w:rsidR="002C18FD" w:rsidRDefault="00494A7D">
            <w:pPr>
              <w:jc w:val="center"/>
            </w:pPr>
            <w:r>
              <w:rPr>
                <w:color w:val="000000"/>
                <w:sz w:val="24"/>
                <w:szCs w:val="24"/>
              </w:rPr>
              <w:t>2017-04-27</w:t>
            </w:r>
          </w:p>
        </w:tc>
        <w:tc>
          <w:tcPr>
            <w:tcW w:w="1548" w:type="dxa"/>
            <w:vAlign w:val="center"/>
          </w:tcPr>
          <w:p w:rsidR="002C18FD" w:rsidRDefault="00494A7D">
            <w:pPr>
              <w:jc w:val="center"/>
            </w:pPr>
            <w:r>
              <w:rPr>
                <w:color w:val="000000"/>
                <w:sz w:val="24"/>
                <w:szCs w:val="24"/>
              </w:rPr>
              <w:t>-</w:t>
            </w:r>
          </w:p>
        </w:tc>
        <w:tc>
          <w:tcPr>
            <w:tcW w:w="1407" w:type="dxa"/>
            <w:vAlign w:val="center"/>
          </w:tcPr>
          <w:p w:rsidR="002C18FD" w:rsidRDefault="00494A7D">
            <w:pPr>
              <w:jc w:val="center"/>
            </w:pPr>
            <w:r>
              <w:rPr>
                <w:color w:val="000000"/>
                <w:sz w:val="24"/>
                <w:szCs w:val="24"/>
              </w:rPr>
              <w:t>17</w:t>
            </w:r>
            <w:r>
              <w:rPr>
                <w:color w:val="000000"/>
                <w:sz w:val="24"/>
                <w:szCs w:val="24"/>
              </w:rPr>
              <w:t>年</w:t>
            </w:r>
          </w:p>
        </w:tc>
        <w:tc>
          <w:tcPr>
            <w:tcW w:w="2673" w:type="dxa"/>
            <w:vAlign w:val="center"/>
          </w:tcPr>
          <w:p w:rsidR="002C18FD" w:rsidRDefault="00494A7D">
            <w:r>
              <w:rPr>
                <w:color w:val="000000"/>
                <w:sz w:val="24"/>
                <w:szCs w:val="24"/>
              </w:rPr>
              <w:t>硕士，持有基金从业人员资格证书。历任</w:t>
            </w:r>
            <w:r>
              <w:rPr>
                <w:color w:val="000000"/>
                <w:sz w:val="24"/>
                <w:szCs w:val="24"/>
              </w:rPr>
              <w:t>Man-Drapeau Research</w:t>
            </w:r>
            <w:r>
              <w:rPr>
                <w:color w:val="000000"/>
                <w:sz w:val="24"/>
                <w:szCs w:val="24"/>
              </w:rPr>
              <w:t>金融工程师，</w:t>
            </w:r>
            <w:r>
              <w:rPr>
                <w:color w:val="000000"/>
                <w:sz w:val="24"/>
                <w:szCs w:val="24"/>
              </w:rPr>
              <w:t xml:space="preserve">American Bourses </w:t>
            </w:r>
            <w:r>
              <w:rPr>
                <w:color w:val="000000"/>
                <w:sz w:val="24"/>
                <w:szCs w:val="24"/>
              </w:rPr>
              <w:t>Corporation</w:t>
            </w:r>
            <w:r>
              <w:rPr>
                <w:color w:val="000000"/>
                <w:sz w:val="24"/>
                <w:szCs w:val="24"/>
              </w:rPr>
              <w:t>中国区总经理，海富通基金管理有限公司定量分析师、高级定量分析师、定量及风险管理负责人、定量及风险管理总监、量化投资部总监，现任海富通基金管理有限公司多资产策略投资部总监。</w:t>
            </w:r>
            <w:r>
              <w:rPr>
                <w:color w:val="000000"/>
                <w:sz w:val="24"/>
                <w:szCs w:val="24"/>
              </w:rPr>
              <w:t>2016</w:t>
            </w:r>
            <w:r>
              <w:rPr>
                <w:color w:val="000000"/>
                <w:sz w:val="24"/>
                <w:szCs w:val="24"/>
              </w:rPr>
              <w:t>年</w:t>
            </w:r>
            <w:r>
              <w:rPr>
                <w:color w:val="000000"/>
                <w:sz w:val="24"/>
                <w:szCs w:val="24"/>
              </w:rPr>
              <w:t>6</w:t>
            </w:r>
            <w:r>
              <w:rPr>
                <w:color w:val="000000"/>
                <w:sz w:val="24"/>
                <w:szCs w:val="24"/>
              </w:rPr>
              <w:t>月起兼任海富通新内需混合和海富通养老收益混合基金经理。</w:t>
            </w:r>
            <w:r>
              <w:rPr>
                <w:color w:val="000000"/>
                <w:sz w:val="24"/>
                <w:szCs w:val="24"/>
              </w:rPr>
              <w:t>2016</w:t>
            </w:r>
            <w:r>
              <w:rPr>
                <w:color w:val="000000"/>
                <w:sz w:val="24"/>
                <w:szCs w:val="24"/>
              </w:rPr>
              <w:t>年</w:t>
            </w:r>
            <w:r>
              <w:rPr>
                <w:color w:val="000000"/>
                <w:sz w:val="24"/>
                <w:szCs w:val="24"/>
              </w:rPr>
              <w:t>9</w:t>
            </w:r>
            <w:r>
              <w:rPr>
                <w:color w:val="000000"/>
                <w:sz w:val="24"/>
                <w:szCs w:val="24"/>
              </w:rPr>
              <w:t>月起兼任海富通欣荣混合基金经理。</w:t>
            </w:r>
            <w:r>
              <w:rPr>
                <w:color w:val="000000"/>
                <w:sz w:val="24"/>
                <w:szCs w:val="24"/>
              </w:rPr>
              <w:t>2017</w:t>
            </w:r>
            <w:r>
              <w:rPr>
                <w:color w:val="000000"/>
                <w:sz w:val="24"/>
                <w:szCs w:val="24"/>
              </w:rPr>
              <w:t>年</w:t>
            </w:r>
            <w:r>
              <w:rPr>
                <w:color w:val="000000"/>
                <w:sz w:val="24"/>
                <w:szCs w:val="24"/>
              </w:rPr>
              <w:t>4</w:t>
            </w:r>
            <w:r>
              <w:rPr>
                <w:color w:val="000000"/>
                <w:sz w:val="24"/>
                <w:szCs w:val="24"/>
              </w:rPr>
              <w:t>月起兼任海富通欣盛定开混合基金经理。</w:t>
            </w:r>
            <w:r>
              <w:rPr>
                <w:color w:val="000000"/>
                <w:sz w:val="24"/>
                <w:szCs w:val="24"/>
              </w:rPr>
              <w:t>2017</w:t>
            </w:r>
            <w:r>
              <w:rPr>
                <w:color w:val="000000"/>
                <w:sz w:val="24"/>
                <w:szCs w:val="24"/>
              </w:rPr>
              <w:t>年</w:t>
            </w:r>
            <w:r>
              <w:rPr>
                <w:color w:val="000000"/>
                <w:sz w:val="24"/>
                <w:szCs w:val="24"/>
              </w:rPr>
              <w:t>5</w:t>
            </w:r>
            <w:r>
              <w:rPr>
                <w:color w:val="000000"/>
                <w:sz w:val="24"/>
                <w:szCs w:val="24"/>
              </w:rPr>
              <w:t>月起兼任海富通富睿混合基金经理。</w:t>
            </w:r>
          </w:p>
        </w:tc>
      </w:tr>
    </w:tbl>
    <w:p w:rsidR="002C18FD" w:rsidRDefault="00494A7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、对基金的首任基金经理，其任职日期指基金合同生效日，离任日期指公司做出决定之日；非首任基金经理，其任职日期和</w:t>
      </w:r>
      <w:r>
        <w:rPr>
          <w:color w:val="000000"/>
          <w:sz w:val="24"/>
          <w:szCs w:val="24"/>
        </w:rPr>
        <w:t>离任日期均指公司做出决定之日。</w:t>
      </w:r>
      <w:r>
        <w:rPr>
          <w:color w:val="000000"/>
          <w:sz w:val="24"/>
          <w:szCs w:val="24"/>
        </w:rPr>
        <w:t xml:space="preserve"> </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2</w:t>
      </w:r>
      <w:r>
        <w:rPr>
          <w:color w:val="000000"/>
          <w:sz w:val="24"/>
          <w:szCs w:val="24"/>
        </w:rPr>
        <w:t>、证券从业年限的计算标准为：自参加证券行业的相关工作开始计算。</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4.2 </w:t>
      </w:r>
      <w:r>
        <w:rPr>
          <w:b/>
          <w:bCs/>
          <w:color w:val="000000"/>
          <w:kern w:val="0"/>
          <w:sz w:val="24"/>
          <w:szCs w:val="24"/>
        </w:rPr>
        <w:t>管理人对报告期内本基金运作遵规守信情况的说明</w:t>
      </w:r>
    </w:p>
    <w:p w:rsidR="002C18FD" w:rsidRDefault="00494A7D">
      <w:pPr>
        <w:spacing w:before="29" w:line="288" w:lineRule="auto"/>
        <w:ind w:firstLineChars="200" w:firstLine="480"/>
        <w:rPr>
          <w:color w:val="000000"/>
          <w:sz w:val="24"/>
          <w:szCs w:val="24"/>
        </w:rPr>
      </w:pPr>
      <w:r>
        <w:rPr>
          <w:color w:val="000000"/>
          <w:sz w:val="24"/>
          <w:szCs w:val="24"/>
        </w:rPr>
        <w:t>本报告期内，本基金管理人认真遵循《中华人民共和国证券投资基金法》及其他有关法律法规、基金合同的规定，本着诚实信用、勤勉尽职的原则管理和运用基金资产，没有发生损害基金份额持有人利益的行为。</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4.3 </w:t>
      </w:r>
      <w:r>
        <w:rPr>
          <w:b/>
          <w:bCs/>
          <w:color w:val="000000"/>
          <w:kern w:val="0"/>
          <w:sz w:val="24"/>
          <w:szCs w:val="24"/>
        </w:rPr>
        <w:t>公平交易专项说明</w:t>
      </w:r>
    </w:p>
    <w:p w:rsidR="002C18FD" w:rsidRDefault="00494A7D">
      <w:pPr>
        <w:spacing w:before="29" w:line="288" w:lineRule="auto"/>
        <w:rPr>
          <w:color w:val="000000"/>
          <w:sz w:val="24"/>
          <w:szCs w:val="24"/>
        </w:rPr>
      </w:pPr>
      <w:r>
        <w:rPr>
          <w:color w:val="000000"/>
          <w:sz w:val="24"/>
          <w:szCs w:val="24"/>
        </w:rPr>
        <w:t xml:space="preserve">4.3.1 </w:t>
      </w:r>
      <w:r>
        <w:rPr>
          <w:color w:val="000000"/>
          <w:sz w:val="24"/>
          <w:szCs w:val="24"/>
        </w:rPr>
        <w:t>公平交易制度的执行情况</w:t>
      </w:r>
    </w:p>
    <w:p w:rsidR="002C18FD" w:rsidRDefault="00494A7D">
      <w:pPr>
        <w:spacing w:before="29" w:line="288" w:lineRule="auto"/>
        <w:ind w:firstLineChars="200" w:firstLine="480"/>
        <w:rPr>
          <w:color w:val="000000"/>
          <w:sz w:val="24"/>
          <w:szCs w:val="24"/>
        </w:rPr>
      </w:pPr>
      <w:r>
        <w:rPr>
          <w:color w:val="000000"/>
          <w:sz w:val="24"/>
          <w:szCs w:val="24"/>
        </w:rPr>
        <w:t>公司根据证监会</w:t>
      </w:r>
      <w:r>
        <w:rPr>
          <w:color w:val="000000"/>
          <w:sz w:val="24"/>
          <w:szCs w:val="24"/>
        </w:rPr>
        <w:t>2011</w:t>
      </w:r>
      <w:r>
        <w:rPr>
          <w:color w:val="000000"/>
          <w:sz w:val="24"/>
          <w:szCs w:val="24"/>
        </w:rPr>
        <w:t>年发布的《证券投资基金管理公司公平交易制度指导意见》的具体要求，持续完善了公司投资交易业务流程和公平交易制度。制度和流程覆盖了境内上市股票、债券的一级市场申购、二级市场交易等投资管理活动，涵盖了授权、研究分析、投资决策、交易执行、业绩评估等投资管理活动相关的各个环节。同时，公司投资交易业务组织架构保证了各投资组合投资决策相对独立，确保其在获得投资信息、投资建议和实施投资决策方面享有公平的机会。</w:t>
      </w:r>
    </w:p>
    <w:p w:rsidR="002C18FD" w:rsidRDefault="00494A7D">
      <w:pPr>
        <w:spacing w:before="29" w:line="288" w:lineRule="auto"/>
        <w:ind w:firstLineChars="200" w:firstLine="480"/>
        <w:rPr>
          <w:color w:val="000000"/>
          <w:sz w:val="24"/>
          <w:szCs w:val="24"/>
        </w:rPr>
      </w:pPr>
      <w:r>
        <w:rPr>
          <w:color w:val="000000"/>
          <w:sz w:val="24"/>
          <w:szCs w:val="24"/>
        </w:rPr>
        <w:t>公司建立了严格的投资交易行为监控制度，公司投资交易行为监控体系由交易室、投资部、监察稽核部和</w:t>
      </w:r>
      <w:r>
        <w:rPr>
          <w:color w:val="000000"/>
          <w:sz w:val="24"/>
          <w:szCs w:val="24"/>
        </w:rPr>
        <w:t>风险管理部组成，各部门各司其职，对投资交易行为进行事前、事中和事后的全程监控，保证公平交易制度的执行和实现。</w:t>
      </w:r>
    </w:p>
    <w:p w:rsidR="002C18FD" w:rsidRDefault="00494A7D">
      <w:pPr>
        <w:spacing w:before="29" w:line="288" w:lineRule="auto"/>
        <w:ind w:firstLineChars="200" w:firstLine="480"/>
        <w:rPr>
          <w:color w:val="000000"/>
          <w:sz w:val="24"/>
          <w:szCs w:val="24"/>
        </w:rPr>
      </w:pPr>
      <w:r>
        <w:rPr>
          <w:color w:val="000000"/>
          <w:sz w:val="24"/>
          <w:szCs w:val="24"/>
        </w:rPr>
        <w:t>报告期内，公司对本基金与公司旗下所有其他投资组合之间的整体收益率差异、分投资类别（股票、债券）的收益率差异进行了分析，并采集了连续四个季度期间内、不同时间窗下（如日内、</w:t>
      </w:r>
      <w:r>
        <w:rPr>
          <w:color w:val="000000"/>
          <w:sz w:val="24"/>
          <w:szCs w:val="24"/>
        </w:rPr>
        <w:t>3</w:t>
      </w:r>
      <w:r>
        <w:rPr>
          <w:color w:val="000000"/>
          <w:sz w:val="24"/>
          <w:szCs w:val="24"/>
        </w:rPr>
        <w:t>日内、</w:t>
      </w:r>
      <w:r>
        <w:rPr>
          <w:color w:val="000000"/>
          <w:sz w:val="24"/>
          <w:szCs w:val="24"/>
        </w:rPr>
        <w:t>5</w:t>
      </w:r>
      <w:r>
        <w:rPr>
          <w:color w:val="000000"/>
          <w:sz w:val="24"/>
          <w:szCs w:val="24"/>
        </w:rPr>
        <w:t>日内）同向交易的样本，对其进行了</w:t>
      </w:r>
      <w:r>
        <w:rPr>
          <w:color w:val="000000"/>
          <w:sz w:val="24"/>
          <w:szCs w:val="24"/>
        </w:rPr>
        <w:t>95%</w:t>
      </w:r>
      <w:r>
        <w:rPr>
          <w:color w:val="000000"/>
          <w:sz w:val="24"/>
          <w:szCs w:val="24"/>
        </w:rPr>
        <w:t>置信区间，假设溢价率为</w:t>
      </w:r>
      <w:r>
        <w:rPr>
          <w:color w:val="000000"/>
          <w:sz w:val="24"/>
          <w:szCs w:val="24"/>
        </w:rPr>
        <w:t>0</w:t>
      </w:r>
      <w:r>
        <w:rPr>
          <w:color w:val="000000"/>
          <w:sz w:val="24"/>
          <w:szCs w:val="24"/>
        </w:rPr>
        <w:t>的</w:t>
      </w:r>
      <w:r>
        <w:rPr>
          <w:color w:val="000000"/>
          <w:sz w:val="24"/>
          <w:szCs w:val="24"/>
        </w:rPr>
        <w:t>T</w:t>
      </w:r>
      <w:r>
        <w:rPr>
          <w:color w:val="000000"/>
          <w:sz w:val="24"/>
          <w:szCs w:val="24"/>
        </w:rPr>
        <w:t>分布检验，检验结果表明，在</w:t>
      </w:r>
      <w:r>
        <w:rPr>
          <w:color w:val="000000"/>
          <w:sz w:val="24"/>
          <w:szCs w:val="24"/>
        </w:rPr>
        <w:t>T</w:t>
      </w:r>
      <w:r>
        <w:rPr>
          <w:color w:val="000000"/>
          <w:sz w:val="24"/>
          <w:szCs w:val="24"/>
        </w:rPr>
        <w:t>日、</w:t>
      </w:r>
      <w:r>
        <w:rPr>
          <w:color w:val="000000"/>
          <w:sz w:val="24"/>
          <w:szCs w:val="24"/>
        </w:rPr>
        <w:t>T+3</w:t>
      </w:r>
      <w:r>
        <w:rPr>
          <w:color w:val="000000"/>
          <w:sz w:val="24"/>
          <w:szCs w:val="24"/>
        </w:rPr>
        <w:t>日和</w:t>
      </w:r>
      <w:r>
        <w:rPr>
          <w:color w:val="000000"/>
          <w:sz w:val="24"/>
          <w:szCs w:val="24"/>
        </w:rPr>
        <w:t>T+5</w:t>
      </w:r>
      <w:r>
        <w:rPr>
          <w:color w:val="000000"/>
          <w:sz w:val="24"/>
          <w:szCs w:val="24"/>
        </w:rPr>
        <w:t>日不同循环期内，不管是买入或是卖出，公司各组合间买卖价差不显著，表明报告期内公司对旗下各基金进行了公平对待，不</w:t>
      </w:r>
      <w:r>
        <w:rPr>
          <w:color w:val="000000"/>
          <w:sz w:val="24"/>
          <w:szCs w:val="24"/>
        </w:rPr>
        <w:t>存在各投资组合之间进行利益输送的行为。</w:t>
      </w:r>
    </w:p>
    <w:p w:rsidR="002C18FD" w:rsidRDefault="00494A7D">
      <w:pPr>
        <w:spacing w:before="29" w:line="288" w:lineRule="auto"/>
        <w:rPr>
          <w:color w:val="000000"/>
          <w:sz w:val="24"/>
          <w:szCs w:val="24"/>
        </w:rPr>
      </w:pPr>
      <w:r>
        <w:rPr>
          <w:color w:val="000000"/>
          <w:sz w:val="24"/>
          <w:szCs w:val="24"/>
        </w:rPr>
        <w:t xml:space="preserve">4.3.2 </w:t>
      </w:r>
      <w:r>
        <w:rPr>
          <w:color w:val="000000"/>
          <w:sz w:val="24"/>
          <w:szCs w:val="24"/>
        </w:rPr>
        <w:t>异常交易行为的专项说明</w:t>
      </w:r>
    </w:p>
    <w:p w:rsidR="002C18FD" w:rsidRDefault="00494A7D">
      <w:pPr>
        <w:spacing w:before="29" w:line="288" w:lineRule="auto"/>
        <w:ind w:firstLineChars="200" w:firstLine="480"/>
        <w:rPr>
          <w:color w:val="000000"/>
          <w:sz w:val="24"/>
          <w:szCs w:val="24"/>
        </w:rPr>
      </w:pPr>
      <w:r>
        <w:rPr>
          <w:color w:val="000000"/>
          <w:sz w:val="24"/>
          <w:szCs w:val="24"/>
        </w:rPr>
        <w:t>本报告期内，未发现本基金进行可能导致不公平交易和利益输送的异常交易。</w:t>
      </w:r>
    </w:p>
    <w:p w:rsidR="002C18FD" w:rsidRDefault="002C18FD">
      <w:pPr>
        <w:spacing w:before="29" w:line="288" w:lineRule="auto"/>
        <w:ind w:firstLineChars="200" w:firstLine="480"/>
        <w:rPr>
          <w:color w:val="000000"/>
          <w:sz w:val="24"/>
          <w:szCs w:val="24"/>
        </w:rPr>
      </w:pPr>
    </w:p>
    <w:p w:rsidR="002C18FD" w:rsidRDefault="00494A7D">
      <w:pPr>
        <w:spacing w:before="29" w:line="288" w:lineRule="auto"/>
        <w:rPr>
          <w:sz w:val="24"/>
          <w:szCs w:val="24"/>
        </w:rPr>
      </w:pPr>
      <w:r>
        <w:rPr>
          <w:b/>
          <w:color w:val="000000"/>
          <w:kern w:val="0"/>
          <w:sz w:val="24"/>
        </w:rPr>
        <w:t xml:space="preserve">4.4 </w:t>
      </w:r>
      <w:r>
        <w:rPr>
          <w:rFonts w:hAnsi="宋体"/>
          <w:b/>
          <w:bCs/>
          <w:color w:val="000000"/>
          <w:sz w:val="24"/>
        </w:rPr>
        <w:t>报告期内基金的投资策略和运作分析</w:t>
      </w:r>
    </w:p>
    <w:p w:rsidR="002C18FD" w:rsidRDefault="00494A7D">
      <w:pPr>
        <w:spacing w:before="29" w:line="288" w:lineRule="auto"/>
        <w:ind w:firstLineChars="200" w:firstLine="480"/>
        <w:rPr>
          <w:color w:val="000000"/>
          <w:sz w:val="24"/>
          <w:szCs w:val="24"/>
        </w:rPr>
      </w:pPr>
      <w:r>
        <w:rPr>
          <w:color w:val="000000"/>
          <w:sz w:val="24"/>
          <w:szCs w:val="24"/>
        </w:rPr>
        <w:t>回顾四季度，</w:t>
      </w:r>
      <w:r>
        <w:rPr>
          <w:color w:val="000000"/>
          <w:sz w:val="24"/>
          <w:szCs w:val="24"/>
        </w:rPr>
        <w:t>A</w:t>
      </w:r>
      <w:r>
        <w:rPr>
          <w:color w:val="000000"/>
          <w:sz w:val="24"/>
          <w:szCs w:val="24"/>
        </w:rPr>
        <w:t>股市场整体呈现先扬后抑的走势。上证综指收于</w:t>
      </w:r>
      <w:r>
        <w:rPr>
          <w:color w:val="000000"/>
          <w:sz w:val="24"/>
          <w:szCs w:val="24"/>
        </w:rPr>
        <w:t>3307.17</w:t>
      </w:r>
      <w:r>
        <w:rPr>
          <w:color w:val="000000"/>
          <w:sz w:val="24"/>
          <w:szCs w:val="24"/>
        </w:rPr>
        <w:t>点，下跌</w:t>
      </w:r>
      <w:r>
        <w:rPr>
          <w:color w:val="000000"/>
          <w:sz w:val="24"/>
          <w:szCs w:val="24"/>
        </w:rPr>
        <w:t>1.25%</w:t>
      </w:r>
      <w:r>
        <w:rPr>
          <w:color w:val="000000"/>
          <w:sz w:val="24"/>
          <w:szCs w:val="24"/>
        </w:rPr>
        <w:t>，深证成指报</w:t>
      </w:r>
      <w:r>
        <w:rPr>
          <w:color w:val="000000"/>
          <w:sz w:val="24"/>
          <w:szCs w:val="24"/>
        </w:rPr>
        <w:t>11040.45</w:t>
      </w:r>
      <w:r>
        <w:rPr>
          <w:color w:val="000000"/>
          <w:sz w:val="24"/>
          <w:szCs w:val="24"/>
        </w:rPr>
        <w:t>点，跌幅为</w:t>
      </w:r>
      <w:r>
        <w:rPr>
          <w:color w:val="000000"/>
          <w:sz w:val="24"/>
          <w:szCs w:val="24"/>
        </w:rPr>
        <w:t>0.42%</w:t>
      </w:r>
      <w:r>
        <w:rPr>
          <w:color w:val="000000"/>
          <w:sz w:val="24"/>
          <w:szCs w:val="24"/>
        </w:rPr>
        <w:t>，中小板指和创业板指分别收于</w:t>
      </w:r>
      <w:r>
        <w:rPr>
          <w:color w:val="000000"/>
          <w:sz w:val="24"/>
          <w:szCs w:val="24"/>
        </w:rPr>
        <w:t>7554.86</w:t>
      </w:r>
      <w:r>
        <w:rPr>
          <w:color w:val="000000"/>
          <w:sz w:val="24"/>
          <w:szCs w:val="24"/>
        </w:rPr>
        <w:t>点和</w:t>
      </w:r>
      <w:r>
        <w:rPr>
          <w:color w:val="000000"/>
          <w:sz w:val="24"/>
          <w:szCs w:val="24"/>
        </w:rPr>
        <w:t>1752.65</w:t>
      </w:r>
      <w:r>
        <w:rPr>
          <w:color w:val="000000"/>
          <w:sz w:val="24"/>
          <w:szCs w:val="24"/>
        </w:rPr>
        <w:t>点，分别下跌</w:t>
      </w:r>
      <w:r>
        <w:rPr>
          <w:color w:val="000000"/>
          <w:sz w:val="24"/>
          <w:szCs w:val="24"/>
        </w:rPr>
        <w:t>0.09%</w:t>
      </w:r>
      <w:r>
        <w:rPr>
          <w:color w:val="000000"/>
          <w:sz w:val="24"/>
          <w:szCs w:val="24"/>
        </w:rPr>
        <w:t>和</w:t>
      </w:r>
      <w:r>
        <w:rPr>
          <w:color w:val="000000"/>
          <w:sz w:val="24"/>
          <w:szCs w:val="24"/>
        </w:rPr>
        <w:t>6.12%</w:t>
      </w:r>
      <w:r>
        <w:rPr>
          <w:color w:val="000000"/>
          <w:sz w:val="24"/>
          <w:szCs w:val="24"/>
        </w:rPr>
        <w:t>。</w:t>
      </w:r>
    </w:p>
    <w:p w:rsidR="002C18FD" w:rsidRDefault="00494A7D">
      <w:pPr>
        <w:spacing w:before="29" w:line="288" w:lineRule="auto"/>
        <w:ind w:firstLineChars="200" w:firstLine="480"/>
        <w:rPr>
          <w:color w:val="000000"/>
          <w:sz w:val="24"/>
          <w:szCs w:val="24"/>
        </w:rPr>
      </w:pPr>
      <w:r>
        <w:rPr>
          <w:color w:val="000000"/>
          <w:sz w:val="24"/>
          <w:szCs w:val="24"/>
        </w:rPr>
        <w:t>具体来看，</w:t>
      </w:r>
      <w:r>
        <w:rPr>
          <w:color w:val="000000"/>
          <w:sz w:val="24"/>
          <w:szCs w:val="24"/>
        </w:rPr>
        <w:t>10</w:t>
      </w:r>
      <w:r>
        <w:rPr>
          <w:color w:val="000000"/>
          <w:sz w:val="24"/>
          <w:szCs w:val="24"/>
        </w:rPr>
        <w:t>月</w:t>
      </w:r>
      <w:r>
        <w:rPr>
          <w:color w:val="000000"/>
          <w:sz w:val="24"/>
          <w:szCs w:val="24"/>
        </w:rPr>
        <w:t>A</w:t>
      </w:r>
      <w:r>
        <w:rPr>
          <w:color w:val="000000"/>
          <w:sz w:val="24"/>
          <w:szCs w:val="24"/>
        </w:rPr>
        <w:t>股市场整体表现为震荡向上的态势，但分化较为明显。以上证</w:t>
      </w:r>
      <w:r>
        <w:rPr>
          <w:color w:val="000000"/>
          <w:sz w:val="24"/>
          <w:szCs w:val="24"/>
        </w:rPr>
        <w:t>50</w:t>
      </w:r>
      <w:r>
        <w:rPr>
          <w:color w:val="000000"/>
          <w:sz w:val="24"/>
          <w:szCs w:val="24"/>
        </w:rPr>
        <w:t>为代表的大盘绩优股持续攀升，低估值与三季报业绩有明显改善的蓝筹股本月受到资金的热捧，以家电、白酒为代表的大消费板块表现亮眼。而高估值的创业板相关个股以及前期涨幅居前的周期、新能源板块在本月表现欠佳。上证综指全月上涨</w:t>
      </w:r>
      <w:r>
        <w:rPr>
          <w:color w:val="000000"/>
          <w:sz w:val="24"/>
          <w:szCs w:val="24"/>
        </w:rPr>
        <w:t>1.33%</w:t>
      </w:r>
      <w:r>
        <w:rPr>
          <w:color w:val="000000"/>
          <w:sz w:val="24"/>
          <w:szCs w:val="24"/>
        </w:rPr>
        <w:t>，深证成指上涨</w:t>
      </w:r>
      <w:r>
        <w:rPr>
          <w:color w:val="000000"/>
          <w:sz w:val="24"/>
          <w:szCs w:val="24"/>
        </w:rPr>
        <w:t>2.53%</w:t>
      </w:r>
      <w:r>
        <w:rPr>
          <w:color w:val="000000"/>
          <w:sz w:val="24"/>
          <w:szCs w:val="24"/>
        </w:rPr>
        <w:t>，上证</w:t>
      </w:r>
      <w:r>
        <w:rPr>
          <w:color w:val="000000"/>
          <w:sz w:val="24"/>
          <w:szCs w:val="24"/>
        </w:rPr>
        <w:t>50</w:t>
      </w:r>
      <w:r>
        <w:rPr>
          <w:color w:val="000000"/>
          <w:sz w:val="24"/>
          <w:szCs w:val="24"/>
        </w:rPr>
        <w:t>上涨</w:t>
      </w:r>
      <w:r>
        <w:rPr>
          <w:color w:val="000000"/>
          <w:sz w:val="24"/>
          <w:szCs w:val="24"/>
        </w:rPr>
        <w:t>4.54%</w:t>
      </w:r>
      <w:r>
        <w:rPr>
          <w:color w:val="000000"/>
          <w:sz w:val="24"/>
          <w:szCs w:val="24"/>
        </w:rPr>
        <w:t>，中小板指和创业板指分别上涨</w:t>
      </w:r>
      <w:r>
        <w:rPr>
          <w:color w:val="000000"/>
          <w:sz w:val="24"/>
          <w:szCs w:val="24"/>
        </w:rPr>
        <w:t>3.51%</w:t>
      </w:r>
      <w:r>
        <w:rPr>
          <w:color w:val="000000"/>
          <w:sz w:val="24"/>
          <w:szCs w:val="24"/>
        </w:rPr>
        <w:t>和</w:t>
      </w:r>
      <w:r>
        <w:rPr>
          <w:color w:val="000000"/>
          <w:sz w:val="24"/>
          <w:szCs w:val="24"/>
        </w:rPr>
        <w:t>0.15%</w:t>
      </w:r>
      <w:r>
        <w:rPr>
          <w:color w:val="000000"/>
          <w:sz w:val="24"/>
          <w:szCs w:val="24"/>
        </w:rPr>
        <w:t>。</w:t>
      </w:r>
      <w:r>
        <w:rPr>
          <w:color w:val="000000"/>
          <w:sz w:val="24"/>
          <w:szCs w:val="24"/>
        </w:rPr>
        <w:t>11</w:t>
      </w:r>
      <w:r>
        <w:rPr>
          <w:color w:val="000000"/>
          <w:sz w:val="24"/>
          <w:szCs w:val="24"/>
        </w:rPr>
        <w:t>月</w:t>
      </w:r>
      <w:r>
        <w:rPr>
          <w:color w:val="000000"/>
          <w:sz w:val="24"/>
          <w:szCs w:val="24"/>
        </w:rPr>
        <w:t>A</w:t>
      </w:r>
      <w:r>
        <w:rPr>
          <w:color w:val="000000"/>
          <w:sz w:val="24"/>
          <w:szCs w:val="24"/>
        </w:rPr>
        <w:t>股呈现倒</w:t>
      </w:r>
      <w:r>
        <w:rPr>
          <w:color w:val="000000"/>
          <w:sz w:val="24"/>
          <w:szCs w:val="24"/>
        </w:rPr>
        <w:t>“V”</w:t>
      </w:r>
      <w:r>
        <w:rPr>
          <w:color w:val="000000"/>
          <w:sz w:val="24"/>
          <w:szCs w:val="24"/>
        </w:rPr>
        <w:t>走势，前半月大消费板块延续了上月的走势，带动指数继续上攻。中下旬开始冲高回落，利率中枢不断</w:t>
      </w:r>
      <w:r>
        <w:rPr>
          <w:color w:val="000000"/>
          <w:sz w:val="24"/>
          <w:szCs w:val="24"/>
        </w:rPr>
        <w:t>抬升导致估值预期出现调整，市场情绪切换，追高动力不足，叠加年底机构获利了结等因素，大消费板块集体回调，带动指数快速下跌。上证综指全月下跌</w:t>
      </w:r>
      <w:r>
        <w:rPr>
          <w:color w:val="000000"/>
          <w:sz w:val="24"/>
          <w:szCs w:val="24"/>
        </w:rPr>
        <w:t>2.24%</w:t>
      </w:r>
      <w:r>
        <w:rPr>
          <w:color w:val="000000"/>
          <w:sz w:val="24"/>
          <w:szCs w:val="24"/>
        </w:rPr>
        <w:t>，深证成指上涨</w:t>
      </w:r>
      <w:r>
        <w:rPr>
          <w:color w:val="000000"/>
          <w:sz w:val="24"/>
          <w:szCs w:val="24"/>
        </w:rPr>
        <w:t>3.73%</w:t>
      </w:r>
      <w:r>
        <w:rPr>
          <w:color w:val="000000"/>
          <w:sz w:val="24"/>
          <w:szCs w:val="24"/>
        </w:rPr>
        <w:t>，上证</w:t>
      </w:r>
      <w:r>
        <w:rPr>
          <w:color w:val="000000"/>
          <w:sz w:val="24"/>
          <w:szCs w:val="24"/>
        </w:rPr>
        <w:t>50</w:t>
      </w:r>
      <w:r>
        <w:rPr>
          <w:color w:val="000000"/>
          <w:sz w:val="24"/>
          <w:szCs w:val="24"/>
        </w:rPr>
        <w:t>上涨</w:t>
      </w:r>
      <w:r>
        <w:rPr>
          <w:color w:val="000000"/>
          <w:sz w:val="24"/>
          <w:szCs w:val="24"/>
        </w:rPr>
        <w:t>2.50%</w:t>
      </w:r>
      <w:r>
        <w:rPr>
          <w:color w:val="000000"/>
          <w:sz w:val="24"/>
          <w:szCs w:val="24"/>
        </w:rPr>
        <w:t>，中小板指和创业板指分别下跌</w:t>
      </w:r>
      <w:r>
        <w:rPr>
          <w:color w:val="000000"/>
          <w:sz w:val="24"/>
          <w:szCs w:val="24"/>
        </w:rPr>
        <w:t>3.50%</w:t>
      </w:r>
      <w:r>
        <w:rPr>
          <w:color w:val="000000"/>
          <w:sz w:val="24"/>
          <w:szCs w:val="24"/>
        </w:rPr>
        <w:t>和</w:t>
      </w:r>
      <w:r>
        <w:rPr>
          <w:color w:val="000000"/>
          <w:sz w:val="24"/>
          <w:szCs w:val="24"/>
        </w:rPr>
        <w:t>5.32%</w:t>
      </w:r>
      <w:r>
        <w:rPr>
          <w:color w:val="000000"/>
          <w:sz w:val="24"/>
          <w:szCs w:val="24"/>
        </w:rPr>
        <w:t>。</w:t>
      </w:r>
      <w:r>
        <w:rPr>
          <w:color w:val="000000"/>
          <w:sz w:val="24"/>
          <w:szCs w:val="24"/>
        </w:rPr>
        <w:t>12</w:t>
      </w:r>
      <w:r>
        <w:rPr>
          <w:color w:val="000000"/>
          <w:sz w:val="24"/>
          <w:szCs w:val="24"/>
        </w:rPr>
        <w:t>月除创业板指表现为震荡下跌态势外，其他各大指数均呈现箱体震荡的格局。新零售、白马股和高端装备制造是本月的亮点，特高压、三网融合、移动支付等概念股下挫幅度较大。上证综指全月下跌</w:t>
      </w:r>
      <w:r>
        <w:rPr>
          <w:color w:val="000000"/>
          <w:sz w:val="24"/>
          <w:szCs w:val="24"/>
        </w:rPr>
        <w:t>0.30%</w:t>
      </w:r>
      <w:r>
        <w:rPr>
          <w:color w:val="000000"/>
          <w:sz w:val="24"/>
          <w:szCs w:val="24"/>
        </w:rPr>
        <w:t>，深证成指和中小板指分别上涨</w:t>
      </w:r>
      <w:r>
        <w:rPr>
          <w:color w:val="000000"/>
          <w:sz w:val="24"/>
          <w:szCs w:val="24"/>
        </w:rPr>
        <w:t>0.88%</w:t>
      </w:r>
      <w:r>
        <w:rPr>
          <w:color w:val="000000"/>
          <w:sz w:val="24"/>
          <w:szCs w:val="24"/>
        </w:rPr>
        <w:t>和</w:t>
      </w:r>
      <w:r>
        <w:rPr>
          <w:color w:val="000000"/>
          <w:sz w:val="24"/>
          <w:szCs w:val="24"/>
        </w:rPr>
        <w:t>0.02%</w:t>
      </w:r>
      <w:r>
        <w:rPr>
          <w:color w:val="000000"/>
          <w:sz w:val="24"/>
          <w:szCs w:val="24"/>
        </w:rPr>
        <w:t>，创业板指下跌</w:t>
      </w:r>
      <w:r>
        <w:rPr>
          <w:color w:val="000000"/>
          <w:sz w:val="24"/>
          <w:szCs w:val="24"/>
        </w:rPr>
        <w:t>1.00%</w:t>
      </w:r>
      <w:r>
        <w:rPr>
          <w:color w:val="000000"/>
          <w:sz w:val="24"/>
          <w:szCs w:val="24"/>
        </w:rPr>
        <w:t>。</w:t>
      </w:r>
    </w:p>
    <w:p w:rsidR="002C18FD" w:rsidRDefault="00494A7D">
      <w:pPr>
        <w:spacing w:before="29" w:line="288" w:lineRule="auto"/>
        <w:ind w:firstLineChars="200" w:firstLine="480"/>
        <w:rPr>
          <w:color w:val="000000"/>
          <w:sz w:val="24"/>
          <w:szCs w:val="24"/>
        </w:rPr>
      </w:pPr>
      <w:r>
        <w:rPr>
          <w:color w:val="000000"/>
          <w:sz w:val="24"/>
          <w:szCs w:val="24"/>
        </w:rPr>
        <w:t>行业方面，</w:t>
      </w:r>
      <w:r>
        <w:rPr>
          <w:color w:val="000000"/>
          <w:sz w:val="24"/>
          <w:szCs w:val="24"/>
        </w:rPr>
        <w:t>29</w:t>
      </w:r>
      <w:r>
        <w:rPr>
          <w:color w:val="000000"/>
          <w:sz w:val="24"/>
          <w:szCs w:val="24"/>
        </w:rPr>
        <w:t>个中信一级行业中，四季度仅食品饮料（</w:t>
      </w:r>
      <w:r>
        <w:rPr>
          <w:color w:val="000000"/>
          <w:sz w:val="24"/>
          <w:szCs w:val="24"/>
        </w:rPr>
        <w:t>15.98%</w:t>
      </w:r>
      <w:r>
        <w:rPr>
          <w:color w:val="000000"/>
          <w:sz w:val="24"/>
          <w:szCs w:val="24"/>
        </w:rPr>
        <w:t>）、家电（</w:t>
      </w:r>
      <w:r>
        <w:rPr>
          <w:color w:val="000000"/>
          <w:sz w:val="24"/>
          <w:szCs w:val="24"/>
        </w:rPr>
        <w:t>11.44%</w:t>
      </w:r>
      <w:r>
        <w:rPr>
          <w:color w:val="000000"/>
          <w:sz w:val="24"/>
          <w:szCs w:val="24"/>
        </w:rPr>
        <w:t>）、医药（</w:t>
      </w:r>
      <w:r>
        <w:rPr>
          <w:color w:val="000000"/>
          <w:sz w:val="24"/>
          <w:szCs w:val="24"/>
        </w:rPr>
        <w:t>3.27%</w:t>
      </w:r>
      <w:r>
        <w:rPr>
          <w:color w:val="000000"/>
          <w:sz w:val="24"/>
          <w:szCs w:val="24"/>
        </w:rPr>
        <w:t>）、石油石化（</w:t>
      </w:r>
      <w:r>
        <w:rPr>
          <w:color w:val="000000"/>
          <w:sz w:val="24"/>
          <w:szCs w:val="24"/>
        </w:rPr>
        <w:t>2.12%</w:t>
      </w:r>
      <w:r>
        <w:rPr>
          <w:color w:val="000000"/>
          <w:sz w:val="24"/>
          <w:szCs w:val="24"/>
        </w:rPr>
        <w:t>）、银行（</w:t>
      </w:r>
      <w:r>
        <w:rPr>
          <w:color w:val="000000"/>
          <w:sz w:val="24"/>
          <w:szCs w:val="24"/>
        </w:rPr>
        <w:t>1.36%</w:t>
      </w:r>
      <w:r>
        <w:rPr>
          <w:color w:val="000000"/>
          <w:sz w:val="24"/>
          <w:szCs w:val="24"/>
        </w:rPr>
        <w:t>）、非银行金融（</w:t>
      </w:r>
      <w:r>
        <w:rPr>
          <w:color w:val="000000"/>
          <w:sz w:val="24"/>
          <w:szCs w:val="24"/>
        </w:rPr>
        <w:t>0.92%</w:t>
      </w:r>
      <w:r>
        <w:rPr>
          <w:color w:val="000000"/>
          <w:sz w:val="24"/>
          <w:szCs w:val="24"/>
        </w:rPr>
        <w:t>）和农林牧渔（</w:t>
      </w:r>
      <w:r>
        <w:rPr>
          <w:color w:val="000000"/>
          <w:sz w:val="24"/>
          <w:szCs w:val="24"/>
        </w:rPr>
        <w:t>0.20%</w:t>
      </w:r>
      <w:r>
        <w:rPr>
          <w:color w:val="000000"/>
          <w:sz w:val="24"/>
          <w:szCs w:val="24"/>
        </w:rPr>
        <w:t>）飘红，综合（</w:t>
      </w:r>
      <w:r>
        <w:rPr>
          <w:color w:val="000000"/>
          <w:sz w:val="24"/>
          <w:szCs w:val="24"/>
        </w:rPr>
        <w:t>-12.63%</w:t>
      </w:r>
      <w:r>
        <w:rPr>
          <w:color w:val="000000"/>
          <w:sz w:val="24"/>
          <w:szCs w:val="24"/>
        </w:rPr>
        <w:t>）、国防军工（</w:t>
      </w:r>
      <w:r>
        <w:rPr>
          <w:color w:val="000000"/>
          <w:sz w:val="24"/>
          <w:szCs w:val="24"/>
        </w:rPr>
        <w:t>-11.03%</w:t>
      </w:r>
      <w:r>
        <w:rPr>
          <w:color w:val="000000"/>
          <w:sz w:val="24"/>
          <w:szCs w:val="24"/>
        </w:rPr>
        <w:t>）、计算机（</w:t>
      </w:r>
      <w:r>
        <w:rPr>
          <w:color w:val="000000"/>
          <w:sz w:val="24"/>
          <w:szCs w:val="24"/>
        </w:rPr>
        <w:t>-10.16%</w:t>
      </w:r>
      <w:r>
        <w:rPr>
          <w:color w:val="000000"/>
          <w:sz w:val="24"/>
          <w:szCs w:val="24"/>
        </w:rPr>
        <w:t>）、有色金属（</w:t>
      </w:r>
      <w:r>
        <w:rPr>
          <w:color w:val="000000"/>
          <w:sz w:val="24"/>
          <w:szCs w:val="24"/>
        </w:rPr>
        <w:t>-10.03%</w:t>
      </w:r>
      <w:r>
        <w:rPr>
          <w:color w:val="000000"/>
          <w:sz w:val="24"/>
          <w:szCs w:val="24"/>
        </w:rPr>
        <w:t>）和纺织服装（</w:t>
      </w:r>
      <w:r>
        <w:rPr>
          <w:color w:val="000000"/>
          <w:sz w:val="24"/>
          <w:szCs w:val="24"/>
        </w:rPr>
        <w:t>-10.01%</w:t>
      </w:r>
      <w:r>
        <w:rPr>
          <w:color w:val="000000"/>
          <w:sz w:val="24"/>
          <w:szCs w:val="24"/>
        </w:rPr>
        <w:t>）跌幅超过</w:t>
      </w:r>
      <w:r>
        <w:rPr>
          <w:color w:val="000000"/>
          <w:sz w:val="24"/>
          <w:szCs w:val="24"/>
        </w:rPr>
        <w:t>10%</w:t>
      </w:r>
      <w:r>
        <w:rPr>
          <w:color w:val="000000"/>
          <w:sz w:val="24"/>
          <w:szCs w:val="24"/>
        </w:rPr>
        <w:t>。</w:t>
      </w:r>
    </w:p>
    <w:p w:rsidR="002C18FD" w:rsidRDefault="00494A7D">
      <w:pPr>
        <w:spacing w:before="29" w:line="288" w:lineRule="auto"/>
        <w:ind w:firstLineChars="200" w:firstLine="480"/>
        <w:rPr>
          <w:color w:val="000000"/>
          <w:sz w:val="24"/>
          <w:szCs w:val="24"/>
        </w:rPr>
      </w:pPr>
      <w:r>
        <w:rPr>
          <w:color w:val="000000"/>
          <w:sz w:val="24"/>
          <w:szCs w:val="24"/>
        </w:rPr>
        <w:t>本季度，基金在控制回撤的基础上，力图寻找合适的股票投资机会以赚取绝对收益。</w:t>
      </w:r>
    </w:p>
    <w:p w:rsidR="002C18FD" w:rsidRDefault="00494A7D">
      <w:pPr>
        <w:spacing w:before="29" w:line="288" w:lineRule="auto"/>
        <w:ind w:firstLineChars="200" w:firstLine="480"/>
        <w:rPr>
          <w:color w:val="000000"/>
          <w:sz w:val="24"/>
          <w:szCs w:val="24"/>
        </w:rPr>
      </w:pPr>
      <w:r>
        <w:rPr>
          <w:color w:val="000000"/>
          <w:sz w:val="24"/>
          <w:szCs w:val="24"/>
        </w:rPr>
        <w:t>从债市看，</w:t>
      </w:r>
      <w:r>
        <w:rPr>
          <w:color w:val="000000"/>
          <w:sz w:val="24"/>
          <w:szCs w:val="24"/>
        </w:rPr>
        <w:t>2017</w:t>
      </w:r>
      <w:r>
        <w:rPr>
          <w:color w:val="000000"/>
          <w:sz w:val="24"/>
          <w:szCs w:val="24"/>
        </w:rPr>
        <w:t>年以来经济复苏的力度和持续性要高于预期，二三季度经济数据表现仍</w:t>
      </w:r>
      <w:r>
        <w:rPr>
          <w:color w:val="000000"/>
          <w:sz w:val="24"/>
          <w:szCs w:val="24"/>
        </w:rPr>
        <w:t>然强劲。进入四季度，受采暖季环保限产停工、地产销售下滑影响，经济动能有所减弱，工业增加值从</w:t>
      </w:r>
      <w:r>
        <w:rPr>
          <w:color w:val="000000"/>
          <w:sz w:val="24"/>
          <w:szCs w:val="24"/>
        </w:rPr>
        <w:t>9</w:t>
      </w:r>
      <w:r>
        <w:rPr>
          <w:color w:val="000000"/>
          <w:sz w:val="24"/>
          <w:szCs w:val="24"/>
        </w:rPr>
        <w:t>月份的</w:t>
      </w:r>
      <w:r>
        <w:rPr>
          <w:color w:val="000000"/>
          <w:sz w:val="24"/>
          <w:szCs w:val="24"/>
        </w:rPr>
        <w:t>6.6%</w:t>
      </w:r>
      <w:r>
        <w:rPr>
          <w:color w:val="000000"/>
          <w:sz w:val="24"/>
          <w:szCs w:val="24"/>
        </w:rPr>
        <w:t>回落至</w:t>
      </w:r>
      <w:r>
        <w:rPr>
          <w:color w:val="000000"/>
          <w:sz w:val="24"/>
          <w:szCs w:val="24"/>
        </w:rPr>
        <w:t>11</w:t>
      </w:r>
      <w:r>
        <w:rPr>
          <w:color w:val="000000"/>
          <w:sz w:val="24"/>
          <w:szCs w:val="24"/>
        </w:rPr>
        <w:t>月份的</w:t>
      </w:r>
      <w:r>
        <w:rPr>
          <w:color w:val="000000"/>
          <w:sz w:val="24"/>
          <w:szCs w:val="24"/>
        </w:rPr>
        <w:t>6.1%</w:t>
      </w:r>
      <w:r>
        <w:rPr>
          <w:color w:val="000000"/>
          <w:sz w:val="24"/>
          <w:szCs w:val="24"/>
        </w:rPr>
        <w:t>，固定资产投资增速也出现放缓；但信贷需求仍较为旺盛，出口增速保持高位，经济的韧性依然较强。</w:t>
      </w:r>
      <w:r>
        <w:rPr>
          <w:color w:val="000000"/>
          <w:sz w:val="24"/>
          <w:szCs w:val="24"/>
        </w:rPr>
        <w:t>10</w:t>
      </w:r>
      <w:r>
        <w:rPr>
          <w:color w:val="000000"/>
          <w:sz w:val="24"/>
          <w:szCs w:val="24"/>
        </w:rPr>
        <w:t>月下旬召开的中国共产党第十九次全国代表大会提出了中国特色社会主义进入了新时代，也进一步增强了市场对经济的信心。四季度货币政策延续稳健中性，而监管再次发力，多项政策陆续出台。</w:t>
      </w:r>
      <w:r>
        <w:rPr>
          <w:color w:val="000000"/>
          <w:sz w:val="24"/>
          <w:szCs w:val="24"/>
        </w:rPr>
        <w:t>11</w:t>
      </w:r>
      <w:r>
        <w:rPr>
          <w:color w:val="000000"/>
          <w:sz w:val="24"/>
          <w:szCs w:val="24"/>
        </w:rPr>
        <w:t>月</w:t>
      </w:r>
      <w:r>
        <w:rPr>
          <w:color w:val="000000"/>
          <w:sz w:val="24"/>
          <w:szCs w:val="24"/>
        </w:rPr>
        <w:t>17</w:t>
      </w:r>
      <w:r>
        <w:rPr>
          <w:color w:val="000000"/>
          <w:sz w:val="24"/>
          <w:szCs w:val="24"/>
        </w:rPr>
        <w:t>号监管层发布《关于规范金融机构资产管理业务的指导意见（征求意见稿）》，这个作为首次横跨各类机构的纲领性文件</w:t>
      </w:r>
      <w:r>
        <w:rPr>
          <w:color w:val="000000"/>
          <w:sz w:val="24"/>
          <w:szCs w:val="24"/>
        </w:rPr>
        <w:t>，涵盖了资管业务的方方面面，其中规范资金池、消除多层嵌套、推动资管产品向净值管理转型等规定对于资产管理行业影响深远。紧随其后的是商业银行流动性新规和规范银信合作的</w:t>
      </w:r>
      <w:r>
        <w:rPr>
          <w:color w:val="000000"/>
          <w:sz w:val="24"/>
          <w:szCs w:val="24"/>
        </w:rPr>
        <w:t>50</w:t>
      </w:r>
      <w:r>
        <w:rPr>
          <w:color w:val="000000"/>
          <w:sz w:val="24"/>
          <w:szCs w:val="24"/>
        </w:rPr>
        <w:t>号文，这些文件对于商业银行的流动性管理和通道投资作出了更为严格的规定，银行监管压力加大。四季度海外因素也有扰动，美国税改超预期推进，美英韩加息，欧央行缩减</w:t>
      </w:r>
      <w:r>
        <w:rPr>
          <w:color w:val="000000"/>
          <w:sz w:val="24"/>
          <w:szCs w:val="24"/>
        </w:rPr>
        <w:t>QE</w:t>
      </w:r>
      <w:r>
        <w:rPr>
          <w:color w:val="000000"/>
          <w:sz w:val="24"/>
          <w:szCs w:val="24"/>
        </w:rPr>
        <w:t>规模，全球进入紧缩周期；同时地缘政治加剧石油价格上涨，推升通胀预期。在这种背景下，四季度债券收益率再次出现大幅上行。十九大维稳期效应结束后市场对监管、通胀和全球货币收紧的担忧不断升温，叠加</w:t>
      </w:r>
      <w:r>
        <w:rPr>
          <w:color w:val="000000"/>
          <w:sz w:val="24"/>
          <w:szCs w:val="24"/>
        </w:rPr>
        <w:t>配置盘的缺失和交易盘的止损，利率债大幅下跌，十年期国债收益率一度从</w:t>
      </w:r>
      <w:r>
        <w:rPr>
          <w:color w:val="000000"/>
          <w:sz w:val="24"/>
          <w:szCs w:val="24"/>
        </w:rPr>
        <w:t>9</w:t>
      </w:r>
      <w:r>
        <w:rPr>
          <w:color w:val="000000"/>
          <w:sz w:val="24"/>
          <w:szCs w:val="24"/>
        </w:rPr>
        <w:t>月末的</w:t>
      </w:r>
      <w:r>
        <w:rPr>
          <w:color w:val="000000"/>
          <w:sz w:val="24"/>
          <w:szCs w:val="24"/>
        </w:rPr>
        <w:t>3.6%</w:t>
      </w:r>
      <w:r>
        <w:rPr>
          <w:color w:val="000000"/>
          <w:sz w:val="24"/>
          <w:szCs w:val="24"/>
        </w:rPr>
        <w:t>上行至</w:t>
      </w:r>
      <w:r>
        <w:rPr>
          <w:color w:val="000000"/>
          <w:sz w:val="24"/>
          <w:szCs w:val="24"/>
        </w:rPr>
        <w:t>11</w:t>
      </w:r>
      <w:r>
        <w:rPr>
          <w:color w:val="000000"/>
          <w:sz w:val="24"/>
          <w:szCs w:val="24"/>
        </w:rPr>
        <w:t>月下旬</w:t>
      </w:r>
      <w:r>
        <w:rPr>
          <w:color w:val="000000"/>
          <w:sz w:val="24"/>
          <w:szCs w:val="24"/>
        </w:rPr>
        <w:t>4%</w:t>
      </w:r>
      <w:r>
        <w:rPr>
          <w:color w:val="000000"/>
          <w:sz w:val="24"/>
          <w:szCs w:val="24"/>
        </w:rPr>
        <w:t>的水平，创下近几年新高。</w:t>
      </w:r>
      <w:r>
        <w:rPr>
          <w:color w:val="000000"/>
          <w:sz w:val="24"/>
          <w:szCs w:val="24"/>
        </w:rPr>
        <w:t>12</w:t>
      </w:r>
      <w:r>
        <w:rPr>
          <w:color w:val="000000"/>
          <w:sz w:val="24"/>
          <w:szCs w:val="24"/>
        </w:rPr>
        <w:t>月各种利空预期有所消化，长端利率略有回落，但短端利率却不断走高，曲线进一步平坦化。四季度信用债同样出现大幅调整，各期限各评级的信用利差均有明显走扩，而中低评级信用债在资管新规的影响下调整更为剧烈。可转债四季度遭遇正股和估值的双重打击，中证转债指数季跌</w:t>
      </w:r>
      <w:r>
        <w:rPr>
          <w:color w:val="000000"/>
          <w:sz w:val="24"/>
          <w:szCs w:val="24"/>
        </w:rPr>
        <w:t>6.65%</w:t>
      </w:r>
      <w:r>
        <w:rPr>
          <w:color w:val="000000"/>
          <w:sz w:val="24"/>
          <w:szCs w:val="24"/>
        </w:rPr>
        <w:t>。</w:t>
      </w:r>
    </w:p>
    <w:p w:rsidR="002C18FD" w:rsidRDefault="00494A7D">
      <w:pPr>
        <w:spacing w:before="29" w:line="288" w:lineRule="auto"/>
        <w:ind w:firstLineChars="200" w:firstLine="480"/>
        <w:rPr>
          <w:color w:val="000000"/>
          <w:sz w:val="24"/>
          <w:szCs w:val="24"/>
        </w:rPr>
      </w:pPr>
      <w:r>
        <w:rPr>
          <w:color w:val="000000"/>
          <w:sz w:val="24"/>
          <w:szCs w:val="24"/>
        </w:rPr>
        <w:t>根据持有人大会决议，本基金于</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6</w:t>
      </w:r>
      <w:r>
        <w:rPr>
          <w:color w:val="000000"/>
          <w:sz w:val="24"/>
          <w:szCs w:val="24"/>
        </w:rPr>
        <w:t>日起进入清盘期，报告期本基金主要配合清算进行资产变现操作。</w:t>
      </w:r>
    </w:p>
    <w:p w:rsidR="002C18FD" w:rsidRDefault="002C18FD">
      <w:pPr>
        <w:spacing w:before="29" w:line="288" w:lineRule="auto"/>
        <w:ind w:firstLineChars="200" w:firstLine="480"/>
        <w:rPr>
          <w:color w:val="000000"/>
          <w:sz w:val="24"/>
          <w:szCs w:val="24"/>
        </w:rPr>
      </w:pPr>
    </w:p>
    <w:p w:rsidR="002C18FD" w:rsidRDefault="00494A7D">
      <w:pPr>
        <w:spacing w:before="29" w:line="288" w:lineRule="auto"/>
        <w:rPr>
          <w:sz w:val="24"/>
          <w:szCs w:val="24"/>
        </w:rPr>
      </w:pPr>
      <w:r>
        <w:rPr>
          <w:b/>
          <w:color w:val="000000"/>
          <w:kern w:val="0"/>
          <w:sz w:val="24"/>
        </w:rPr>
        <w:t>4.5</w:t>
      </w:r>
      <w:r>
        <w:rPr>
          <w:b/>
          <w:color w:val="000000"/>
          <w:kern w:val="0"/>
          <w:sz w:val="24"/>
        </w:rPr>
        <w:t>报告</w:t>
      </w:r>
      <w:r>
        <w:rPr>
          <w:b/>
          <w:color w:val="000000"/>
          <w:kern w:val="0"/>
          <w:sz w:val="24"/>
        </w:rPr>
        <w:t>期内基金的业绩表现</w:t>
      </w:r>
    </w:p>
    <w:p w:rsidR="002C18FD" w:rsidRDefault="00494A7D">
      <w:pPr>
        <w:spacing w:before="29" w:line="288" w:lineRule="auto"/>
        <w:ind w:firstLineChars="200" w:firstLine="480"/>
        <w:rPr>
          <w:color w:val="000000"/>
          <w:sz w:val="24"/>
          <w:szCs w:val="24"/>
        </w:rPr>
      </w:pPr>
      <w:r>
        <w:rPr>
          <w:color w:val="000000"/>
          <w:sz w:val="24"/>
          <w:szCs w:val="24"/>
        </w:rPr>
        <w:t>报告期内，海富通欣盛定期开放净值增长率为</w:t>
      </w:r>
      <w:r>
        <w:rPr>
          <w:color w:val="000000"/>
          <w:sz w:val="24"/>
          <w:szCs w:val="24"/>
        </w:rPr>
        <w:t>2.73%</w:t>
      </w:r>
      <w:r>
        <w:rPr>
          <w:color w:val="000000"/>
          <w:sz w:val="24"/>
          <w:szCs w:val="24"/>
        </w:rPr>
        <w:t>，同期业绩比较基准收益率为</w:t>
      </w:r>
      <w:r>
        <w:rPr>
          <w:color w:val="000000"/>
          <w:sz w:val="24"/>
          <w:szCs w:val="24"/>
        </w:rPr>
        <w:t>1%</w:t>
      </w:r>
      <w:r>
        <w:rPr>
          <w:color w:val="000000"/>
          <w:sz w:val="24"/>
          <w:szCs w:val="24"/>
        </w:rPr>
        <w:t>，基金净值跑赢业绩比较基准</w:t>
      </w:r>
      <w:r>
        <w:rPr>
          <w:color w:val="000000"/>
          <w:sz w:val="24"/>
          <w:szCs w:val="24"/>
        </w:rPr>
        <w:t>1.73</w:t>
      </w:r>
      <w:r>
        <w:rPr>
          <w:color w:val="000000"/>
          <w:sz w:val="24"/>
          <w:szCs w:val="24"/>
        </w:rPr>
        <w:t>个百分点。</w:t>
      </w:r>
    </w:p>
    <w:p w:rsidR="002C18FD" w:rsidRDefault="002C18FD">
      <w:pPr>
        <w:spacing w:before="29" w:line="288" w:lineRule="auto"/>
        <w:ind w:firstLineChars="200" w:firstLine="480"/>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bookmarkStart w:id="0" w:name="_Toc245193825"/>
      <w:bookmarkStart w:id="1" w:name="_Toc255486598"/>
      <w:r>
        <w:rPr>
          <w:rFonts w:asciiTheme="minorEastAsia" w:eastAsiaTheme="minorEastAsia" w:hAnsiTheme="minorEastAsia"/>
          <w:b/>
          <w:color w:val="000000"/>
          <w:kern w:val="0"/>
          <w:sz w:val="24"/>
          <w:szCs w:val="24"/>
        </w:rPr>
        <w:t>4</w:t>
      </w:r>
      <w:r>
        <w:rPr>
          <w:rFonts w:asciiTheme="minorEastAsia" w:eastAsiaTheme="minorEastAsia" w:hAnsiTheme="minorEastAsia" w:hint="eastAsia"/>
          <w:b/>
          <w:color w:val="000000"/>
          <w:kern w:val="0"/>
          <w:sz w:val="24"/>
          <w:szCs w:val="24"/>
        </w:rPr>
        <w:t>.6</w:t>
      </w:r>
      <w:r>
        <w:rPr>
          <w:b/>
          <w:bCs/>
          <w:color w:val="000000"/>
          <w:kern w:val="0"/>
          <w:sz w:val="24"/>
          <w:szCs w:val="24"/>
        </w:rPr>
        <w:t>管理人对宏观经济、证券市场及行业走势的简要展望</w:t>
      </w:r>
      <w:bookmarkEnd w:id="0"/>
      <w:bookmarkEnd w:id="1"/>
    </w:p>
    <w:p w:rsidR="002C18FD" w:rsidRDefault="00494A7D">
      <w:pPr>
        <w:tabs>
          <w:tab w:val="left" w:pos="3765"/>
        </w:tabs>
        <w:spacing w:before="29" w:line="288" w:lineRule="auto"/>
        <w:ind w:firstLine="420"/>
        <w:rPr>
          <w:color w:val="000000"/>
          <w:sz w:val="24"/>
          <w:szCs w:val="24"/>
        </w:rPr>
      </w:pPr>
      <w:r>
        <w:rPr>
          <w:color w:val="000000"/>
          <w:sz w:val="24"/>
          <w:szCs w:val="24"/>
        </w:rPr>
        <w:t>2016</w:t>
      </w:r>
      <w:r>
        <w:rPr>
          <w:color w:val="000000"/>
          <w:sz w:val="24"/>
          <w:szCs w:val="24"/>
        </w:rPr>
        <w:t>年以来，中国经济已平稳复苏了两年，虽然经济总量增速没有显著提升，但经济发展质量、企业效益等出现了明显改观。</w:t>
      </w:r>
      <w:r>
        <w:rPr>
          <w:color w:val="000000"/>
          <w:sz w:val="24"/>
          <w:szCs w:val="24"/>
        </w:rPr>
        <w:t>2018</w:t>
      </w:r>
      <w:r>
        <w:rPr>
          <w:color w:val="000000"/>
          <w:sz w:val="24"/>
          <w:szCs w:val="24"/>
        </w:rPr>
        <w:t>年一季度，预计中国经济仍将保持较好韧性，虽然地产和基建的小幅回落、</w:t>
      </w:r>
      <w:r>
        <w:rPr>
          <w:color w:val="000000"/>
          <w:sz w:val="24"/>
          <w:szCs w:val="24"/>
        </w:rPr>
        <w:t>2+26</w:t>
      </w:r>
      <w:r>
        <w:rPr>
          <w:color w:val="000000"/>
          <w:sz w:val="24"/>
          <w:szCs w:val="24"/>
        </w:rPr>
        <w:t>城环保限产对短期经济会带来小幅下行压力，但居民消费稳中升级、外需稳中向好、制造业投资提升均是经济增长的重要支撑。通</w:t>
      </w:r>
      <w:r>
        <w:rPr>
          <w:color w:val="000000"/>
          <w:sz w:val="24"/>
          <w:szCs w:val="24"/>
        </w:rPr>
        <w:t>胀水平总体平稳、温和，物价结构可能出现新的分化，</w:t>
      </w:r>
      <w:r>
        <w:rPr>
          <w:color w:val="000000"/>
          <w:sz w:val="24"/>
          <w:szCs w:val="24"/>
        </w:rPr>
        <w:t>PPI</w:t>
      </w:r>
      <w:r>
        <w:rPr>
          <w:color w:val="000000"/>
          <w:sz w:val="24"/>
          <w:szCs w:val="24"/>
        </w:rPr>
        <w:t>对</w:t>
      </w:r>
      <w:r>
        <w:rPr>
          <w:color w:val="000000"/>
          <w:sz w:val="24"/>
          <w:szCs w:val="24"/>
        </w:rPr>
        <w:t>CPI</w:t>
      </w:r>
      <w:r>
        <w:rPr>
          <w:color w:val="000000"/>
          <w:sz w:val="24"/>
          <w:szCs w:val="24"/>
        </w:rPr>
        <w:t>的传导、石油产业链、农产品等可能成为新的涨价因素，而房地产相关的价格上涨、供给侧改革触发的价格波动可能有所弱化。</w:t>
      </w:r>
    </w:p>
    <w:p w:rsidR="002C18FD" w:rsidRDefault="00494A7D">
      <w:pPr>
        <w:tabs>
          <w:tab w:val="left" w:pos="3765"/>
        </w:tabs>
        <w:spacing w:before="29" w:line="288" w:lineRule="auto"/>
        <w:ind w:firstLine="420"/>
        <w:rPr>
          <w:color w:val="000000"/>
          <w:sz w:val="24"/>
          <w:szCs w:val="24"/>
        </w:rPr>
      </w:pPr>
      <w:r>
        <w:rPr>
          <w:color w:val="000000"/>
          <w:sz w:val="24"/>
          <w:szCs w:val="24"/>
        </w:rPr>
        <w:t>宏观政策方面：积极的财政政策取向不变，但会调整优化财政支出结构；稳健的货币政策要保持中性，管住货币供给总闸门；守住不发生系统性金融风险的底线；结构性政策要发挥更大作用，更好地服务实体经济。因此，金融继续维持监管力度、更好地服务和发展实体经济是目前宏观监管政策的主要目标。</w:t>
      </w:r>
    </w:p>
    <w:p w:rsidR="002C18FD" w:rsidRDefault="00494A7D">
      <w:pPr>
        <w:tabs>
          <w:tab w:val="left" w:pos="3765"/>
        </w:tabs>
        <w:spacing w:before="29" w:line="288" w:lineRule="auto"/>
        <w:ind w:firstLine="420"/>
        <w:rPr>
          <w:color w:val="000000"/>
          <w:sz w:val="24"/>
          <w:szCs w:val="24"/>
        </w:rPr>
      </w:pPr>
      <w:r>
        <w:rPr>
          <w:color w:val="000000"/>
          <w:sz w:val="24"/>
          <w:szCs w:val="24"/>
        </w:rPr>
        <w:t>2017</w:t>
      </w:r>
      <w:r>
        <w:rPr>
          <w:color w:val="000000"/>
          <w:sz w:val="24"/>
          <w:szCs w:val="24"/>
        </w:rPr>
        <w:t>年，泛消费、大金融、周期品行业及白马蓝筹表现较好，这与经济平稳复苏、企业业绩改善、金融监管抑制高估值成长股泡沫是密切相关的。</w:t>
      </w:r>
      <w:r>
        <w:rPr>
          <w:color w:val="000000"/>
          <w:sz w:val="24"/>
          <w:szCs w:val="24"/>
        </w:rPr>
        <w:t>2018</w:t>
      </w:r>
      <w:r>
        <w:rPr>
          <w:color w:val="000000"/>
          <w:sz w:val="24"/>
          <w:szCs w:val="24"/>
        </w:rPr>
        <w:t>年一季度，市场将继续围绕业绩增长、价值发现的方向进行演绎。一方面，随着经济复苏进入第三年，我们可以去挖掘较晚进入复苏周期或行业复苏可持续的细分行业和个股；另一方面，我们可以在调整时间较长、未来符合经济转型或政策鼓励方向的</w:t>
      </w:r>
      <w:r>
        <w:rPr>
          <w:color w:val="000000"/>
          <w:sz w:val="24"/>
          <w:szCs w:val="24"/>
        </w:rPr>
        <w:t>“</w:t>
      </w:r>
      <w:r>
        <w:rPr>
          <w:color w:val="000000"/>
          <w:sz w:val="24"/>
          <w:szCs w:val="24"/>
        </w:rPr>
        <w:t>偏成长</w:t>
      </w:r>
      <w:r>
        <w:rPr>
          <w:color w:val="000000"/>
          <w:sz w:val="24"/>
          <w:szCs w:val="24"/>
        </w:rPr>
        <w:t>”</w:t>
      </w:r>
      <w:r>
        <w:rPr>
          <w:color w:val="000000"/>
          <w:sz w:val="24"/>
          <w:szCs w:val="24"/>
        </w:rPr>
        <w:t>的细分行业加大挖掘、配置力度，十九大报告、中央经济工作会议文件已经给出了很好的方向指引。此外，目前各传统、新兴行业均显著出现龙头企业竞争力突出</w:t>
      </w:r>
      <w:r>
        <w:rPr>
          <w:color w:val="000000"/>
          <w:sz w:val="24"/>
          <w:szCs w:val="24"/>
        </w:rPr>
        <w:t>、市场占有率不断提升的状况，而且大部分龙头的估值依然具备优势（相对于行业内的非龙头公司），因此优选龙头依然会是较好的策略之一。</w:t>
      </w:r>
    </w:p>
    <w:p w:rsidR="002C18FD" w:rsidRDefault="00494A7D">
      <w:pPr>
        <w:tabs>
          <w:tab w:val="left" w:pos="3765"/>
        </w:tabs>
        <w:spacing w:before="29" w:line="288" w:lineRule="auto"/>
        <w:ind w:firstLine="420"/>
        <w:rPr>
          <w:color w:val="000000"/>
          <w:sz w:val="24"/>
          <w:szCs w:val="24"/>
        </w:rPr>
      </w:pPr>
      <w:r>
        <w:rPr>
          <w:color w:val="000000"/>
          <w:sz w:val="24"/>
          <w:szCs w:val="24"/>
        </w:rPr>
        <w:t>从债市看，</w:t>
      </w:r>
      <w:r>
        <w:rPr>
          <w:color w:val="000000"/>
          <w:sz w:val="24"/>
          <w:szCs w:val="24"/>
        </w:rPr>
        <w:t>2018</w:t>
      </w:r>
      <w:r>
        <w:rPr>
          <w:color w:val="000000"/>
          <w:sz w:val="24"/>
          <w:szCs w:val="24"/>
        </w:rPr>
        <w:t>年一季度经济阶段性承压，中上游受采暖季环保限产影响，中下游则处于小幅去库存周期中，总体产出预计有所下滑，但采暖季结束后产出或有所反弹。从需求端看，房地产在销售下滑和资金来源受限的情况下新开工会有所回落，地产投资或小幅下滑；年初财政资金支出有限，基建投资亦难起色；而制造业和出口则是支撑，总体看一季度经济或延续小周期下行，却不失韧性。通胀方面，一季度</w:t>
      </w:r>
      <w:r>
        <w:rPr>
          <w:color w:val="000000"/>
          <w:sz w:val="24"/>
          <w:szCs w:val="24"/>
        </w:rPr>
        <w:t>PPI</w:t>
      </w:r>
      <w:r>
        <w:rPr>
          <w:color w:val="000000"/>
          <w:sz w:val="24"/>
          <w:szCs w:val="24"/>
        </w:rPr>
        <w:t>的压力将向</w:t>
      </w:r>
      <w:r>
        <w:rPr>
          <w:color w:val="000000"/>
          <w:sz w:val="24"/>
          <w:szCs w:val="24"/>
        </w:rPr>
        <w:t>C</w:t>
      </w:r>
      <w:r>
        <w:rPr>
          <w:color w:val="000000"/>
          <w:sz w:val="24"/>
          <w:szCs w:val="24"/>
        </w:rPr>
        <w:t>PI</w:t>
      </w:r>
      <w:r>
        <w:rPr>
          <w:color w:val="000000"/>
          <w:sz w:val="24"/>
          <w:szCs w:val="24"/>
        </w:rPr>
        <w:t>转移，一方面供给侧改革推升价格上行的动力已显不足，</w:t>
      </w:r>
      <w:r>
        <w:rPr>
          <w:color w:val="000000"/>
          <w:sz w:val="24"/>
          <w:szCs w:val="24"/>
        </w:rPr>
        <w:t>PPI</w:t>
      </w:r>
      <w:r>
        <w:rPr>
          <w:color w:val="000000"/>
          <w:sz w:val="24"/>
          <w:szCs w:val="24"/>
        </w:rPr>
        <w:t>或有所回落；另一方面一季度</w:t>
      </w:r>
      <w:r>
        <w:rPr>
          <w:color w:val="000000"/>
          <w:sz w:val="24"/>
          <w:szCs w:val="24"/>
        </w:rPr>
        <w:t>CPI</w:t>
      </w:r>
      <w:r>
        <w:rPr>
          <w:color w:val="000000"/>
          <w:sz w:val="24"/>
          <w:szCs w:val="24"/>
        </w:rPr>
        <w:t>受基数影响同比增速较高，高点可能接近</w:t>
      </w:r>
      <w:r>
        <w:rPr>
          <w:color w:val="000000"/>
          <w:sz w:val="24"/>
          <w:szCs w:val="24"/>
        </w:rPr>
        <w:t>3%</w:t>
      </w:r>
      <w:r>
        <w:rPr>
          <w:color w:val="000000"/>
          <w:sz w:val="24"/>
          <w:szCs w:val="24"/>
        </w:rPr>
        <w:t>。监管方面，一季度资管新规等制度细则或相继落地，超预期的可能性较小。然而资管新规、流动性新规等对商业银行的影响是持续的，银行流动性管理难度增加，负债压力上升，负债端利率或仍居高不下。因此尽管一季度定向降准落地，同时央行仍会灵活投放，但市场资金面或仍保持偏紧的状态。而长端利率预计仍会维持高位震荡，监管和通胀是市场担忧所在，不过一旦出现预期差则会产生交易性机会。信用债方面，资管新规</w:t>
      </w:r>
      <w:r>
        <w:rPr>
          <w:color w:val="000000"/>
          <w:sz w:val="24"/>
          <w:szCs w:val="24"/>
        </w:rPr>
        <w:t>对信用债的影响是结构性的，在当前绝对收益率水平处于历史高位的情况下高等级信用债的信用利差或将保持平稳，具有一定配置价值，中低等级信用利差仍有走扩压力。可转债方面，转债估值已有显著下降，但持续的供给压力对估值仍有压制，同时利率高位、股市结构性行情为主的条件下转债可能仍会处于磨底过程。</w:t>
      </w:r>
      <w:r>
        <w:rPr>
          <w:color w:val="000000"/>
          <w:sz w:val="24"/>
          <w:szCs w:val="24"/>
        </w:rPr>
        <w:tab/>
      </w:r>
    </w:p>
    <w:p w:rsidR="002C18FD" w:rsidRDefault="002C18FD">
      <w:pPr>
        <w:tabs>
          <w:tab w:val="left" w:pos="3765"/>
        </w:tabs>
        <w:spacing w:before="29" w:line="288" w:lineRule="auto"/>
        <w:ind w:firstLine="420"/>
        <w:rPr>
          <w:color w:val="000000"/>
          <w:sz w:val="24"/>
          <w:szCs w:val="24"/>
        </w:rPr>
      </w:pPr>
    </w:p>
    <w:p w:rsidR="002C18FD" w:rsidRDefault="00494A7D">
      <w:pPr>
        <w:autoSpaceDE w:val="0"/>
        <w:autoSpaceDN w:val="0"/>
        <w:adjustRightInd w:val="0"/>
        <w:spacing w:before="29" w:line="288" w:lineRule="auto"/>
        <w:jc w:val="left"/>
        <w:rPr>
          <w:rFonts w:asciiTheme="minorEastAsia" w:eastAsiaTheme="minorEastAsia" w:hAnsiTheme="minorEastAsia"/>
          <w:color w:val="000000"/>
          <w:sz w:val="24"/>
          <w:szCs w:val="24"/>
        </w:rPr>
      </w:pPr>
      <w:r>
        <w:rPr>
          <w:b/>
          <w:bCs/>
          <w:color w:val="000000"/>
          <w:kern w:val="0"/>
          <w:sz w:val="24"/>
          <w:szCs w:val="24"/>
        </w:rPr>
        <w:t>4</w:t>
      </w:r>
      <w:r>
        <w:rPr>
          <w:rFonts w:hint="eastAsia"/>
          <w:b/>
          <w:bCs/>
          <w:color w:val="000000"/>
          <w:kern w:val="0"/>
          <w:sz w:val="24"/>
          <w:szCs w:val="24"/>
        </w:rPr>
        <w:t>.7</w:t>
      </w:r>
      <w:r>
        <w:rPr>
          <w:rFonts w:hint="eastAsia"/>
          <w:b/>
          <w:bCs/>
          <w:color w:val="000000"/>
          <w:kern w:val="0"/>
          <w:sz w:val="24"/>
          <w:szCs w:val="24"/>
        </w:rPr>
        <w:t>报告期内基金持有人数或基金资产净值预警说明</w:t>
      </w:r>
    </w:p>
    <w:p w:rsidR="002C18FD" w:rsidRDefault="00494A7D">
      <w:pPr>
        <w:tabs>
          <w:tab w:val="left" w:pos="3765"/>
        </w:tabs>
        <w:spacing w:before="29" w:line="288" w:lineRule="auto"/>
        <w:ind w:firstLine="420"/>
        <w:rPr>
          <w:color w:val="000000"/>
          <w:sz w:val="24"/>
          <w:szCs w:val="24"/>
        </w:rPr>
      </w:pPr>
      <w:r>
        <w:rPr>
          <w:color w:val="000000"/>
          <w:sz w:val="24"/>
          <w:szCs w:val="24"/>
        </w:rPr>
        <w:t>本基金本报告期无需要说明的情形。</w:t>
      </w:r>
    </w:p>
    <w:p w:rsidR="002C18FD" w:rsidRDefault="002C18FD">
      <w:pPr>
        <w:tabs>
          <w:tab w:val="left" w:pos="3765"/>
        </w:tabs>
        <w:spacing w:before="29" w:line="288" w:lineRule="auto"/>
        <w:ind w:firstLine="420"/>
        <w:rPr>
          <w:color w:val="000000"/>
          <w:sz w:val="24"/>
          <w:szCs w:val="24"/>
        </w:rPr>
      </w:pPr>
    </w:p>
    <w:p w:rsidR="002C18FD" w:rsidRDefault="00494A7D" w:rsidP="00494A7D">
      <w:pPr>
        <w:pStyle w:val="1"/>
        <w:spacing w:beforeLines="100" w:afterLines="100" w:line="288" w:lineRule="auto"/>
        <w:jc w:val="center"/>
        <w:rPr>
          <w:color w:val="000000"/>
          <w:kern w:val="0"/>
          <w:sz w:val="24"/>
          <w:szCs w:val="24"/>
        </w:rPr>
      </w:pPr>
      <w:r>
        <w:rPr>
          <w:color w:val="000000"/>
          <w:kern w:val="0"/>
          <w:sz w:val="24"/>
          <w:szCs w:val="24"/>
        </w:rPr>
        <w:t>§5</w:t>
      </w:r>
      <w:r>
        <w:rPr>
          <w:color w:val="000000"/>
          <w:kern w:val="0"/>
          <w:sz w:val="24"/>
          <w:szCs w:val="24"/>
        </w:rPr>
        <w:t>投资组合报告</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 </w:t>
      </w:r>
      <w:r>
        <w:rPr>
          <w:b/>
          <w:bCs/>
          <w:color w:val="000000"/>
          <w:kern w:val="0"/>
          <w:sz w:val="24"/>
          <w:szCs w:val="24"/>
        </w:rPr>
        <w:t>报告期末基金资产组合情况</w:t>
      </w:r>
    </w:p>
    <w:tbl>
      <w:tblPr>
        <w:tblStyle w:val="af8"/>
        <w:tblW w:w="8868" w:type="dxa"/>
        <w:jc w:val="center"/>
        <w:tblLayout w:type="fixed"/>
        <w:tblLook w:val="04A0"/>
      </w:tblPr>
      <w:tblGrid>
        <w:gridCol w:w="718"/>
        <w:gridCol w:w="3346"/>
        <w:gridCol w:w="2967"/>
        <w:gridCol w:w="1837"/>
      </w:tblGrid>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序号</w:t>
            </w:r>
          </w:p>
        </w:tc>
        <w:tc>
          <w:tcPr>
            <w:tcW w:w="3346"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项目</w:t>
            </w:r>
          </w:p>
        </w:tc>
        <w:tc>
          <w:tcPr>
            <w:tcW w:w="2967"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c>
          <w:tcPr>
            <w:tcW w:w="1837"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占基金总资产的比例</w:t>
            </w:r>
            <w:r>
              <w:rPr>
                <w:color w:val="000000"/>
                <w:kern w:val="0"/>
                <w:sz w:val="24"/>
              </w:rPr>
              <w:t>（％）</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1</w:t>
            </w: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权益投资</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2C18FD">
            <w:pPr>
              <w:spacing w:before="29" w:line="288" w:lineRule="auto"/>
              <w:ind w:left="17"/>
              <w:jc w:val="center"/>
              <w:rPr>
                <w:color w:val="000000"/>
                <w:kern w:val="0"/>
                <w:sz w:val="24"/>
                <w:szCs w:val="24"/>
              </w:rPr>
            </w:pP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其中：股票</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2</w:t>
            </w: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固定收益投资</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2C18FD">
            <w:pPr>
              <w:spacing w:before="29" w:line="288" w:lineRule="auto"/>
              <w:ind w:left="17"/>
              <w:jc w:val="center"/>
              <w:rPr>
                <w:color w:val="000000"/>
                <w:kern w:val="0"/>
                <w:sz w:val="24"/>
                <w:szCs w:val="24"/>
              </w:rPr>
            </w:pP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其中：债券</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2C18FD">
            <w:pPr>
              <w:spacing w:before="29" w:line="288" w:lineRule="auto"/>
              <w:ind w:left="17"/>
              <w:jc w:val="center"/>
              <w:rPr>
                <w:color w:val="000000"/>
                <w:kern w:val="0"/>
                <w:sz w:val="24"/>
                <w:szCs w:val="24"/>
              </w:rPr>
            </w:pPr>
          </w:p>
        </w:tc>
        <w:tc>
          <w:tcPr>
            <w:tcW w:w="3346" w:type="dxa"/>
            <w:vAlign w:val="center"/>
          </w:tcPr>
          <w:p w:rsidR="002C18FD" w:rsidRDefault="00494A7D">
            <w:pPr>
              <w:autoSpaceDE w:val="0"/>
              <w:autoSpaceDN w:val="0"/>
              <w:adjustRightInd w:val="0"/>
              <w:spacing w:before="29" w:line="288" w:lineRule="auto"/>
              <w:ind w:leftChars="8" w:left="17" w:firstLineChars="300" w:firstLine="720"/>
              <w:jc w:val="left"/>
              <w:rPr>
                <w:color w:val="000000"/>
                <w:kern w:val="0"/>
                <w:sz w:val="24"/>
                <w:szCs w:val="24"/>
              </w:rPr>
            </w:pPr>
            <w:r>
              <w:rPr>
                <w:color w:val="000000"/>
                <w:kern w:val="0"/>
                <w:sz w:val="24"/>
                <w:szCs w:val="24"/>
              </w:rPr>
              <w:t>资产支持证券</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3</w:t>
            </w:r>
          </w:p>
        </w:tc>
        <w:tc>
          <w:tcPr>
            <w:tcW w:w="3346" w:type="dxa"/>
            <w:vAlign w:val="center"/>
          </w:tcPr>
          <w:p w:rsidR="002C18FD" w:rsidRDefault="00494A7D">
            <w:pPr>
              <w:spacing w:before="29" w:line="288" w:lineRule="auto"/>
              <w:ind w:left="17"/>
              <w:jc w:val="left"/>
              <w:rPr>
                <w:color w:val="000000"/>
                <w:kern w:val="0"/>
                <w:sz w:val="24"/>
                <w:szCs w:val="24"/>
              </w:rPr>
            </w:pPr>
            <w:r>
              <w:rPr>
                <w:rFonts w:hAnsi="宋体"/>
                <w:color w:val="000000"/>
                <w:kern w:val="0"/>
                <w:sz w:val="24"/>
                <w:szCs w:val="24"/>
              </w:rPr>
              <w:t>贵金属投资</w:t>
            </w:r>
          </w:p>
        </w:tc>
        <w:tc>
          <w:tcPr>
            <w:tcW w:w="2967" w:type="dxa"/>
            <w:vAlign w:val="center"/>
          </w:tcPr>
          <w:p w:rsidR="002C18FD" w:rsidRDefault="00494A7D">
            <w:pPr>
              <w:spacing w:before="29" w:line="288" w:lineRule="auto"/>
              <w:ind w:left="17"/>
              <w:jc w:val="right"/>
              <w:rPr>
                <w:color w:val="000000"/>
                <w:kern w:val="0"/>
                <w:sz w:val="24"/>
                <w:szCs w:val="24"/>
              </w:rPr>
            </w:pPr>
            <w:r>
              <w:rPr>
                <w:rFonts w:eastAsiaTheme="minorEastAsia"/>
                <w:color w:val="000000"/>
                <w:kern w:val="0"/>
                <w:sz w:val="24"/>
                <w:szCs w:val="24"/>
              </w:rPr>
              <w:t>-</w:t>
            </w:r>
          </w:p>
        </w:tc>
        <w:tc>
          <w:tcPr>
            <w:tcW w:w="1837" w:type="dxa"/>
            <w:vAlign w:val="center"/>
          </w:tcPr>
          <w:p w:rsidR="002C18FD" w:rsidRDefault="00494A7D">
            <w:pPr>
              <w:spacing w:before="29" w:line="288" w:lineRule="auto"/>
              <w:ind w:left="17"/>
              <w:jc w:val="right"/>
              <w:rPr>
                <w:rFonts w:eastAsiaTheme="minorEastAsia"/>
                <w:color w:val="000000"/>
                <w:kern w:val="0"/>
                <w:sz w:val="24"/>
                <w:szCs w:val="24"/>
              </w:rPr>
            </w:pPr>
            <w:r>
              <w:rPr>
                <w:rFonts w:eastAsiaTheme="minorEastAsia"/>
                <w:color w:val="000000"/>
                <w:kern w:val="0"/>
                <w:sz w:val="24"/>
                <w:szCs w:val="24"/>
              </w:rPr>
              <w:t>-</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4</w:t>
            </w: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金融衍生品投资</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5</w:t>
            </w: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买入返售金融资产</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2C18FD">
            <w:pPr>
              <w:spacing w:before="29" w:line="288" w:lineRule="auto"/>
              <w:ind w:left="17"/>
              <w:jc w:val="center"/>
              <w:rPr>
                <w:color w:val="000000"/>
                <w:kern w:val="0"/>
                <w:sz w:val="24"/>
                <w:szCs w:val="24"/>
              </w:rPr>
            </w:pP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其中：买断式回购的买入返售金融资产</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6</w:t>
            </w:r>
          </w:p>
        </w:tc>
        <w:tc>
          <w:tcPr>
            <w:tcW w:w="3346" w:type="dxa"/>
            <w:vAlign w:val="center"/>
          </w:tcPr>
          <w:p w:rsidR="002C18FD" w:rsidRDefault="00494A7D">
            <w:pPr>
              <w:spacing w:before="29" w:line="288" w:lineRule="auto"/>
              <w:ind w:left="17"/>
              <w:jc w:val="left"/>
              <w:rPr>
                <w:kern w:val="0"/>
                <w:sz w:val="24"/>
                <w:szCs w:val="24"/>
              </w:rPr>
            </w:pPr>
            <w:r>
              <w:rPr>
                <w:color w:val="000000"/>
                <w:kern w:val="0"/>
                <w:sz w:val="24"/>
                <w:szCs w:val="24"/>
              </w:rPr>
              <w:t>银行存款和结算备付金合计</w:t>
            </w:r>
          </w:p>
        </w:tc>
        <w:tc>
          <w:tcPr>
            <w:tcW w:w="296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211,376,213.47</w:t>
            </w:r>
          </w:p>
        </w:tc>
        <w:tc>
          <w:tcPr>
            <w:tcW w:w="1837" w:type="dxa"/>
            <w:vAlign w:val="center"/>
          </w:tcPr>
          <w:p w:rsidR="002C18FD" w:rsidRDefault="00494A7D">
            <w:pPr>
              <w:spacing w:before="29" w:line="288" w:lineRule="auto"/>
              <w:ind w:left="17"/>
              <w:jc w:val="right"/>
              <w:rPr>
                <w:color w:val="000000"/>
                <w:kern w:val="0"/>
                <w:sz w:val="24"/>
                <w:szCs w:val="24"/>
              </w:rPr>
            </w:pPr>
            <w:r>
              <w:rPr>
                <w:color w:val="000000"/>
                <w:kern w:val="0"/>
                <w:sz w:val="24"/>
                <w:szCs w:val="24"/>
              </w:rPr>
              <w:t>99.93</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7</w:t>
            </w:r>
          </w:p>
        </w:tc>
        <w:tc>
          <w:tcPr>
            <w:tcW w:w="3346" w:type="dxa"/>
            <w:vAlign w:val="center"/>
          </w:tcPr>
          <w:p w:rsidR="002C18FD" w:rsidRDefault="00494A7D">
            <w:pPr>
              <w:spacing w:before="29" w:line="288" w:lineRule="auto"/>
              <w:jc w:val="left"/>
              <w:rPr>
                <w:kern w:val="0"/>
                <w:sz w:val="24"/>
                <w:szCs w:val="24"/>
              </w:rPr>
            </w:pPr>
            <w:r>
              <w:rPr>
                <w:color w:val="000000"/>
                <w:kern w:val="0"/>
                <w:sz w:val="24"/>
                <w:szCs w:val="24"/>
              </w:rPr>
              <w:t>其他资产</w:t>
            </w:r>
          </w:p>
        </w:tc>
        <w:tc>
          <w:tcPr>
            <w:tcW w:w="2967" w:type="dxa"/>
            <w:vAlign w:val="center"/>
          </w:tcPr>
          <w:p w:rsidR="002C18FD" w:rsidRDefault="00494A7D">
            <w:pPr>
              <w:spacing w:before="29" w:line="288" w:lineRule="auto"/>
              <w:jc w:val="right"/>
              <w:rPr>
                <w:color w:val="000000"/>
                <w:kern w:val="0"/>
                <w:sz w:val="24"/>
                <w:szCs w:val="24"/>
              </w:rPr>
            </w:pPr>
            <w:r>
              <w:rPr>
                <w:color w:val="000000"/>
                <w:kern w:val="0"/>
                <w:sz w:val="24"/>
                <w:szCs w:val="24"/>
              </w:rPr>
              <w:t>140,729.86</w:t>
            </w:r>
          </w:p>
        </w:tc>
        <w:tc>
          <w:tcPr>
            <w:tcW w:w="1837" w:type="dxa"/>
            <w:vAlign w:val="center"/>
          </w:tcPr>
          <w:p w:rsidR="002C18FD" w:rsidRDefault="00494A7D">
            <w:pPr>
              <w:spacing w:before="29" w:line="288" w:lineRule="auto"/>
              <w:jc w:val="right"/>
              <w:rPr>
                <w:color w:val="000000"/>
                <w:kern w:val="0"/>
                <w:sz w:val="24"/>
                <w:szCs w:val="24"/>
              </w:rPr>
            </w:pPr>
            <w:r>
              <w:rPr>
                <w:color w:val="000000"/>
                <w:kern w:val="0"/>
                <w:sz w:val="24"/>
                <w:szCs w:val="24"/>
              </w:rPr>
              <w:t>0.07</w:t>
            </w:r>
          </w:p>
        </w:tc>
      </w:tr>
      <w:tr w:rsidR="002C18FD">
        <w:trPr>
          <w:jc w:val="center"/>
        </w:trPr>
        <w:tc>
          <w:tcPr>
            <w:tcW w:w="718" w:type="dxa"/>
            <w:vAlign w:val="center"/>
          </w:tcPr>
          <w:p w:rsidR="002C18FD" w:rsidRDefault="00494A7D">
            <w:pPr>
              <w:spacing w:before="29" w:line="288" w:lineRule="auto"/>
              <w:ind w:left="17"/>
              <w:jc w:val="center"/>
              <w:rPr>
                <w:color w:val="000000"/>
                <w:kern w:val="0"/>
                <w:sz w:val="24"/>
                <w:szCs w:val="24"/>
              </w:rPr>
            </w:pPr>
            <w:r>
              <w:rPr>
                <w:color w:val="000000"/>
                <w:kern w:val="0"/>
                <w:sz w:val="24"/>
                <w:szCs w:val="24"/>
              </w:rPr>
              <w:t>8</w:t>
            </w:r>
          </w:p>
        </w:tc>
        <w:tc>
          <w:tcPr>
            <w:tcW w:w="3346" w:type="dxa"/>
            <w:vAlign w:val="center"/>
          </w:tcPr>
          <w:p w:rsidR="002C18FD" w:rsidRDefault="00494A7D">
            <w:pPr>
              <w:spacing w:before="29" w:line="288" w:lineRule="auto"/>
              <w:jc w:val="left"/>
              <w:rPr>
                <w:kern w:val="0"/>
                <w:sz w:val="24"/>
                <w:szCs w:val="24"/>
              </w:rPr>
            </w:pPr>
            <w:r>
              <w:rPr>
                <w:color w:val="000000"/>
                <w:kern w:val="0"/>
                <w:sz w:val="24"/>
                <w:szCs w:val="24"/>
              </w:rPr>
              <w:t>合计</w:t>
            </w:r>
          </w:p>
        </w:tc>
        <w:tc>
          <w:tcPr>
            <w:tcW w:w="2967" w:type="dxa"/>
            <w:vAlign w:val="center"/>
          </w:tcPr>
          <w:p w:rsidR="002C18FD" w:rsidRDefault="00494A7D">
            <w:pPr>
              <w:spacing w:before="29" w:line="288" w:lineRule="auto"/>
              <w:jc w:val="right"/>
              <w:rPr>
                <w:color w:val="000000"/>
                <w:kern w:val="0"/>
                <w:sz w:val="24"/>
                <w:szCs w:val="24"/>
              </w:rPr>
            </w:pPr>
            <w:r>
              <w:rPr>
                <w:color w:val="000000"/>
                <w:kern w:val="0"/>
                <w:sz w:val="24"/>
                <w:szCs w:val="24"/>
              </w:rPr>
              <w:t>211,516,943.33</w:t>
            </w:r>
          </w:p>
        </w:tc>
        <w:tc>
          <w:tcPr>
            <w:tcW w:w="1837" w:type="dxa"/>
            <w:vAlign w:val="center"/>
          </w:tcPr>
          <w:p w:rsidR="002C18FD" w:rsidRDefault="00494A7D">
            <w:pPr>
              <w:spacing w:before="29" w:line="288" w:lineRule="auto"/>
              <w:jc w:val="right"/>
              <w:rPr>
                <w:color w:val="000000"/>
                <w:kern w:val="0"/>
                <w:sz w:val="24"/>
                <w:szCs w:val="24"/>
              </w:rPr>
            </w:pPr>
            <w:r>
              <w:rPr>
                <w:color w:val="000000"/>
                <w:kern w:val="0"/>
                <w:sz w:val="24"/>
                <w:szCs w:val="24"/>
              </w:rPr>
              <w:t>100.00</w:t>
            </w:r>
          </w:p>
        </w:tc>
      </w:tr>
    </w:tbl>
    <w:p w:rsidR="002C18FD" w:rsidRDefault="002C18FD">
      <w:pPr>
        <w:autoSpaceDE w:val="0"/>
        <w:autoSpaceDN w:val="0"/>
        <w:adjustRightInd w:val="0"/>
        <w:spacing w:before="29" w:line="288" w:lineRule="auto"/>
        <w:jc w:val="left"/>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5.2 </w:t>
      </w:r>
      <w:r>
        <w:rPr>
          <w:b/>
          <w:bCs/>
          <w:color w:val="000000"/>
          <w:kern w:val="0"/>
          <w:sz w:val="24"/>
          <w:szCs w:val="24"/>
        </w:rPr>
        <w:t>报告期末按行业分类的股票投资组合</w:t>
      </w:r>
    </w:p>
    <w:p w:rsidR="002C18FD" w:rsidRDefault="00494A7D">
      <w:pPr>
        <w:autoSpaceDE w:val="0"/>
        <w:autoSpaceDN w:val="0"/>
        <w:adjustRightInd w:val="0"/>
        <w:spacing w:before="29" w:line="288" w:lineRule="auto"/>
        <w:jc w:val="left"/>
        <w:rPr>
          <w:b/>
          <w:bCs/>
          <w:color w:val="000000"/>
          <w:kern w:val="0"/>
          <w:sz w:val="24"/>
          <w:szCs w:val="24"/>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2C18FD" w:rsidRDefault="00494A7D">
      <w:pPr>
        <w:jc w:val="left"/>
        <w:rPr>
          <w:b/>
        </w:rPr>
      </w:pPr>
      <w:r>
        <w:rPr>
          <w:rFonts w:ascii="宋体" w:hAnsi="宋体" w:hint="eastAsia"/>
          <w:b/>
          <w:kern w:val="0"/>
          <w:sz w:val="18"/>
        </w:rPr>
        <w:t>5.2.2</w:t>
      </w:r>
      <w:r>
        <w:rPr>
          <w:rFonts w:hint="eastAsia"/>
          <w:b/>
        </w:rPr>
        <w:t>报告期末按行业分类的</w:t>
      </w:r>
      <w:r>
        <w:rPr>
          <w:rFonts w:hint="eastAsia"/>
          <w:b/>
        </w:rPr>
        <w:t>港股通</w:t>
      </w:r>
      <w:r>
        <w:rPr>
          <w:rFonts w:hint="eastAsia"/>
          <w:b/>
        </w:rPr>
        <w:t>投资股票投资组合</w:t>
      </w:r>
    </w:p>
    <w:p w:rsidR="002C18FD" w:rsidRDefault="00494A7D">
      <w:pPr>
        <w:autoSpaceDE w:val="0"/>
        <w:autoSpaceDN w:val="0"/>
        <w:adjustRightInd w:val="0"/>
        <w:spacing w:before="29" w:line="288" w:lineRule="auto"/>
        <w:ind w:firstLineChars="100" w:firstLine="240"/>
        <w:jc w:val="left"/>
        <w:rPr>
          <w:sz w:val="24"/>
          <w:szCs w:val="24"/>
        </w:rPr>
      </w:pPr>
      <w:bookmarkStart w:id="2" w:name="_GoBack"/>
      <w:bookmarkEnd w:id="2"/>
      <w:r>
        <w:rPr>
          <w:sz w:val="24"/>
          <w:szCs w:val="24"/>
        </w:rPr>
        <w:t>本基金本报告期末未持有港股通股票。</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5.3 </w:t>
      </w:r>
      <w:r>
        <w:rPr>
          <w:b/>
          <w:bCs/>
          <w:color w:val="000000"/>
          <w:kern w:val="0"/>
          <w:sz w:val="24"/>
          <w:szCs w:val="24"/>
        </w:rPr>
        <w:t>报告期末按公允价值占基金资产净值比例大小排序的前十名股票投资明细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2C18FD" w:rsidRDefault="002C18FD">
      <w:pPr>
        <w:autoSpaceDE w:val="0"/>
        <w:autoSpaceDN w:val="0"/>
        <w:adjustRightInd w:val="0"/>
        <w:spacing w:before="29" w:line="288" w:lineRule="auto"/>
        <w:jc w:val="left"/>
        <w:rPr>
          <w:b/>
          <w:bCs/>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5.4 </w:t>
      </w:r>
      <w:r>
        <w:rPr>
          <w:b/>
          <w:bCs/>
          <w:color w:val="000000"/>
          <w:kern w:val="0"/>
          <w:sz w:val="24"/>
          <w:szCs w:val="24"/>
        </w:rPr>
        <w:t>报告期末按债券品种分类的债券投资组合</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5.5 </w:t>
      </w:r>
      <w:r>
        <w:rPr>
          <w:b/>
          <w:bCs/>
          <w:color w:val="000000"/>
          <w:kern w:val="0"/>
          <w:sz w:val="24"/>
          <w:szCs w:val="24"/>
        </w:rPr>
        <w:t>报告期末按公允价值占基金资产净值比例大小排序的前五名债券投资明细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2C18FD" w:rsidRDefault="002C18FD">
      <w:pPr>
        <w:autoSpaceDE w:val="0"/>
        <w:autoSpaceDN w:val="0"/>
        <w:adjustRightInd w:val="0"/>
        <w:spacing w:before="29" w:line="288" w:lineRule="auto"/>
        <w:jc w:val="left"/>
        <w:rPr>
          <w:b/>
          <w:bCs/>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5.6 </w:t>
      </w:r>
      <w:r>
        <w:rPr>
          <w:b/>
          <w:bCs/>
          <w:color w:val="000000"/>
          <w:kern w:val="0"/>
          <w:sz w:val="24"/>
          <w:szCs w:val="24"/>
        </w:rPr>
        <w:t>报告期末按公允价值占基金资产净值比例大小排序的前十名资产支持证券投资明细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本基金本报告期末未持有资产支持证券。</w:t>
      </w:r>
    </w:p>
    <w:p w:rsidR="002C18FD" w:rsidRDefault="002C18FD">
      <w:pPr>
        <w:autoSpaceDE w:val="0"/>
        <w:autoSpaceDN w:val="0"/>
        <w:adjustRightInd w:val="0"/>
        <w:spacing w:before="29" w:line="288" w:lineRule="auto"/>
        <w:jc w:val="left"/>
        <w:rPr>
          <w:color w:val="000000"/>
          <w:sz w:val="24"/>
          <w:szCs w:val="24"/>
        </w:rPr>
      </w:pPr>
    </w:p>
    <w:p w:rsidR="002C18FD" w:rsidRDefault="00494A7D">
      <w:pPr>
        <w:autoSpaceDE w:val="0"/>
        <w:autoSpaceDN w:val="0"/>
        <w:adjustRightInd w:val="0"/>
        <w:spacing w:before="29" w:line="288" w:lineRule="auto"/>
        <w:jc w:val="left"/>
        <w:rPr>
          <w:color w:val="000000"/>
          <w:kern w:val="0"/>
          <w:sz w:val="24"/>
          <w:szCs w:val="24"/>
        </w:rPr>
      </w:pPr>
      <w:r>
        <w:rPr>
          <w:b/>
          <w:bCs/>
          <w:color w:val="000000"/>
          <w:kern w:val="0"/>
          <w:sz w:val="24"/>
          <w:szCs w:val="24"/>
        </w:rPr>
        <w:t>5.7</w:t>
      </w:r>
      <w:r>
        <w:rPr>
          <w:rFonts w:hAnsi="宋体"/>
          <w:b/>
          <w:bCs/>
          <w:color w:val="000000"/>
          <w:kern w:val="0"/>
          <w:sz w:val="24"/>
          <w:szCs w:val="24"/>
        </w:rPr>
        <w:t>报告期末按公允价值占基金资产净值比例大小排序的前五名贵金属投资明细</w:t>
      </w:r>
    </w:p>
    <w:p w:rsidR="002C18FD" w:rsidRDefault="00494A7D">
      <w:pPr>
        <w:widowControl/>
        <w:spacing w:line="288" w:lineRule="auto"/>
        <w:jc w:val="left"/>
        <w:rPr>
          <w:sz w:val="24"/>
          <w:szCs w:val="24"/>
        </w:rPr>
      </w:pPr>
      <w:r>
        <w:rPr>
          <w:sz w:val="24"/>
          <w:szCs w:val="24"/>
        </w:rPr>
        <w:t>本基金本报告期末未持有贵金属。</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5.8 </w:t>
      </w:r>
      <w:r>
        <w:rPr>
          <w:b/>
          <w:bCs/>
          <w:color w:val="000000"/>
          <w:kern w:val="0"/>
          <w:sz w:val="24"/>
          <w:szCs w:val="24"/>
        </w:rPr>
        <w:t>报告期末按公允价值占基金资产净值比例大小排序的前五名权证投资明细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本基金本报告期末未持有权证。</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 </w:t>
      </w:r>
      <w:r>
        <w:rPr>
          <w:b/>
          <w:bCs/>
          <w:color w:val="000000"/>
          <w:kern w:val="0"/>
          <w:sz w:val="24"/>
          <w:szCs w:val="24"/>
        </w:rPr>
        <w:t>报告期末本基金投资的股指期货交易情况说明</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5.9.1 </w:t>
      </w:r>
      <w:r>
        <w:rPr>
          <w:b/>
          <w:bCs/>
          <w:color w:val="000000"/>
          <w:kern w:val="0"/>
          <w:sz w:val="24"/>
          <w:szCs w:val="24"/>
        </w:rPr>
        <w:t>报告期末本基金投资的股指期货持仓和损益明细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本基金本报告期末未持有股指期货。</w:t>
      </w:r>
    </w:p>
    <w:p w:rsidR="002C18FD" w:rsidRDefault="002C18FD">
      <w:pPr>
        <w:adjustRightInd w:val="0"/>
        <w:snapToGrid w:val="0"/>
        <w:spacing w:before="29" w:line="288" w:lineRule="auto"/>
        <w:rPr>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5.9.2 </w:t>
      </w:r>
      <w:r>
        <w:rPr>
          <w:b/>
          <w:bCs/>
          <w:color w:val="000000"/>
          <w:kern w:val="0"/>
          <w:sz w:val="24"/>
          <w:szCs w:val="24"/>
        </w:rPr>
        <w:t>本基金投资股指期货的投资政策</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的股指期货投资将用于套期保值。在预期市场上涨时，可以通过买入股指期货作为股票替代，增加股票仓位，同时提高资金的利用效率；在预期市场下跌时，可以通过卖出股指期货对冲股市整体下跌的系统性风险，对投资组合的价值进行保护。</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 </w:t>
      </w:r>
      <w:r>
        <w:rPr>
          <w:b/>
          <w:bCs/>
          <w:color w:val="000000"/>
          <w:kern w:val="0"/>
          <w:sz w:val="24"/>
          <w:szCs w:val="24"/>
        </w:rPr>
        <w:t>报告期末本基金投资的国债期货交易情况说明</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5.10.1 </w:t>
      </w:r>
      <w:r>
        <w:rPr>
          <w:b/>
          <w:bCs/>
          <w:color w:val="000000"/>
          <w:kern w:val="0"/>
          <w:sz w:val="24"/>
          <w:szCs w:val="24"/>
        </w:rPr>
        <w:t>本期国债期货投资政策</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的国债期货投资将以风险管理为原则，以套期保值为目的。管理人将按照相关法律法规的规定，结合国债现货市场和期货市场的波动性、流动性等情况，通过多头或空头套期保值等策略进行操作，获取超额收益。</w:t>
      </w:r>
    </w:p>
    <w:p w:rsidR="002C18FD" w:rsidRDefault="002C18FD">
      <w:pPr>
        <w:spacing w:before="29" w:line="288" w:lineRule="auto"/>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5.</w:t>
      </w:r>
      <w:r>
        <w:rPr>
          <w:b/>
          <w:bCs/>
          <w:color w:val="000000"/>
          <w:kern w:val="0"/>
          <w:sz w:val="24"/>
          <w:szCs w:val="24"/>
        </w:rPr>
        <w:t xml:space="preserve">10.2 </w:t>
      </w:r>
      <w:r>
        <w:rPr>
          <w:b/>
          <w:bCs/>
          <w:color w:val="000000"/>
          <w:kern w:val="0"/>
          <w:sz w:val="24"/>
          <w:szCs w:val="24"/>
        </w:rPr>
        <w:t>报告期末本基金投资的国债期货持仓和损益明细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本基金本报告期末未持有国债期货。</w:t>
      </w:r>
    </w:p>
    <w:p w:rsidR="002C18FD" w:rsidRDefault="002C18FD">
      <w:pPr>
        <w:autoSpaceDE w:val="0"/>
        <w:autoSpaceDN w:val="0"/>
        <w:adjustRightInd w:val="0"/>
        <w:spacing w:before="29" w:line="288" w:lineRule="auto"/>
        <w:jc w:val="left"/>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5.10.3 </w:t>
      </w:r>
      <w:r>
        <w:rPr>
          <w:b/>
          <w:bCs/>
          <w:color w:val="000000"/>
          <w:kern w:val="0"/>
          <w:sz w:val="24"/>
          <w:szCs w:val="24"/>
        </w:rPr>
        <w:t>本期国债期货投资评价</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本基金本报告期内未投资国债期货。</w:t>
      </w:r>
    </w:p>
    <w:p w:rsidR="002C18FD" w:rsidRDefault="002C18FD">
      <w:pPr>
        <w:autoSpaceDE w:val="0"/>
        <w:autoSpaceDN w:val="0"/>
        <w:adjustRightInd w:val="0"/>
        <w:spacing w:before="29" w:line="288" w:lineRule="auto"/>
        <w:jc w:val="left"/>
        <w:rPr>
          <w:color w:val="000000"/>
          <w:kern w:val="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 </w:t>
      </w:r>
      <w:r>
        <w:rPr>
          <w:b/>
          <w:bCs/>
          <w:color w:val="000000"/>
          <w:kern w:val="0"/>
          <w:sz w:val="24"/>
          <w:szCs w:val="24"/>
        </w:rPr>
        <w:t>投资组合报告附注</w:t>
      </w:r>
    </w:p>
    <w:p w:rsidR="002C18FD" w:rsidRDefault="00494A7D">
      <w:pPr>
        <w:autoSpaceDE w:val="0"/>
        <w:autoSpaceDN w:val="0"/>
        <w:adjustRightInd w:val="0"/>
        <w:spacing w:before="29" w:line="288" w:lineRule="auto"/>
        <w:jc w:val="left"/>
        <w:rPr>
          <w:bCs/>
          <w:color w:val="000000"/>
          <w:kern w:val="0"/>
          <w:sz w:val="24"/>
          <w:szCs w:val="24"/>
        </w:rPr>
      </w:pPr>
      <w:r>
        <w:rPr>
          <w:bCs/>
          <w:color w:val="000000"/>
          <w:kern w:val="0"/>
          <w:sz w:val="24"/>
          <w:szCs w:val="24"/>
        </w:rPr>
        <w:t>5.11.1</w:t>
      </w:r>
      <w:r>
        <w:rPr>
          <w:bCs/>
          <w:color w:val="000000"/>
          <w:kern w:val="0"/>
          <w:sz w:val="24"/>
          <w:szCs w:val="24"/>
        </w:rPr>
        <w:t>报告期内，本基金投资的前十名证券的发行主体没有出现被监管部门立案调查</w:t>
      </w:r>
      <w:r>
        <w:rPr>
          <w:bCs/>
          <w:color w:val="000000"/>
          <w:kern w:val="0"/>
          <w:sz w:val="24"/>
          <w:szCs w:val="24"/>
        </w:rPr>
        <w:t>,</w:t>
      </w:r>
      <w:r>
        <w:rPr>
          <w:bCs/>
          <w:color w:val="000000"/>
          <w:kern w:val="0"/>
          <w:sz w:val="24"/>
          <w:szCs w:val="24"/>
        </w:rPr>
        <w:t>或在报告编制日前一年内受到公开谴责、处罚的情形。</w:t>
      </w:r>
    </w:p>
    <w:p w:rsidR="002C18FD" w:rsidRDefault="00494A7D">
      <w:pPr>
        <w:autoSpaceDE w:val="0"/>
        <w:autoSpaceDN w:val="0"/>
        <w:adjustRightInd w:val="0"/>
        <w:spacing w:before="29" w:line="288" w:lineRule="auto"/>
        <w:jc w:val="left"/>
        <w:rPr>
          <w:bCs/>
          <w:color w:val="000000"/>
          <w:kern w:val="0"/>
          <w:sz w:val="24"/>
          <w:szCs w:val="24"/>
        </w:rPr>
      </w:pPr>
      <w:r>
        <w:rPr>
          <w:bCs/>
          <w:color w:val="000000"/>
          <w:kern w:val="0"/>
          <w:sz w:val="24"/>
          <w:szCs w:val="24"/>
        </w:rPr>
        <w:t>5.11.2</w:t>
      </w:r>
      <w:r>
        <w:rPr>
          <w:bCs/>
          <w:color w:val="000000"/>
          <w:kern w:val="0"/>
          <w:sz w:val="24"/>
          <w:szCs w:val="24"/>
        </w:rPr>
        <w:t>基金投资的前十名股票中，没有投资于超出基金合同规定备选股票库之外的股票。</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5.11.3 </w:t>
      </w:r>
      <w:r>
        <w:rPr>
          <w:b/>
          <w:bCs/>
          <w:color w:val="000000"/>
          <w:kern w:val="0"/>
          <w:sz w:val="24"/>
          <w:szCs w:val="24"/>
        </w:rPr>
        <w:t>其他资产构成</w:t>
      </w:r>
    </w:p>
    <w:tbl>
      <w:tblPr>
        <w:tblStyle w:val="af8"/>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2C18FD">
        <w:trPr>
          <w:jc w:val="center"/>
        </w:trPr>
        <w:tc>
          <w:tcPr>
            <w:tcW w:w="1287"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序号</w:t>
            </w:r>
          </w:p>
        </w:tc>
        <w:tc>
          <w:tcPr>
            <w:tcW w:w="2573"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名称</w:t>
            </w:r>
          </w:p>
        </w:tc>
        <w:tc>
          <w:tcPr>
            <w:tcW w:w="5008" w:type="dxa"/>
            <w:vAlign w:val="center"/>
          </w:tcPr>
          <w:p w:rsidR="002C18FD" w:rsidRDefault="00494A7D">
            <w:pPr>
              <w:autoSpaceDE w:val="0"/>
              <w:autoSpaceDN w:val="0"/>
              <w:adjustRightInd w:val="0"/>
              <w:spacing w:before="29" w:line="288" w:lineRule="auto"/>
              <w:ind w:left="17"/>
              <w:jc w:val="center"/>
              <w:rPr>
                <w:color w:val="000000"/>
                <w:kern w:val="0"/>
                <w:sz w:val="24"/>
                <w:szCs w:val="24"/>
              </w:rPr>
            </w:pPr>
            <w:r>
              <w:rPr>
                <w:color w:val="000000"/>
                <w:kern w:val="0"/>
                <w:sz w:val="24"/>
                <w:szCs w:val="24"/>
              </w:rPr>
              <w:t>金额</w:t>
            </w:r>
            <w:r>
              <w:rPr>
                <w:color w:val="000000"/>
                <w:kern w:val="0"/>
                <w:sz w:val="24"/>
              </w:rPr>
              <w:t>（元）</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1</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存出保证金</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103,004.21</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2</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应收证券清算款</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3</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应收股利</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4</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应收利息</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37,725.65</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5</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应收申购款</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6</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其他应收款</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7</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待摊费用</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8</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其他</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w:t>
            </w:r>
          </w:p>
        </w:tc>
      </w:tr>
      <w:tr w:rsidR="002C18FD">
        <w:trPr>
          <w:jc w:val="center"/>
        </w:trPr>
        <w:tc>
          <w:tcPr>
            <w:tcW w:w="1287" w:type="dxa"/>
            <w:vAlign w:val="center"/>
          </w:tcPr>
          <w:p w:rsidR="002C18FD" w:rsidRDefault="00494A7D">
            <w:pPr>
              <w:autoSpaceDE w:val="0"/>
              <w:autoSpaceDN w:val="0"/>
              <w:adjustRightInd w:val="0"/>
              <w:spacing w:before="29" w:line="288" w:lineRule="auto"/>
              <w:ind w:left="15"/>
              <w:jc w:val="center"/>
              <w:rPr>
                <w:color w:val="000000"/>
                <w:kern w:val="0"/>
                <w:sz w:val="24"/>
                <w:szCs w:val="24"/>
              </w:rPr>
            </w:pPr>
            <w:r>
              <w:rPr>
                <w:color w:val="000000"/>
                <w:kern w:val="0"/>
                <w:sz w:val="24"/>
                <w:szCs w:val="24"/>
              </w:rPr>
              <w:t>9</w:t>
            </w:r>
          </w:p>
        </w:tc>
        <w:tc>
          <w:tcPr>
            <w:tcW w:w="2573" w:type="dxa"/>
            <w:vAlign w:val="center"/>
          </w:tcPr>
          <w:p w:rsidR="002C18FD" w:rsidRDefault="00494A7D">
            <w:pPr>
              <w:autoSpaceDE w:val="0"/>
              <w:autoSpaceDN w:val="0"/>
              <w:adjustRightInd w:val="0"/>
              <w:spacing w:before="29" w:line="288" w:lineRule="auto"/>
              <w:ind w:left="15"/>
              <w:jc w:val="left"/>
              <w:rPr>
                <w:color w:val="000000"/>
                <w:kern w:val="0"/>
                <w:sz w:val="24"/>
                <w:szCs w:val="24"/>
              </w:rPr>
            </w:pPr>
            <w:r>
              <w:rPr>
                <w:color w:val="000000"/>
                <w:kern w:val="0"/>
                <w:sz w:val="24"/>
                <w:szCs w:val="24"/>
              </w:rPr>
              <w:t>合计</w:t>
            </w:r>
          </w:p>
        </w:tc>
        <w:tc>
          <w:tcPr>
            <w:tcW w:w="5008" w:type="dxa"/>
            <w:vAlign w:val="center"/>
          </w:tcPr>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140,729.86</w:t>
            </w:r>
          </w:p>
        </w:tc>
      </w:tr>
    </w:tbl>
    <w:p w:rsidR="002C18FD" w:rsidRDefault="002C18FD">
      <w:pPr>
        <w:autoSpaceDE w:val="0"/>
        <w:autoSpaceDN w:val="0"/>
        <w:adjustRightInd w:val="0"/>
        <w:spacing w:before="29" w:line="288" w:lineRule="auto"/>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5.11.4 </w:t>
      </w:r>
      <w:r>
        <w:rPr>
          <w:b/>
          <w:bCs/>
          <w:color w:val="000000"/>
          <w:kern w:val="0"/>
          <w:sz w:val="24"/>
          <w:szCs w:val="24"/>
        </w:rPr>
        <w:t>报告期末持有的处于转股期的可转换债券明细</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本基金本报告期末未持有债券。</w:t>
      </w:r>
    </w:p>
    <w:p w:rsidR="002C18FD" w:rsidRDefault="002C18FD">
      <w:pPr>
        <w:autoSpaceDE w:val="0"/>
        <w:autoSpaceDN w:val="0"/>
        <w:adjustRightInd w:val="0"/>
        <w:spacing w:before="29" w:line="288" w:lineRule="auto"/>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5.11.5 </w:t>
      </w:r>
      <w:r>
        <w:rPr>
          <w:b/>
          <w:bCs/>
          <w:color w:val="000000"/>
          <w:kern w:val="0"/>
          <w:sz w:val="24"/>
          <w:szCs w:val="24"/>
        </w:rPr>
        <w:t>报告期末前十名股票中存在流通受限情况的说明</w:t>
      </w:r>
    </w:p>
    <w:p w:rsidR="002C18FD" w:rsidRDefault="00494A7D">
      <w:pPr>
        <w:autoSpaceDE w:val="0"/>
        <w:autoSpaceDN w:val="0"/>
        <w:adjustRightInd w:val="0"/>
        <w:spacing w:before="29" w:line="288" w:lineRule="auto"/>
        <w:jc w:val="left"/>
        <w:rPr>
          <w:color w:val="000000"/>
          <w:sz w:val="24"/>
          <w:szCs w:val="24"/>
        </w:rPr>
      </w:pPr>
      <w:r>
        <w:rPr>
          <w:color w:val="000000"/>
          <w:sz w:val="24"/>
          <w:szCs w:val="24"/>
        </w:rPr>
        <w:t>本基金本报告期末未持有股票。</w:t>
      </w:r>
    </w:p>
    <w:p w:rsidR="002C18FD" w:rsidRDefault="002C18FD">
      <w:pPr>
        <w:autoSpaceDE w:val="0"/>
        <w:autoSpaceDN w:val="0"/>
        <w:adjustRightInd w:val="0"/>
        <w:spacing w:before="29" w:line="288" w:lineRule="auto"/>
        <w:rPr>
          <w:color w:val="000000"/>
          <w:sz w:val="24"/>
          <w:szCs w:val="24"/>
        </w:rPr>
      </w:pPr>
    </w:p>
    <w:p w:rsidR="002C18FD" w:rsidRDefault="00494A7D">
      <w:pPr>
        <w:spacing w:before="29" w:line="288" w:lineRule="auto"/>
        <w:ind w:firstLineChars="200" w:firstLine="482"/>
        <w:jc w:val="center"/>
        <w:rPr>
          <w:b/>
          <w:color w:val="000000"/>
          <w:sz w:val="24"/>
          <w:szCs w:val="24"/>
        </w:rPr>
      </w:pPr>
      <w:r>
        <w:rPr>
          <w:b/>
          <w:color w:val="000000"/>
          <w:kern w:val="0"/>
          <w:sz w:val="24"/>
          <w:szCs w:val="24"/>
        </w:rPr>
        <w:t xml:space="preserve">§6  </w:t>
      </w:r>
      <w:r>
        <w:rPr>
          <w:b/>
          <w:color w:val="000000"/>
          <w:kern w:val="0"/>
          <w:sz w:val="24"/>
          <w:szCs w:val="24"/>
        </w:rPr>
        <w:t>开放式基金份额变动</w:t>
      </w:r>
    </w:p>
    <w:p w:rsidR="002C18FD" w:rsidRDefault="00494A7D">
      <w:pPr>
        <w:autoSpaceDE w:val="0"/>
        <w:autoSpaceDN w:val="0"/>
        <w:adjustRightInd w:val="0"/>
        <w:spacing w:before="29" w:line="288" w:lineRule="auto"/>
        <w:ind w:left="15"/>
        <w:jc w:val="right"/>
        <w:rPr>
          <w:color w:val="000000"/>
          <w:kern w:val="0"/>
          <w:sz w:val="24"/>
          <w:szCs w:val="24"/>
        </w:rPr>
      </w:pPr>
      <w:r>
        <w:rPr>
          <w:color w:val="000000"/>
          <w:kern w:val="0"/>
          <w:sz w:val="24"/>
          <w:szCs w:val="24"/>
        </w:rPr>
        <w:t>单位：份</w:t>
      </w:r>
    </w:p>
    <w:tbl>
      <w:tblPr>
        <w:tblW w:w="8868" w:type="dxa"/>
        <w:jc w:val="center"/>
        <w:tblLayout w:type="fixed"/>
        <w:tblCellMar>
          <w:top w:w="-1" w:type="dxa"/>
          <w:bottom w:w="-1" w:type="dxa"/>
        </w:tblCellMar>
        <w:tblLook w:val="04A0"/>
      </w:tblPr>
      <w:tblGrid>
        <w:gridCol w:w="4734"/>
        <w:gridCol w:w="4134"/>
      </w:tblGrid>
      <w:tr w:rsidR="002C18FD">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本报告期期初基金份额总额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right"/>
              <w:rPr>
                <w:color w:val="000000"/>
                <w:sz w:val="24"/>
                <w:szCs w:val="24"/>
              </w:rPr>
            </w:pPr>
            <w:r>
              <w:rPr>
                <w:color w:val="000000"/>
                <w:sz w:val="24"/>
                <w:szCs w:val="24"/>
              </w:rPr>
              <w:t>200,062,274.03</w:t>
            </w:r>
          </w:p>
        </w:tc>
      </w:tr>
      <w:tr w:rsidR="002C18FD">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本报告期基金总申购份额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right"/>
              <w:rPr>
                <w:color w:val="000000"/>
                <w:sz w:val="24"/>
                <w:szCs w:val="24"/>
              </w:rPr>
            </w:pPr>
            <w:r>
              <w:rPr>
                <w:color w:val="000000"/>
                <w:sz w:val="24"/>
                <w:szCs w:val="24"/>
              </w:rPr>
              <w:t>-</w:t>
            </w:r>
          </w:p>
        </w:tc>
      </w:tr>
      <w:tr w:rsidR="002C18FD">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left"/>
              <w:rPr>
                <w:color w:val="000000"/>
                <w:kern w:val="0"/>
                <w:sz w:val="24"/>
                <w:szCs w:val="24"/>
              </w:rPr>
            </w:pPr>
            <w:r>
              <w:rPr>
                <w:color w:val="000000"/>
                <w:kern w:val="0"/>
                <w:sz w:val="24"/>
                <w:szCs w:val="24"/>
              </w:rPr>
              <w:t>减：本报告期基金总赎回份额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right"/>
              <w:rPr>
                <w:color w:val="000000"/>
                <w:sz w:val="24"/>
                <w:szCs w:val="24"/>
              </w:rPr>
            </w:pPr>
            <w:r>
              <w:rPr>
                <w:color w:val="000000"/>
                <w:sz w:val="24"/>
                <w:szCs w:val="24"/>
              </w:rPr>
              <w:t>-</w:t>
            </w:r>
          </w:p>
        </w:tc>
      </w:tr>
      <w:tr w:rsidR="002C18FD">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本报告期基金拆分变动份额</w:t>
            </w:r>
          </w:p>
        </w:tc>
        <w:tc>
          <w:tcPr>
            <w:tcW w:w="41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right"/>
              <w:rPr>
                <w:color w:val="000000"/>
                <w:sz w:val="24"/>
                <w:szCs w:val="24"/>
              </w:rPr>
            </w:pPr>
            <w:r>
              <w:rPr>
                <w:color w:val="000000"/>
                <w:sz w:val="24"/>
                <w:szCs w:val="24"/>
              </w:rPr>
              <w:t>-</w:t>
            </w:r>
          </w:p>
        </w:tc>
      </w:tr>
      <w:tr w:rsidR="002C18FD">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left"/>
              <w:rPr>
                <w:color w:val="000000"/>
                <w:kern w:val="0"/>
                <w:sz w:val="24"/>
                <w:szCs w:val="24"/>
              </w:rPr>
            </w:pPr>
            <w:r>
              <w:rPr>
                <w:color w:val="000000"/>
                <w:kern w:val="0"/>
                <w:sz w:val="24"/>
                <w:szCs w:val="24"/>
              </w:rPr>
              <w:t>本报告期期末基金份额总额</w:t>
            </w:r>
          </w:p>
        </w:tc>
        <w:tc>
          <w:tcPr>
            <w:tcW w:w="4134" w:type="dxa"/>
            <w:tcBorders>
              <w:top w:val="single" w:sz="8" w:space="0" w:color="000000"/>
              <w:left w:val="single" w:sz="8" w:space="0" w:color="000000"/>
              <w:bottom w:val="single" w:sz="8" w:space="0" w:color="000000"/>
              <w:right w:val="single" w:sz="8" w:space="0" w:color="000000"/>
            </w:tcBorders>
            <w:vAlign w:val="center"/>
          </w:tcPr>
          <w:p w:rsidR="002C18FD" w:rsidRDefault="00494A7D">
            <w:pPr>
              <w:autoSpaceDE w:val="0"/>
              <w:autoSpaceDN w:val="0"/>
              <w:adjustRightInd w:val="0"/>
              <w:spacing w:before="29" w:line="288" w:lineRule="auto"/>
              <w:ind w:left="17"/>
              <w:jc w:val="right"/>
              <w:rPr>
                <w:color w:val="000000"/>
                <w:sz w:val="24"/>
                <w:szCs w:val="24"/>
              </w:rPr>
            </w:pPr>
            <w:r>
              <w:rPr>
                <w:color w:val="000000"/>
                <w:sz w:val="24"/>
                <w:szCs w:val="24"/>
              </w:rPr>
              <w:t>200,062,274.03</w:t>
            </w:r>
          </w:p>
        </w:tc>
      </w:tr>
    </w:tbl>
    <w:p w:rsidR="002C18FD" w:rsidRDefault="00494A7D">
      <w:pPr>
        <w:autoSpaceDE w:val="0"/>
        <w:autoSpaceDN w:val="0"/>
        <w:adjustRightInd w:val="0"/>
        <w:spacing w:before="29" w:line="288" w:lineRule="auto"/>
        <w:jc w:val="left"/>
        <w:rPr>
          <w:color w:val="000000"/>
          <w:sz w:val="24"/>
          <w:szCs w:val="24"/>
        </w:rPr>
      </w:pPr>
      <w:r>
        <w:rPr>
          <w:color w:val="000000"/>
          <w:sz w:val="24"/>
          <w:szCs w:val="24"/>
        </w:rPr>
        <w:t>注：海富通欣盛定期开放混合型证券投资基金报告期期间为</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01</w:t>
      </w:r>
      <w:r>
        <w:rPr>
          <w:color w:val="000000"/>
          <w:sz w:val="24"/>
          <w:szCs w:val="24"/>
        </w:rPr>
        <w:t>日至</w:t>
      </w:r>
      <w:r>
        <w:rPr>
          <w:color w:val="000000"/>
          <w:sz w:val="24"/>
          <w:szCs w:val="24"/>
        </w:rPr>
        <w:t>2017</w:t>
      </w:r>
      <w:r>
        <w:rPr>
          <w:color w:val="000000"/>
          <w:sz w:val="24"/>
          <w:szCs w:val="24"/>
        </w:rPr>
        <w:t>年</w:t>
      </w:r>
      <w:r>
        <w:rPr>
          <w:color w:val="000000"/>
          <w:sz w:val="24"/>
          <w:szCs w:val="24"/>
        </w:rPr>
        <w:t>11</w:t>
      </w:r>
      <w:r>
        <w:rPr>
          <w:color w:val="000000"/>
          <w:sz w:val="24"/>
          <w:szCs w:val="24"/>
        </w:rPr>
        <w:t>月</w:t>
      </w:r>
      <w:r>
        <w:rPr>
          <w:color w:val="000000"/>
          <w:sz w:val="24"/>
          <w:szCs w:val="24"/>
        </w:rPr>
        <w:t>5</w:t>
      </w:r>
      <w:r>
        <w:rPr>
          <w:color w:val="000000"/>
          <w:sz w:val="24"/>
          <w:szCs w:val="24"/>
        </w:rPr>
        <w:t>日。</w:t>
      </w:r>
    </w:p>
    <w:p w:rsidR="002C18FD" w:rsidRDefault="002C18FD">
      <w:pPr>
        <w:autoSpaceDE w:val="0"/>
        <w:autoSpaceDN w:val="0"/>
        <w:adjustRightInd w:val="0"/>
        <w:spacing w:before="29" w:line="288" w:lineRule="auto"/>
        <w:jc w:val="left"/>
        <w:rPr>
          <w:color w:val="000000"/>
          <w:sz w:val="24"/>
          <w:szCs w:val="24"/>
        </w:rPr>
      </w:pPr>
    </w:p>
    <w:p w:rsidR="002C18FD" w:rsidRDefault="00494A7D" w:rsidP="00494A7D">
      <w:pPr>
        <w:pStyle w:val="1"/>
        <w:tabs>
          <w:tab w:val="center" w:pos="4156"/>
          <w:tab w:val="right" w:pos="8312"/>
        </w:tabs>
        <w:spacing w:beforeLines="100" w:afterLines="100" w:line="288" w:lineRule="auto"/>
        <w:jc w:val="center"/>
        <w:rPr>
          <w:sz w:val="24"/>
          <w:szCs w:val="24"/>
        </w:rPr>
      </w:pPr>
      <w:r>
        <w:rPr>
          <w:color w:val="000000"/>
          <w:kern w:val="0"/>
          <w:sz w:val="24"/>
          <w:szCs w:val="24"/>
        </w:rPr>
        <w:t>§</w:t>
      </w:r>
      <w:r>
        <w:rPr>
          <w:rFonts w:eastAsiaTheme="minorEastAsia"/>
          <w:color w:val="000000"/>
          <w:kern w:val="0"/>
          <w:sz w:val="24"/>
          <w:szCs w:val="24"/>
        </w:rPr>
        <w:t xml:space="preserve">7  </w:t>
      </w:r>
      <w:r>
        <w:rPr>
          <w:sz w:val="24"/>
          <w:szCs w:val="24"/>
        </w:rPr>
        <w:t>基金管理人运用固有资金投资本基金情况</w:t>
      </w:r>
    </w:p>
    <w:p w:rsidR="002C18FD" w:rsidRDefault="00494A7D">
      <w:pPr>
        <w:spacing w:line="288" w:lineRule="auto"/>
        <w:jc w:val="left"/>
        <w:rPr>
          <w:sz w:val="24"/>
          <w:szCs w:val="24"/>
        </w:rPr>
      </w:pPr>
      <w:r>
        <w:rPr>
          <w:b/>
          <w:sz w:val="24"/>
        </w:rPr>
        <w:t xml:space="preserve">7.1 </w:t>
      </w:r>
      <w:r>
        <w:rPr>
          <w:b/>
          <w:sz w:val="24"/>
        </w:rPr>
        <w:t>基金管理人持有本基金份额变动情况</w:t>
      </w:r>
    </w:p>
    <w:p w:rsidR="002C18FD" w:rsidRDefault="00494A7D">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本基金本报告期基金管理人未持有本基金。</w:t>
      </w:r>
    </w:p>
    <w:p w:rsidR="002C18FD" w:rsidRDefault="002C18FD">
      <w:pPr>
        <w:autoSpaceDE w:val="0"/>
        <w:autoSpaceDN w:val="0"/>
        <w:adjustRightInd w:val="0"/>
        <w:spacing w:before="29" w:line="288" w:lineRule="auto"/>
        <w:jc w:val="left"/>
        <w:rPr>
          <w:rFonts w:eastAsiaTheme="minorEastAsia"/>
          <w:color w:val="000000"/>
          <w:sz w:val="24"/>
        </w:rPr>
      </w:pPr>
    </w:p>
    <w:p w:rsidR="002C18FD" w:rsidRDefault="00494A7D">
      <w:pPr>
        <w:spacing w:line="288" w:lineRule="auto"/>
        <w:jc w:val="left"/>
        <w:rPr>
          <w:b/>
          <w:sz w:val="24"/>
        </w:rPr>
      </w:pPr>
      <w:r>
        <w:rPr>
          <w:b/>
          <w:sz w:val="24"/>
        </w:rPr>
        <w:t>7.2</w:t>
      </w:r>
      <w:r>
        <w:rPr>
          <w:rFonts w:hint="eastAsia"/>
          <w:b/>
          <w:sz w:val="24"/>
        </w:rPr>
        <w:t xml:space="preserve"> </w:t>
      </w:r>
      <w:r>
        <w:rPr>
          <w:rFonts w:hint="eastAsia"/>
          <w:b/>
          <w:sz w:val="24"/>
        </w:rPr>
        <w:t>基金管理人运用固有资金投资本基金交易明细</w:t>
      </w:r>
    </w:p>
    <w:p w:rsidR="002C18FD" w:rsidRDefault="00494A7D">
      <w:pPr>
        <w:autoSpaceDE w:val="0"/>
        <w:autoSpaceDN w:val="0"/>
        <w:adjustRightInd w:val="0"/>
        <w:spacing w:before="29" w:line="288" w:lineRule="auto"/>
        <w:jc w:val="left"/>
        <w:rPr>
          <w:color w:val="000000"/>
          <w:sz w:val="24"/>
        </w:rPr>
      </w:pPr>
      <w:r>
        <w:rPr>
          <w:color w:val="000000"/>
          <w:sz w:val="24"/>
        </w:rPr>
        <w:t>本基金本报告期基金管理人未运用固有资金投资本基金。</w:t>
      </w:r>
    </w:p>
    <w:p w:rsidR="002C18FD" w:rsidRDefault="002C18FD">
      <w:pPr>
        <w:autoSpaceDE w:val="0"/>
        <w:autoSpaceDN w:val="0"/>
        <w:adjustRightInd w:val="0"/>
        <w:spacing w:before="29" w:line="288" w:lineRule="auto"/>
        <w:jc w:val="left"/>
        <w:rPr>
          <w:color w:val="000000"/>
          <w:sz w:val="24"/>
        </w:rPr>
      </w:pPr>
    </w:p>
    <w:p w:rsidR="002C18FD" w:rsidRDefault="00494A7D" w:rsidP="00494A7D">
      <w:pPr>
        <w:pStyle w:val="1"/>
        <w:spacing w:beforeLines="100" w:afterLines="100" w:line="288" w:lineRule="auto"/>
        <w:jc w:val="center"/>
        <w:rPr>
          <w:color w:val="000000"/>
          <w:kern w:val="0"/>
          <w:sz w:val="24"/>
          <w:szCs w:val="24"/>
        </w:rPr>
      </w:pPr>
      <w:r>
        <w:rPr>
          <w:color w:val="000000"/>
          <w:kern w:val="0"/>
          <w:sz w:val="24"/>
          <w:szCs w:val="24"/>
        </w:rPr>
        <w:t xml:space="preserve">§8 </w:t>
      </w:r>
      <w:r>
        <w:rPr>
          <w:color w:val="000000"/>
          <w:kern w:val="0"/>
          <w:sz w:val="24"/>
          <w:szCs w:val="24"/>
        </w:rPr>
        <w:t>影响投资者决策的其他重要信息</w:t>
      </w:r>
    </w:p>
    <w:p w:rsidR="002C18FD" w:rsidRDefault="00494A7D">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8.</w:t>
      </w:r>
      <w:r>
        <w:rPr>
          <w:rFonts w:ascii="宋体" w:hAnsi="宋体" w:hint="eastAsia"/>
          <w:b/>
          <w:bCs/>
          <w:color w:val="000000"/>
          <w:kern w:val="0"/>
          <w:sz w:val="24"/>
          <w:szCs w:val="24"/>
        </w:rPr>
        <w:t xml:space="preserve">1 </w:t>
      </w:r>
      <w:r>
        <w:rPr>
          <w:rFonts w:ascii="宋体" w:hAnsi="宋体" w:hint="eastAsia"/>
          <w:b/>
          <w:bCs/>
          <w:color w:val="000000"/>
          <w:kern w:val="0"/>
          <w:sz w:val="24"/>
          <w:szCs w:val="24"/>
        </w:rPr>
        <w:t>报告期内单一投资者持有基金份额比例达到或超过</w:t>
      </w:r>
      <w:r>
        <w:rPr>
          <w:rFonts w:ascii="宋体" w:hAnsi="宋体" w:hint="eastAsia"/>
          <w:b/>
          <w:bCs/>
          <w:color w:val="000000"/>
          <w:kern w:val="0"/>
          <w:sz w:val="24"/>
          <w:szCs w:val="24"/>
        </w:rPr>
        <w:t>20%</w:t>
      </w:r>
      <w:r>
        <w:rPr>
          <w:rFonts w:ascii="宋体" w:hAnsi="宋体" w:hint="eastAsia"/>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2C18FD">
        <w:tc>
          <w:tcPr>
            <w:tcW w:w="993" w:type="dxa"/>
            <w:vMerge w:val="restart"/>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投资者类别</w:t>
            </w:r>
          </w:p>
        </w:tc>
        <w:tc>
          <w:tcPr>
            <w:tcW w:w="5670" w:type="dxa"/>
            <w:gridSpan w:val="5"/>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报告期内持有基金份额变化情况</w:t>
            </w:r>
          </w:p>
        </w:tc>
        <w:tc>
          <w:tcPr>
            <w:tcW w:w="2549" w:type="dxa"/>
            <w:gridSpan w:val="2"/>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报告期末持有基金情况</w:t>
            </w:r>
          </w:p>
        </w:tc>
      </w:tr>
      <w:tr w:rsidR="002C18FD">
        <w:tc>
          <w:tcPr>
            <w:tcW w:w="993" w:type="dxa"/>
            <w:vMerge/>
            <w:vAlign w:val="center"/>
          </w:tcPr>
          <w:p w:rsidR="002C18FD" w:rsidRDefault="002C18FD">
            <w:pPr>
              <w:autoSpaceDE w:val="0"/>
              <w:autoSpaceDN w:val="0"/>
              <w:adjustRightInd w:val="0"/>
              <w:jc w:val="center"/>
              <w:rPr>
                <w:rFonts w:ascii="宋体" w:hAnsi="宋体"/>
                <w:b/>
                <w:bCs/>
                <w:color w:val="000000"/>
                <w:kern w:val="0"/>
                <w:sz w:val="24"/>
                <w:szCs w:val="24"/>
              </w:rPr>
            </w:pPr>
          </w:p>
        </w:tc>
        <w:tc>
          <w:tcPr>
            <w:tcW w:w="992" w:type="dxa"/>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序号</w:t>
            </w:r>
          </w:p>
        </w:tc>
        <w:tc>
          <w:tcPr>
            <w:tcW w:w="1843" w:type="dxa"/>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持有基金份额比例达到或者超过</w:t>
            </w:r>
            <w:r>
              <w:rPr>
                <w:rFonts w:ascii="宋体" w:hAnsi="宋体" w:hint="eastAsia"/>
                <w:color w:val="000000"/>
                <w:kern w:val="0"/>
                <w:sz w:val="24"/>
                <w:szCs w:val="24"/>
              </w:rPr>
              <w:t>20%</w:t>
            </w:r>
            <w:r>
              <w:rPr>
                <w:rFonts w:ascii="宋体" w:hAnsi="宋体" w:hint="eastAsia"/>
                <w:color w:val="000000"/>
                <w:kern w:val="0"/>
                <w:sz w:val="24"/>
                <w:szCs w:val="24"/>
              </w:rPr>
              <w:t>的时间区间</w:t>
            </w:r>
          </w:p>
        </w:tc>
        <w:tc>
          <w:tcPr>
            <w:tcW w:w="851" w:type="dxa"/>
            <w:vAlign w:val="center"/>
          </w:tcPr>
          <w:p w:rsidR="002C18FD" w:rsidRDefault="00494A7D">
            <w:pPr>
              <w:widowControl/>
              <w:jc w:val="center"/>
              <w:rPr>
                <w:rFonts w:ascii="宋体" w:hAnsi="宋体"/>
                <w:b/>
                <w:bCs/>
                <w:color w:val="000000"/>
                <w:kern w:val="0"/>
                <w:sz w:val="24"/>
                <w:szCs w:val="24"/>
              </w:rPr>
            </w:pPr>
            <w:r>
              <w:rPr>
                <w:rFonts w:ascii="宋体" w:hAnsi="宋体" w:hint="eastAsia"/>
                <w:color w:val="000000"/>
                <w:kern w:val="0"/>
                <w:sz w:val="24"/>
                <w:szCs w:val="24"/>
              </w:rPr>
              <w:t>期初份额</w:t>
            </w:r>
          </w:p>
        </w:tc>
        <w:tc>
          <w:tcPr>
            <w:tcW w:w="850" w:type="dxa"/>
            <w:vAlign w:val="center"/>
          </w:tcPr>
          <w:p w:rsidR="002C18FD" w:rsidRDefault="00494A7D">
            <w:pPr>
              <w:widowControl/>
              <w:jc w:val="center"/>
              <w:rPr>
                <w:rFonts w:ascii="宋体" w:hAnsi="宋体"/>
                <w:b/>
                <w:bCs/>
                <w:color w:val="000000"/>
                <w:kern w:val="0"/>
                <w:sz w:val="24"/>
                <w:szCs w:val="24"/>
              </w:rPr>
            </w:pPr>
            <w:r>
              <w:rPr>
                <w:rFonts w:ascii="宋体" w:hAnsi="宋体" w:hint="eastAsia"/>
                <w:color w:val="000000"/>
                <w:kern w:val="0"/>
                <w:sz w:val="24"/>
                <w:szCs w:val="24"/>
              </w:rPr>
              <w:t>申购份额</w:t>
            </w:r>
          </w:p>
        </w:tc>
        <w:tc>
          <w:tcPr>
            <w:tcW w:w="1134" w:type="dxa"/>
            <w:vAlign w:val="center"/>
          </w:tcPr>
          <w:p w:rsidR="002C18FD" w:rsidRDefault="00494A7D">
            <w:pPr>
              <w:widowControl/>
              <w:jc w:val="center"/>
              <w:rPr>
                <w:rFonts w:ascii="宋体" w:hAnsi="宋体"/>
                <w:b/>
                <w:bCs/>
                <w:color w:val="000000"/>
                <w:kern w:val="0"/>
                <w:sz w:val="24"/>
                <w:szCs w:val="24"/>
              </w:rPr>
            </w:pPr>
            <w:r>
              <w:rPr>
                <w:rFonts w:ascii="宋体" w:hAnsi="宋体" w:hint="eastAsia"/>
                <w:color w:val="000000"/>
                <w:kern w:val="0"/>
                <w:sz w:val="24"/>
                <w:szCs w:val="24"/>
              </w:rPr>
              <w:t>赎回份额</w:t>
            </w:r>
          </w:p>
        </w:tc>
        <w:tc>
          <w:tcPr>
            <w:tcW w:w="1419" w:type="dxa"/>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持有份额</w:t>
            </w:r>
          </w:p>
        </w:tc>
        <w:tc>
          <w:tcPr>
            <w:tcW w:w="1130" w:type="dxa"/>
            <w:vAlign w:val="center"/>
          </w:tcPr>
          <w:p w:rsidR="002C18FD" w:rsidRDefault="00494A7D">
            <w:pPr>
              <w:autoSpaceDE w:val="0"/>
              <w:autoSpaceDN w:val="0"/>
              <w:adjustRightInd w:val="0"/>
              <w:jc w:val="center"/>
              <w:rPr>
                <w:rFonts w:ascii="宋体" w:hAnsi="宋体"/>
                <w:b/>
                <w:bCs/>
                <w:color w:val="000000"/>
                <w:kern w:val="0"/>
                <w:sz w:val="24"/>
                <w:szCs w:val="24"/>
              </w:rPr>
            </w:pPr>
            <w:r>
              <w:rPr>
                <w:rFonts w:ascii="宋体" w:hAnsi="宋体" w:hint="eastAsia"/>
                <w:color w:val="000000"/>
                <w:kern w:val="0"/>
                <w:sz w:val="24"/>
                <w:szCs w:val="24"/>
              </w:rPr>
              <w:t>份额占比</w:t>
            </w:r>
          </w:p>
        </w:tc>
      </w:tr>
      <w:tr w:rsidR="002C18FD">
        <w:tc>
          <w:tcPr>
            <w:tcW w:w="993" w:type="dxa"/>
            <w:vMerge w:val="restart"/>
          </w:tcPr>
          <w:p w:rsidR="002C18FD" w:rsidRDefault="002C18FD"/>
          <w:p w:rsidR="002C18FD" w:rsidRDefault="00494A7D">
            <w:r>
              <w:rPr>
                <w:rFonts w:ascii="宋体" w:hAnsi="宋体" w:hint="eastAsia"/>
                <w:bCs/>
                <w:color w:val="000000"/>
                <w:kern w:val="0"/>
                <w:sz w:val="24"/>
                <w:szCs w:val="24"/>
              </w:rPr>
              <w:t>机构</w:t>
            </w:r>
          </w:p>
        </w:tc>
        <w:tc>
          <w:tcPr>
            <w:tcW w:w="992" w:type="dxa"/>
            <w:vAlign w:val="center"/>
          </w:tcPr>
          <w:p w:rsidR="002C18FD" w:rsidRDefault="00494A7D">
            <w:pPr>
              <w:jc w:val="center"/>
            </w:pPr>
            <w:r>
              <w:rPr>
                <w:rFonts w:ascii="宋体" w:hAnsi="宋体"/>
                <w:color w:val="000000"/>
                <w:kern w:val="0"/>
                <w:sz w:val="24"/>
                <w:szCs w:val="24"/>
              </w:rPr>
              <w:t>1</w:t>
            </w:r>
          </w:p>
        </w:tc>
        <w:tc>
          <w:tcPr>
            <w:tcW w:w="1843" w:type="dxa"/>
            <w:vAlign w:val="center"/>
          </w:tcPr>
          <w:p w:rsidR="002C18FD" w:rsidRDefault="00494A7D">
            <w:pPr>
              <w:jc w:val="center"/>
            </w:pPr>
            <w:r>
              <w:rPr>
                <w:rFonts w:ascii="宋体" w:hAnsi="宋体"/>
                <w:color w:val="000000"/>
                <w:kern w:val="0"/>
                <w:sz w:val="24"/>
                <w:szCs w:val="24"/>
              </w:rPr>
              <w:t>2017/10/1-2017/11/5</w:t>
            </w:r>
          </w:p>
        </w:tc>
        <w:tc>
          <w:tcPr>
            <w:tcW w:w="851" w:type="dxa"/>
            <w:vAlign w:val="center"/>
          </w:tcPr>
          <w:p w:rsidR="002C18FD" w:rsidRDefault="00494A7D">
            <w:pPr>
              <w:jc w:val="center"/>
            </w:pPr>
            <w:r>
              <w:rPr>
                <w:rFonts w:ascii="宋体" w:hAnsi="宋体"/>
                <w:color w:val="000000"/>
                <w:kern w:val="0"/>
                <w:sz w:val="24"/>
                <w:szCs w:val="24"/>
              </w:rPr>
              <w:t>200,035,000.00</w:t>
            </w:r>
          </w:p>
        </w:tc>
        <w:tc>
          <w:tcPr>
            <w:tcW w:w="850" w:type="dxa"/>
            <w:vAlign w:val="center"/>
          </w:tcPr>
          <w:p w:rsidR="002C18FD" w:rsidRDefault="00494A7D">
            <w:pPr>
              <w:jc w:val="center"/>
            </w:pPr>
            <w:r>
              <w:rPr>
                <w:rFonts w:ascii="宋体" w:hAnsi="宋体"/>
                <w:color w:val="000000"/>
                <w:kern w:val="0"/>
                <w:sz w:val="24"/>
                <w:szCs w:val="24"/>
              </w:rPr>
              <w:t>-</w:t>
            </w:r>
          </w:p>
        </w:tc>
        <w:tc>
          <w:tcPr>
            <w:tcW w:w="1134" w:type="dxa"/>
            <w:vAlign w:val="center"/>
          </w:tcPr>
          <w:p w:rsidR="002C18FD" w:rsidRDefault="00494A7D">
            <w:pPr>
              <w:jc w:val="center"/>
            </w:pPr>
            <w:r>
              <w:rPr>
                <w:rFonts w:ascii="宋体" w:hAnsi="宋体"/>
                <w:color w:val="000000"/>
                <w:kern w:val="0"/>
                <w:sz w:val="24"/>
                <w:szCs w:val="24"/>
              </w:rPr>
              <w:t>-</w:t>
            </w:r>
          </w:p>
        </w:tc>
        <w:tc>
          <w:tcPr>
            <w:tcW w:w="1419" w:type="dxa"/>
            <w:vAlign w:val="center"/>
          </w:tcPr>
          <w:p w:rsidR="002C18FD" w:rsidRDefault="00494A7D">
            <w:pPr>
              <w:jc w:val="center"/>
            </w:pPr>
            <w:r>
              <w:rPr>
                <w:rFonts w:ascii="宋体" w:hAnsi="宋体"/>
                <w:color w:val="000000"/>
                <w:kern w:val="0"/>
                <w:sz w:val="24"/>
                <w:szCs w:val="24"/>
              </w:rPr>
              <w:t>200,035,000.00</w:t>
            </w:r>
          </w:p>
        </w:tc>
        <w:tc>
          <w:tcPr>
            <w:tcW w:w="1130" w:type="dxa"/>
            <w:vAlign w:val="center"/>
          </w:tcPr>
          <w:p w:rsidR="002C18FD" w:rsidRDefault="00494A7D">
            <w:pPr>
              <w:jc w:val="center"/>
            </w:pPr>
            <w:r>
              <w:rPr>
                <w:rFonts w:ascii="宋体" w:hAnsi="宋体"/>
                <w:color w:val="000000"/>
                <w:kern w:val="0"/>
                <w:sz w:val="24"/>
                <w:szCs w:val="24"/>
              </w:rPr>
              <w:t>99.99%</w:t>
            </w:r>
          </w:p>
        </w:tc>
      </w:tr>
      <w:tr w:rsidR="002C18FD">
        <w:tc>
          <w:tcPr>
            <w:tcW w:w="9212" w:type="dxa"/>
            <w:gridSpan w:val="8"/>
            <w:vAlign w:val="center"/>
          </w:tcPr>
          <w:p w:rsidR="002C18FD" w:rsidRDefault="00494A7D">
            <w:pPr>
              <w:autoSpaceDE w:val="0"/>
              <w:autoSpaceDN w:val="0"/>
              <w:adjustRightInd w:val="0"/>
              <w:jc w:val="center"/>
              <w:rPr>
                <w:rFonts w:ascii="宋体" w:hAnsi="宋体"/>
                <w:kern w:val="0"/>
                <w:sz w:val="24"/>
                <w:szCs w:val="24"/>
              </w:rPr>
            </w:pPr>
            <w:r>
              <w:rPr>
                <w:rFonts w:ascii="宋体" w:hAnsi="宋体"/>
                <w:color w:val="000000"/>
                <w:kern w:val="0"/>
                <w:sz w:val="24"/>
                <w:szCs w:val="24"/>
              </w:rPr>
              <w:t>产品特有风险</w:t>
            </w:r>
          </w:p>
        </w:tc>
      </w:tr>
      <w:tr w:rsidR="002C18FD">
        <w:tc>
          <w:tcPr>
            <w:tcW w:w="9212" w:type="dxa"/>
            <w:gridSpan w:val="8"/>
            <w:vAlign w:val="center"/>
          </w:tcPr>
          <w:p w:rsidR="002C18FD" w:rsidRDefault="00494A7D">
            <w:pPr>
              <w:autoSpaceDE w:val="0"/>
              <w:autoSpaceDN w:val="0"/>
              <w:adjustRightInd w:val="0"/>
              <w:jc w:val="left"/>
              <w:rPr>
                <w:rFonts w:ascii="宋体" w:hAnsi="宋体"/>
                <w:kern w:val="0"/>
                <w:sz w:val="24"/>
                <w:szCs w:val="24"/>
              </w:rPr>
            </w:pPr>
            <w:r>
              <w:rPr>
                <w:rFonts w:ascii="宋体" w:hAnsi="宋体" w:hint="eastAsia"/>
                <w:kern w:val="0"/>
                <w:sz w:val="24"/>
                <w:szCs w:val="24"/>
              </w:rPr>
              <w:t>报告期内，本基金存在单一投资者持有份额比例达到或超过</w:t>
            </w:r>
            <w:r>
              <w:rPr>
                <w:rFonts w:ascii="宋体" w:hAnsi="宋体" w:hint="eastAsia"/>
                <w:kern w:val="0"/>
                <w:sz w:val="24"/>
                <w:szCs w:val="24"/>
              </w:rPr>
              <w:t>20%</w:t>
            </w:r>
            <w:r>
              <w:rPr>
                <w:rFonts w:ascii="宋体" w:hAnsi="宋体" w:hint="eastAsia"/>
                <w:kern w:val="0"/>
                <w:sz w:val="24"/>
                <w:szCs w:val="24"/>
              </w:rPr>
              <w:t>的情况，由此可能导致的特有风险主要包括：</w:t>
            </w:r>
          </w:p>
          <w:p w:rsidR="002C18FD" w:rsidRDefault="00494A7D">
            <w:pPr>
              <w:autoSpaceDE w:val="0"/>
              <w:autoSpaceDN w:val="0"/>
              <w:adjustRightInd w:val="0"/>
              <w:jc w:val="left"/>
              <w:rPr>
                <w:rFonts w:ascii="宋体" w:hAnsi="宋体"/>
                <w:kern w:val="0"/>
                <w:sz w:val="24"/>
                <w:szCs w:val="24"/>
              </w:rPr>
            </w:pPr>
            <w:r>
              <w:rPr>
                <w:rFonts w:ascii="宋体" w:hAnsi="宋体" w:hint="eastAsia"/>
                <w:kern w:val="0"/>
                <w:sz w:val="24"/>
                <w:szCs w:val="24"/>
              </w:rPr>
              <w:t>1</w:t>
            </w:r>
            <w:r>
              <w:rPr>
                <w:rFonts w:ascii="宋体" w:hAnsi="宋体" w:hint="eastAsia"/>
                <w:kern w:val="0"/>
                <w:sz w:val="24"/>
                <w:szCs w:val="24"/>
              </w:rPr>
              <w:t>、当基金份额持有人占比过于集中时，可能会因某单一基金份额持有人大额赎回而引发基金净值剧烈波动的风险；</w:t>
            </w:r>
          </w:p>
          <w:p w:rsidR="002C18FD" w:rsidRDefault="00494A7D">
            <w:pPr>
              <w:autoSpaceDE w:val="0"/>
              <w:autoSpaceDN w:val="0"/>
              <w:adjustRightInd w:val="0"/>
              <w:jc w:val="lef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、若某单一基金份额持有人巨额赎回有可能引发基金的流动性风险，基金管理人可能无法及时变现基金资产以应对基金份额持有人的赎回申请，基金份额持有人可能无法及时赎回持有的全部基金份额。</w:t>
            </w:r>
          </w:p>
          <w:p w:rsidR="002C18FD" w:rsidRDefault="00494A7D">
            <w:pPr>
              <w:autoSpaceDE w:val="0"/>
              <w:autoSpaceDN w:val="0"/>
              <w:adjustRightInd w:val="0"/>
              <w:jc w:val="lef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、若个别投资者大额赎回后，可能会导致基金资产净值连续出现六十个工作日低于</w:t>
            </w:r>
            <w:r>
              <w:rPr>
                <w:rFonts w:ascii="宋体" w:hAnsi="宋体" w:hint="eastAsia"/>
                <w:kern w:val="0"/>
                <w:sz w:val="24"/>
                <w:szCs w:val="24"/>
              </w:rPr>
              <w:t>5000</w:t>
            </w:r>
            <w:r>
              <w:rPr>
                <w:rFonts w:ascii="宋体" w:hAnsi="宋体" w:hint="eastAsia"/>
                <w:kern w:val="0"/>
                <w:sz w:val="24"/>
                <w:szCs w:val="24"/>
              </w:rPr>
              <w:t>万元的风险，基金可能会面临转换运作方式、与其他基金合并或者终止基金合同等情形。</w:t>
            </w:r>
          </w:p>
          <w:p w:rsidR="002C18FD" w:rsidRDefault="00494A7D">
            <w:pPr>
              <w:autoSpaceDE w:val="0"/>
              <w:autoSpaceDN w:val="0"/>
              <w:adjustRightInd w:val="0"/>
              <w:jc w:val="left"/>
              <w:rPr>
                <w:rFonts w:ascii="宋体" w:hAnsi="宋体"/>
                <w:kern w:val="0"/>
                <w:sz w:val="24"/>
                <w:szCs w:val="24"/>
              </w:rPr>
            </w:pPr>
            <w:r>
              <w:rPr>
                <w:rFonts w:ascii="宋体" w:hAnsi="宋体" w:hint="eastAsia"/>
                <w:kern w:val="0"/>
                <w:sz w:val="24"/>
                <w:szCs w:val="24"/>
              </w:rPr>
              <w:t>4</w:t>
            </w:r>
            <w:r>
              <w:rPr>
                <w:rFonts w:ascii="宋体" w:hAnsi="宋体" w:hint="eastAsia"/>
                <w:kern w:val="0"/>
                <w:sz w:val="24"/>
                <w:szCs w:val="24"/>
              </w:rPr>
              <w:t>、其他可能的风险。</w:t>
            </w:r>
          </w:p>
          <w:p w:rsidR="002C18FD" w:rsidRDefault="00494A7D">
            <w:pPr>
              <w:autoSpaceDE w:val="0"/>
              <w:autoSpaceDN w:val="0"/>
              <w:adjustRightInd w:val="0"/>
              <w:jc w:val="left"/>
              <w:rPr>
                <w:rFonts w:ascii="宋体" w:hAnsi="宋体"/>
                <w:kern w:val="0"/>
                <w:sz w:val="24"/>
                <w:szCs w:val="24"/>
              </w:rPr>
            </w:pPr>
            <w:r>
              <w:rPr>
                <w:rFonts w:ascii="宋体" w:hAnsi="宋体" w:hint="eastAsia"/>
                <w:kern w:val="0"/>
                <w:sz w:val="24"/>
                <w:szCs w:val="24"/>
              </w:rPr>
              <w:t xml:space="preserve">   </w:t>
            </w:r>
            <w:r>
              <w:rPr>
                <w:rFonts w:ascii="宋体" w:hAnsi="宋体" w:hint="eastAsia"/>
                <w:kern w:val="0"/>
                <w:sz w:val="24"/>
                <w:szCs w:val="24"/>
              </w:rPr>
              <w:t>另外，当某单一基金份额持有人所持有的基</w:t>
            </w:r>
            <w:r>
              <w:rPr>
                <w:rFonts w:ascii="宋体" w:hAnsi="宋体" w:hint="eastAsia"/>
                <w:kern w:val="0"/>
                <w:sz w:val="24"/>
                <w:szCs w:val="24"/>
              </w:rPr>
              <w:t>金份额已经达到或超过本基金规模的</w:t>
            </w:r>
            <w:r>
              <w:rPr>
                <w:rFonts w:ascii="宋体" w:hAnsi="宋体" w:hint="eastAsia"/>
                <w:kern w:val="0"/>
                <w:sz w:val="24"/>
                <w:szCs w:val="24"/>
              </w:rPr>
              <w:t>50%</w:t>
            </w:r>
            <w:r>
              <w:rPr>
                <w:rFonts w:ascii="宋体" w:hAnsi="宋体" w:hint="eastAsia"/>
                <w:kern w:val="0"/>
                <w:sz w:val="24"/>
                <w:szCs w:val="24"/>
              </w:rPr>
              <w:t>或者接受某笔或者某些申购或转换转入申请有可能导致单一投资者持有基金份额的比例达到或者超过</w:t>
            </w:r>
            <w:r>
              <w:rPr>
                <w:rFonts w:ascii="宋体" w:hAnsi="宋体" w:hint="eastAsia"/>
                <w:kern w:val="0"/>
                <w:sz w:val="24"/>
                <w:szCs w:val="24"/>
              </w:rPr>
              <w:t>50%</w:t>
            </w:r>
            <w:r>
              <w:rPr>
                <w:rFonts w:ascii="宋体" w:hAnsi="宋体" w:hint="eastAsia"/>
                <w:kern w:val="0"/>
                <w:sz w:val="24"/>
                <w:szCs w:val="24"/>
              </w:rPr>
              <w:t>时，本基金管理人可拒绝该持有人对本基金基金份额提出的申购及转换转入申请。</w:t>
            </w:r>
          </w:p>
        </w:tc>
      </w:tr>
    </w:tbl>
    <w:p w:rsidR="002C18FD" w:rsidRDefault="00494A7D">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 xml:space="preserve">8.2 </w:t>
      </w:r>
      <w:r>
        <w:rPr>
          <w:rFonts w:ascii="宋体" w:hAnsi="宋体" w:hint="eastAsia"/>
          <w:b/>
          <w:bCs/>
          <w:color w:val="000000"/>
          <w:kern w:val="0"/>
          <w:sz w:val="24"/>
          <w:szCs w:val="24"/>
        </w:rPr>
        <w:t>影响投资者决策的其他重要信息</w:t>
      </w:r>
    </w:p>
    <w:p w:rsidR="002C18FD" w:rsidRDefault="00494A7D">
      <w:pPr>
        <w:spacing w:line="360" w:lineRule="auto"/>
        <w:ind w:firstLineChars="200" w:firstLine="480"/>
        <w:rPr>
          <w:rFonts w:ascii="宋体" w:hAnsi="宋体"/>
          <w:color w:val="000000"/>
          <w:sz w:val="24"/>
          <w:szCs w:val="24"/>
        </w:rPr>
      </w:pPr>
      <w:r>
        <w:rPr>
          <w:rFonts w:ascii="宋体" w:hAnsi="宋体"/>
          <w:color w:val="000000"/>
          <w:sz w:val="24"/>
          <w:szCs w:val="24"/>
        </w:rPr>
        <w:t>海富通基金管理有限公司成立于</w:t>
      </w:r>
      <w:r>
        <w:rPr>
          <w:rFonts w:ascii="宋体" w:hAnsi="宋体"/>
          <w:color w:val="000000"/>
          <w:sz w:val="24"/>
          <w:szCs w:val="24"/>
        </w:rPr>
        <w:t>2003</w:t>
      </w:r>
      <w:r>
        <w:rPr>
          <w:rFonts w:ascii="宋体" w:hAnsi="宋体"/>
          <w:color w:val="000000"/>
          <w:sz w:val="24"/>
          <w:szCs w:val="24"/>
        </w:rPr>
        <w:t>年</w:t>
      </w:r>
      <w:r>
        <w:rPr>
          <w:rFonts w:ascii="宋体" w:hAnsi="宋体"/>
          <w:color w:val="000000"/>
          <w:sz w:val="24"/>
          <w:szCs w:val="24"/>
        </w:rPr>
        <w:t>4</w:t>
      </w:r>
      <w:r>
        <w:rPr>
          <w:rFonts w:ascii="宋体" w:hAnsi="宋体"/>
          <w:color w:val="000000"/>
          <w:sz w:val="24"/>
          <w:szCs w:val="24"/>
        </w:rPr>
        <w:t>月，是中国首批获准成立的中外合资基金管理公司。</w:t>
      </w:r>
    </w:p>
    <w:p w:rsidR="002C18FD" w:rsidRDefault="00494A7D">
      <w:pPr>
        <w:spacing w:line="360" w:lineRule="auto"/>
        <w:ind w:firstLineChars="200" w:firstLine="480"/>
        <w:rPr>
          <w:rFonts w:ascii="宋体" w:hAnsi="宋体"/>
          <w:color w:val="000000"/>
          <w:sz w:val="24"/>
          <w:szCs w:val="24"/>
        </w:rPr>
      </w:pPr>
      <w:r>
        <w:rPr>
          <w:rFonts w:ascii="宋体" w:hAnsi="宋体"/>
          <w:color w:val="000000"/>
          <w:sz w:val="24"/>
          <w:szCs w:val="24"/>
        </w:rPr>
        <w:t>从</w:t>
      </w:r>
      <w:r>
        <w:rPr>
          <w:rFonts w:ascii="宋体" w:hAnsi="宋体"/>
          <w:color w:val="000000"/>
          <w:sz w:val="24"/>
          <w:szCs w:val="24"/>
        </w:rPr>
        <w:t>2003</w:t>
      </w:r>
      <w:r>
        <w:rPr>
          <w:rFonts w:ascii="宋体" w:hAnsi="宋体"/>
          <w:color w:val="000000"/>
          <w:sz w:val="24"/>
          <w:szCs w:val="24"/>
        </w:rPr>
        <w:t>年</w:t>
      </w:r>
      <w:r>
        <w:rPr>
          <w:rFonts w:ascii="宋体" w:hAnsi="宋体"/>
          <w:color w:val="000000"/>
          <w:sz w:val="24"/>
          <w:szCs w:val="24"/>
        </w:rPr>
        <w:t>8</w:t>
      </w:r>
      <w:r>
        <w:rPr>
          <w:rFonts w:ascii="宋体" w:hAnsi="宋体"/>
          <w:color w:val="000000"/>
          <w:sz w:val="24"/>
          <w:szCs w:val="24"/>
        </w:rPr>
        <w:t>月开始，海富通先后募集成立了</w:t>
      </w:r>
      <w:r>
        <w:rPr>
          <w:rFonts w:ascii="宋体" w:hAnsi="宋体"/>
          <w:color w:val="000000"/>
          <w:sz w:val="24"/>
          <w:szCs w:val="24"/>
        </w:rPr>
        <w:t>56</w:t>
      </w:r>
      <w:r>
        <w:rPr>
          <w:rFonts w:ascii="宋体" w:hAnsi="宋体"/>
          <w:color w:val="000000"/>
          <w:sz w:val="24"/>
          <w:szCs w:val="24"/>
        </w:rPr>
        <w:t>只公募基金。截至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w:t>
      </w:r>
      <w:r>
        <w:rPr>
          <w:rFonts w:ascii="宋体" w:hAnsi="宋体"/>
          <w:color w:val="000000"/>
          <w:sz w:val="24"/>
          <w:szCs w:val="24"/>
        </w:rPr>
        <w:t>31</w:t>
      </w:r>
      <w:r>
        <w:rPr>
          <w:rFonts w:ascii="宋体" w:hAnsi="宋体"/>
          <w:color w:val="000000"/>
          <w:sz w:val="24"/>
          <w:szCs w:val="24"/>
        </w:rPr>
        <w:t>日，海富通管理的公募基金资产规模超过</w:t>
      </w:r>
      <w:r>
        <w:rPr>
          <w:rFonts w:ascii="宋体" w:hAnsi="宋体"/>
          <w:color w:val="000000"/>
          <w:sz w:val="24"/>
          <w:szCs w:val="24"/>
        </w:rPr>
        <w:t>507.14</w:t>
      </w:r>
      <w:r>
        <w:rPr>
          <w:rFonts w:ascii="宋体" w:hAnsi="宋体"/>
          <w:color w:val="000000"/>
          <w:sz w:val="24"/>
          <w:szCs w:val="24"/>
        </w:rPr>
        <w:t>亿元人民币。</w:t>
      </w:r>
    </w:p>
    <w:p w:rsidR="002C18FD" w:rsidRDefault="00494A7D">
      <w:pPr>
        <w:spacing w:line="360" w:lineRule="auto"/>
        <w:ind w:firstLineChars="200" w:firstLine="480"/>
        <w:rPr>
          <w:rFonts w:ascii="宋体" w:hAnsi="宋体"/>
          <w:color w:val="000000"/>
          <w:sz w:val="24"/>
          <w:szCs w:val="24"/>
        </w:rPr>
      </w:pPr>
      <w:r>
        <w:rPr>
          <w:rFonts w:ascii="宋体" w:hAnsi="宋体"/>
          <w:color w:val="000000"/>
          <w:sz w:val="24"/>
          <w:szCs w:val="24"/>
        </w:rPr>
        <w:t>2004</w:t>
      </w:r>
      <w:r>
        <w:rPr>
          <w:rFonts w:ascii="宋体" w:hAnsi="宋体"/>
          <w:color w:val="000000"/>
          <w:sz w:val="24"/>
          <w:szCs w:val="24"/>
        </w:rPr>
        <w:t>年末开始，海富通及子公司为</w:t>
      </w:r>
      <w:r>
        <w:rPr>
          <w:rFonts w:ascii="宋体" w:hAnsi="宋体"/>
          <w:color w:val="000000"/>
          <w:sz w:val="24"/>
          <w:szCs w:val="24"/>
        </w:rPr>
        <w:t>QFII</w:t>
      </w:r>
      <w:r>
        <w:rPr>
          <w:rFonts w:ascii="宋体" w:hAnsi="宋体"/>
          <w:color w:val="000000"/>
          <w:sz w:val="24"/>
          <w:szCs w:val="24"/>
        </w:rPr>
        <w:t>（合格境外机构投资者）及其他多个海内外投资组合担任投资咨询顾问，截至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w:t>
      </w:r>
      <w:r>
        <w:rPr>
          <w:rFonts w:ascii="宋体" w:hAnsi="宋体"/>
          <w:color w:val="000000"/>
          <w:sz w:val="24"/>
          <w:szCs w:val="24"/>
        </w:rPr>
        <w:t>31</w:t>
      </w:r>
      <w:r>
        <w:rPr>
          <w:rFonts w:ascii="宋体" w:hAnsi="宋体"/>
          <w:color w:val="000000"/>
          <w:sz w:val="24"/>
          <w:szCs w:val="24"/>
        </w:rPr>
        <w:t>日，投资咨询及海外业务规模超过</w:t>
      </w:r>
      <w:r>
        <w:rPr>
          <w:rFonts w:ascii="宋体" w:hAnsi="宋体"/>
          <w:color w:val="000000"/>
          <w:sz w:val="24"/>
          <w:szCs w:val="24"/>
        </w:rPr>
        <w:t>41</w:t>
      </w:r>
      <w:r>
        <w:rPr>
          <w:rFonts w:ascii="宋体" w:hAnsi="宋体"/>
          <w:color w:val="000000"/>
          <w:sz w:val="24"/>
          <w:szCs w:val="24"/>
        </w:rPr>
        <w:t>亿元人民币。</w:t>
      </w:r>
    </w:p>
    <w:p w:rsidR="002C18FD" w:rsidRDefault="00494A7D">
      <w:pPr>
        <w:spacing w:line="360" w:lineRule="auto"/>
        <w:ind w:firstLineChars="200" w:firstLine="480"/>
        <w:rPr>
          <w:rFonts w:ascii="宋体" w:hAnsi="宋体"/>
          <w:color w:val="000000"/>
          <w:sz w:val="24"/>
          <w:szCs w:val="24"/>
        </w:rPr>
      </w:pPr>
      <w:r>
        <w:rPr>
          <w:rFonts w:ascii="宋体" w:hAnsi="宋体"/>
          <w:color w:val="000000"/>
          <w:sz w:val="24"/>
          <w:szCs w:val="24"/>
        </w:rPr>
        <w:t>作为国家人力资源和社会保障部首批企业年金基金投资管理人，截至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w:t>
      </w:r>
      <w:r>
        <w:rPr>
          <w:rFonts w:ascii="宋体" w:hAnsi="宋体"/>
          <w:color w:val="000000"/>
          <w:sz w:val="24"/>
          <w:szCs w:val="24"/>
        </w:rPr>
        <w:t>31</w:t>
      </w:r>
      <w:r>
        <w:rPr>
          <w:rFonts w:ascii="宋体" w:hAnsi="宋体"/>
          <w:color w:val="000000"/>
          <w:sz w:val="24"/>
          <w:szCs w:val="24"/>
        </w:rPr>
        <w:t>日，海富通为近</w:t>
      </w:r>
      <w:r>
        <w:rPr>
          <w:rFonts w:ascii="宋体" w:hAnsi="宋体"/>
          <w:color w:val="000000"/>
          <w:sz w:val="24"/>
          <w:szCs w:val="24"/>
        </w:rPr>
        <w:t>80</w:t>
      </w:r>
      <w:r>
        <w:rPr>
          <w:rFonts w:ascii="宋体" w:hAnsi="宋体"/>
          <w:color w:val="000000"/>
          <w:sz w:val="24"/>
          <w:szCs w:val="24"/>
        </w:rPr>
        <w:t>家企业超过</w:t>
      </w:r>
      <w:r>
        <w:rPr>
          <w:rFonts w:ascii="宋体" w:hAnsi="宋体"/>
          <w:color w:val="000000"/>
          <w:sz w:val="24"/>
          <w:szCs w:val="24"/>
        </w:rPr>
        <w:t>376</w:t>
      </w:r>
      <w:r>
        <w:rPr>
          <w:rFonts w:ascii="宋体" w:hAnsi="宋体"/>
          <w:color w:val="000000"/>
          <w:sz w:val="24"/>
          <w:szCs w:val="24"/>
        </w:rPr>
        <w:t>亿元的企业年金基金担任了投资管理人。作为首批特定客户资产管理业务资格的基金管理公司，截至</w:t>
      </w:r>
      <w:r>
        <w:rPr>
          <w:rFonts w:ascii="宋体" w:hAnsi="宋体"/>
          <w:color w:val="000000"/>
          <w:sz w:val="24"/>
          <w:szCs w:val="24"/>
        </w:rPr>
        <w:t>2017</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w:t>
      </w:r>
      <w:r>
        <w:rPr>
          <w:rFonts w:ascii="宋体" w:hAnsi="宋体"/>
          <w:color w:val="000000"/>
          <w:sz w:val="24"/>
          <w:szCs w:val="24"/>
        </w:rPr>
        <w:t>31</w:t>
      </w:r>
      <w:r>
        <w:rPr>
          <w:rFonts w:ascii="宋体" w:hAnsi="宋体"/>
          <w:color w:val="000000"/>
          <w:sz w:val="24"/>
          <w:szCs w:val="24"/>
        </w:rPr>
        <w:t>日，海富通管理的特定客户资产管理业务规模超过</w:t>
      </w:r>
      <w:r>
        <w:rPr>
          <w:rFonts w:ascii="宋体" w:hAnsi="宋体"/>
          <w:color w:val="000000"/>
          <w:sz w:val="24"/>
          <w:szCs w:val="24"/>
        </w:rPr>
        <w:t>417</w:t>
      </w:r>
      <w:r>
        <w:rPr>
          <w:rFonts w:ascii="宋体" w:hAnsi="宋体"/>
          <w:color w:val="000000"/>
          <w:sz w:val="24"/>
          <w:szCs w:val="24"/>
        </w:rPr>
        <w:t>亿元。</w:t>
      </w:r>
      <w:r>
        <w:rPr>
          <w:rFonts w:ascii="宋体" w:hAnsi="宋体"/>
          <w:color w:val="000000"/>
          <w:sz w:val="24"/>
          <w:szCs w:val="24"/>
        </w:rPr>
        <w:t>2010</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月，海富通基金管理有限公司被全国社会保障基金理事会选聘为境内委托投资管理人。</w:t>
      </w:r>
      <w:r>
        <w:rPr>
          <w:rFonts w:ascii="宋体" w:hAnsi="宋体"/>
          <w:color w:val="000000"/>
          <w:sz w:val="24"/>
          <w:szCs w:val="24"/>
        </w:rPr>
        <w:t>2011</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月，海富通全资子公司</w:t>
      </w:r>
      <w:r>
        <w:rPr>
          <w:rFonts w:ascii="宋体" w:hAnsi="宋体"/>
          <w:color w:val="000000"/>
          <w:sz w:val="24"/>
          <w:szCs w:val="24"/>
        </w:rPr>
        <w:t>——</w:t>
      </w:r>
      <w:r>
        <w:rPr>
          <w:rFonts w:ascii="宋体" w:hAnsi="宋体"/>
          <w:color w:val="000000"/>
          <w:sz w:val="24"/>
          <w:szCs w:val="24"/>
        </w:rPr>
        <w:t>海富通资产管理（香港）有限公司获得证监会核准批复</w:t>
      </w:r>
      <w:r>
        <w:rPr>
          <w:rFonts w:ascii="宋体" w:hAnsi="宋体"/>
          <w:color w:val="000000"/>
          <w:sz w:val="24"/>
          <w:szCs w:val="24"/>
        </w:rPr>
        <w:t>RQFII</w:t>
      </w:r>
      <w:r>
        <w:rPr>
          <w:rFonts w:ascii="宋体" w:hAnsi="宋体"/>
          <w:color w:val="000000"/>
          <w:sz w:val="24"/>
          <w:szCs w:val="24"/>
        </w:rPr>
        <w:t>（人民币合格境外机构投资者）业务资格，能够在香港筹集人民币资金投资境内证券市场。</w:t>
      </w:r>
      <w:r>
        <w:rPr>
          <w:rFonts w:ascii="宋体" w:hAnsi="宋体"/>
          <w:color w:val="000000"/>
          <w:sz w:val="24"/>
          <w:szCs w:val="24"/>
        </w:rPr>
        <w:t>2012</w:t>
      </w:r>
      <w:r>
        <w:rPr>
          <w:rFonts w:ascii="宋体" w:hAnsi="宋体"/>
          <w:color w:val="000000"/>
          <w:sz w:val="24"/>
          <w:szCs w:val="24"/>
        </w:rPr>
        <w:t>年</w:t>
      </w:r>
      <w:r>
        <w:rPr>
          <w:rFonts w:ascii="宋体" w:hAnsi="宋体"/>
          <w:color w:val="000000"/>
          <w:sz w:val="24"/>
          <w:szCs w:val="24"/>
        </w:rPr>
        <w:t>2</w:t>
      </w:r>
      <w:r>
        <w:rPr>
          <w:rFonts w:ascii="宋体" w:hAnsi="宋体"/>
          <w:color w:val="000000"/>
          <w:sz w:val="24"/>
          <w:szCs w:val="24"/>
        </w:rPr>
        <w:t>月，海富通资产管理（香港）有限公司已募集发行了首只</w:t>
      </w:r>
      <w:r>
        <w:rPr>
          <w:rFonts w:ascii="宋体" w:hAnsi="宋体"/>
          <w:color w:val="000000"/>
          <w:sz w:val="24"/>
          <w:szCs w:val="24"/>
        </w:rPr>
        <w:t>RQFII</w:t>
      </w:r>
      <w:r>
        <w:rPr>
          <w:rFonts w:ascii="宋体" w:hAnsi="宋体"/>
          <w:color w:val="000000"/>
          <w:sz w:val="24"/>
          <w:szCs w:val="24"/>
        </w:rPr>
        <w:t>产品。</w:t>
      </w:r>
      <w:r>
        <w:rPr>
          <w:rFonts w:ascii="宋体" w:hAnsi="宋体"/>
          <w:color w:val="000000"/>
          <w:sz w:val="24"/>
          <w:szCs w:val="24"/>
        </w:rPr>
        <w:t>2012</w:t>
      </w:r>
      <w:r>
        <w:rPr>
          <w:rFonts w:ascii="宋体" w:hAnsi="宋体"/>
          <w:color w:val="000000"/>
          <w:sz w:val="24"/>
          <w:szCs w:val="24"/>
        </w:rPr>
        <w:t>年</w:t>
      </w:r>
      <w:r>
        <w:rPr>
          <w:rFonts w:ascii="宋体" w:hAnsi="宋体"/>
          <w:color w:val="000000"/>
          <w:sz w:val="24"/>
          <w:szCs w:val="24"/>
        </w:rPr>
        <w:t>9</w:t>
      </w:r>
      <w:r>
        <w:rPr>
          <w:rFonts w:ascii="宋体" w:hAnsi="宋体"/>
          <w:color w:val="000000"/>
          <w:sz w:val="24"/>
          <w:szCs w:val="24"/>
        </w:rPr>
        <w:t>月，中国保监会公告确认海富通基金为首批保险资金投资管理人之一。</w:t>
      </w:r>
      <w:r>
        <w:rPr>
          <w:rFonts w:ascii="宋体" w:hAnsi="宋体"/>
          <w:color w:val="000000"/>
          <w:sz w:val="24"/>
          <w:szCs w:val="24"/>
        </w:rPr>
        <w:t>2014</w:t>
      </w:r>
      <w:r>
        <w:rPr>
          <w:rFonts w:ascii="宋体" w:hAnsi="宋体"/>
          <w:color w:val="000000"/>
          <w:sz w:val="24"/>
          <w:szCs w:val="24"/>
        </w:rPr>
        <w:t>年</w:t>
      </w:r>
      <w:r>
        <w:rPr>
          <w:rFonts w:ascii="宋体" w:hAnsi="宋体"/>
          <w:color w:val="000000"/>
          <w:sz w:val="24"/>
          <w:szCs w:val="24"/>
        </w:rPr>
        <w:t>8</w:t>
      </w:r>
      <w:r>
        <w:rPr>
          <w:rFonts w:ascii="宋体" w:hAnsi="宋体"/>
          <w:color w:val="000000"/>
          <w:sz w:val="24"/>
          <w:szCs w:val="24"/>
        </w:rPr>
        <w:t>月，海富通全资子公司上海富诚海富通资产管理公司正式开业，获准开展特定客户资产管理服务。</w:t>
      </w:r>
      <w:r>
        <w:rPr>
          <w:rFonts w:ascii="宋体" w:hAnsi="宋体"/>
          <w:color w:val="000000"/>
          <w:sz w:val="24"/>
          <w:szCs w:val="24"/>
        </w:rPr>
        <w:t>2016</w:t>
      </w:r>
      <w:r>
        <w:rPr>
          <w:rFonts w:ascii="宋体" w:hAnsi="宋体"/>
          <w:color w:val="000000"/>
          <w:sz w:val="24"/>
          <w:szCs w:val="24"/>
        </w:rPr>
        <w:t>年</w:t>
      </w:r>
      <w:r>
        <w:rPr>
          <w:rFonts w:ascii="宋体" w:hAnsi="宋体"/>
          <w:color w:val="000000"/>
          <w:sz w:val="24"/>
          <w:szCs w:val="24"/>
        </w:rPr>
        <w:t>12</w:t>
      </w:r>
      <w:r>
        <w:rPr>
          <w:rFonts w:ascii="宋体" w:hAnsi="宋体"/>
          <w:color w:val="000000"/>
          <w:sz w:val="24"/>
          <w:szCs w:val="24"/>
        </w:rPr>
        <w:t>月，海富通基金管理有限公司被全国社会保障基金理事会选聘为首批基本养老保险</w:t>
      </w:r>
      <w:r>
        <w:rPr>
          <w:rFonts w:ascii="宋体" w:hAnsi="宋体"/>
          <w:color w:val="000000"/>
          <w:sz w:val="24"/>
          <w:szCs w:val="24"/>
        </w:rPr>
        <w:t>基金投资管理人。</w:t>
      </w:r>
    </w:p>
    <w:p w:rsidR="002C18FD" w:rsidRDefault="00494A7D">
      <w:pPr>
        <w:spacing w:line="360" w:lineRule="auto"/>
        <w:ind w:firstLineChars="200" w:firstLine="480"/>
        <w:rPr>
          <w:rFonts w:ascii="宋体" w:hAnsi="宋体"/>
          <w:color w:val="000000"/>
          <w:sz w:val="24"/>
          <w:szCs w:val="24"/>
        </w:rPr>
      </w:pPr>
      <w:r>
        <w:rPr>
          <w:rFonts w:ascii="宋体" w:hAnsi="宋体"/>
          <w:color w:val="000000"/>
          <w:sz w:val="24"/>
          <w:szCs w:val="24"/>
        </w:rPr>
        <w:t>2016</w:t>
      </w:r>
      <w:r>
        <w:rPr>
          <w:rFonts w:ascii="宋体" w:hAnsi="宋体"/>
          <w:color w:val="000000"/>
          <w:sz w:val="24"/>
          <w:szCs w:val="24"/>
        </w:rPr>
        <w:t>年</w:t>
      </w:r>
      <w:r>
        <w:rPr>
          <w:rFonts w:ascii="宋体" w:hAnsi="宋体"/>
          <w:color w:val="000000"/>
          <w:sz w:val="24"/>
          <w:szCs w:val="24"/>
        </w:rPr>
        <w:t>3</w:t>
      </w:r>
      <w:r>
        <w:rPr>
          <w:rFonts w:ascii="宋体" w:hAnsi="宋体"/>
          <w:color w:val="000000"/>
          <w:sz w:val="24"/>
          <w:szCs w:val="24"/>
        </w:rPr>
        <w:t>月，国内权威财经媒体《中国证券报》授予海富通基金管理有限公司</w:t>
      </w:r>
      <w:r>
        <w:rPr>
          <w:rFonts w:ascii="宋体" w:hAnsi="宋体"/>
          <w:color w:val="000000"/>
          <w:sz w:val="24"/>
          <w:szCs w:val="24"/>
        </w:rPr>
        <w:t>“</w:t>
      </w:r>
      <w:r>
        <w:rPr>
          <w:rFonts w:ascii="宋体" w:hAnsi="宋体"/>
          <w:color w:val="000000"/>
          <w:sz w:val="24"/>
          <w:szCs w:val="24"/>
        </w:rPr>
        <w:t>固定收益投资金牛基金公司</w:t>
      </w:r>
      <w:r>
        <w:rPr>
          <w:rFonts w:ascii="宋体" w:hAnsi="宋体"/>
          <w:color w:val="000000"/>
          <w:sz w:val="24"/>
          <w:szCs w:val="24"/>
        </w:rPr>
        <w:t>”</w:t>
      </w:r>
      <w:r>
        <w:rPr>
          <w:rFonts w:ascii="宋体" w:hAnsi="宋体"/>
          <w:color w:val="000000"/>
          <w:sz w:val="24"/>
          <w:szCs w:val="24"/>
        </w:rPr>
        <w:t>。</w:t>
      </w:r>
    </w:p>
    <w:p w:rsidR="002C18FD" w:rsidRDefault="002C18FD">
      <w:pPr>
        <w:spacing w:before="29" w:line="288" w:lineRule="auto"/>
        <w:ind w:firstLineChars="200" w:firstLine="480"/>
        <w:rPr>
          <w:color w:val="000000"/>
          <w:sz w:val="24"/>
          <w:szCs w:val="24"/>
        </w:rPr>
      </w:pPr>
    </w:p>
    <w:p w:rsidR="002C18FD" w:rsidRDefault="00494A7D" w:rsidP="00494A7D">
      <w:pPr>
        <w:pStyle w:val="1"/>
        <w:spacing w:beforeLines="100" w:afterLines="100" w:line="288" w:lineRule="auto"/>
        <w:jc w:val="center"/>
        <w:rPr>
          <w:color w:val="000000"/>
          <w:kern w:val="0"/>
          <w:sz w:val="24"/>
          <w:szCs w:val="24"/>
        </w:rPr>
      </w:pPr>
      <w:r>
        <w:rPr>
          <w:color w:val="000000"/>
          <w:kern w:val="0"/>
          <w:sz w:val="24"/>
          <w:szCs w:val="24"/>
        </w:rPr>
        <w:t xml:space="preserve">§9 </w:t>
      </w:r>
      <w:r>
        <w:rPr>
          <w:color w:val="000000"/>
          <w:kern w:val="0"/>
          <w:sz w:val="24"/>
          <w:szCs w:val="24"/>
        </w:rPr>
        <w:t>备查文件目录</w:t>
      </w: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9.1 </w:t>
      </w:r>
      <w:r>
        <w:rPr>
          <w:b/>
          <w:bCs/>
          <w:color w:val="000000"/>
          <w:kern w:val="0"/>
          <w:sz w:val="24"/>
          <w:szCs w:val="24"/>
        </w:rPr>
        <w:t>备查文件目录</w:t>
      </w:r>
    </w:p>
    <w:p w:rsidR="002C18FD" w:rsidRDefault="00494A7D">
      <w:pPr>
        <w:spacing w:before="29" w:line="288" w:lineRule="auto"/>
        <w:ind w:firstLineChars="200" w:firstLine="480"/>
        <w:rPr>
          <w:color w:val="000000"/>
          <w:sz w:val="24"/>
          <w:szCs w:val="24"/>
        </w:rPr>
      </w:pPr>
      <w:r>
        <w:rPr>
          <w:color w:val="000000"/>
          <w:sz w:val="24"/>
          <w:szCs w:val="24"/>
        </w:rPr>
        <w:t>（一）中国证监会批准设立海富通欣盛定期开放混合型证券投资基金的文件</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（二）海富通欣盛定期开放混合型证券投资基金基金合同</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（三）海富通欣盛定期开放混合型证券投资基金招募说明书</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（四）海富通欣盛定期开放混合型证券投资基金托管协议</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（五）中国证监会批准设立海富通基金管理有限公司的文件</w:t>
      </w:r>
      <w:r>
        <w:rPr>
          <w:color w:val="000000"/>
          <w:sz w:val="24"/>
          <w:szCs w:val="24"/>
        </w:rPr>
        <w:t xml:space="preserve"> </w:t>
      </w:r>
    </w:p>
    <w:p w:rsidR="002C18FD" w:rsidRDefault="00494A7D">
      <w:pPr>
        <w:spacing w:before="29" w:line="288" w:lineRule="auto"/>
        <w:ind w:firstLineChars="200" w:firstLine="480"/>
        <w:rPr>
          <w:color w:val="000000"/>
          <w:sz w:val="24"/>
          <w:szCs w:val="24"/>
        </w:rPr>
      </w:pPr>
      <w:r>
        <w:rPr>
          <w:color w:val="000000"/>
          <w:sz w:val="24"/>
          <w:szCs w:val="24"/>
        </w:rPr>
        <w:t>（六）报告期内海富通欣盛定期开放混合型证券投资基金在指定报刊上披露的各项公告</w:t>
      </w:r>
    </w:p>
    <w:p w:rsidR="002C18FD" w:rsidRDefault="002C18FD">
      <w:pPr>
        <w:spacing w:before="29" w:line="288" w:lineRule="auto"/>
        <w:ind w:firstLineChars="200" w:firstLine="480"/>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9.2 </w:t>
      </w:r>
      <w:r>
        <w:rPr>
          <w:b/>
          <w:bCs/>
          <w:color w:val="000000"/>
          <w:kern w:val="0"/>
          <w:sz w:val="24"/>
          <w:szCs w:val="24"/>
        </w:rPr>
        <w:t>存放地点</w:t>
      </w:r>
    </w:p>
    <w:p w:rsidR="002C18FD" w:rsidRDefault="00494A7D">
      <w:pPr>
        <w:spacing w:before="29" w:line="288" w:lineRule="auto"/>
        <w:ind w:firstLineChars="200" w:firstLine="480"/>
        <w:rPr>
          <w:color w:val="000000"/>
          <w:sz w:val="24"/>
          <w:szCs w:val="24"/>
        </w:rPr>
      </w:pPr>
      <w:r>
        <w:rPr>
          <w:color w:val="000000"/>
          <w:sz w:val="24"/>
          <w:szCs w:val="24"/>
        </w:rPr>
        <w:t>上海市浦东新区陆家嘴花园石桥路</w:t>
      </w:r>
      <w:r>
        <w:rPr>
          <w:color w:val="000000"/>
          <w:sz w:val="24"/>
          <w:szCs w:val="24"/>
        </w:rPr>
        <w:t>66</w:t>
      </w:r>
      <w:r>
        <w:rPr>
          <w:color w:val="000000"/>
          <w:sz w:val="24"/>
          <w:szCs w:val="24"/>
        </w:rPr>
        <w:t>号东亚银行金融大厦</w:t>
      </w:r>
      <w:r>
        <w:rPr>
          <w:color w:val="000000"/>
          <w:sz w:val="24"/>
          <w:szCs w:val="24"/>
        </w:rPr>
        <w:t>36</w:t>
      </w:r>
      <w:r>
        <w:rPr>
          <w:color w:val="000000"/>
          <w:sz w:val="24"/>
          <w:szCs w:val="24"/>
        </w:rPr>
        <w:t>－</w:t>
      </w:r>
      <w:r>
        <w:rPr>
          <w:color w:val="000000"/>
          <w:sz w:val="24"/>
          <w:szCs w:val="24"/>
        </w:rPr>
        <w:t>37</w:t>
      </w:r>
      <w:r>
        <w:rPr>
          <w:color w:val="000000"/>
          <w:sz w:val="24"/>
          <w:szCs w:val="24"/>
        </w:rPr>
        <w:t>层本基金管理人办公地址。</w:t>
      </w:r>
    </w:p>
    <w:p w:rsidR="002C18FD" w:rsidRDefault="002C18FD">
      <w:pPr>
        <w:spacing w:before="29" w:line="288" w:lineRule="auto"/>
        <w:ind w:firstLineChars="200" w:firstLine="480"/>
        <w:rPr>
          <w:color w:val="000000"/>
          <w:sz w:val="24"/>
          <w:szCs w:val="24"/>
        </w:rPr>
      </w:pPr>
    </w:p>
    <w:p w:rsidR="002C18FD" w:rsidRDefault="00494A7D">
      <w:pPr>
        <w:autoSpaceDE w:val="0"/>
        <w:autoSpaceDN w:val="0"/>
        <w:adjustRightInd w:val="0"/>
        <w:spacing w:before="29" w:line="288" w:lineRule="auto"/>
        <w:jc w:val="left"/>
        <w:rPr>
          <w:b/>
          <w:bCs/>
          <w:color w:val="000000"/>
          <w:kern w:val="0"/>
          <w:sz w:val="24"/>
          <w:szCs w:val="24"/>
        </w:rPr>
      </w:pPr>
      <w:r>
        <w:rPr>
          <w:b/>
          <w:bCs/>
          <w:color w:val="000000"/>
          <w:kern w:val="0"/>
          <w:sz w:val="24"/>
          <w:szCs w:val="24"/>
        </w:rPr>
        <w:t xml:space="preserve">9.3 </w:t>
      </w:r>
      <w:r>
        <w:rPr>
          <w:b/>
          <w:bCs/>
          <w:color w:val="000000"/>
          <w:kern w:val="0"/>
          <w:sz w:val="24"/>
          <w:szCs w:val="24"/>
        </w:rPr>
        <w:t>查阅方式</w:t>
      </w:r>
    </w:p>
    <w:p w:rsidR="002C18FD" w:rsidRDefault="00494A7D">
      <w:pPr>
        <w:spacing w:before="29" w:line="288" w:lineRule="auto"/>
        <w:ind w:firstLineChars="200" w:firstLine="480"/>
        <w:rPr>
          <w:color w:val="000000"/>
          <w:sz w:val="24"/>
          <w:szCs w:val="24"/>
        </w:rPr>
      </w:pPr>
      <w:r>
        <w:rPr>
          <w:color w:val="000000"/>
          <w:sz w:val="24"/>
          <w:szCs w:val="24"/>
        </w:rPr>
        <w:t>投资者可于本基金管理人办公时间预约查阅。</w:t>
      </w: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spacing w:before="29" w:line="288" w:lineRule="auto"/>
        <w:ind w:firstLineChars="200" w:firstLine="480"/>
        <w:rPr>
          <w:color w:val="000000"/>
          <w:sz w:val="24"/>
          <w:szCs w:val="24"/>
        </w:rPr>
      </w:pPr>
    </w:p>
    <w:p w:rsidR="002C18FD" w:rsidRDefault="002C18FD">
      <w:pPr>
        <w:tabs>
          <w:tab w:val="left" w:pos="5715"/>
        </w:tabs>
        <w:spacing w:before="29" w:line="288" w:lineRule="auto"/>
        <w:ind w:firstLineChars="200" w:firstLine="480"/>
        <w:rPr>
          <w:color w:val="000000"/>
          <w:sz w:val="24"/>
        </w:rPr>
      </w:pPr>
    </w:p>
    <w:p w:rsidR="002C18FD" w:rsidRDefault="00494A7D">
      <w:pPr>
        <w:tabs>
          <w:tab w:val="left" w:pos="5715"/>
        </w:tabs>
        <w:spacing w:before="29" w:line="288" w:lineRule="auto"/>
        <w:ind w:firstLineChars="200" w:firstLine="482"/>
        <w:jc w:val="right"/>
        <w:rPr>
          <w:b/>
          <w:color w:val="000000"/>
          <w:sz w:val="24"/>
        </w:rPr>
      </w:pPr>
      <w:r>
        <w:rPr>
          <w:b/>
          <w:color w:val="000000"/>
          <w:sz w:val="24"/>
        </w:rPr>
        <w:t>海富通基金管理有限公司</w:t>
      </w:r>
    </w:p>
    <w:p w:rsidR="002C18FD" w:rsidRDefault="00494A7D">
      <w:pPr>
        <w:tabs>
          <w:tab w:val="left" w:pos="5715"/>
        </w:tabs>
        <w:spacing w:before="29" w:line="288" w:lineRule="auto"/>
        <w:ind w:firstLineChars="200" w:firstLine="482"/>
        <w:jc w:val="right"/>
        <w:rPr>
          <w:b/>
          <w:color w:val="000000"/>
          <w:sz w:val="24"/>
        </w:rPr>
      </w:pPr>
      <w:r>
        <w:rPr>
          <w:b/>
          <w:color w:val="000000"/>
          <w:sz w:val="24"/>
        </w:rPr>
        <w:t>二〇一八年一月二十二日</w:t>
      </w:r>
    </w:p>
    <w:p w:rsidR="002C18FD" w:rsidRDefault="002C18FD">
      <w:pPr>
        <w:spacing w:before="29" w:line="288" w:lineRule="auto"/>
        <w:ind w:firstLineChars="200" w:firstLine="480"/>
        <w:rPr>
          <w:color w:val="000000"/>
          <w:sz w:val="24"/>
          <w:szCs w:val="24"/>
        </w:rPr>
      </w:pPr>
    </w:p>
    <w:sectPr w:rsidR="002C18FD" w:rsidSect="002C18FD">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8FD" w:rsidRDefault="002C18FD" w:rsidP="002C18FD">
      <w:r>
        <w:separator/>
      </w:r>
    </w:p>
  </w:endnote>
  <w:endnote w:type="continuationSeparator" w:id="1">
    <w:p w:rsidR="002C18FD" w:rsidRDefault="002C18FD" w:rsidP="002C1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D" w:rsidRDefault="00494A7D">
    <w:pPr>
      <w:pStyle w:val="ac"/>
      <w:jc w:val="center"/>
    </w:pPr>
    <w:r>
      <w:rPr>
        <w:rFonts w:hint="eastAsia"/>
        <w:kern w:val="0"/>
        <w:szCs w:val="21"/>
      </w:rPr>
      <w:t>第</w:t>
    </w:r>
    <w:r w:rsidR="002C18FD">
      <w:rPr>
        <w:kern w:val="0"/>
        <w:szCs w:val="21"/>
      </w:rPr>
      <w:fldChar w:fldCharType="begin"/>
    </w:r>
    <w:r>
      <w:rPr>
        <w:kern w:val="0"/>
        <w:szCs w:val="21"/>
      </w:rPr>
      <w:instrText xml:space="preserve"> PAGE </w:instrText>
    </w:r>
    <w:r w:rsidR="002C18FD">
      <w:rPr>
        <w:kern w:val="0"/>
        <w:szCs w:val="21"/>
      </w:rPr>
      <w:fldChar w:fldCharType="separate"/>
    </w:r>
    <w:r>
      <w:rPr>
        <w:noProof/>
        <w:kern w:val="0"/>
        <w:szCs w:val="21"/>
      </w:rPr>
      <w:t>1</w:t>
    </w:r>
    <w:r w:rsidR="002C18FD">
      <w:rPr>
        <w:kern w:val="0"/>
        <w:szCs w:val="21"/>
      </w:rPr>
      <w:fldChar w:fldCharType="end"/>
    </w:r>
    <w:r>
      <w:rPr>
        <w:rFonts w:hint="eastAsia"/>
        <w:kern w:val="0"/>
        <w:szCs w:val="21"/>
      </w:rPr>
      <w:t>页共</w:t>
    </w:r>
    <w:r w:rsidR="002C18FD">
      <w:rPr>
        <w:kern w:val="0"/>
        <w:szCs w:val="21"/>
      </w:rPr>
      <w:fldChar w:fldCharType="begin"/>
    </w:r>
    <w:r>
      <w:rPr>
        <w:kern w:val="0"/>
        <w:szCs w:val="21"/>
      </w:rPr>
      <w:instrText xml:space="preserve"> NUMPAGES </w:instrText>
    </w:r>
    <w:r w:rsidR="002C18FD">
      <w:rPr>
        <w:kern w:val="0"/>
        <w:szCs w:val="21"/>
      </w:rPr>
      <w:fldChar w:fldCharType="separate"/>
    </w:r>
    <w:r>
      <w:rPr>
        <w:noProof/>
        <w:kern w:val="0"/>
        <w:szCs w:val="21"/>
      </w:rPr>
      <w:t>3</w:t>
    </w:r>
    <w:r w:rsidR="002C18FD">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8FD" w:rsidRDefault="002C18FD" w:rsidP="002C18FD">
      <w:r>
        <w:separator/>
      </w:r>
    </w:p>
  </w:footnote>
  <w:footnote w:type="continuationSeparator" w:id="1">
    <w:p w:rsidR="002C18FD" w:rsidRDefault="002C18FD" w:rsidP="002C1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FD" w:rsidRDefault="00494A7D">
    <w:pPr>
      <w:pStyle w:val="ad"/>
      <w:pBdr>
        <w:bottom w:val="single" w:sz="6" w:space="0" w:color="auto"/>
      </w:pBdr>
      <w:jc w:val="right"/>
    </w:pPr>
    <w:r>
      <w:t>海富通欣盛定期开放混合型证券投资基金</w:t>
    </w:r>
    <w:r>
      <w:t>2017</w:t>
    </w:r>
    <w:r>
      <w:t>年第</w:t>
    </w:r>
    <w:r>
      <w:t>4</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12B4B"/>
    <w:rsid w:val="00014099"/>
    <w:rsid w:val="000160C5"/>
    <w:rsid w:val="000210E7"/>
    <w:rsid w:val="000243BD"/>
    <w:rsid w:val="00024F7F"/>
    <w:rsid w:val="00031EBB"/>
    <w:rsid w:val="00033B8D"/>
    <w:rsid w:val="0004308C"/>
    <w:rsid w:val="00043852"/>
    <w:rsid w:val="000450DD"/>
    <w:rsid w:val="000463DE"/>
    <w:rsid w:val="000625ED"/>
    <w:rsid w:val="00064D40"/>
    <w:rsid w:val="000669E3"/>
    <w:rsid w:val="000815C0"/>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357D"/>
    <w:rsid w:val="000E7E5E"/>
    <w:rsid w:val="000F6CC8"/>
    <w:rsid w:val="00111261"/>
    <w:rsid w:val="00121FC4"/>
    <w:rsid w:val="00133015"/>
    <w:rsid w:val="00137452"/>
    <w:rsid w:val="00137B31"/>
    <w:rsid w:val="00144F93"/>
    <w:rsid w:val="00147376"/>
    <w:rsid w:val="0015450B"/>
    <w:rsid w:val="00154BE1"/>
    <w:rsid w:val="001563BB"/>
    <w:rsid w:val="0015710B"/>
    <w:rsid w:val="00160EDC"/>
    <w:rsid w:val="00162D61"/>
    <w:rsid w:val="001675CD"/>
    <w:rsid w:val="001717D5"/>
    <w:rsid w:val="00171EF0"/>
    <w:rsid w:val="001761D2"/>
    <w:rsid w:val="00176C21"/>
    <w:rsid w:val="001830D7"/>
    <w:rsid w:val="00185A34"/>
    <w:rsid w:val="001934F6"/>
    <w:rsid w:val="00194301"/>
    <w:rsid w:val="00196E6C"/>
    <w:rsid w:val="001A73E8"/>
    <w:rsid w:val="001B02BC"/>
    <w:rsid w:val="001B0A62"/>
    <w:rsid w:val="001B2F35"/>
    <w:rsid w:val="001C0993"/>
    <w:rsid w:val="001C79F2"/>
    <w:rsid w:val="001D2DEE"/>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65C9B"/>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18FD"/>
    <w:rsid w:val="002C2834"/>
    <w:rsid w:val="002C3C7A"/>
    <w:rsid w:val="002C5F95"/>
    <w:rsid w:val="002C657A"/>
    <w:rsid w:val="002D6872"/>
    <w:rsid w:val="002D6FB6"/>
    <w:rsid w:val="002E3B09"/>
    <w:rsid w:val="002E52B3"/>
    <w:rsid w:val="002F6C96"/>
    <w:rsid w:val="00302816"/>
    <w:rsid w:val="003038AE"/>
    <w:rsid w:val="00304A12"/>
    <w:rsid w:val="00305636"/>
    <w:rsid w:val="00311662"/>
    <w:rsid w:val="00312A9F"/>
    <w:rsid w:val="00315D5D"/>
    <w:rsid w:val="00316484"/>
    <w:rsid w:val="00316E01"/>
    <w:rsid w:val="00320300"/>
    <w:rsid w:val="00320E90"/>
    <w:rsid w:val="00324508"/>
    <w:rsid w:val="003259C8"/>
    <w:rsid w:val="00327C0E"/>
    <w:rsid w:val="003307FE"/>
    <w:rsid w:val="00333AD0"/>
    <w:rsid w:val="00336EAF"/>
    <w:rsid w:val="003470E2"/>
    <w:rsid w:val="00352719"/>
    <w:rsid w:val="0035383E"/>
    <w:rsid w:val="00355364"/>
    <w:rsid w:val="0036152B"/>
    <w:rsid w:val="00364CCB"/>
    <w:rsid w:val="00365798"/>
    <w:rsid w:val="0039085F"/>
    <w:rsid w:val="00394069"/>
    <w:rsid w:val="00396809"/>
    <w:rsid w:val="003A6061"/>
    <w:rsid w:val="003B3494"/>
    <w:rsid w:val="003B6FBC"/>
    <w:rsid w:val="003D0AFF"/>
    <w:rsid w:val="003D2F6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087"/>
    <w:rsid w:val="004216D2"/>
    <w:rsid w:val="00426096"/>
    <w:rsid w:val="00427F58"/>
    <w:rsid w:val="00433805"/>
    <w:rsid w:val="00443869"/>
    <w:rsid w:val="00460575"/>
    <w:rsid w:val="00463EC0"/>
    <w:rsid w:val="00471408"/>
    <w:rsid w:val="00480B35"/>
    <w:rsid w:val="004858E0"/>
    <w:rsid w:val="00491C81"/>
    <w:rsid w:val="004934E9"/>
    <w:rsid w:val="004943C2"/>
    <w:rsid w:val="004949F3"/>
    <w:rsid w:val="00494A7D"/>
    <w:rsid w:val="004A11A7"/>
    <w:rsid w:val="004A459C"/>
    <w:rsid w:val="004A7B1D"/>
    <w:rsid w:val="004B3695"/>
    <w:rsid w:val="004B6D83"/>
    <w:rsid w:val="004C0914"/>
    <w:rsid w:val="004C702F"/>
    <w:rsid w:val="004D340C"/>
    <w:rsid w:val="004D495A"/>
    <w:rsid w:val="004E1298"/>
    <w:rsid w:val="004E5975"/>
    <w:rsid w:val="004E790A"/>
    <w:rsid w:val="004E7AD3"/>
    <w:rsid w:val="004F1A4E"/>
    <w:rsid w:val="004F50FD"/>
    <w:rsid w:val="00500A03"/>
    <w:rsid w:val="00506EE6"/>
    <w:rsid w:val="00512200"/>
    <w:rsid w:val="005143CD"/>
    <w:rsid w:val="005144F2"/>
    <w:rsid w:val="00516618"/>
    <w:rsid w:val="00517989"/>
    <w:rsid w:val="005242A5"/>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F1F"/>
    <w:rsid w:val="005A6675"/>
    <w:rsid w:val="005B09FA"/>
    <w:rsid w:val="005B2E9C"/>
    <w:rsid w:val="005B3CC0"/>
    <w:rsid w:val="005B4F93"/>
    <w:rsid w:val="005B73D2"/>
    <w:rsid w:val="005D2B36"/>
    <w:rsid w:val="005E475E"/>
    <w:rsid w:val="005E56E7"/>
    <w:rsid w:val="005F118D"/>
    <w:rsid w:val="005F2ABA"/>
    <w:rsid w:val="005F3996"/>
    <w:rsid w:val="005F6AF6"/>
    <w:rsid w:val="00604E50"/>
    <w:rsid w:val="006054CF"/>
    <w:rsid w:val="006066D2"/>
    <w:rsid w:val="006075E6"/>
    <w:rsid w:val="0061286A"/>
    <w:rsid w:val="00613BB8"/>
    <w:rsid w:val="00614CC4"/>
    <w:rsid w:val="0062025E"/>
    <w:rsid w:val="00625BFC"/>
    <w:rsid w:val="00626998"/>
    <w:rsid w:val="006269FB"/>
    <w:rsid w:val="00626EE5"/>
    <w:rsid w:val="00627E2D"/>
    <w:rsid w:val="00627EDE"/>
    <w:rsid w:val="00631ED8"/>
    <w:rsid w:val="00632B0F"/>
    <w:rsid w:val="00636DB7"/>
    <w:rsid w:val="0063783A"/>
    <w:rsid w:val="006423B9"/>
    <w:rsid w:val="00642FA0"/>
    <w:rsid w:val="00654B0D"/>
    <w:rsid w:val="0065599B"/>
    <w:rsid w:val="00655CD8"/>
    <w:rsid w:val="00655E1C"/>
    <w:rsid w:val="006571DC"/>
    <w:rsid w:val="00660D4B"/>
    <w:rsid w:val="00664ECC"/>
    <w:rsid w:val="00670547"/>
    <w:rsid w:val="00670989"/>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16F"/>
    <w:rsid w:val="006D39E9"/>
    <w:rsid w:val="006D3BE3"/>
    <w:rsid w:val="006D7004"/>
    <w:rsid w:val="006D789D"/>
    <w:rsid w:val="006D7FF8"/>
    <w:rsid w:val="006E042A"/>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8601C"/>
    <w:rsid w:val="0079369C"/>
    <w:rsid w:val="00794090"/>
    <w:rsid w:val="00796CA8"/>
    <w:rsid w:val="00797305"/>
    <w:rsid w:val="007B035B"/>
    <w:rsid w:val="007B4C04"/>
    <w:rsid w:val="007B4DDA"/>
    <w:rsid w:val="007B5AFB"/>
    <w:rsid w:val="007C395A"/>
    <w:rsid w:val="007C5862"/>
    <w:rsid w:val="007D0922"/>
    <w:rsid w:val="007D100C"/>
    <w:rsid w:val="007E2686"/>
    <w:rsid w:val="007E57C0"/>
    <w:rsid w:val="007F29B1"/>
    <w:rsid w:val="007F797B"/>
    <w:rsid w:val="008014F9"/>
    <w:rsid w:val="0080358B"/>
    <w:rsid w:val="008059BD"/>
    <w:rsid w:val="0081286B"/>
    <w:rsid w:val="00812D46"/>
    <w:rsid w:val="008148E0"/>
    <w:rsid w:val="00815A38"/>
    <w:rsid w:val="0082103F"/>
    <w:rsid w:val="00824239"/>
    <w:rsid w:val="008279FE"/>
    <w:rsid w:val="00831259"/>
    <w:rsid w:val="0083208A"/>
    <w:rsid w:val="0083218A"/>
    <w:rsid w:val="00832A00"/>
    <w:rsid w:val="00836618"/>
    <w:rsid w:val="00837635"/>
    <w:rsid w:val="00837845"/>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1677"/>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803"/>
    <w:rsid w:val="00921AC7"/>
    <w:rsid w:val="00924582"/>
    <w:rsid w:val="00931291"/>
    <w:rsid w:val="0093367D"/>
    <w:rsid w:val="009431FA"/>
    <w:rsid w:val="00945AF6"/>
    <w:rsid w:val="009550BE"/>
    <w:rsid w:val="00955531"/>
    <w:rsid w:val="00955BE8"/>
    <w:rsid w:val="00957594"/>
    <w:rsid w:val="00963F40"/>
    <w:rsid w:val="00970613"/>
    <w:rsid w:val="009730B8"/>
    <w:rsid w:val="0097424F"/>
    <w:rsid w:val="0098122D"/>
    <w:rsid w:val="00986596"/>
    <w:rsid w:val="00990685"/>
    <w:rsid w:val="009A0ABE"/>
    <w:rsid w:val="009A4E5D"/>
    <w:rsid w:val="009B2D4B"/>
    <w:rsid w:val="009C379B"/>
    <w:rsid w:val="009C5186"/>
    <w:rsid w:val="009C60F7"/>
    <w:rsid w:val="009D0952"/>
    <w:rsid w:val="009E19A9"/>
    <w:rsid w:val="009E31DA"/>
    <w:rsid w:val="009E402C"/>
    <w:rsid w:val="009E7C6A"/>
    <w:rsid w:val="009F0367"/>
    <w:rsid w:val="009F3659"/>
    <w:rsid w:val="009F4271"/>
    <w:rsid w:val="009F4861"/>
    <w:rsid w:val="009F61BE"/>
    <w:rsid w:val="009F7ED4"/>
    <w:rsid w:val="00A03AAC"/>
    <w:rsid w:val="00A047D1"/>
    <w:rsid w:val="00A17EEE"/>
    <w:rsid w:val="00A21300"/>
    <w:rsid w:val="00A22AD0"/>
    <w:rsid w:val="00A22DA8"/>
    <w:rsid w:val="00A3030E"/>
    <w:rsid w:val="00A31574"/>
    <w:rsid w:val="00A31671"/>
    <w:rsid w:val="00A324F4"/>
    <w:rsid w:val="00A36930"/>
    <w:rsid w:val="00A42DBD"/>
    <w:rsid w:val="00A45320"/>
    <w:rsid w:val="00A504C9"/>
    <w:rsid w:val="00A54C7D"/>
    <w:rsid w:val="00A5612C"/>
    <w:rsid w:val="00A5689C"/>
    <w:rsid w:val="00A575FF"/>
    <w:rsid w:val="00A57AE4"/>
    <w:rsid w:val="00A63F19"/>
    <w:rsid w:val="00A656BB"/>
    <w:rsid w:val="00A669FC"/>
    <w:rsid w:val="00A66F42"/>
    <w:rsid w:val="00A76625"/>
    <w:rsid w:val="00A81F53"/>
    <w:rsid w:val="00A83500"/>
    <w:rsid w:val="00A8721A"/>
    <w:rsid w:val="00A90049"/>
    <w:rsid w:val="00A90AED"/>
    <w:rsid w:val="00A917BF"/>
    <w:rsid w:val="00A96A94"/>
    <w:rsid w:val="00AA3A38"/>
    <w:rsid w:val="00AA4F94"/>
    <w:rsid w:val="00AA6513"/>
    <w:rsid w:val="00AB047E"/>
    <w:rsid w:val="00AB4DB6"/>
    <w:rsid w:val="00AC063D"/>
    <w:rsid w:val="00AC56B1"/>
    <w:rsid w:val="00AC592E"/>
    <w:rsid w:val="00AC6C10"/>
    <w:rsid w:val="00AC7BC6"/>
    <w:rsid w:val="00AD24AA"/>
    <w:rsid w:val="00AE7962"/>
    <w:rsid w:val="00AF0A7F"/>
    <w:rsid w:val="00AF3AB2"/>
    <w:rsid w:val="00B11BE5"/>
    <w:rsid w:val="00B12B7D"/>
    <w:rsid w:val="00B16985"/>
    <w:rsid w:val="00B22DEE"/>
    <w:rsid w:val="00B27479"/>
    <w:rsid w:val="00B32AA7"/>
    <w:rsid w:val="00B34678"/>
    <w:rsid w:val="00B35024"/>
    <w:rsid w:val="00B364DD"/>
    <w:rsid w:val="00B371B4"/>
    <w:rsid w:val="00B40F64"/>
    <w:rsid w:val="00B42A76"/>
    <w:rsid w:val="00B47982"/>
    <w:rsid w:val="00B56F53"/>
    <w:rsid w:val="00B64723"/>
    <w:rsid w:val="00B7378D"/>
    <w:rsid w:val="00B7444D"/>
    <w:rsid w:val="00B816A7"/>
    <w:rsid w:val="00B82413"/>
    <w:rsid w:val="00B85352"/>
    <w:rsid w:val="00B86CD8"/>
    <w:rsid w:val="00B87214"/>
    <w:rsid w:val="00B92FF5"/>
    <w:rsid w:val="00B959E6"/>
    <w:rsid w:val="00B97BFC"/>
    <w:rsid w:val="00BA604D"/>
    <w:rsid w:val="00BB51A0"/>
    <w:rsid w:val="00BB5DA7"/>
    <w:rsid w:val="00BB5E0E"/>
    <w:rsid w:val="00BB7F37"/>
    <w:rsid w:val="00BC14B3"/>
    <w:rsid w:val="00BC216C"/>
    <w:rsid w:val="00BC4585"/>
    <w:rsid w:val="00BC50F1"/>
    <w:rsid w:val="00BC73E5"/>
    <w:rsid w:val="00BD0031"/>
    <w:rsid w:val="00BD7473"/>
    <w:rsid w:val="00BD7703"/>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6A75"/>
    <w:rsid w:val="00C678B0"/>
    <w:rsid w:val="00C7047C"/>
    <w:rsid w:val="00C71497"/>
    <w:rsid w:val="00C7221C"/>
    <w:rsid w:val="00C72F5B"/>
    <w:rsid w:val="00C73BCD"/>
    <w:rsid w:val="00C74E5E"/>
    <w:rsid w:val="00C77AEF"/>
    <w:rsid w:val="00C85A6E"/>
    <w:rsid w:val="00C87129"/>
    <w:rsid w:val="00C91E1B"/>
    <w:rsid w:val="00C9690F"/>
    <w:rsid w:val="00CA574C"/>
    <w:rsid w:val="00CA5FD5"/>
    <w:rsid w:val="00CA7703"/>
    <w:rsid w:val="00CB0F92"/>
    <w:rsid w:val="00CD4E6D"/>
    <w:rsid w:val="00CD4F19"/>
    <w:rsid w:val="00CD5707"/>
    <w:rsid w:val="00CD7702"/>
    <w:rsid w:val="00CE29EA"/>
    <w:rsid w:val="00CF04CF"/>
    <w:rsid w:val="00CF2D3E"/>
    <w:rsid w:val="00CF6572"/>
    <w:rsid w:val="00D01FE6"/>
    <w:rsid w:val="00D02347"/>
    <w:rsid w:val="00D046DB"/>
    <w:rsid w:val="00D04755"/>
    <w:rsid w:val="00D13737"/>
    <w:rsid w:val="00D1638E"/>
    <w:rsid w:val="00D2061C"/>
    <w:rsid w:val="00D21FFF"/>
    <w:rsid w:val="00D272A5"/>
    <w:rsid w:val="00D346D9"/>
    <w:rsid w:val="00D417A6"/>
    <w:rsid w:val="00D43AFB"/>
    <w:rsid w:val="00D44EE8"/>
    <w:rsid w:val="00D503FE"/>
    <w:rsid w:val="00D57B7C"/>
    <w:rsid w:val="00D6166F"/>
    <w:rsid w:val="00D65994"/>
    <w:rsid w:val="00D65B44"/>
    <w:rsid w:val="00D75E69"/>
    <w:rsid w:val="00D8099B"/>
    <w:rsid w:val="00D866A8"/>
    <w:rsid w:val="00D9082B"/>
    <w:rsid w:val="00D94B8D"/>
    <w:rsid w:val="00D96C8D"/>
    <w:rsid w:val="00D974EF"/>
    <w:rsid w:val="00DA0C61"/>
    <w:rsid w:val="00DA14B0"/>
    <w:rsid w:val="00DA2876"/>
    <w:rsid w:val="00DC0B51"/>
    <w:rsid w:val="00DC6B55"/>
    <w:rsid w:val="00DE08A7"/>
    <w:rsid w:val="00DE27F7"/>
    <w:rsid w:val="00DE39DD"/>
    <w:rsid w:val="00DE4B43"/>
    <w:rsid w:val="00DE4CFB"/>
    <w:rsid w:val="00E02660"/>
    <w:rsid w:val="00E02D1C"/>
    <w:rsid w:val="00E215BA"/>
    <w:rsid w:val="00E36549"/>
    <w:rsid w:val="00E40D31"/>
    <w:rsid w:val="00E41260"/>
    <w:rsid w:val="00E44E18"/>
    <w:rsid w:val="00E52DBC"/>
    <w:rsid w:val="00E54301"/>
    <w:rsid w:val="00E54BF5"/>
    <w:rsid w:val="00E55ABD"/>
    <w:rsid w:val="00E60817"/>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F17AB"/>
    <w:rsid w:val="00EF6FA5"/>
    <w:rsid w:val="00F046CE"/>
    <w:rsid w:val="00F11104"/>
    <w:rsid w:val="00F11BB5"/>
    <w:rsid w:val="00F16E3F"/>
    <w:rsid w:val="00F22499"/>
    <w:rsid w:val="00F22B0F"/>
    <w:rsid w:val="00F24B42"/>
    <w:rsid w:val="00F24F73"/>
    <w:rsid w:val="00F27299"/>
    <w:rsid w:val="00F31F6E"/>
    <w:rsid w:val="00F3389C"/>
    <w:rsid w:val="00F375F2"/>
    <w:rsid w:val="00F43802"/>
    <w:rsid w:val="00F45C47"/>
    <w:rsid w:val="00F53294"/>
    <w:rsid w:val="00F542E7"/>
    <w:rsid w:val="00F54EAE"/>
    <w:rsid w:val="00F66A51"/>
    <w:rsid w:val="00F71057"/>
    <w:rsid w:val="00F71A4B"/>
    <w:rsid w:val="00F728CF"/>
    <w:rsid w:val="00F743D4"/>
    <w:rsid w:val="00F80AC3"/>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469F"/>
    <w:rsid w:val="00FF5196"/>
    <w:rsid w:val="00FF6E8F"/>
    <w:rsid w:val="79736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qFormat="1"/>
    <w:lsdException w:name="Block Text" w:unhideWhenUsed="1"/>
    <w:lsdException w:name="Hyperlink" w:semiHidden="0" w:qFormat="1"/>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C18FD"/>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2C18FD"/>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2C18FD"/>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2C18FD"/>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2C18FD"/>
    <w:pPr>
      <w:ind w:firstLineChars="200" w:firstLine="420"/>
    </w:pPr>
  </w:style>
  <w:style w:type="paragraph" w:styleId="a4">
    <w:name w:val="annotation subject"/>
    <w:basedOn w:val="a5"/>
    <w:next w:val="a5"/>
    <w:link w:val="Char"/>
    <w:uiPriority w:val="99"/>
    <w:semiHidden/>
    <w:qFormat/>
    <w:rsid w:val="002C18FD"/>
    <w:rPr>
      <w:b/>
      <w:bCs/>
    </w:rPr>
  </w:style>
  <w:style w:type="paragraph" w:styleId="a5">
    <w:name w:val="annotation text"/>
    <w:basedOn w:val="a"/>
    <w:link w:val="Char0"/>
    <w:uiPriority w:val="99"/>
    <w:semiHidden/>
    <w:qFormat/>
    <w:rsid w:val="002C18FD"/>
    <w:pPr>
      <w:jc w:val="left"/>
    </w:pPr>
  </w:style>
  <w:style w:type="paragraph" w:styleId="a6">
    <w:name w:val="Document Map"/>
    <w:basedOn w:val="a"/>
    <w:link w:val="Char1"/>
    <w:uiPriority w:val="99"/>
    <w:semiHidden/>
    <w:rsid w:val="002C18FD"/>
    <w:pPr>
      <w:shd w:val="clear" w:color="auto" w:fill="000080"/>
    </w:pPr>
  </w:style>
  <w:style w:type="paragraph" w:styleId="a7">
    <w:name w:val="Body Text"/>
    <w:basedOn w:val="a"/>
    <w:link w:val="Char2"/>
    <w:uiPriority w:val="99"/>
    <w:qFormat/>
    <w:rsid w:val="002C18FD"/>
    <w:pPr>
      <w:spacing w:after="120"/>
    </w:pPr>
  </w:style>
  <w:style w:type="paragraph" w:styleId="a8">
    <w:name w:val="Body Text Indent"/>
    <w:basedOn w:val="a"/>
    <w:link w:val="Char3"/>
    <w:uiPriority w:val="99"/>
    <w:qFormat/>
    <w:rsid w:val="002C18FD"/>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2C18FD"/>
    <w:rPr>
      <w:rFonts w:ascii="宋体" w:hAnsi="Courier New" w:cs="宋体"/>
    </w:rPr>
  </w:style>
  <w:style w:type="paragraph" w:styleId="aa">
    <w:name w:val="Date"/>
    <w:basedOn w:val="a"/>
    <w:next w:val="a"/>
    <w:link w:val="Char5"/>
    <w:qFormat/>
    <w:rsid w:val="002C18FD"/>
    <w:rPr>
      <w:sz w:val="24"/>
      <w:szCs w:val="24"/>
    </w:rPr>
  </w:style>
  <w:style w:type="paragraph" w:styleId="20">
    <w:name w:val="Body Text Indent 2"/>
    <w:basedOn w:val="a"/>
    <w:link w:val="2Char0"/>
    <w:uiPriority w:val="99"/>
    <w:rsid w:val="002C18FD"/>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2C18FD"/>
    <w:rPr>
      <w:sz w:val="18"/>
      <w:szCs w:val="18"/>
    </w:rPr>
  </w:style>
  <w:style w:type="paragraph" w:styleId="ac">
    <w:name w:val="footer"/>
    <w:basedOn w:val="a"/>
    <w:link w:val="Char7"/>
    <w:rsid w:val="002C18FD"/>
    <w:pPr>
      <w:tabs>
        <w:tab w:val="center" w:pos="4153"/>
        <w:tab w:val="right" w:pos="8306"/>
      </w:tabs>
      <w:snapToGrid w:val="0"/>
      <w:jc w:val="left"/>
    </w:pPr>
    <w:rPr>
      <w:sz w:val="18"/>
      <w:szCs w:val="18"/>
    </w:rPr>
  </w:style>
  <w:style w:type="paragraph" w:styleId="ad">
    <w:name w:val="header"/>
    <w:basedOn w:val="a"/>
    <w:link w:val="Char8"/>
    <w:uiPriority w:val="99"/>
    <w:rsid w:val="002C18FD"/>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qFormat/>
    <w:rsid w:val="002C18FD"/>
    <w:pPr>
      <w:spacing w:after="220" w:line="220" w:lineRule="atLeast"/>
      <w:ind w:left="1440" w:hanging="360"/>
    </w:pPr>
  </w:style>
  <w:style w:type="paragraph" w:styleId="af">
    <w:name w:val="footnote text"/>
    <w:basedOn w:val="a"/>
    <w:link w:val="Char9"/>
    <w:rsid w:val="002C18FD"/>
    <w:pPr>
      <w:snapToGrid w:val="0"/>
      <w:jc w:val="left"/>
    </w:pPr>
    <w:rPr>
      <w:sz w:val="18"/>
      <w:szCs w:val="18"/>
    </w:rPr>
  </w:style>
  <w:style w:type="paragraph" w:styleId="30">
    <w:name w:val="Body Text Indent 3"/>
    <w:basedOn w:val="a"/>
    <w:link w:val="3Char0"/>
    <w:uiPriority w:val="99"/>
    <w:qFormat/>
    <w:rsid w:val="002C18FD"/>
    <w:pPr>
      <w:spacing w:line="560" w:lineRule="exact"/>
      <w:ind w:firstLineChars="200" w:firstLine="420"/>
    </w:pPr>
    <w:rPr>
      <w:rFonts w:ascii="Arial" w:hAnsi="Arial" w:cs="Arial"/>
      <w:color w:val="FF0000"/>
    </w:rPr>
  </w:style>
  <w:style w:type="paragraph" w:styleId="af0">
    <w:name w:val="Normal (Web)"/>
    <w:basedOn w:val="a"/>
    <w:uiPriority w:val="99"/>
    <w:qFormat/>
    <w:rsid w:val="002C18FD"/>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2C18FD"/>
    <w:pPr>
      <w:jc w:val="right"/>
    </w:pPr>
    <w:rPr>
      <w:color w:val="008000"/>
    </w:rPr>
  </w:style>
  <w:style w:type="paragraph" w:styleId="af1">
    <w:name w:val="Title"/>
    <w:basedOn w:val="a"/>
    <w:next w:val="a"/>
    <w:link w:val="Chara"/>
    <w:uiPriority w:val="99"/>
    <w:qFormat/>
    <w:rsid w:val="002C18FD"/>
    <w:pPr>
      <w:spacing w:before="240" w:after="60"/>
      <w:jc w:val="center"/>
      <w:outlineLvl w:val="0"/>
    </w:pPr>
    <w:rPr>
      <w:rFonts w:ascii="Cambria" w:hAnsi="Cambria" w:cs="Cambria"/>
      <w:b/>
      <w:bCs/>
      <w:sz w:val="32"/>
      <w:szCs w:val="32"/>
    </w:rPr>
  </w:style>
  <w:style w:type="character" w:styleId="af2">
    <w:name w:val="Strong"/>
    <w:basedOn w:val="a1"/>
    <w:uiPriority w:val="22"/>
    <w:qFormat/>
    <w:rsid w:val="002C18FD"/>
    <w:rPr>
      <w:b/>
      <w:bCs/>
    </w:rPr>
  </w:style>
  <w:style w:type="character" w:styleId="af3">
    <w:name w:val="page number"/>
    <w:basedOn w:val="a1"/>
    <w:uiPriority w:val="99"/>
    <w:rsid w:val="002C18FD"/>
  </w:style>
  <w:style w:type="character" w:styleId="af4">
    <w:name w:val="FollowedHyperlink"/>
    <w:basedOn w:val="a1"/>
    <w:uiPriority w:val="99"/>
    <w:qFormat/>
    <w:rsid w:val="002C18FD"/>
    <w:rPr>
      <w:color w:val="800080"/>
      <w:u w:val="single"/>
    </w:rPr>
  </w:style>
  <w:style w:type="character" w:styleId="af5">
    <w:name w:val="Hyperlink"/>
    <w:basedOn w:val="a1"/>
    <w:uiPriority w:val="99"/>
    <w:qFormat/>
    <w:rsid w:val="002C18FD"/>
    <w:rPr>
      <w:color w:val="0000FF"/>
      <w:u w:val="single"/>
    </w:rPr>
  </w:style>
  <w:style w:type="character" w:styleId="af6">
    <w:name w:val="annotation reference"/>
    <w:basedOn w:val="a1"/>
    <w:uiPriority w:val="99"/>
    <w:semiHidden/>
    <w:rsid w:val="002C18FD"/>
    <w:rPr>
      <w:sz w:val="21"/>
      <w:szCs w:val="21"/>
    </w:rPr>
  </w:style>
  <w:style w:type="character" w:styleId="af7">
    <w:name w:val="footnote reference"/>
    <w:basedOn w:val="a1"/>
    <w:qFormat/>
    <w:rsid w:val="002C18FD"/>
    <w:rPr>
      <w:vertAlign w:val="superscript"/>
    </w:rPr>
  </w:style>
  <w:style w:type="table" w:styleId="af8">
    <w:name w:val="Table Grid"/>
    <w:basedOn w:val="a2"/>
    <w:uiPriority w:val="99"/>
    <w:rsid w:val="002C18F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2C18FD"/>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sid w:val="002C18FD"/>
    <w:rPr>
      <w:rFonts w:ascii="Arial" w:eastAsia="宋体" w:hAnsi="Arial" w:cs="Arial"/>
      <w:b/>
      <w:bCs/>
      <w:sz w:val="24"/>
      <w:szCs w:val="24"/>
    </w:rPr>
  </w:style>
  <w:style w:type="character" w:customStyle="1" w:styleId="3Char">
    <w:name w:val="标题 3 Char"/>
    <w:basedOn w:val="a1"/>
    <w:link w:val="3"/>
    <w:uiPriority w:val="99"/>
    <w:rsid w:val="002C18FD"/>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2C18FD"/>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2C18FD"/>
    <w:rPr>
      <w:rFonts w:ascii="宋体" w:eastAsia="宋体" w:hAnsi="Courier New" w:cs="宋体"/>
      <w:szCs w:val="21"/>
    </w:rPr>
  </w:style>
  <w:style w:type="character" w:customStyle="1" w:styleId="2Char0">
    <w:name w:val="正文文本缩进 2 Char"/>
    <w:basedOn w:val="a1"/>
    <w:link w:val="20"/>
    <w:uiPriority w:val="99"/>
    <w:rsid w:val="002C18FD"/>
    <w:rPr>
      <w:rFonts w:ascii="宋体" w:eastAsia="宋体" w:hAnsi="宋体" w:cs="宋体"/>
      <w:color w:val="FF0000"/>
      <w:sz w:val="24"/>
      <w:szCs w:val="24"/>
    </w:rPr>
  </w:style>
  <w:style w:type="character" w:customStyle="1" w:styleId="Char7">
    <w:name w:val="页脚 Char"/>
    <w:basedOn w:val="a1"/>
    <w:link w:val="ac"/>
    <w:uiPriority w:val="99"/>
    <w:rsid w:val="002C18FD"/>
    <w:rPr>
      <w:rFonts w:ascii="Times New Roman" w:eastAsia="宋体" w:hAnsi="Times New Roman" w:cs="Times New Roman"/>
      <w:sz w:val="18"/>
      <w:szCs w:val="18"/>
    </w:rPr>
  </w:style>
  <w:style w:type="character" w:customStyle="1" w:styleId="3Char0">
    <w:name w:val="正文文本缩进 3 Char"/>
    <w:basedOn w:val="a1"/>
    <w:link w:val="30"/>
    <w:uiPriority w:val="99"/>
    <w:qFormat/>
    <w:rsid w:val="002C18FD"/>
    <w:rPr>
      <w:rFonts w:ascii="Arial" w:eastAsia="宋体" w:hAnsi="Arial" w:cs="Arial"/>
      <w:color w:val="FF0000"/>
      <w:szCs w:val="21"/>
    </w:rPr>
  </w:style>
  <w:style w:type="character" w:customStyle="1" w:styleId="Char8">
    <w:name w:val="页眉 Char"/>
    <w:basedOn w:val="a1"/>
    <w:link w:val="ad"/>
    <w:uiPriority w:val="99"/>
    <w:qFormat/>
    <w:rsid w:val="002C18FD"/>
    <w:rPr>
      <w:rFonts w:ascii="Times New Roman" w:eastAsia="宋体" w:hAnsi="Times New Roman" w:cs="Times New Roman"/>
      <w:sz w:val="18"/>
      <w:szCs w:val="18"/>
    </w:rPr>
  </w:style>
  <w:style w:type="character" w:customStyle="1" w:styleId="Char2">
    <w:name w:val="正文文本 Char"/>
    <w:basedOn w:val="a1"/>
    <w:link w:val="a7"/>
    <w:uiPriority w:val="99"/>
    <w:qFormat/>
    <w:rsid w:val="002C18FD"/>
    <w:rPr>
      <w:rFonts w:ascii="Times New Roman" w:eastAsia="宋体" w:hAnsi="Times New Roman" w:cs="Times New Roman"/>
      <w:szCs w:val="21"/>
    </w:rPr>
  </w:style>
  <w:style w:type="character" w:customStyle="1" w:styleId="Char5">
    <w:name w:val="日期 Char"/>
    <w:basedOn w:val="a1"/>
    <w:link w:val="aa"/>
    <w:rsid w:val="002C18FD"/>
    <w:rPr>
      <w:rFonts w:ascii="Times New Roman" w:eastAsia="宋体" w:hAnsi="Times New Roman" w:cs="Times New Roman"/>
      <w:sz w:val="24"/>
      <w:szCs w:val="24"/>
    </w:rPr>
  </w:style>
  <w:style w:type="character" w:customStyle="1" w:styleId="c1">
    <w:name w:val="c1"/>
    <w:basedOn w:val="a1"/>
    <w:uiPriority w:val="99"/>
    <w:qFormat/>
    <w:rsid w:val="002C18FD"/>
    <w:rPr>
      <w:color w:val="000000"/>
      <w:sz w:val="18"/>
      <w:szCs w:val="18"/>
    </w:rPr>
  </w:style>
  <w:style w:type="paragraph" w:customStyle="1" w:styleId="font5">
    <w:name w:val="font5"/>
    <w:basedOn w:val="a"/>
    <w:uiPriority w:val="99"/>
    <w:qFormat/>
    <w:rsid w:val="002C18FD"/>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2C18FD"/>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2C18F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2C18F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2C18F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2C18F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2C18FD"/>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2C18F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2C18FD"/>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2C18FD"/>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2C18FD"/>
    <w:rPr>
      <w:rFonts w:ascii="Times New Roman" w:eastAsia="宋体" w:hAnsi="Times New Roman" w:cs="Times New Roman"/>
      <w:szCs w:val="21"/>
    </w:rPr>
  </w:style>
  <w:style w:type="character" w:customStyle="1" w:styleId="Char">
    <w:name w:val="批注主题 Char"/>
    <w:basedOn w:val="Char0"/>
    <w:link w:val="a4"/>
    <w:uiPriority w:val="99"/>
    <w:semiHidden/>
    <w:qFormat/>
    <w:rsid w:val="002C18FD"/>
    <w:rPr>
      <w:rFonts w:ascii="Times New Roman" w:eastAsia="宋体" w:hAnsi="Times New Roman" w:cs="Times New Roman"/>
      <w:b/>
      <w:bCs/>
      <w:szCs w:val="21"/>
    </w:rPr>
  </w:style>
  <w:style w:type="paragraph" w:customStyle="1" w:styleId="Charb">
    <w:name w:val="Char"/>
    <w:basedOn w:val="a"/>
    <w:uiPriority w:val="99"/>
    <w:qFormat/>
    <w:rsid w:val="002C18FD"/>
  </w:style>
  <w:style w:type="character" w:customStyle="1" w:styleId="Char1">
    <w:name w:val="文档结构图 Char"/>
    <w:basedOn w:val="a1"/>
    <w:link w:val="a6"/>
    <w:uiPriority w:val="99"/>
    <w:semiHidden/>
    <w:qFormat/>
    <w:rsid w:val="002C18FD"/>
    <w:rPr>
      <w:rFonts w:ascii="Times New Roman" w:eastAsia="宋体" w:hAnsi="Times New Roman" w:cs="Times New Roman"/>
      <w:szCs w:val="21"/>
      <w:shd w:val="clear" w:color="auto" w:fill="000080"/>
    </w:rPr>
  </w:style>
  <w:style w:type="paragraph" w:customStyle="1" w:styleId="af9">
    <w:name w:val="正文 + (符号) 宋体"/>
    <w:basedOn w:val="a"/>
    <w:uiPriority w:val="99"/>
    <w:qFormat/>
    <w:rsid w:val="002C18FD"/>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qFormat/>
    <w:rsid w:val="002C18FD"/>
    <w:rPr>
      <w:rFonts w:ascii="Times New Roman" w:eastAsia="宋体" w:hAnsi="Times New Roman" w:cs="Times New Roman"/>
      <w:sz w:val="18"/>
      <w:szCs w:val="18"/>
    </w:rPr>
  </w:style>
  <w:style w:type="paragraph" w:customStyle="1" w:styleId="Char10">
    <w:name w:val="Char1"/>
    <w:basedOn w:val="a"/>
    <w:uiPriority w:val="99"/>
    <w:qFormat/>
    <w:rsid w:val="002C18FD"/>
  </w:style>
  <w:style w:type="paragraph" w:customStyle="1" w:styleId="CharCharCharCharCharChar1CharCharChar">
    <w:name w:val="Char Char Char Char Char Char1 Char Char Char"/>
    <w:basedOn w:val="a"/>
    <w:uiPriority w:val="99"/>
    <w:qFormat/>
    <w:rsid w:val="002C18FD"/>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qFormat/>
    <w:rsid w:val="002C18FD"/>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qFormat/>
    <w:rsid w:val="002C18FD"/>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2C18FD"/>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2C18FD"/>
    <w:rPr>
      <w:rFonts w:ascii="Calibri" w:eastAsia="宋体" w:hAnsi="Calibri" w:cs="Calibri"/>
      <w:sz w:val="22"/>
      <w:szCs w:val="22"/>
    </w:rPr>
  </w:style>
  <w:style w:type="character" w:customStyle="1" w:styleId="Charc">
    <w:name w:val="无间隔 Char"/>
    <w:basedOn w:val="a1"/>
    <w:link w:val="11"/>
    <w:uiPriority w:val="1"/>
    <w:qFormat/>
    <w:locked/>
    <w:rsid w:val="002C18FD"/>
    <w:rPr>
      <w:rFonts w:ascii="Calibri" w:eastAsia="宋体" w:hAnsi="Calibri" w:cs="Calibri"/>
      <w:kern w:val="0"/>
      <w:sz w:val="22"/>
    </w:rPr>
  </w:style>
  <w:style w:type="character" w:customStyle="1" w:styleId="t1">
    <w:name w:val="t1"/>
    <w:basedOn w:val="a1"/>
    <w:uiPriority w:val="99"/>
    <w:qFormat/>
    <w:rsid w:val="002C18FD"/>
    <w:rPr>
      <w:color w:val="auto"/>
    </w:rPr>
  </w:style>
  <w:style w:type="paragraph" w:customStyle="1" w:styleId="12">
    <w:name w:val="列出段落1"/>
    <w:basedOn w:val="a"/>
    <w:uiPriority w:val="34"/>
    <w:qFormat/>
    <w:rsid w:val="002C18FD"/>
    <w:pPr>
      <w:ind w:firstLineChars="200" w:firstLine="420"/>
    </w:pPr>
  </w:style>
  <w:style w:type="paragraph" w:customStyle="1" w:styleId="Default">
    <w:name w:val="Default"/>
    <w:qFormat/>
    <w:rsid w:val="002C18FD"/>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633BC03-B443-4254-8013-0F566A4118F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8595</Characters>
  <Application>Microsoft Office Word</Application>
  <DocSecurity>4</DocSecurity>
  <Lines>71</Lines>
  <Paragraphs>20</Paragraphs>
  <ScaleCrop>false</ScaleCrop>
  <Company>CNSTOCK</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dcterms:created xsi:type="dcterms:W3CDTF">2018-01-21T15:37:00Z</dcterms:created>
  <dcterms:modified xsi:type="dcterms:W3CDTF">2018-01-21T15:37:00Z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