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283" w:rsidRPr="00C04AE0" w:rsidRDefault="009A2283" w:rsidP="009A2283">
      <w:pPr>
        <w:autoSpaceDE w:val="0"/>
        <w:autoSpaceDN w:val="0"/>
        <w:adjustRightInd w:val="0"/>
        <w:spacing w:line="360" w:lineRule="auto"/>
        <w:rPr>
          <w:rFonts w:ascii="宋体" w:hAnsi="宋体"/>
          <w:color w:val="000000" w:themeColor="text1"/>
        </w:rPr>
      </w:pPr>
    </w:p>
    <w:p w:rsidR="009A2283" w:rsidRPr="00C04AE0" w:rsidRDefault="009A2283" w:rsidP="009A2283">
      <w:pPr>
        <w:autoSpaceDE w:val="0"/>
        <w:autoSpaceDN w:val="0"/>
        <w:adjustRightInd w:val="0"/>
        <w:spacing w:line="360" w:lineRule="auto"/>
        <w:rPr>
          <w:rFonts w:ascii="宋体" w:hAnsi="宋体"/>
          <w:color w:val="000000" w:themeColor="text1"/>
        </w:rPr>
      </w:pPr>
    </w:p>
    <w:p w:rsidR="00FC7F43" w:rsidRPr="00C04AE0" w:rsidRDefault="00FC7F43" w:rsidP="009A2283">
      <w:pPr>
        <w:autoSpaceDE w:val="0"/>
        <w:autoSpaceDN w:val="0"/>
        <w:adjustRightInd w:val="0"/>
        <w:spacing w:line="360" w:lineRule="auto"/>
        <w:rPr>
          <w:rFonts w:ascii="宋体" w:hAnsi="宋体"/>
          <w:color w:val="000000" w:themeColor="text1"/>
        </w:rPr>
      </w:pPr>
    </w:p>
    <w:p w:rsidR="009A2283" w:rsidRPr="00C04AE0" w:rsidRDefault="009A2283" w:rsidP="009A2283">
      <w:pPr>
        <w:autoSpaceDE w:val="0"/>
        <w:autoSpaceDN w:val="0"/>
        <w:adjustRightInd w:val="0"/>
        <w:spacing w:line="360" w:lineRule="auto"/>
        <w:rPr>
          <w:rFonts w:ascii="宋体" w:hAnsi="宋体"/>
          <w:color w:val="000000" w:themeColor="text1"/>
        </w:rPr>
      </w:pPr>
    </w:p>
    <w:p w:rsidR="009A2283" w:rsidRPr="00C04AE0" w:rsidRDefault="009A2283" w:rsidP="009A2283">
      <w:pPr>
        <w:autoSpaceDE w:val="0"/>
        <w:autoSpaceDN w:val="0"/>
        <w:adjustRightInd w:val="0"/>
        <w:spacing w:line="360" w:lineRule="auto"/>
        <w:rPr>
          <w:rFonts w:ascii="宋体" w:hAnsi="宋体"/>
          <w:color w:val="000000" w:themeColor="text1"/>
        </w:rPr>
      </w:pPr>
    </w:p>
    <w:p w:rsidR="005C4875" w:rsidRDefault="002D2A00" w:rsidP="00DD02EA">
      <w:pPr>
        <w:pStyle w:val="af7"/>
      </w:pPr>
      <w:r w:rsidRPr="00C04AE0">
        <w:t>博时安源</w:t>
      </w:r>
      <w:r w:rsidRPr="00C04AE0">
        <w:t>18</w:t>
      </w:r>
      <w:r w:rsidRPr="00C04AE0">
        <w:t>个月定期开放债券型</w:t>
      </w:r>
    </w:p>
    <w:p w:rsidR="009A2283" w:rsidRPr="00C04AE0" w:rsidRDefault="002D2A00" w:rsidP="00DD02EA">
      <w:pPr>
        <w:pStyle w:val="af7"/>
      </w:pPr>
      <w:bookmarkStart w:id="0" w:name="_GoBack"/>
      <w:bookmarkEnd w:id="0"/>
      <w:r w:rsidRPr="00C04AE0">
        <w:t>证券投资基金</w:t>
      </w:r>
    </w:p>
    <w:p w:rsidR="002D2A00" w:rsidRPr="00C04AE0" w:rsidRDefault="002D2A00" w:rsidP="00DD02EA">
      <w:pPr>
        <w:pStyle w:val="af7"/>
      </w:pPr>
      <w:r w:rsidRPr="00C04AE0">
        <w:t>2017</w:t>
      </w:r>
      <w:r w:rsidRPr="00C04AE0">
        <w:t>年第</w:t>
      </w:r>
      <w:r w:rsidRPr="00C04AE0">
        <w:t>4</w:t>
      </w:r>
      <w:r w:rsidRPr="00C04AE0">
        <w:t>季度报告</w:t>
      </w:r>
    </w:p>
    <w:p w:rsidR="009A2283" w:rsidRPr="00C04AE0" w:rsidRDefault="00121533" w:rsidP="00DD02EA">
      <w:pPr>
        <w:pStyle w:val="af7"/>
      </w:pPr>
      <w:r w:rsidRPr="00C04AE0">
        <w:t>2017</w:t>
      </w:r>
      <w:r w:rsidRPr="00C04AE0">
        <w:t>年</w:t>
      </w:r>
      <w:r w:rsidRPr="00C04AE0">
        <w:t>12</w:t>
      </w:r>
      <w:r w:rsidRPr="00C04AE0">
        <w:t>月</w:t>
      </w:r>
      <w:r w:rsidR="008B7911">
        <w:rPr>
          <w:rFonts w:hint="eastAsia"/>
        </w:rPr>
        <w:t>29</w:t>
      </w:r>
      <w:r w:rsidRPr="00C04AE0">
        <w:t>日</w:t>
      </w:r>
    </w:p>
    <w:p w:rsidR="009A2283" w:rsidRPr="00C04AE0" w:rsidRDefault="009A2283" w:rsidP="009A2283">
      <w:pPr>
        <w:spacing w:line="360" w:lineRule="auto"/>
        <w:jc w:val="center"/>
        <w:rPr>
          <w:rFonts w:ascii="宋体" w:hAnsi="宋体"/>
          <w:b/>
          <w:color w:val="000000" w:themeColor="text1"/>
        </w:rPr>
      </w:pPr>
    </w:p>
    <w:p w:rsidR="009A2283" w:rsidRPr="00C04AE0" w:rsidRDefault="009A2283" w:rsidP="009A2283">
      <w:pPr>
        <w:spacing w:line="360" w:lineRule="auto"/>
        <w:jc w:val="center"/>
        <w:rPr>
          <w:rFonts w:ascii="宋体" w:hAnsi="宋体"/>
          <w:b/>
          <w:color w:val="000000" w:themeColor="text1"/>
        </w:rPr>
      </w:pPr>
    </w:p>
    <w:p w:rsidR="009A2283" w:rsidRPr="00C04AE0" w:rsidRDefault="009A2283" w:rsidP="009A2283">
      <w:pPr>
        <w:spacing w:line="360" w:lineRule="auto"/>
        <w:jc w:val="center"/>
        <w:rPr>
          <w:rFonts w:ascii="宋体" w:hAnsi="宋体"/>
          <w:b/>
          <w:color w:val="000000" w:themeColor="text1"/>
        </w:rPr>
      </w:pPr>
    </w:p>
    <w:p w:rsidR="009A2283" w:rsidRPr="00C04AE0" w:rsidRDefault="009A2283" w:rsidP="009A2283">
      <w:pPr>
        <w:spacing w:line="360" w:lineRule="auto"/>
        <w:jc w:val="center"/>
        <w:rPr>
          <w:rFonts w:ascii="宋体" w:hAnsi="宋体"/>
          <w:b/>
          <w:color w:val="000000" w:themeColor="text1"/>
        </w:rPr>
      </w:pPr>
    </w:p>
    <w:p w:rsidR="009A2283" w:rsidRPr="00C04AE0" w:rsidRDefault="009A2283" w:rsidP="009A2283">
      <w:pPr>
        <w:spacing w:line="360" w:lineRule="auto"/>
        <w:jc w:val="center"/>
        <w:rPr>
          <w:rFonts w:ascii="宋体" w:hAnsi="宋体"/>
          <w:b/>
          <w:color w:val="000000" w:themeColor="text1"/>
        </w:rPr>
      </w:pPr>
    </w:p>
    <w:p w:rsidR="009A2283" w:rsidRPr="00C04AE0" w:rsidRDefault="009A2283" w:rsidP="009A2283">
      <w:pPr>
        <w:spacing w:line="360" w:lineRule="auto"/>
        <w:jc w:val="center"/>
        <w:rPr>
          <w:rFonts w:ascii="宋体" w:hAnsi="宋体"/>
          <w:b/>
          <w:color w:val="000000" w:themeColor="text1"/>
        </w:rPr>
      </w:pPr>
    </w:p>
    <w:p w:rsidR="009A2283" w:rsidRPr="00C04AE0" w:rsidRDefault="009A2283" w:rsidP="009A2283">
      <w:pPr>
        <w:spacing w:line="360" w:lineRule="auto"/>
        <w:jc w:val="center"/>
        <w:rPr>
          <w:rFonts w:ascii="宋体" w:hAnsi="宋体"/>
          <w:b/>
          <w:color w:val="000000" w:themeColor="text1"/>
        </w:rPr>
      </w:pPr>
    </w:p>
    <w:p w:rsidR="009A2283" w:rsidRPr="00C04AE0" w:rsidRDefault="009A2283" w:rsidP="009A2283">
      <w:pPr>
        <w:spacing w:line="360" w:lineRule="auto"/>
        <w:jc w:val="center"/>
        <w:rPr>
          <w:rFonts w:ascii="宋体" w:hAnsi="宋体"/>
          <w:b/>
          <w:color w:val="000000" w:themeColor="text1"/>
        </w:rPr>
      </w:pPr>
    </w:p>
    <w:p w:rsidR="009A2283" w:rsidRPr="00C04AE0" w:rsidRDefault="009A2283" w:rsidP="009A2283">
      <w:pPr>
        <w:spacing w:line="360" w:lineRule="auto"/>
        <w:jc w:val="center"/>
        <w:rPr>
          <w:rFonts w:ascii="宋体" w:hAnsi="宋体"/>
          <w:b/>
          <w:color w:val="000000" w:themeColor="text1"/>
        </w:rPr>
      </w:pPr>
    </w:p>
    <w:p w:rsidR="009A2283" w:rsidRPr="00C04AE0" w:rsidRDefault="009A2283" w:rsidP="00C04AE0">
      <w:pPr>
        <w:spacing w:line="360" w:lineRule="auto"/>
        <w:rPr>
          <w:rFonts w:ascii="宋体" w:hAnsi="宋体"/>
          <w:b/>
          <w:color w:val="000000" w:themeColor="text1"/>
        </w:rPr>
      </w:pPr>
    </w:p>
    <w:p w:rsidR="009A2283" w:rsidRDefault="009A2283" w:rsidP="009A2283">
      <w:pPr>
        <w:spacing w:line="360" w:lineRule="auto"/>
        <w:rPr>
          <w:rFonts w:ascii="宋体" w:hAnsi="宋体"/>
          <w:b/>
          <w:color w:val="000000" w:themeColor="text1"/>
        </w:rPr>
      </w:pPr>
    </w:p>
    <w:p w:rsidR="00937248" w:rsidRDefault="00937248" w:rsidP="009A2283">
      <w:pPr>
        <w:spacing w:line="360" w:lineRule="auto"/>
        <w:rPr>
          <w:rFonts w:ascii="宋体" w:hAnsi="宋体"/>
          <w:b/>
          <w:color w:val="000000" w:themeColor="text1"/>
        </w:rPr>
      </w:pPr>
    </w:p>
    <w:p w:rsidR="00937248" w:rsidRPr="00C04AE0" w:rsidRDefault="00937248" w:rsidP="009A2283">
      <w:pPr>
        <w:spacing w:line="360" w:lineRule="auto"/>
        <w:rPr>
          <w:rFonts w:ascii="宋体" w:hAnsi="宋体"/>
          <w:b/>
          <w:color w:val="000000" w:themeColor="text1"/>
        </w:rPr>
      </w:pPr>
    </w:p>
    <w:p w:rsidR="009A2283" w:rsidRPr="00DD02EA" w:rsidRDefault="009A2283" w:rsidP="00C04AE0">
      <w:pPr>
        <w:spacing w:line="360" w:lineRule="auto"/>
        <w:jc w:val="center"/>
        <w:rPr>
          <w:rStyle w:val="af6"/>
        </w:rPr>
      </w:pPr>
      <w:r w:rsidRPr="00DD02EA">
        <w:rPr>
          <w:rStyle w:val="af6"/>
        </w:rPr>
        <w:t>基金管理人：</w:t>
      </w:r>
      <w:r w:rsidR="00BF377F" w:rsidRPr="00DD02EA">
        <w:rPr>
          <w:rStyle w:val="af6"/>
        </w:rPr>
        <w:t>博时基金管理有限公司</w:t>
      </w:r>
    </w:p>
    <w:p w:rsidR="009A2283" w:rsidRPr="00DD02EA" w:rsidRDefault="009A2283" w:rsidP="00C04AE0">
      <w:pPr>
        <w:spacing w:line="360" w:lineRule="auto"/>
        <w:jc w:val="center"/>
        <w:rPr>
          <w:rStyle w:val="af6"/>
        </w:rPr>
      </w:pPr>
      <w:r w:rsidRPr="00DD02EA">
        <w:rPr>
          <w:rStyle w:val="af6"/>
        </w:rPr>
        <w:t>基金托管人：</w:t>
      </w:r>
      <w:r w:rsidR="00BF377F" w:rsidRPr="00DD02EA">
        <w:rPr>
          <w:rStyle w:val="af6"/>
        </w:rPr>
        <w:t>交通银行股份有限公司</w:t>
      </w:r>
    </w:p>
    <w:p w:rsidR="009A2283" w:rsidRPr="00DD02EA" w:rsidRDefault="009A2283" w:rsidP="00C04AE0">
      <w:pPr>
        <w:spacing w:line="360" w:lineRule="auto"/>
        <w:jc w:val="center"/>
        <w:rPr>
          <w:rStyle w:val="af6"/>
        </w:rPr>
        <w:sectPr w:rsidR="009A2283" w:rsidRPr="00DD02EA" w:rsidSect="002263D2">
          <w:headerReference w:type="default" r:id="rId8"/>
          <w:pgSz w:w="11907" w:h="16839" w:code="9"/>
          <w:pgMar w:top="1236" w:right="1418" w:bottom="1418" w:left="1418" w:header="851" w:footer="992" w:gutter="0"/>
          <w:cols w:space="720"/>
          <w:noEndnote/>
          <w:docGrid w:linePitch="286"/>
        </w:sectPr>
      </w:pPr>
      <w:r w:rsidRPr="00DD02EA">
        <w:rPr>
          <w:rStyle w:val="af6"/>
        </w:rPr>
        <w:t>报告送出日期：</w:t>
      </w:r>
      <w:r w:rsidR="00D04410" w:rsidRPr="00DD02EA">
        <w:rPr>
          <w:rStyle w:val="af6"/>
        </w:rPr>
        <w:t>二〇一八年一月二十日</w:t>
      </w:r>
    </w:p>
    <w:p w:rsidR="009238DB" w:rsidRPr="00DD02EA" w:rsidRDefault="009238DB" w:rsidP="00356901">
      <w:pPr>
        <w:pStyle w:val="2"/>
        <w:ind w:left="210" w:right="210"/>
      </w:pPr>
      <w:r w:rsidRPr="00DD02EA">
        <w:lastRenderedPageBreak/>
        <w:t xml:space="preserve">§1  </w:t>
      </w:r>
      <w:r w:rsidRPr="00DD02EA">
        <w:t>重要提示</w:t>
      </w:r>
    </w:p>
    <w:p w:rsidR="00BB2831" w:rsidRDefault="004B6FE5">
      <w:pPr>
        <w:pStyle w:val="new"/>
      </w:pPr>
      <w:r>
        <w:t xml:space="preserve">基金管理人的董事会及董事保证本报告所载资料不存在虚假记载、误导性陈述或重大遗漏，并对其内容的真实性、准确性和完整性承担个别及连带责任。 </w:t>
      </w:r>
    </w:p>
    <w:p w:rsidR="00BB2831" w:rsidRDefault="004B6FE5">
      <w:pPr>
        <w:pStyle w:val="new"/>
      </w:pPr>
      <w:r>
        <w:t xml:space="preserve">基金托管人交通银行股份有限公司根据本基金合同规定，于2018年1月19日复核了本报告中的财务指标、净值表现和投资组合报告等内容，保证复核内容不存在虚假记载、误导性陈述或者重大遗漏。 </w:t>
      </w:r>
    </w:p>
    <w:p w:rsidR="00BB2831" w:rsidRDefault="004B6FE5">
      <w:pPr>
        <w:pStyle w:val="new"/>
      </w:pPr>
      <w:r>
        <w:t xml:space="preserve">基金管理人承诺以诚实信用、勤勉尽责的原则管理和运用基金资产，但不保证基金一定盈利。 </w:t>
      </w:r>
    </w:p>
    <w:p w:rsidR="00BB2831" w:rsidRDefault="004B6FE5">
      <w:pPr>
        <w:pStyle w:val="new"/>
      </w:pPr>
      <w:r>
        <w:t xml:space="preserve">基金的过往业绩并不代表其未来表现。投资有风险，投资者在作出投资决策前应仔细阅读本基金的招募说明书。 </w:t>
      </w:r>
    </w:p>
    <w:p w:rsidR="00BB2831" w:rsidRDefault="004B6FE5">
      <w:pPr>
        <w:pStyle w:val="new"/>
      </w:pPr>
      <w:r>
        <w:t xml:space="preserve">本报告中财务资料未经审计。 </w:t>
      </w:r>
    </w:p>
    <w:p w:rsidR="009238DB" w:rsidRPr="00D515F2" w:rsidRDefault="00267DA9" w:rsidP="00DD02EA">
      <w:pPr>
        <w:pStyle w:val="new"/>
      </w:pPr>
      <w:r w:rsidRPr="00D515F2">
        <w:t>本报告期自2017年10月1日起至12月</w:t>
      </w:r>
      <w:r w:rsidR="00F250C6">
        <w:rPr>
          <w:rFonts w:hint="eastAsia"/>
        </w:rPr>
        <w:t>29</w:t>
      </w:r>
      <w:r w:rsidRPr="00D515F2">
        <w:t>日止。</w:t>
      </w:r>
    </w:p>
    <w:p w:rsidR="009238DB" w:rsidRPr="00DD02EA" w:rsidRDefault="009238DB" w:rsidP="00356901">
      <w:pPr>
        <w:pStyle w:val="2"/>
        <w:ind w:left="210" w:right="210"/>
      </w:pPr>
      <w:r w:rsidRPr="00DD02EA">
        <w:t xml:space="preserve">§2  </w:t>
      </w:r>
      <w:r w:rsidRPr="00DD02EA">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3118"/>
        <w:gridCol w:w="3260"/>
      </w:tblGrid>
      <w:tr w:rsidR="0086758B" w:rsidRPr="00D515F2" w:rsidTr="0008352F">
        <w:tc>
          <w:tcPr>
            <w:tcW w:w="2694" w:type="dxa"/>
            <w:vAlign w:val="center"/>
          </w:tcPr>
          <w:p w:rsidR="00A6200E" w:rsidRPr="00D515F2" w:rsidRDefault="00A6200E" w:rsidP="00CB141F">
            <w:pPr>
              <w:pStyle w:val="aff2"/>
            </w:pPr>
            <w:r w:rsidRPr="00D515F2">
              <w:t>基金简称</w:t>
            </w:r>
          </w:p>
        </w:tc>
        <w:tc>
          <w:tcPr>
            <w:tcW w:w="6378" w:type="dxa"/>
            <w:gridSpan w:val="2"/>
            <w:vAlign w:val="center"/>
          </w:tcPr>
          <w:p w:rsidR="00A6200E" w:rsidRPr="00D515F2" w:rsidRDefault="00A6200E" w:rsidP="00CB141F">
            <w:pPr>
              <w:pStyle w:val="aff2"/>
            </w:pPr>
            <w:r w:rsidRPr="00D515F2">
              <w:t>博时安源</w:t>
            </w:r>
            <w:r w:rsidRPr="00D515F2">
              <w:t>18</w:t>
            </w:r>
            <w:r w:rsidRPr="00D515F2">
              <w:t>个月定开债</w:t>
            </w:r>
          </w:p>
        </w:tc>
      </w:tr>
      <w:tr w:rsidR="0086758B" w:rsidRPr="00D515F2" w:rsidTr="0008352F">
        <w:tc>
          <w:tcPr>
            <w:tcW w:w="2694" w:type="dxa"/>
            <w:vAlign w:val="center"/>
          </w:tcPr>
          <w:p w:rsidR="00B95753" w:rsidRPr="00D515F2" w:rsidRDefault="00B95753" w:rsidP="00CB141F">
            <w:pPr>
              <w:pStyle w:val="aff2"/>
            </w:pPr>
            <w:r w:rsidRPr="00D515F2">
              <w:t>基金主代码</w:t>
            </w:r>
          </w:p>
        </w:tc>
        <w:tc>
          <w:tcPr>
            <w:tcW w:w="6378" w:type="dxa"/>
            <w:gridSpan w:val="2"/>
            <w:tcBorders>
              <w:bottom w:val="single" w:sz="4" w:space="0" w:color="auto"/>
            </w:tcBorders>
            <w:vAlign w:val="center"/>
          </w:tcPr>
          <w:p w:rsidR="00B95753" w:rsidRPr="00D515F2" w:rsidRDefault="00B95753" w:rsidP="00CB141F">
            <w:pPr>
              <w:pStyle w:val="aff2"/>
            </w:pPr>
            <w:r w:rsidRPr="00D515F2">
              <w:t>002761</w:t>
            </w:r>
          </w:p>
        </w:tc>
      </w:tr>
      <w:tr w:rsidR="0086758B" w:rsidRPr="00D515F2" w:rsidTr="0008352F">
        <w:tc>
          <w:tcPr>
            <w:tcW w:w="2694" w:type="dxa"/>
            <w:vAlign w:val="center"/>
          </w:tcPr>
          <w:p w:rsidR="008532F3" w:rsidRPr="00D515F2" w:rsidRDefault="008532F3" w:rsidP="00CB141F">
            <w:pPr>
              <w:pStyle w:val="aff2"/>
            </w:pPr>
            <w:r w:rsidRPr="00D515F2">
              <w:t>基金运作方式</w:t>
            </w:r>
          </w:p>
        </w:tc>
        <w:tc>
          <w:tcPr>
            <w:tcW w:w="6378" w:type="dxa"/>
            <w:gridSpan w:val="2"/>
            <w:tcBorders>
              <w:top w:val="single" w:sz="4" w:space="0" w:color="auto"/>
            </w:tcBorders>
            <w:vAlign w:val="center"/>
          </w:tcPr>
          <w:p w:rsidR="008532F3" w:rsidRPr="00D515F2" w:rsidRDefault="008532F3" w:rsidP="00CB141F">
            <w:pPr>
              <w:pStyle w:val="aff2"/>
            </w:pPr>
            <w:r w:rsidRPr="00D515F2">
              <w:t>契约开放式</w:t>
            </w:r>
          </w:p>
        </w:tc>
      </w:tr>
      <w:tr w:rsidR="0086758B" w:rsidRPr="00D515F2" w:rsidTr="0008352F">
        <w:tc>
          <w:tcPr>
            <w:tcW w:w="2694" w:type="dxa"/>
            <w:vAlign w:val="center"/>
          </w:tcPr>
          <w:p w:rsidR="008532F3" w:rsidRPr="00D515F2" w:rsidRDefault="008532F3" w:rsidP="00CB141F">
            <w:pPr>
              <w:pStyle w:val="aff2"/>
            </w:pPr>
            <w:r w:rsidRPr="00D515F2">
              <w:t>基金合同生效日</w:t>
            </w:r>
          </w:p>
        </w:tc>
        <w:tc>
          <w:tcPr>
            <w:tcW w:w="6378" w:type="dxa"/>
            <w:gridSpan w:val="2"/>
            <w:vAlign w:val="center"/>
          </w:tcPr>
          <w:p w:rsidR="008532F3" w:rsidRPr="00D515F2" w:rsidRDefault="008532F3" w:rsidP="00CB141F">
            <w:pPr>
              <w:pStyle w:val="aff2"/>
            </w:pPr>
            <w:r w:rsidRPr="00D515F2">
              <w:t>2016</w:t>
            </w:r>
            <w:r w:rsidRPr="00D515F2">
              <w:t>年</w:t>
            </w:r>
            <w:r w:rsidRPr="00D515F2">
              <w:t>6</w:t>
            </w:r>
            <w:r w:rsidRPr="00D515F2">
              <w:t>月</w:t>
            </w:r>
            <w:r w:rsidRPr="00D515F2">
              <w:t>16</w:t>
            </w:r>
            <w:r w:rsidRPr="00D515F2">
              <w:t>日</w:t>
            </w:r>
          </w:p>
        </w:tc>
      </w:tr>
      <w:tr w:rsidR="0086758B" w:rsidRPr="00D515F2" w:rsidTr="0008352F">
        <w:tc>
          <w:tcPr>
            <w:tcW w:w="2694" w:type="dxa"/>
            <w:vAlign w:val="center"/>
          </w:tcPr>
          <w:p w:rsidR="008532F3" w:rsidRPr="00D515F2" w:rsidRDefault="008532F3" w:rsidP="00CB141F">
            <w:pPr>
              <w:pStyle w:val="aff2"/>
            </w:pPr>
            <w:r w:rsidRPr="00D515F2">
              <w:t>报告期末基金份额总额</w:t>
            </w:r>
          </w:p>
        </w:tc>
        <w:tc>
          <w:tcPr>
            <w:tcW w:w="6378" w:type="dxa"/>
            <w:gridSpan w:val="2"/>
            <w:vAlign w:val="center"/>
          </w:tcPr>
          <w:p w:rsidR="008532F3" w:rsidRPr="00D515F2" w:rsidRDefault="008532F3" w:rsidP="00CB141F">
            <w:pPr>
              <w:pStyle w:val="aff2"/>
            </w:pPr>
            <w:r w:rsidRPr="00D515F2">
              <w:t>12,567,015.30</w:t>
            </w:r>
            <w:r w:rsidRPr="00D515F2">
              <w:t>份</w:t>
            </w:r>
          </w:p>
        </w:tc>
      </w:tr>
      <w:tr w:rsidR="0086758B" w:rsidRPr="00D515F2" w:rsidTr="0008352F">
        <w:tc>
          <w:tcPr>
            <w:tcW w:w="2694" w:type="dxa"/>
            <w:vAlign w:val="center"/>
          </w:tcPr>
          <w:p w:rsidR="008532F3" w:rsidRPr="00D515F2" w:rsidRDefault="008532F3" w:rsidP="00CB141F">
            <w:pPr>
              <w:pStyle w:val="aff2"/>
            </w:pPr>
            <w:r w:rsidRPr="00D515F2">
              <w:t>投资目标</w:t>
            </w:r>
          </w:p>
        </w:tc>
        <w:tc>
          <w:tcPr>
            <w:tcW w:w="6378" w:type="dxa"/>
            <w:gridSpan w:val="2"/>
            <w:vAlign w:val="center"/>
          </w:tcPr>
          <w:p w:rsidR="008532F3" w:rsidRPr="00D515F2" w:rsidRDefault="008532F3" w:rsidP="00CB141F">
            <w:pPr>
              <w:pStyle w:val="aff2"/>
            </w:pPr>
            <w:r w:rsidRPr="00D515F2">
              <w:t>在谨慎投资的前提下，本基金力争战胜业绩比较基准，追求基金资产的长期、稳健、持续增值</w:t>
            </w:r>
          </w:p>
        </w:tc>
      </w:tr>
      <w:tr w:rsidR="0086758B" w:rsidRPr="00D515F2" w:rsidTr="0008352F">
        <w:tc>
          <w:tcPr>
            <w:tcW w:w="2694" w:type="dxa"/>
            <w:vAlign w:val="center"/>
          </w:tcPr>
          <w:p w:rsidR="008532F3" w:rsidRPr="00D515F2" w:rsidRDefault="008532F3" w:rsidP="00CB141F">
            <w:pPr>
              <w:pStyle w:val="aff2"/>
            </w:pPr>
            <w:r w:rsidRPr="00D515F2">
              <w:t>投资策略</w:t>
            </w:r>
          </w:p>
        </w:tc>
        <w:tc>
          <w:tcPr>
            <w:tcW w:w="6378" w:type="dxa"/>
            <w:gridSpan w:val="2"/>
            <w:vAlign w:val="center"/>
          </w:tcPr>
          <w:p w:rsidR="008532F3" w:rsidRPr="00D515F2" w:rsidRDefault="008532F3" w:rsidP="00CB141F">
            <w:pPr>
              <w:pStyle w:val="aff2"/>
            </w:pPr>
            <w:r w:rsidRPr="00D515F2">
              <w:t>本基金的主要投资策略是买入与封闭期相匹配的债券，并持有到期，或者是持有回售期与封闭期相匹配的债券，获得本金和票息收入；同时，根据所持债券信用状况变化，进行必要的动态调整；在谨慎投资的前提下，力争获取高于业绩比较基准的投资收益。</w:t>
            </w:r>
          </w:p>
        </w:tc>
      </w:tr>
      <w:tr w:rsidR="0086758B" w:rsidRPr="00D515F2" w:rsidTr="0008352F">
        <w:tc>
          <w:tcPr>
            <w:tcW w:w="2694" w:type="dxa"/>
            <w:vAlign w:val="center"/>
          </w:tcPr>
          <w:p w:rsidR="008532F3" w:rsidRPr="00D515F2" w:rsidRDefault="008532F3" w:rsidP="00CB141F">
            <w:pPr>
              <w:pStyle w:val="aff2"/>
            </w:pPr>
            <w:r w:rsidRPr="00D515F2">
              <w:t>业绩比较基准</w:t>
            </w:r>
          </w:p>
        </w:tc>
        <w:tc>
          <w:tcPr>
            <w:tcW w:w="6378" w:type="dxa"/>
            <w:gridSpan w:val="2"/>
            <w:vAlign w:val="center"/>
          </w:tcPr>
          <w:p w:rsidR="008532F3" w:rsidRPr="00D515F2" w:rsidRDefault="008532F3" w:rsidP="00CB141F">
            <w:pPr>
              <w:pStyle w:val="aff2"/>
            </w:pPr>
            <w:r w:rsidRPr="00D515F2">
              <w:t>本基金的业绩比较基准为：中债综合指数（总财富）收益率</w:t>
            </w:r>
            <w:r w:rsidRPr="00D515F2">
              <w:t>×90%+1</w:t>
            </w:r>
            <w:r w:rsidRPr="00D515F2">
              <w:t>年期定期存款利率（税后）</w:t>
            </w:r>
            <w:r w:rsidRPr="00D515F2">
              <w:t>×10%</w:t>
            </w:r>
            <w:r w:rsidRPr="00D515F2">
              <w:t>。</w:t>
            </w:r>
          </w:p>
        </w:tc>
      </w:tr>
      <w:tr w:rsidR="0086758B" w:rsidRPr="00D515F2" w:rsidTr="0008352F">
        <w:tc>
          <w:tcPr>
            <w:tcW w:w="2694" w:type="dxa"/>
            <w:vAlign w:val="center"/>
          </w:tcPr>
          <w:p w:rsidR="008532F3" w:rsidRPr="00D515F2" w:rsidRDefault="008532F3" w:rsidP="00CB141F">
            <w:pPr>
              <w:pStyle w:val="aff2"/>
            </w:pPr>
            <w:r w:rsidRPr="00D515F2">
              <w:t>风险收益特征</w:t>
            </w:r>
          </w:p>
        </w:tc>
        <w:tc>
          <w:tcPr>
            <w:tcW w:w="6378" w:type="dxa"/>
            <w:gridSpan w:val="2"/>
            <w:vAlign w:val="center"/>
          </w:tcPr>
          <w:p w:rsidR="008532F3" w:rsidRPr="00D515F2" w:rsidRDefault="008532F3" w:rsidP="00CB141F">
            <w:pPr>
              <w:pStyle w:val="aff2"/>
            </w:pPr>
            <w:r w:rsidRPr="00D515F2">
              <w:t>本基金为债券型基金，预期收益和预期风险高于货币市场基金，低于混合型基金、股票型基金，属于中低风险</w:t>
            </w:r>
            <w:r w:rsidRPr="00D515F2">
              <w:t>/</w:t>
            </w:r>
            <w:r w:rsidRPr="00D515F2">
              <w:t>收益的产品。</w:t>
            </w:r>
          </w:p>
        </w:tc>
      </w:tr>
      <w:tr w:rsidR="0086758B" w:rsidRPr="00D515F2" w:rsidTr="0008352F">
        <w:tc>
          <w:tcPr>
            <w:tcW w:w="2694" w:type="dxa"/>
            <w:vAlign w:val="center"/>
          </w:tcPr>
          <w:p w:rsidR="008532F3" w:rsidRPr="00D515F2" w:rsidRDefault="008532F3" w:rsidP="00CB141F">
            <w:pPr>
              <w:pStyle w:val="aff2"/>
            </w:pPr>
            <w:r w:rsidRPr="00D515F2">
              <w:t>基金管理人</w:t>
            </w:r>
          </w:p>
        </w:tc>
        <w:tc>
          <w:tcPr>
            <w:tcW w:w="6378" w:type="dxa"/>
            <w:gridSpan w:val="2"/>
            <w:vAlign w:val="center"/>
          </w:tcPr>
          <w:p w:rsidR="008532F3" w:rsidRPr="00D515F2" w:rsidRDefault="008532F3" w:rsidP="00CB141F">
            <w:pPr>
              <w:pStyle w:val="aff2"/>
            </w:pPr>
            <w:r w:rsidRPr="00D515F2">
              <w:t>博时基金管理有限公司</w:t>
            </w:r>
          </w:p>
        </w:tc>
      </w:tr>
      <w:tr w:rsidR="0086758B" w:rsidRPr="00D515F2" w:rsidTr="0008352F">
        <w:tc>
          <w:tcPr>
            <w:tcW w:w="2694" w:type="dxa"/>
            <w:vAlign w:val="center"/>
          </w:tcPr>
          <w:p w:rsidR="008532F3" w:rsidRPr="00D515F2" w:rsidRDefault="008532F3" w:rsidP="00CB141F">
            <w:pPr>
              <w:pStyle w:val="aff2"/>
            </w:pPr>
            <w:r w:rsidRPr="00D515F2">
              <w:t>基金托管人</w:t>
            </w:r>
          </w:p>
        </w:tc>
        <w:tc>
          <w:tcPr>
            <w:tcW w:w="6378" w:type="dxa"/>
            <w:gridSpan w:val="2"/>
            <w:vAlign w:val="center"/>
          </w:tcPr>
          <w:p w:rsidR="008532F3" w:rsidRPr="00D515F2" w:rsidRDefault="008532F3" w:rsidP="00CB141F">
            <w:pPr>
              <w:pStyle w:val="aff2"/>
            </w:pPr>
            <w:r w:rsidRPr="00D515F2">
              <w:t>交通银行股份有限公司</w:t>
            </w:r>
          </w:p>
        </w:tc>
      </w:tr>
      <w:tr w:rsidR="0086758B" w:rsidRPr="00D515F2" w:rsidTr="0008352F">
        <w:tc>
          <w:tcPr>
            <w:tcW w:w="2694" w:type="dxa"/>
            <w:vAlign w:val="center"/>
          </w:tcPr>
          <w:p w:rsidR="008532F3" w:rsidRPr="00D515F2" w:rsidRDefault="00CE7331" w:rsidP="00CB141F">
            <w:pPr>
              <w:pStyle w:val="aff2"/>
            </w:pPr>
            <w:r>
              <w:t>下属</w:t>
            </w:r>
            <w:r>
              <w:rPr>
                <w:rFonts w:hint="eastAsia"/>
              </w:rPr>
              <w:t>分</w:t>
            </w:r>
            <w:r w:rsidR="008532F3" w:rsidRPr="00D515F2">
              <w:t>级基金的基金简称</w:t>
            </w:r>
          </w:p>
        </w:tc>
        <w:tc>
          <w:tcPr>
            <w:tcW w:w="3118" w:type="dxa"/>
            <w:vAlign w:val="center"/>
          </w:tcPr>
          <w:p w:rsidR="008532F3" w:rsidRPr="00D515F2" w:rsidRDefault="008532F3" w:rsidP="00CB141F">
            <w:pPr>
              <w:pStyle w:val="aff2"/>
            </w:pPr>
            <w:r w:rsidRPr="00D515F2">
              <w:t>博时安源</w:t>
            </w:r>
            <w:r w:rsidRPr="00D515F2">
              <w:t>18</w:t>
            </w:r>
            <w:r w:rsidRPr="00D515F2">
              <w:t>个月定开债</w:t>
            </w:r>
            <w:r w:rsidRPr="00D515F2">
              <w:t>A</w:t>
            </w:r>
          </w:p>
        </w:tc>
        <w:tc>
          <w:tcPr>
            <w:tcW w:w="3260" w:type="dxa"/>
            <w:vAlign w:val="center"/>
          </w:tcPr>
          <w:p w:rsidR="008532F3" w:rsidRPr="00D515F2" w:rsidRDefault="008532F3" w:rsidP="00CB141F">
            <w:pPr>
              <w:pStyle w:val="aff2"/>
            </w:pPr>
            <w:r w:rsidRPr="00D515F2">
              <w:t>博时安源</w:t>
            </w:r>
            <w:r w:rsidRPr="00D515F2">
              <w:t>18</w:t>
            </w:r>
            <w:r w:rsidRPr="00D515F2">
              <w:t>个月定开债</w:t>
            </w:r>
            <w:r w:rsidRPr="00D515F2">
              <w:t>C</w:t>
            </w:r>
          </w:p>
        </w:tc>
      </w:tr>
      <w:tr w:rsidR="0086758B" w:rsidRPr="00D515F2" w:rsidTr="0008352F">
        <w:tc>
          <w:tcPr>
            <w:tcW w:w="2694" w:type="dxa"/>
            <w:vAlign w:val="center"/>
          </w:tcPr>
          <w:p w:rsidR="008532F3" w:rsidRPr="00D515F2" w:rsidRDefault="00CE7331" w:rsidP="00CB141F">
            <w:pPr>
              <w:pStyle w:val="aff2"/>
            </w:pPr>
            <w:r>
              <w:t>下属</w:t>
            </w:r>
            <w:r>
              <w:rPr>
                <w:rFonts w:hint="eastAsia"/>
              </w:rPr>
              <w:t>分</w:t>
            </w:r>
            <w:r w:rsidR="008532F3" w:rsidRPr="00D515F2">
              <w:t>级基金的交易代码</w:t>
            </w:r>
          </w:p>
        </w:tc>
        <w:tc>
          <w:tcPr>
            <w:tcW w:w="3118" w:type="dxa"/>
            <w:vAlign w:val="center"/>
          </w:tcPr>
          <w:p w:rsidR="008532F3" w:rsidRPr="00D515F2" w:rsidRDefault="008532F3" w:rsidP="00CB141F">
            <w:pPr>
              <w:pStyle w:val="aff2"/>
            </w:pPr>
            <w:r w:rsidRPr="00D515F2">
              <w:t>002761</w:t>
            </w:r>
          </w:p>
        </w:tc>
        <w:tc>
          <w:tcPr>
            <w:tcW w:w="3260" w:type="dxa"/>
            <w:vAlign w:val="center"/>
          </w:tcPr>
          <w:p w:rsidR="008532F3" w:rsidRPr="00D515F2" w:rsidRDefault="008532F3" w:rsidP="00CB141F">
            <w:pPr>
              <w:pStyle w:val="aff2"/>
            </w:pPr>
            <w:r w:rsidRPr="00D515F2">
              <w:t>002762</w:t>
            </w:r>
          </w:p>
        </w:tc>
      </w:tr>
      <w:tr w:rsidR="0086758B" w:rsidRPr="00D515F2" w:rsidTr="0008352F">
        <w:tc>
          <w:tcPr>
            <w:tcW w:w="2694" w:type="dxa"/>
            <w:vAlign w:val="center"/>
          </w:tcPr>
          <w:p w:rsidR="00F22F9F" w:rsidRPr="00D515F2" w:rsidRDefault="00CE7331" w:rsidP="00CB141F">
            <w:pPr>
              <w:pStyle w:val="aff2"/>
            </w:pPr>
            <w:r>
              <w:t>报告期末下属</w:t>
            </w:r>
            <w:r>
              <w:rPr>
                <w:rFonts w:hint="eastAsia"/>
              </w:rPr>
              <w:t>分</w:t>
            </w:r>
            <w:r w:rsidR="00F22F9F" w:rsidRPr="00D515F2">
              <w:t>级基金的份额总额</w:t>
            </w:r>
          </w:p>
        </w:tc>
        <w:tc>
          <w:tcPr>
            <w:tcW w:w="3118" w:type="dxa"/>
            <w:vAlign w:val="center"/>
          </w:tcPr>
          <w:p w:rsidR="00F22F9F" w:rsidRPr="00D515F2" w:rsidRDefault="00F22F9F" w:rsidP="00CB141F">
            <w:pPr>
              <w:pStyle w:val="aff2"/>
            </w:pPr>
            <w:r w:rsidRPr="00D515F2">
              <w:t>11,440,255.68</w:t>
            </w:r>
            <w:r w:rsidRPr="00D515F2">
              <w:t>份</w:t>
            </w:r>
          </w:p>
        </w:tc>
        <w:tc>
          <w:tcPr>
            <w:tcW w:w="3260" w:type="dxa"/>
            <w:vAlign w:val="center"/>
          </w:tcPr>
          <w:p w:rsidR="00F22F9F" w:rsidRPr="00D515F2" w:rsidRDefault="00F22F9F" w:rsidP="00CB141F">
            <w:pPr>
              <w:pStyle w:val="aff2"/>
            </w:pPr>
            <w:r w:rsidRPr="00D515F2">
              <w:t>1,126,759.62</w:t>
            </w:r>
            <w:r w:rsidRPr="00D515F2">
              <w:t>份</w:t>
            </w:r>
          </w:p>
        </w:tc>
      </w:tr>
    </w:tbl>
    <w:p w:rsidR="009238DB" w:rsidRPr="00DD02EA" w:rsidRDefault="009238DB" w:rsidP="00356901">
      <w:pPr>
        <w:pStyle w:val="2"/>
        <w:ind w:left="210" w:right="210"/>
      </w:pPr>
      <w:r w:rsidRPr="00DD02EA">
        <w:t xml:space="preserve">§3  </w:t>
      </w:r>
      <w:r w:rsidRPr="00DD02EA">
        <w:t>主要财务指标和基金净值表现</w:t>
      </w:r>
    </w:p>
    <w:p w:rsidR="009238DB" w:rsidRPr="00832A15" w:rsidRDefault="009238DB" w:rsidP="002263D2">
      <w:pPr>
        <w:pStyle w:val="xx"/>
      </w:pPr>
      <w:r w:rsidRPr="00832A15">
        <w:t xml:space="preserve">3.1 </w:t>
      </w:r>
      <w:r w:rsidRPr="00832A15">
        <w:t>主要财务指标</w:t>
      </w:r>
    </w:p>
    <w:p w:rsidR="009238DB" w:rsidRPr="00D515F2" w:rsidRDefault="009238DB" w:rsidP="00DD02EA">
      <w:pPr>
        <w:pStyle w:val="aff2"/>
        <w:jc w:val="right"/>
      </w:pPr>
      <w:r w:rsidRPr="00D515F2">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3047"/>
        <w:gridCol w:w="3048"/>
      </w:tblGrid>
      <w:tr w:rsidR="0086758B" w:rsidRPr="00EB30DF" w:rsidTr="00CE1020">
        <w:tc>
          <w:tcPr>
            <w:tcW w:w="2977" w:type="dxa"/>
            <w:vMerge w:val="restart"/>
            <w:vAlign w:val="center"/>
          </w:tcPr>
          <w:p w:rsidR="009E549D" w:rsidRPr="00EB30DF" w:rsidRDefault="009E549D" w:rsidP="00CB141F">
            <w:pPr>
              <w:pStyle w:val="aff2"/>
              <w:jc w:val="center"/>
            </w:pPr>
            <w:r w:rsidRPr="00EB30DF">
              <w:lastRenderedPageBreak/>
              <w:t>主要财务指标</w:t>
            </w:r>
          </w:p>
        </w:tc>
        <w:tc>
          <w:tcPr>
            <w:tcW w:w="6095" w:type="dxa"/>
            <w:gridSpan w:val="2"/>
            <w:vAlign w:val="center"/>
          </w:tcPr>
          <w:p w:rsidR="002976E5" w:rsidRPr="00EB30DF" w:rsidRDefault="009E549D" w:rsidP="00CB141F">
            <w:pPr>
              <w:pStyle w:val="aff2"/>
              <w:jc w:val="center"/>
            </w:pPr>
            <w:r w:rsidRPr="00EB30DF">
              <w:t>报告期</w:t>
            </w:r>
          </w:p>
          <w:p w:rsidR="009E549D" w:rsidRPr="00EB30DF" w:rsidRDefault="009E549D" w:rsidP="00DA3900">
            <w:pPr>
              <w:pStyle w:val="aff2"/>
              <w:jc w:val="center"/>
            </w:pPr>
            <w:r w:rsidRPr="00EB30DF">
              <w:t>(2017</w:t>
            </w:r>
            <w:r w:rsidRPr="00EB30DF">
              <w:t>年</w:t>
            </w:r>
            <w:r w:rsidRPr="00EB30DF">
              <w:t>10</w:t>
            </w:r>
            <w:r w:rsidRPr="00EB30DF">
              <w:t>月</w:t>
            </w:r>
            <w:r w:rsidRPr="00EB30DF">
              <w:t>1</w:t>
            </w:r>
            <w:r w:rsidRPr="00EB30DF">
              <w:t>日</w:t>
            </w:r>
            <w:r w:rsidRPr="00EB30DF">
              <w:t>-2017</w:t>
            </w:r>
            <w:r w:rsidRPr="00EB30DF">
              <w:t>年</w:t>
            </w:r>
            <w:r w:rsidRPr="00EB30DF">
              <w:t>12</w:t>
            </w:r>
            <w:r w:rsidRPr="00EB30DF">
              <w:t>月</w:t>
            </w:r>
            <w:r w:rsidR="00DA3900">
              <w:rPr>
                <w:rFonts w:hint="eastAsia"/>
              </w:rPr>
              <w:t>29</w:t>
            </w:r>
            <w:r w:rsidRPr="00EB30DF">
              <w:t>日</w:t>
            </w:r>
            <w:r w:rsidRPr="00EB30DF">
              <w:t>)</w:t>
            </w:r>
          </w:p>
        </w:tc>
      </w:tr>
      <w:tr w:rsidR="0086758B" w:rsidRPr="00EB30DF" w:rsidTr="00CE1020">
        <w:tc>
          <w:tcPr>
            <w:tcW w:w="2977" w:type="dxa"/>
            <w:vMerge/>
            <w:vAlign w:val="center"/>
          </w:tcPr>
          <w:p w:rsidR="009E549D" w:rsidRPr="00EB30DF" w:rsidRDefault="009E549D" w:rsidP="00CB141F">
            <w:pPr>
              <w:pStyle w:val="aff2"/>
              <w:jc w:val="center"/>
            </w:pPr>
          </w:p>
        </w:tc>
        <w:tc>
          <w:tcPr>
            <w:tcW w:w="3047" w:type="dxa"/>
            <w:vAlign w:val="center"/>
          </w:tcPr>
          <w:p w:rsidR="009E549D" w:rsidRPr="00EB30DF" w:rsidRDefault="009E549D" w:rsidP="00CB141F">
            <w:pPr>
              <w:pStyle w:val="aff2"/>
              <w:jc w:val="center"/>
            </w:pPr>
            <w:r w:rsidRPr="00EB30DF">
              <w:t>博时安源</w:t>
            </w:r>
            <w:r w:rsidRPr="00EB30DF">
              <w:t>18</w:t>
            </w:r>
            <w:r w:rsidRPr="00EB30DF">
              <w:t>个月定开债</w:t>
            </w:r>
            <w:r w:rsidRPr="00EB30DF">
              <w:t>A</w:t>
            </w:r>
          </w:p>
        </w:tc>
        <w:tc>
          <w:tcPr>
            <w:tcW w:w="3048" w:type="dxa"/>
            <w:vAlign w:val="center"/>
          </w:tcPr>
          <w:p w:rsidR="009E549D" w:rsidRPr="00EB30DF" w:rsidRDefault="00FE7FBD" w:rsidP="00CB141F">
            <w:pPr>
              <w:pStyle w:val="aff2"/>
              <w:jc w:val="center"/>
            </w:pPr>
            <w:r w:rsidRPr="00EB30DF">
              <w:t>博时安源</w:t>
            </w:r>
            <w:r w:rsidRPr="00EB30DF">
              <w:t>18</w:t>
            </w:r>
            <w:r w:rsidRPr="00EB30DF">
              <w:t>个月定开债</w:t>
            </w:r>
            <w:r w:rsidRPr="00EB30DF">
              <w:t>C</w:t>
            </w:r>
          </w:p>
        </w:tc>
      </w:tr>
      <w:tr w:rsidR="0086758B" w:rsidRPr="00EB30DF" w:rsidTr="00CE1020">
        <w:tc>
          <w:tcPr>
            <w:tcW w:w="2977" w:type="dxa"/>
            <w:vAlign w:val="center"/>
          </w:tcPr>
          <w:p w:rsidR="005F293E" w:rsidRPr="00EB30DF" w:rsidRDefault="005F293E" w:rsidP="00CB141F">
            <w:pPr>
              <w:pStyle w:val="aff2"/>
            </w:pPr>
            <w:r w:rsidRPr="00EB30DF">
              <w:t>1.</w:t>
            </w:r>
            <w:r w:rsidRPr="00EB30DF">
              <w:t>本期已实现收益</w:t>
            </w:r>
          </w:p>
        </w:tc>
        <w:tc>
          <w:tcPr>
            <w:tcW w:w="3047" w:type="dxa"/>
            <w:vAlign w:val="center"/>
          </w:tcPr>
          <w:p w:rsidR="005F293E" w:rsidRPr="00EB30DF" w:rsidRDefault="005F293E" w:rsidP="00CB141F">
            <w:pPr>
              <w:pStyle w:val="aff2"/>
              <w:jc w:val="right"/>
            </w:pPr>
            <w:r w:rsidRPr="00EB30DF">
              <w:t>-7,286,954.74</w:t>
            </w:r>
          </w:p>
        </w:tc>
        <w:tc>
          <w:tcPr>
            <w:tcW w:w="3048" w:type="dxa"/>
            <w:vAlign w:val="center"/>
          </w:tcPr>
          <w:p w:rsidR="005F293E" w:rsidRPr="00EB30DF" w:rsidRDefault="00FE7FBD" w:rsidP="00CB141F">
            <w:pPr>
              <w:pStyle w:val="aff2"/>
              <w:jc w:val="right"/>
            </w:pPr>
            <w:r w:rsidRPr="00EB30DF">
              <w:t>-263,313.57</w:t>
            </w:r>
          </w:p>
        </w:tc>
      </w:tr>
      <w:tr w:rsidR="0086758B" w:rsidRPr="00EB30DF" w:rsidTr="00CE1020">
        <w:tc>
          <w:tcPr>
            <w:tcW w:w="2977" w:type="dxa"/>
            <w:vAlign w:val="center"/>
          </w:tcPr>
          <w:p w:rsidR="005F293E" w:rsidRPr="00EB30DF" w:rsidRDefault="005F293E" w:rsidP="00CB141F">
            <w:pPr>
              <w:pStyle w:val="aff2"/>
            </w:pPr>
            <w:r w:rsidRPr="00EB30DF">
              <w:t>2.</w:t>
            </w:r>
            <w:r w:rsidRPr="00EB30DF">
              <w:t>本期利润</w:t>
            </w:r>
          </w:p>
        </w:tc>
        <w:tc>
          <w:tcPr>
            <w:tcW w:w="3047" w:type="dxa"/>
            <w:vAlign w:val="center"/>
          </w:tcPr>
          <w:p w:rsidR="005F293E" w:rsidRPr="00EB30DF" w:rsidRDefault="005F293E" w:rsidP="00CB141F">
            <w:pPr>
              <w:pStyle w:val="aff2"/>
              <w:jc w:val="right"/>
            </w:pPr>
            <w:r w:rsidRPr="00EB30DF">
              <w:t>162,832.29</w:t>
            </w:r>
          </w:p>
        </w:tc>
        <w:tc>
          <w:tcPr>
            <w:tcW w:w="3048" w:type="dxa"/>
            <w:vAlign w:val="center"/>
          </w:tcPr>
          <w:p w:rsidR="005F293E" w:rsidRPr="00EB30DF" w:rsidRDefault="00FE7FBD" w:rsidP="00CB141F">
            <w:pPr>
              <w:pStyle w:val="aff2"/>
              <w:jc w:val="right"/>
            </w:pPr>
            <w:r w:rsidRPr="00EB30DF">
              <w:t>-16,167.69</w:t>
            </w:r>
          </w:p>
        </w:tc>
      </w:tr>
      <w:tr w:rsidR="0086758B" w:rsidRPr="00EB30DF" w:rsidTr="00CE1020">
        <w:tc>
          <w:tcPr>
            <w:tcW w:w="2977" w:type="dxa"/>
            <w:vAlign w:val="center"/>
          </w:tcPr>
          <w:p w:rsidR="005F293E" w:rsidRPr="00EB30DF" w:rsidRDefault="005F293E" w:rsidP="00CB141F">
            <w:pPr>
              <w:pStyle w:val="aff2"/>
            </w:pPr>
            <w:r w:rsidRPr="00EB30DF">
              <w:t>3.</w:t>
            </w:r>
            <w:r w:rsidRPr="00EB30DF">
              <w:t>加权平均基金份额本期利润</w:t>
            </w:r>
          </w:p>
        </w:tc>
        <w:tc>
          <w:tcPr>
            <w:tcW w:w="3047" w:type="dxa"/>
            <w:vAlign w:val="center"/>
          </w:tcPr>
          <w:p w:rsidR="005F293E" w:rsidRPr="00EB30DF" w:rsidRDefault="005F293E" w:rsidP="00CB141F">
            <w:pPr>
              <w:pStyle w:val="aff2"/>
              <w:jc w:val="right"/>
            </w:pPr>
            <w:r w:rsidRPr="00EB30DF">
              <w:t>0.0003</w:t>
            </w:r>
          </w:p>
        </w:tc>
        <w:tc>
          <w:tcPr>
            <w:tcW w:w="3048" w:type="dxa"/>
            <w:vAlign w:val="center"/>
          </w:tcPr>
          <w:p w:rsidR="005F293E" w:rsidRPr="00EB30DF" w:rsidRDefault="00FE7FBD" w:rsidP="00DA3900">
            <w:pPr>
              <w:pStyle w:val="aff2"/>
              <w:jc w:val="right"/>
            </w:pPr>
            <w:r w:rsidRPr="00EB30DF">
              <w:t>-0.000</w:t>
            </w:r>
            <w:r w:rsidR="00DA3900">
              <w:rPr>
                <w:rFonts w:hint="eastAsia"/>
              </w:rPr>
              <w:t>9</w:t>
            </w:r>
          </w:p>
        </w:tc>
      </w:tr>
      <w:tr w:rsidR="0086758B" w:rsidRPr="00EB30DF" w:rsidTr="00CE1020">
        <w:tc>
          <w:tcPr>
            <w:tcW w:w="2977" w:type="dxa"/>
            <w:vAlign w:val="center"/>
          </w:tcPr>
          <w:p w:rsidR="005F293E" w:rsidRPr="00EB30DF" w:rsidRDefault="005F293E" w:rsidP="00CB141F">
            <w:pPr>
              <w:pStyle w:val="aff2"/>
            </w:pPr>
            <w:r w:rsidRPr="00EB30DF">
              <w:t>4.</w:t>
            </w:r>
            <w:r w:rsidRPr="00EB30DF">
              <w:t>期末基金资产净值</w:t>
            </w:r>
          </w:p>
        </w:tc>
        <w:tc>
          <w:tcPr>
            <w:tcW w:w="3047" w:type="dxa"/>
            <w:vAlign w:val="center"/>
          </w:tcPr>
          <w:p w:rsidR="005F293E" w:rsidRPr="00DA3900" w:rsidRDefault="00DA3900" w:rsidP="00DA3900">
            <w:pPr>
              <w:jc w:val="right"/>
              <w:rPr>
                <w:rFonts w:ascii="宋体" w:eastAsia="宋体" w:hAnsi="宋体" w:cs="宋体"/>
              </w:rPr>
            </w:pPr>
            <w:r>
              <w:rPr>
                <w:rFonts w:hint="eastAsia"/>
              </w:rPr>
              <w:t xml:space="preserve">11,487,973.65 </w:t>
            </w:r>
          </w:p>
        </w:tc>
        <w:tc>
          <w:tcPr>
            <w:tcW w:w="3048" w:type="dxa"/>
            <w:vAlign w:val="center"/>
          </w:tcPr>
          <w:p w:rsidR="005F293E" w:rsidRPr="00DA3900" w:rsidRDefault="00DA3900" w:rsidP="00DA3900">
            <w:pPr>
              <w:jc w:val="right"/>
              <w:rPr>
                <w:rFonts w:ascii="宋体" w:eastAsia="宋体" w:hAnsi="宋体" w:cs="宋体"/>
              </w:rPr>
            </w:pPr>
            <w:r>
              <w:rPr>
                <w:rFonts w:hint="eastAsia"/>
              </w:rPr>
              <w:t xml:space="preserve">1,123,859.25 </w:t>
            </w:r>
          </w:p>
        </w:tc>
      </w:tr>
      <w:tr w:rsidR="0086758B" w:rsidRPr="00EB30DF" w:rsidTr="00CE1020">
        <w:trPr>
          <w:trHeight w:val="158"/>
        </w:trPr>
        <w:tc>
          <w:tcPr>
            <w:tcW w:w="2977" w:type="dxa"/>
            <w:vAlign w:val="center"/>
          </w:tcPr>
          <w:p w:rsidR="005F293E" w:rsidRPr="00EB30DF" w:rsidRDefault="005F293E" w:rsidP="00CB141F">
            <w:pPr>
              <w:pStyle w:val="aff2"/>
            </w:pPr>
            <w:r w:rsidRPr="00EB30DF">
              <w:t>5.</w:t>
            </w:r>
            <w:r w:rsidRPr="00EB30DF">
              <w:t>期末基金份额净值</w:t>
            </w:r>
          </w:p>
        </w:tc>
        <w:tc>
          <w:tcPr>
            <w:tcW w:w="3047" w:type="dxa"/>
            <w:vAlign w:val="center"/>
          </w:tcPr>
          <w:p w:rsidR="005F293E" w:rsidRPr="00EB30DF" w:rsidRDefault="005F293E" w:rsidP="00CB141F">
            <w:pPr>
              <w:pStyle w:val="aff2"/>
              <w:jc w:val="right"/>
            </w:pPr>
            <w:r w:rsidRPr="00EB30DF">
              <w:t>1.00</w:t>
            </w:r>
            <w:r w:rsidR="00DA3900">
              <w:rPr>
                <w:rFonts w:hint="eastAsia"/>
              </w:rPr>
              <w:t>4</w:t>
            </w:r>
          </w:p>
        </w:tc>
        <w:tc>
          <w:tcPr>
            <w:tcW w:w="3048" w:type="dxa"/>
            <w:vAlign w:val="center"/>
          </w:tcPr>
          <w:p w:rsidR="005F293E" w:rsidRPr="00EB30DF" w:rsidRDefault="00FE7FBD" w:rsidP="00DA3900">
            <w:pPr>
              <w:pStyle w:val="aff2"/>
              <w:jc w:val="right"/>
            </w:pPr>
            <w:r w:rsidRPr="00EB30DF">
              <w:t>0.99</w:t>
            </w:r>
            <w:r w:rsidR="00DA3900">
              <w:rPr>
                <w:rFonts w:hint="eastAsia"/>
              </w:rPr>
              <w:t>7</w:t>
            </w:r>
          </w:p>
        </w:tc>
      </w:tr>
    </w:tbl>
    <w:p w:rsidR="00BB2831" w:rsidRDefault="004B6FE5">
      <w:pPr>
        <w:pStyle w:val="aff3"/>
      </w:pPr>
      <w:r>
        <w:t>注：本期已实现收益指基金本期利息收入、投资收益、其他收入（不含公允价值变动收益）扣除相关费用后的余额，本期利润为本期已实现收益加上本期公允价值变动收益。</w:t>
      </w:r>
    </w:p>
    <w:p w:rsidR="009238DB" w:rsidRPr="00717087" w:rsidRDefault="005E01A3" w:rsidP="00DD02EA">
      <w:pPr>
        <w:pStyle w:val="aff3"/>
      </w:pPr>
      <w:r w:rsidRPr="00717087">
        <w:t>所述基金业绩指标不包括持有人认购或交易基金的各项费用，计入费用后实际收益水平要低于所列数字。</w:t>
      </w:r>
    </w:p>
    <w:p w:rsidR="009238DB" w:rsidRPr="00832A15" w:rsidRDefault="009238DB" w:rsidP="002263D2">
      <w:pPr>
        <w:pStyle w:val="xx"/>
      </w:pPr>
      <w:r w:rsidRPr="00832A15">
        <w:t xml:space="preserve">3.2 </w:t>
      </w:r>
      <w:r w:rsidRPr="00832A15">
        <w:t>基金净值表现</w:t>
      </w:r>
    </w:p>
    <w:p w:rsidR="009238DB" w:rsidRPr="007A0313" w:rsidRDefault="009238DB" w:rsidP="002263D2">
      <w:pPr>
        <w:pStyle w:val="41"/>
      </w:pPr>
      <w:r w:rsidRPr="007A0313">
        <w:t>3.2.1</w:t>
      </w:r>
      <w:r w:rsidRPr="007A0313">
        <w:t>本报告期基金份额净值增长率及其与同期业绩比较基准收益率的比较</w:t>
      </w:r>
    </w:p>
    <w:p w:rsidR="009238DB" w:rsidRPr="007A0313" w:rsidRDefault="009238DB" w:rsidP="002263D2">
      <w:pPr>
        <w:pStyle w:val="new0"/>
      </w:pPr>
      <w:r w:rsidRPr="007A0313">
        <w:t>1</w:t>
      </w:r>
      <w:r w:rsidR="00B61C5A" w:rsidRPr="007A0313">
        <w:t>．</w:t>
      </w:r>
      <w:r w:rsidR="00A5643A" w:rsidRPr="007A0313">
        <w:t>博时安源18个月定开债A</w:t>
      </w:r>
      <w:r w:rsidRPr="007A0313">
        <w:t>：</w:t>
      </w:r>
    </w:p>
    <w:tbl>
      <w:tblPr>
        <w:tblStyle w:val="af2"/>
        <w:tblW w:w="9640" w:type="dxa"/>
        <w:tblInd w:w="-318" w:type="dxa"/>
        <w:tblLayout w:type="fixed"/>
        <w:tblLook w:val="04A0"/>
      </w:tblPr>
      <w:tblGrid>
        <w:gridCol w:w="1419"/>
        <w:gridCol w:w="1275"/>
        <w:gridCol w:w="1418"/>
        <w:gridCol w:w="1417"/>
        <w:gridCol w:w="1560"/>
        <w:gridCol w:w="1134"/>
        <w:gridCol w:w="1417"/>
      </w:tblGrid>
      <w:tr w:rsidR="0086758B" w:rsidRPr="00C04AE0" w:rsidTr="00B12414">
        <w:tc>
          <w:tcPr>
            <w:tcW w:w="1419" w:type="dxa"/>
            <w:vAlign w:val="center"/>
          </w:tcPr>
          <w:p w:rsidR="00685FFC" w:rsidRPr="00C04AE0" w:rsidRDefault="00685FFC" w:rsidP="00CB141F">
            <w:pPr>
              <w:pStyle w:val="aff2"/>
              <w:jc w:val="center"/>
            </w:pPr>
            <w:r w:rsidRPr="00C04AE0">
              <w:t>阶段</w:t>
            </w:r>
          </w:p>
        </w:tc>
        <w:tc>
          <w:tcPr>
            <w:tcW w:w="1275" w:type="dxa"/>
            <w:vAlign w:val="center"/>
          </w:tcPr>
          <w:p w:rsidR="00685FFC" w:rsidRPr="00C04AE0" w:rsidRDefault="00685FFC" w:rsidP="00CB141F">
            <w:pPr>
              <w:pStyle w:val="aff2"/>
              <w:jc w:val="center"/>
            </w:pPr>
            <w:r w:rsidRPr="00C04AE0">
              <w:t>净值增长率</w:t>
            </w:r>
            <w:r w:rsidRPr="00C04AE0">
              <w:rPr>
                <w:rFonts w:cs="宋体" w:hint="eastAsia"/>
              </w:rPr>
              <w:t>①</w:t>
            </w:r>
          </w:p>
        </w:tc>
        <w:tc>
          <w:tcPr>
            <w:tcW w:w="1418" w:type="dxa"/>
            <w:vAlign w:val="center"/>
          </w:tcPr>
          <w:p w:rsidR="00685FFC" w:rsidRPr="00C04AE0" w:rsidRDefault="00685FFC" w:rsidP="00CB141F">
            <w:pPr>
              <w:pStyle w:val="aff2"/>
              <w:jc w:val="center"/>
            </w:pPr>
            <w:r w:rsidRPr="00C04AE0">
              <w:t>净值增长率标准差</w:t>
            </w:r>
            <w:r w:rsidRPr="00C04AE0">
              <w:rPr>
                <w:rFonts w:cs="宋体" w:hint="eastAsia"/>
              </w:rPr>
              <w:t>②</w:t>
            </w:r>
          </w:p>
        </w:tc>
        <w:tc>
          <w:tcPr>
            <w:tcW w:w="1417" w:type="dxa"/>
            <w:vAlign w:val="center"/>
          </w:tcPr>
          <w:p w:rsidR="00685FFC" w:rsidRPr="00C04AE0" w:rsidRDefault="00685FFC" w:rsidP="00CB141F">
            <w:pPr>
              <w:pStyle w:val="aff2"/>
              <w:jc w:val="center"/>
            </w:pPr>
            <w:r w:rsidRPr="00C04AE0">
              <w:t>业绩比较基准收益率</w:t>
            </w:r>
            <w:r w:rsidRPr="00C04AE0">
              <w:rPr>
                <w:rFonts w:cs="宋体" w:hint="eastAsia"/>
              </w:rPr>
              <w:t>③</w:t>
            </w:r>
          </w:p>
        </w:tc>
        <w:tc>
          <w:tcPr>
            <w:tcW w:w="1560" w:type="dxa"/>
            <w:vAlign w:val="center"/>
          </w:tcPr>
          <w:p w:rsidR="00685FFC" w:rsidRPr="00C04AE0" w:rsidRDefault="00685FFC" w:rsidP="00CB141F">
            <w:pPr>
              <w:pStyle w:val="aff2"/>
              <w:jc w:val="center"/>
            </w:pPr>
            <w:r w:rsidRPr="00C04AE0">
              <w:t>业绩比较基准收益率标准差</w:t>
            </w:r>
            <w:r w:rsidRPr="00C04AE0">
              <w:rPr>
                <w:rFonts w:cs="宋体" w:hint="eastAsia"/>
              </w:rPr>
              <w:t>④</w:t>
            </w:r>
          </w:p>
        </w:tc>
        <w:tc>
          <w:tcPr>
            <w:tcW w:w="1134" w:type="dxa"/>
            <w:vAlign w:val="center"/>
          </w:tcPr>
          <w:p w:rsidR="00685FFC" w:rsidRPr="00C04AE0" w:rsidRDefault="00685FFC" w:rsidP="00CB141F">
            <w:pPr>
              <w:pStyle w:val="aff2"/>
              <w:jc w:val="center"/>
            </w:pPr>
            <w:r w:rsidRPr="00C04AE0">
              <w:rPr>
                <w:rFonts w:cs="宋体" w:hint="eastAsia"/>
              </w:rPr>
              <w:t>①</w:t>
            </w:r>
            <w:r w:rsidRPr="00C04AE0">
              <w:t>－</w:t>
            </w:r>
            <w:r w:rsidRPr="00C04AE0">
              <w:rPr>
                <w:rFonts w:cs="宋体" w:hint="eastAsia"/>
              </w:rPr>
              <w:t>③</w:t>
            </w:r>
          </w:p>
        </w:tc>
        <w:tc>
          <w:tcPr>
            <w:tcW w:w="1417" w:type="dxa"/>
            <w:vAlign w:val="center"/>
          </w:tcPr>
          <w:p w:rsidR="00685FFC" w:rsidRPr="00C04AE0" w:rsidRDefault="00685FFC" w:rsidP="00CB141F">
            <w:pPr>
              <w:pStyle w:val="aff2"/>
              <w:jc w:val="center"/>
            </w:pPr>
            <w:r w:rsidRPr="00C04AE0">
              <w:rPr>
                <w:rFonts w:cs="宋体" w:hint="eastAsia"/>
              </w:rPr>
              <w:t>②</w:t>
            </w:r>
            <w:r w:rsidRPr="00C04AE0">
              <w:t>－</w:t>
            </w:r>
            <w:r w:rsidRPr="00C04AE0">
              <w:rPr>
                <w:rFonts w:cs="宋体" w:hint="eastAsia"/>
              </w:rPr>
              <w:t>④</w:t>
            </w:r>
          </w:p>
        </w:tc>
      </w:tr>
      <w:tr w:rsidR="00BB2831" w:rsidTr="00B12414">
        <w:tc>
          <w:tcPr>
            <w:tcW w:w="1419" w:type="dxa"/>
            <w:vAlign w:val="center"/>
          </w:tcPr>
          <w:p w:rsidR="00BB2831" w:rsidRDefault="004B6FE5" w:rsidP="00860FBE">
            <w:pPr>
              <w:ind w:firstLine="0"/>
              <w:jc w:val="left"/>
            </w:pPr>
            <w:r>
              <w:t>过去三个月</w:t>
            </w:r>
          </w:p>
        </w:tc>
        <w:tc>
          <w:tcPr>
            <w:tcW w:w="1275" w:type="dxa"/>
            <w:vAlign w:val="center"/>
          </w:tcPr>
          <w:p w:rsidR="00BB2831" w:rsidRDefault="004B6FE5">
            <w:pPr>
              <w:jc w:val="right"/>
            </w:pPr>
            <w:r>
              <w:t>0.00%</w:t>
            </w:r>
          </w:p>
        </w:tc>
        <w:tc>
          <w:tcPr>
            <w:tcW w:w="1418" w:type="dxa"/>
            <w:vAlign w:val="center"/>
          </w:tcPr>
          <w:p w:rsidR="00BB2831" w:rsidRDefault="004B6FE5">
            <w:pPr>
              <w:jc w:val="right"/>
            </w:pPr>
            <w:r>
              <w:t>0.04%</w:t>
            </w:r>
          </w:p>
        </w:tc>
        <w:tc>
          <w:tcPr>
            <w:tcW w:w="1417" w:type="dxa"/>
            <w:vAlign w:val="center"/>
          </w:tcPr>
          <w:p w:rsidR="00BB2831" w:rsidRDefault="004B6FE5">
            <w:pPr>
              <w:jc w:val="right"/>
            </w:pPr>
            <w:r>
              <w:t>-0.38%</w:t>
            </w:r>
          </w:p>
        </w:tc>
        <w:tc>
          <w:tcPr>
            <w:tcW w:w="1560" w:type="dxa"/>
            <w:vAlign w:val="center"/>
          </w:tcPr>
          <w:p w:rsidR="00BB2831" w:rsidRDefault="004B6FE5">
            <w:pPr>
              <w:jc w:val="right"/>
            </w:pPr>
            <w:r>
              <w:t>0.05%</w:t>
            </w:r>
          </w:p>
        </w:tc>
        <w:tc>
          <w:tcPr>
            <w:tcW w:w="1134" w:type="dxa"/>
            <w:vAlign w:val="center"/>
          </w:tcPr>
          <w:p w:rsidR="00BB2831" w:rsidRDefault="004B6FE5">
            <w:pPr>
              <w:jc w:val="right"/>
            </w:pPr>
            <w:r>
              <w:t>0.38%</w:t>
            </w:r>
          </w:p>
        </w:tc>
        <w:tc>
          <w:tcPr>
            <w:tcW w:w="1417" w:type="dxa"/>
            <w:vAlign w:val="center"/>
          </w:tcPr>
          <w:p w:rsidR="00BB2831" w:rsidRDefault="004B6FE5" w:rsidP="00860FBE">
            <w:pPr>
              <w:ind w:right="210"/>
              <w:jc w:val="right"/>
            </w:pPr>
            <w:r>
              <w:t>-0.01%</w:t>
            </w:r>
          </w:p>
        </w:tc>
      </w:tr>
    </w:tbl>
    <w:p w:rsidR="009238DB" w:rsidRPr="007A0313" w:rsidRDefault="009238DB" w:rsidP="002263D2">
      <w:pPr>
        <w:pStyle w:val="new0"/>
      </w:pPr>
      <w:r w:rsidRPr="007A0313">
        <w:t>2</w:t>
      </w:r>
      <w:r w:rsidR="00B61C5A" w:rsidRPr="007A0313">
        <w:t>．</w:t>
      </w:r>
      <w:r w:rsidR="00FE7FBD" w:rsidRPr="007A0313">
        <w:t>博时安源18个月定开债C</w:t>
      </w:r>
      <w:r w:rsidRPr="007A0313">
        <w:t>：</w:t>
      </w:r>
    </w:p>
    <w:tbl>
      <w:tblPr>
        <w:tblStyle w:val="af2"/>
        <w:tblW w:w="9498" w:type="dxa"/>
        <w:tblInd w:w="-318" w:type="dxa"/>
        <w:tblLayout w:type="fixed"/>
        <w:tblLook w:val="04A0"/>
      </w:tblPr>
      <w:tblGrid>
        <w:gridCol w:w="1419"/>
        <w:gridCol w:w="1275"/>
        <w:gridCol w:w="1418"/>
        <w:gridCol w:w="1417"/>
        <w:gridCol w:w="1560"/>
        <w:gridCol w:w="992"/>
        <w:gridCol w:w="1417"/>
      </w:tblGrid>
      <w:tr w:rsidR="0086758B" w:rsidRPr="00C04AE0" w:rsidTr="00860FBE">
        <w:tc>
          <w:tcPr>
            <w:tcW w:w="1419" w:type="dxa"/>
            <w:vAlign w:val="center"/>
          </w:tcPr>
          <w:p w:rsidR="00685FFC" w:rsidRPr="00C04AE0" w:rsidRDefault="00685FFC" w:rsidP="00CB141F">
            <w:pPr>
              <w:pStyle w:val="aff2"/>
              <w:jc w:val="center"/>
            </w:pPr>
            <w:r w:rsidRPr="00C04AE0">
              <w:t>阶段</w:t>
            </w:r>
          </w:p>
        </w:tc>
        <w:tc>
          <w:tcPr>
            <w:tcW w:w="1275" w:type="dxa"/>
            <w:vAlign w:val="center"/>
          </w:tcPr>
          <w:p w:rsidR="00685FFC" w:rsidRPr="00C04AE0" w:rsidRDefault="00685FFC" w:rsidP="00CB141F">
            <w:pPr>
              <w:pStyle w:val="aff2"/>
              <w:jc w:val="center"/>
              <w:rPr>
                <w:highlight w:val="green"/>
              </w:rPr>
            </w:pPr>
            <w:r w:rsidRPr="00C04AE0">
              <w:t>净值增长率</w:t>
            </w:r>
            <w:r w:rsidRPr="00C04AE0">
              <w:rPr>
                <w:rFonts w:cs="宋体" w:hint="eastAsia"/>
              </w:rPr>
              <w:t>①</w:t>
            </w:r>
          </w:p>
        </w:tc>
        <w:tc>
          <w:tcPr>
            <w:tcW w:w="1418" w:type="dxa"/>
            <w:vAlign w:val="center"/>
          </w:tcPr>
          <w:p w:rsidR="00685FFC" w:rsidRPr="00C04AE0" w:rsidRDefault="00685FFC" w:rsidP="00CB141F">
            <w:pPr>
              <w:pStyle w:val="aff2"/>
              <w:jc w:val="center"/>
              <w:rPr>
                <w:highlight w:val="green"/>
              </w:rPr>
            </w:pPr>
            <w:r w:rsidRPr="00C04AE0">
              <w:t>净值增长率标准差</w:t>
            </w:r>
            <w:r w:rsidRPr="00C04AE0">
              <w:rPr>
                <w:rFonts w:cs="宋体" w:hint="eastAsia"/>
              </w:rPr>
              <w:t>②</w:t>
            </w:r>
          </w:p>
        </w:tc>
        <w:tc>
          <w:tcPr>
            <w:tcW w:w="1417" w:type="dxa"/>
            <w:vAlign w:val="center"/>
          </w:tcPr>
          <w:p w:rsidR="00685FFC" w:rsidRPr="00C04AE0" w:rsidRDefault="00685FFC" w:rsidP="00CB141F">
            <w:pPr>
              <w:pStyle w:val="aff2"/>
              <w:jc w:val="center"/>
            </w:pPr>
            <w:r w:rsidRPr="00C04AE0">
              <w:t>业绩比较基准收益率</w:t>
            </w:r>
            <w:r w:rsidRPr="00C04AE0">
              <w:rPr>
                <w:rFonts w:cs="宋体" w:hint="eastAsia"/>
              </w:rPr>
              <w:t>③</w:t>
            </w:r>
          </w:p>
        </w:tc>
        <w:tc>
          <w:tcPr>
            <w:tcW w:w="1560" w:type="dxa"/>
            <w:vAlign w:val="center"/>
          </w:tcPr>
          <w:p w:rsidR="00685FFC" w:rsidRPr="00C04AE0" w:rsidRDefault="00685FFC" w:rsidP="00CB141F">
            <w:pPr>
              <w:pStyle w:val="aff2"/>
              <w:jc w:val="center"/>
            </w:pPr>
            <w:r w:rsidRPr="00C04AE0">
              <w:t>业绩比较基准收益率标准差</w:t>
            </w:r>
            <w:r w:rsidRPr="00C04AE0">
              <w:rPr>
                <w:rFonts w:cs="宋体" w:hint="eastAsia"/>
              </w:rPr>
              <w:t>④</w:t>
            </w:r>
          </w:p>
        </w:tc>
        <w:tc>
          <w:tcPr>
            <w:tcW w:w="992" w:type="dxa"/>
            <w:vAlign w:val="center"/>
          </w:tcPr>
          <w:p w:rsidR="00685FFC" w:rsidRPr="00C04AE0" w:rsidRDefault="00685FFC" w:rsidP="00CB141F">
            <w:pPr>
              <w:pStyle w:val="aff2"/>
              <w:jc w:val="center"/>
            </w:pPr>
            <w:r w:rsidRPr="00C04AE0">
              <w:rPr>
                <w:rFonts w:cs="宋体" w:hint="eastAsia"/>
              </w:rPr>
              <w:t>①</w:t>
            </w:r>
            <w:r w:rsidRPr="00C04AE0">
              <w:t>－</w:t>
            </w:r>
            <w:r w:rsidRPr="00C04AE0">
              <w:rPr>
                <w:rFonts w:cs="宋体" w:hint="eastAsia"/>
              </w:rPr>
              <w:t>③</w:t>
            </w:r>
          </w:p>
        </w:tc>
        <w:tc>
          <w:tcPr>
            <w:tcW w:w="1417" w:type="dxa"/>
            <w:vAlign w:val="center"/>
          </w:tcPr>
          <w:p w:rsidR="00685FFC" w:rsidRPr="00C04AE0" w:rsidRDefault="00685FFC" w:rsidP="00CB141F">
            <w:pPr>
              <w:pStyle w:val="aff2"/>
              <w:jc w:val="center"/>
            </w:pPr>
            <w:r w:rsidRPr="00C04AE0">
              <w:rPr>
                <w:rFonts w:cs="宋体" w:hint="eastAsia"/>
              </w:rPr>
              <w:t>②</w:t>
            </w:r>
            <w:r w:rsidRPr="00C04AE0">
              <w:t>－</w:t>
            </w:r>
            <w:r w:rsidRPr="00C04AE0">
              <w:rPr>
                <w:rFonts w:cs="宋体" w:hint="eastAsia"/>
              </w:rPr>
              <w:t>④</w:t>
            </w:r>
          </w:p>
        </w:tc>
      </w:tr>
      <w:tr w:rsidR="00BB2831" w:rsidTr="00860FBE">
        <w:tc>
          <w:tcPr>
            <w:tcW w:w="1419" w:type="dxa"/>
            <w:vAlign w:val="center"/>
          </w:tcPr>
          <w:p w:rsidR="00BB2831" w:rsidRDefault="004B6FE5" w:rsidP="00860FBE">
            <w:pPr>
              <w:ind w:firstLine="0"/>
              <w:jc w:val="left"/>
            </w:pPr>
            <w:r>
              <w:t>过去三个月</w:t>
            </w:r>
          </w:p>
        </w:tc>
        <w:tc>
          <w:tcPr>
            <w:tcW w:w="1275" w:type="dxa"/>
            <w:vAlign w:val="center"/>
          </w:tcPr>
          <w:p w:rsidR="00BB2831" w:rsidRDefault="004B6FE5">
            <w:pPr>
              <w:jc w:val="right"/>
            </w:pPr>
            <w:r>
              <w:t>-0.20%</w:t>
            </w:r>
          </w:p>
        </w:tc>
        <w:tc>
          <w:tcPr>
            <w:tcW w:w="1418" w:type="dxa"/>
            <w:vAlign w:val="center"/>
          </w:tcPr>
          <w:p w:rsidR="00BB2831" w:rsidRDefault="004B6FE5">
            <w:pPr>
              <w:jc w:val="right"/>
            </w:pPr>
            <w:r>
              <w:t>0.05%</w:t>
            </w:r>
          </w:p>
        </w:tc>
        <w:tc>
          <w:tcPr>
            <w:tcW w:w="1417" w:type="dxa"/>
            <w:vAlign w:val="center"/>
          </w:tcPr>
          <w:p w:rsidR="00BB2831" w:rsidRDefault="004B6FE5">
            <w:pPr>
              <w:jc w:val="right"/>
            </w:pPr>
            <w:r>
              <w:t>-0.38%</w:t>
            </w:r>
          </w:p>
        </w:tc>
        <w:tc>
          <w:tcPr>
            <w:tcW w:w="1560" w:type="dxa"/>
            <w:vAlign w:val="center"/>
          </w:tcPr>
          <w:p w:rsidR="00BB2831" w:rsidRDefault="004B6FE5">
            <w:pPr>
              <w:jc w:val="right"/>
            </w:pPr>
            <w:r>
              <w:t>0.05%</w:t>
            </w:r>
          </w:p>
        </w:tc>
        <w:tc>
          <w:tcPr>
            <w:tcW w:w="992" w:type="dxa"/>
            <w:vAlign w:val="center"/>
          </w:tcPr>
          <w:p w:rsidR="00BB2831" w:rsidRDefault="004B6FE5">
            <w:pPr>
              <w:jc w:val="right"/>
            </w:pPr>
            <w:r>
              <w:t>0.18%</w:t>
            </w:r>
          </w:p>
        </w:tc>
        <w:tc>
          <w:tcPr>
            <w:tcW w:w="1417" w:type="dxa"/>
            <w:vAlign w:val="center"/>
          </w:tcPr>
          <w:p w:rsidR="00BB2831" w:rsidRDefault="004B6FE5">
            <w:pPr>
              <w:jc w:val="right"/>
            </w:pPr>
            <w:r>
              <w:t>0.00%</w:t>
            </w:r>
          </w:p>
        </w:tc>
      </w:tr>
    </w:tbl>
    <w:p w:rsidR="009238DB" w:rsidRPr="007A0313" w:rsidRDefault="009238DB" w:rsidP="002263D2">
      <w:pPr>
        <w:pStyle w:val="41"/>
      </w:pPr>
      <w:r w:rsidRPr="007A0313">
        <w:t>3.2.2</w:t>
      </w:r>
      <w:r w:rsidR="006016F2" w:rsidRPr="007A0313">
        <w:t>自基金合同生效以来</w:t>
      </w:r>
      <w:r w:rsidR="00BF57BE" w:rsidRPr="007A0313">
        <w:t>基金累计净值增长率变动及其与同期业绩比较基准收益率变动的比较</w:t>
      </w:r>
    </w:p>
    <w:p w:rsidR="009238DB" w:rsidRPr="007A0313" w:rsidRDefault="009238DB" w:rsidP="002263D2">
      <w:pPr>
        <w:pStyle w:val="new0"/>
      </w:pPr>
      <w:r w:rsidRPr="007A0313">
        <w:t>1．</w:t>
      </w:r>
      <w:r w:rsidR="0042785F" w:rsidRPr="007A0313">
        <w:t>博时安源18个月定开债A</w:t>
      </w:r>
      <w:r w:rsidRPr="007A0313">
        <w:t>：</w:t>
      </w:r>
    </w:p>
    <w:p w:rsidR="00FC7F43" w:rsidRPr="00C04AE0" w:rsidRDefault="00E2033E" w:rsidP="00632575">
      <w:pPr>
        <w:pStyle w:val="20"/>
        <w:spacing w:line="240" w:lineRule="auto"/>
        <w:ind w:firstLineChars="0" w:firstLine="0"/>
        <w:jc w:val="center"/>
        <w:rPr>
          <w:color w:val="000000" w:themeColor="text1"/>
        </w:rPr>
      </w:pPr>
      <w:r w:rsidRPr="00D64662">
        <w:rPr>
          <w:noProof/>
          <w:color w:val="000000"/>
        </w:rPr>
        <w:drawing>
          <wp:inline distT="0" distB="0" distL="0" distR="0">
            <wp:extent cx="5410800" cy="2077200"/>
            <wp:effectExtent l="0" t="0" r="0" b="0"/>
            <wp:docPr id="5" name="图片 5"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0800" cy="2077200"/>
                    </a:xfrm>
                    <a:prstGeom prst="rect">
                      <a:avLst/>
                    </a:prstGeom>
                    <a:noFill/>
                    <a:ln>
                      <a:noFill/>
                    </a:ln>
                  </pic:spPr>
                </pic:pic>
              </a:graphicData>
            </a:graphic>
          </wp:inline>
        </w:drawing>
      </w:r>
    </w:p>
    <w:p w:rsidR="009238DB" w:rsidRPr="007A0313" w:rsidRDefault="009238DB" w:rsidP="002263D2">
      <w:pPr>
        <w:pStyle w:val="new0"/>
      </w:pPr>
      <w:r w:rsidRPr="007A0313">
        <w:t>2．</w:t>
      </w:r>
      <w:r w:rsidR="00FE7FBD" w:rsidRPr="007A0313">
        <w:t>博时安源18个月定开债C</w:t>
      </w:r>
      <w:r w:rsidR="0042785F" w:rsidRPr="007A0313">
        <w:t>：</w:t>
      </w:r>
    </w:p>
    <w:p w:rsidR="00FC7F43" w:rsidRPr="00C04AE0" w:rsidRDefault="00E2033E" w:rsidP="00632575">
      <w:pPr>
        <w:pStyle w:val="20"/>
        <w:spacing w:line="240" w:lineRule="auto"/>
        <w:ind w:firstLineChars="0" w:firstLine="0"/>
        <w:jc w:val="center"/>
        <w:rPr>
          <w:color w:val="000000" w:themeColor="text1"/>
        </w:rPr>
      </w:pPr>
      <w:r w:rsidRPr="001F02B6">
        <w:rPr>
          <w:noProof/>
          <w:color w:val="000000" w:themeColor="text1"/>
        </w:rPr>
        <w:lastRenderedPageBreak/>
        <w:drawing>
          <wp:inline distT="0" distB="0" distL="0" distR="0">
            <wp:extent cx="5410800" cy="2077200"/>
            <wp:effectExtent l="0" t="0" r="0" b="0"/>
            <wp:docPr id="2" name="图片 2"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0800" cy="2077200"/>
                    </a:xfrm>
                    <a:prstGeom prst="rect">
                      <a:avLst/>
                    </a:prstGeom>
                    <a:noFill/>
                    <a:ln>
                      <a:noFill/>
                    </a:ln>
                  </pic:spPr>
                </pic:pic>
              </a:graphicData>
            </a:graphic>
          </wp:inline>
        </w:drawing>
      </w:r>
    </w:p>
    <w:p w:rsidR="00973B57" w:rsidRPr="00717087" w:rsidRDefault="00973B57" w:rsidP="00DD02EA">
      <w:pPr>
        <w:pStyle w:val="aff3"/>
      </w:pPr>
    </w:p>
    <w:p w:rsidR="009238DB" w:rsidRPr="00DD02EA" w:rsidRDefault="009238DB" w:rsidP="00356901">
      <w:pPr>
        <w:pStyle w:val="2"/>
        <w:ind w:left="210" w:right="210"/>
      </w:pPr>
      <w:r w:rsidRPr="00DD02EA">
        <w:t xml:space="preserve">§4  </w:t>
      </w:r>
      <w:r w:rsidRPr="00DD02EA">
        <w:t>管理人报告</w:t>
      </w:r>
    </w:p>
    <w:p w:rsidR="009238DB" w:rsidRPr="00832A15" w:rsidRDefault="009238DB" w:rsidP="002263D2">
      <w:pPr>
        <w:pStyle w:val="xx"/>
      </w:pPr>
      <w:r w:rsidRPr="00832A15">
        <w:t xml:space="preserve">4.1 </w:t>
      </w:r>
      <w:r w:rsidRPr="00832A15">
        <w:t>基金经理（或基金经理小组）简介</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276"/>
        <w:gridCol w:w="1701"/>
        <w:gridCol w:w="1701"/>
        <w:gridCol w:w="709"/>
        <w:gridCol w:w="2551"/>
      </w:tblGrid>
      <w:tr w:rsidR="004264FD" w:rsidRPr="00C04AE0" w:rsidTr="005C3DCE">
        <w:tc>
          <w:tcPr>
            <w:tcW w:w="1134" w:type="dxa"/>
            <w:vMerge w:val="restart"/>
            <w:vAlign w:val="center"/>
          </w:tcPr>
          <w:p w:rsidR="00C41617" w:rsidRPr="00C04AE0" w:rsidRDefault="00C41617" w:rsidP="00CB141F">
            <w:pPr>
              <w:pStyle w:val="aff2"/>
              <w:jc w:val="center"/>
            </w:pPr>
            <w:r w:rsidRPr="00C04AE0">
              <w:t>姓名</w:t>
            </w:r>
          </w:p>
        </w:tc>
        <w:tc>
          <w:tcPr>
            <w:tcW w:w="1276" w:type="dxa"/>
            <w:vMerge w:val="restart"/>
            <w:vAlign w:val="center"/>
          </w:tcPr>
          <w:p w:rsidR="00C41617" w:rsidRPr="00C04AE0" w:rsidRDefault="00C41617" w:rsidP="00CB141F">
            <w:pPr>
              <w:pStyle w:val="aff2"/>
              <w:jc w:val="center"/>
            </w:pPr>
            <w:r w:rsidRPr="00C04AE0">
              <w:t>职务</w:t>
            </w:r>
          </w:p>
        </w:tc>
        <w:tc>
          <w:tcPr>
            <w:tcW w:w="3402" w:type="dxa"/>
            <w:gridSpan w:val="2"/>
            <w:vAlign w:val="center"/>
          </w:tcPr>
          <w:p w:rsidR="00C41617" w:rsidRPr="00C04AE0" w:rsidRDefault="00C41617" w:rsidP="00CB141F">
            <w:pPr>
              <w:pStyle w:val="aff2"/>
              <w:jc w:val="center"/>
            </w:pPr>
            <w:r w:rsidRPr="00C04AE0">
              <w:t>任本基金的基金经理期限</w:t>
            </w:r>
          </w:p>
        </w:tc>
        <w:tc>
          <w:tcPr>
            <w:tcW w:w="709" w:type="dxa"/>
            <w:vMerge w:val="restart"/>
            <w:vAlign w:val="center"/>
          </w:tcPr>
          <w:p w:rsidR="00C41617" w:rsidRPr="00C04AE0" w:rsidRDefault="00C41617" w:rsidP="00CB141F">
            <w:pPr>
              <w:pStyle w:val="aff2"/>
              <w:jc w:val="center"/>
            </w:pPr>
            <w:r w:rsidRPr="00C04AE0">
              <w:t>证券从业年限</w:t>
            </w:r>
          </w:p>
        </w:tc>
        <w:tc>
          <w:tcPr>
            <w:tcW w:w="2551" w:type="dxa"/>
            <w:vMerge w:val="restart"/>
            <w:vAlign w:val="center"/>
          </w:tcPr>
          <w:p w:rsidR="00C41617" w:rsidRPr="00C04AE0" w:rsidRDefault="00C41617" w:rsidP="00CB141F">
            <w:pPr>
              <w:pStyle w:val="aff2"/>
              <w:jc w:val="center"/>
            </w:pPr>
            <w:r w:rsidRPr="00C04AE0">
              <w:t>说明</w:t>
            </w:r>
          </w:p>
        </w:tc>
      </w:tr>
      <w:tr w:rsidR="004264FD" w:rsidRPr="00C04AE0" w:rsidTr="005C3DCE">
        <w:tc>
          <w:tcPr>
            <w:tcW w:w="1134" w:type="dxa"/>
            <w:vMerge/>
            <w:vAlign w:val="center"/>
          </w:tcPr>
          <w:p w:rsidR="00C41617" w:rsidRPr="00C04AE0" w:rsidRDefault="00C41617" w:rsidP="00CB141F">
            <w:pPr>
              <w:pStyle w:val="aff2"/>
              <w:jc w:val="center"/>
            </w:pPr>
          </w:p>
        </w:tc>
        <w:tc>
          <w:tcPr>
            <w:tcW w:w="1276" w:type="dxa"/>
            <w:vMerge/>
          </w:tcPr>
          <w:p w:rsidR="00C41617" w:rsidRPr="00C04AE0" w:rsidRDefault="00C41617" w:rsidP="00CB141F">
            <w:pPr>
              <w:pStyle w:val="aff2"/>
              <w:jc w:val="center"/>
            </w:pPr>
          </w:p>
        </w:tc>
        <w:tc>
          <w:tcPr>
            <w:tcW w:w="1701" w:type="dxa"/>
            <w:vAlign w:val="center"/>
          </w:tcPr>
          <w:p w:rsidR="00C41617" w:rsidRPr="00C04AE0" w:rsidRDefault="00C41617" w:rsidP="00CB141F">
            <w:pPr>
              <w:pStyle w:val="aff2"/>
              <w:jc w:val="center"/>
            </w:pPr>
            <w:r w:rsidRPr="00C04AE0">
              <w:t>任职日期</w:t>
            </w:r>
          </w:p>
        </w:tc>
        <w:tc>
          <w:tcPr>
            <w:tcW w:w="1701" w:type="dxa"/>
            <w:vAlign w:val="center"/>
          </w:tcPr>
          <w:p w:rsidR="00C41617" w:rsidRPr="00C04AE0" w:rsidRDefault="00C41617" w:rsidP="00CB141F">
            <w:pPr>
              <w:pStyle w:val="aff2"/>
              <w:jc w:val="center"/>
            </w:pPr>
            <w:r w:rsidRPr="00C04AE0">
              <w:t>离任日期</w:t>
            </w:r>
          </w:p>
        </w:tc>
        <w:tc>
          <w:tcPr>
            <w:tcW w:w="709" w:type="dxa"/>
            <w:vMerge/>
            <w:vAlign w:val="center"/>
          </w:tcPr>
          <w:p w:rsidR="00C41617" w:rsidRPr="00C04AE0" w:rsidRDefault="00C41617" w:rsidP="00CB141F">
            <w:pPr>
              <w:pStyle w:val="aff2"/>
              <w:jc w:val="center"/>
            </w:pPr>
          </w:p>
        </w:tc>
        <w:tc>
          <w:tcPr>
            <w:tcW w:w="2551" w:type="dxa"/>
            <w:vMerge/>
            <w:vAlign w:val="center"/>
          </w:tcPr>
          <w:p w:rsidR="00C41617" w:rsidRPr="00C04AE0" w:rsidRDefault="00C41617" w:rsidP="00CB141F">
            <w:pPr>
              <w:pStyle w:val="aff2"/>
              <w:jc w:val="center"/>
            </w:pPr>
          </w:p>
        </w:tc>
      </w:tr>
      <w:tr w:rsidR="00BB2831">
        <w:tc>
          <w:tcPr>
            <w:tcW w:w="1134" w:type="dxa"/>
            <w:vAlign w:val="center"/>
          </w:tcPr>
          <w:p w:rsidR="00BB2831" w:rsidRDefault="004B6FE5" w:rsidP="00860FBE">
            <w:pPr>
              <w:ind w:firstLine="0"/>
            </w:pPr>
            <w:r>
              <w:t>陈凯杨</w:t>
            </w:r>
          </w:p>
        </w:tc>
        <w:tc>
          <w:tcPr>
            <w:tcW w:w="1276" w:type="dxa"/>
            <w:vAlign w:val="center"/>
          </w:tcPr>
          <w:p w:rsidR="00BB2831" w:rsidRDefault="004B6FE5" w:rsidP="00860FBE">
            <w:pPr>
              <w:ind w:firstLine="0"/>
            </w:pPr>
            <w:r>
              <w:t>固定收益总部现金管理组投资总监</w:t>
            </w:r>
            <w:r>
              <w:t>/</w:t>
            </w:r>
            <w:r>
              <w:t>基金经理</w:t>
            </w:r>
          </w:p>
        </w:tc>
        <w:tc>
          <w:tcPr>
            <w:tcW w:w="1701" w:type="dxa"/>
            <w:vAlign w:val="center"/>
          </w:tcPr>
          <w:p w:rsidR="00BB2831" w:rsidRDefault="004B6FE5" w:rsidP="00860FBE">
            <w:pPr>
              <w:ind w:firstLineChars="100" w:firstLine="210"/>
            </w:pPr>
            <w:r>
              <w:t>2016-06-16</w:t>
            </w:r>
          </w:p>
        </w:tc>
        <w:tc>
          <w:tcPr>
            <w:tcW w:w="1701" w:type="dxa"/>
            <w:vAlign w:val="center"/>
          </w:tcPr>
          <w:p w:rsidR="00BB2831" w:rsidRDefault="004B6FE5">
            <w:pPr>
              <w:jc w:val="center"/>
            </w:pPr>
            <w:r>
              <w:t>-</w:t>
            </w:r>
          </w:p>
        </w:tc>
        <w:tc>
          <w:tcPr>
            <w:tcW w:w="709" w:type="dxa"/>
            <w:vAlign w:val="center"/>
          </w:tcPr>
          <w:p w:rsidR="00BB2831" w:rsidRDefault="004B6FE5" w:rsidP="00860FBE">
            <w:pPr>
              <w:ind w:firstLine="0"/>
            </w:pPr>
            <w:r>
              <w:t>12.3</w:t>
            </w:r>
          </w:p>
        </w:tc>
        <w:tc>
          <w:tcPr>
            <w:tcW w:w="2551" w:type="dxa"/>
            <w:vAlign w:val="center"/>
          </w:tcPr>
          <w:p w:rsidR="00BB2831" w:rsidRDefault="004B6FE5">
            <w:pPr>
              <w:jc w:val="both"/>
            </w:pPr>
            <w:r>
              <w:t>2003</w:t>
            </w:r>
            <w:r>
              <w:t>年起先后在深圳发展银行、博时基金、长城基金工作。</w:t>
            </w:r>
            <w:r>
              <w:t>2009</w:t>
            </w:r>
            <w:r>
              <w:t>年</w:t>
            </w:r>
            <w:r>
              <w:t>1</w:t>
            </w:r>
            <w:r>
              <w:t>月再次加入博时基金管理有限公司。历任固定收益研究员、特定资产投资经理、博时理财</w:t>
            </w:r>
            <w:r>
              <w:t>30</w:t>
            </w:r>
            <w:r>
              <w:t>天债券基金基金经理、固定收益总部现金管理组投资副总监、博时外服货币市场基金、博时岁岁增利一年定期开放债券基金、博时裕瑞纯债债券基金、博时裕盈纯债债券基金、博时裕恒纯债债券基金、博时裕荣纯债债券基金、博时裕晟纯债债券基金、博时裕泰纯债债券基金、博时裕丰纯债债券基金、博时裕和纯债债券基金、博时裕坤纯债债券基金、博时裕嘉纯债债券基金、博时裕达纯债债券基金、博时裕康纯债债券基金、博时安心收益定期开放债券基金、博时裕腾纯债债券基金、博时裕安纯债债券基金、博时裕新纯债债券基金、博时裕发纯债债券基金、博时裕景纯债债券基金、博时裕乾纯债债券基金、博时裕通纯债债券基金、博时安和</w:t>
            </w:r>
            <w:r>
              <w:t>18</w:t>
            </w:r>
            <w:r>
              <w:t>个月定开债基金的基金经理。现任固定收益总部现金管理组投资总监兼博时月月薪定期支付债券基金、博时双月薪定期支付债券基金、博时现金收益货币基金、博时安誉</w:t>
            </w:r>
            <w:r>
              <w:t>18</w:t>
            </w:r>
            <w:r>
              <w:t>个月定开债基金、博时安泰</w:t>
            </w:r>
            <w:r>
              <w:t>18</w:t>
            </w:r>
            <w:r>
              <w:t>个月定开债基金、博时安瑞</w:t>
            </w:r>
            <w:r>
              <w:t>18</w:t>
            </w:r>
            <w:r>
              <w:t>个月定开债基金、博时安怡</w:t>
            </w:r>
            <w:r>
              <w:t>6</w:t>
            </w:r>
            <w:r>
              <w:t>个月定开债基金、博时安源</w:t>
            </w:r>
            <w:r>
              <w:t>18</w:t>
            </w:r>
            <w:r>
              <w:t>个月定开债基金、博时裕弘纯债债券基金、博时裕顺纯债债券基金、博时裕昂纯债债券基金、博时裕泉纯债债券基金、博时安祺一年定开债基金、博时裕信纯债债券基金、博时裕诚纯债债券基金、博时安诚</w:t>
            </w:r>
            <w:r>
              <w:t>18</w:t>
            </w:r>
            <w:r>
              <w:t>个月定开债基金、博时安康</w:t>
            </w:r>
            <w:r>
              <w:t>18</w:t>
            </w:r>
            <w:r>
              <w:t>个月定开债（</w:t>
            </w:r>
            <w:r>
              <w:t>LOF</w:t>
            </w:r>
            <w:r>
              <w:t>）基金、博时合惠货币基金的基金经理。</w:t>
            </w:r>
          </w:p>
        </w:tc>
      </w:tr>
    </w:tbl>
    <w:p w:rsidR="00870A92" w:rsidRDefault="00062E1F" w:rsidP="00870A92">
      <w:pPr>
        <w:pStyle w:val="aff3"/>
      </w:pPr>
      <w:r w:rsidRPr="00717087">
        <w:t>注：上述任职日期、离任日期根据本基金管理人对外披露的任免日期填写。证券从业的含义遵从行业协会《证券业从业人员资格管理办法》的相关规定。</w:t>
      </w:r>
    </w:p>
    <w:p w:rsidR="009238DB" w:rsidRPr="00832A15" w:rsidRDefault="009238DB" w:rsidP="002263D2">
      <w:pPr>
        <w:pStyle w:val="xx"/>
      </w:pPr>
      <w:r w:rsidRPr="00832A15">
        <w:t>4.2</w:t>
      </w:r>
      <w:r w:rsidR="001678CC" w:rsidRPr="001678CC">
        <w:rPr>
          <w:rFonts w:hint="eastAsia"/>
        </w:rPr>
        <w:t>管理人对报告期内本基金运作遵规守信情况的说明</w:t>
      </w:r>
    </w:p>
    <w:p w:rsidR="009238DB" w:rsidRPr="00EB30DF" w:rsidRDefault="00323F25" w:rsidP="00DD02EA">
      <w:pPr>
        <w:pStyle w:val="new"/>
      </w:pPr>
      <w:r w:rsidRPr="00EB30DF">
        <w:t>在本报告期内，本基金管理人严格遵循了《中华人民共和国证券投资基金法》及其各项实施细则、本基金基金合同和其他相关法律法规的规定，并本着诚实信用、勤勉尽责、取信于市场、取信于社会的原则管理和运用基金资产，为基金持有人谋求最大利益。本报告期内，由于证券市场波动等原因，本基金曾出现个别投资监控指标超标的情况，基金管理人在规定期限内进行了调整，对基金份额持有人利益未造成损害。</w:t>
      </w:r>
    </w:p>
    <w:p w:rsidR="009238DB" w:rsidRPr="00832A15" w:rsidRDefault="009238DB" w:rsidP="002263D2">
      <w:pPr>
        <w:pStyle w:val="xx"/>
      </w:pPr>
      <w:r w:rsidRPr="00832A15">
        <w:t xml:space="preserve">4.3 </w:t>
      </w:r>
      <w:r w:rsidRPr="00832A15">
        <w:t>公平交易专项说明</w:t>
      </w:r>
    </w:p>
    <w:p w:rsidR="00D15733" w:rsidRPr="00DD02EA" w:rsidRDefault="00D15733" w:rsidP="002263D2">
      <w:pPr>
        <w:pStyle w:val="41"/>
      </w:pPr>
      <w:r w:rsidRPr="00DD02EA">
        <w:t xml:space="preserve">4.3.1 </w:t>
      </w:r>
      <w:r w:rsidRPr="00DD02EA">
        <w:t>公平交易制度的执行情况</w:t>
      </w:r>
    </w:p>
    <w:p w:rsidR="00D15733" w:rsidRPr="00EB30DF" w:rsidRDefault="00323F25" w:rsidP="00DD02EA">
      <w:pPr>
        <w:pStyle w:val="new"/>
      </w:pPr>
      <w:r w:rsidRPr="00EB30DF">
        <w:t>报告期内，本基金管理人严格执行了《证券投资基金管理公司公平交易制度指导意见》和公司制定的公平交易相关制度。</w:t>
      </w:r>
    </w:p>
    <w:p w:rsidR="00D15733" w:rsidRPr="00DD02EA" w:rsidRDefault="00D15733" w:rsidP="002263D2">
      <w:pPr>
        <w:pStyle w:val="41"/>
      </w:pPr>
      <w:r w:rsidRPr="00DD02EA">
        <w:t>4.3.</w:t>
      </w:r>
      <w:r w:rsidR="005B6047" w:rsidRPr="00DD02EA">
        <w:t>2</w:t>
      </w:r>
      <w:r w:rsidRPr="00DD02EA">
        <w:t>异常交易行为的专项说明</w:t>
      </w:r>
    </w:p>
    <w:p w:rsidR="009238DB" w:rsidRDefault="00323F25" w:rsidP="00DD02EA">
      <w:pPr>
        <w:pStyle w:val="new"/>
      </w:pPr>
      <w:r w:rsidRPr="00EB30DF">
        <w:t>报告期内未发现本基金存在异常交易行为。</w:t>
      </w:r>
    </w:p>
    <w:p w:rsidR="009F21B5" w:rsidRPr="00C40F2F" w:rsidRDefault="009F21B5" w:rsidP="002263D2">
      <w:pPr>
        <w:pStyle w:val="xx"/>
      </w:pPr>
      <w:r w:rsidRPr="00C40F2F">
        <w:t>4.4</w:t>
      </w:r>
      <w:r w:rsidRPr="00C40F2F">
        <w:rPr>
          <w:rFonts w:hint="eastAsia"/>
        </w:rPr>
        <w:t>报告期内基金投资策略和运作分析</w:t>
      </w:r>
    </w:p>
    <w:p w:rsidR="00BB2831" w:rsidRDefault="004B6FE5">
      <w:pPr>
        <w:pStyle w:val="new"/>
      </w:pPr>
      <w:r>
        <w:t>2017年四季度债券市场利率大幅上行，十年国债利率从3.61%上行至3.9%，上行30bp；十年国开从4.18%上行至4.87%，高点达到4.94%，上行70bp。从指数走势来看，中债总财富指数下跌0.87%，中债国债总财富指数下跌0.26%，中债企业债总财富指数下跌0.34%</w:t>
      </w:r>
    </w:p>
    <w:p w:rsidR="00BB2831" w:rsidRDefault="004B6FE5">
      <w:pPr>
        <w:pStyle w:val="new"/>
      </w:pPr>
      <w:r>
        <w:t>四季度市场普遍预期经济增速会进入下行区间，且“三三四”监管政策已取得初步成效，预期监管方面超预期概率较小，且9月末央行宣布2018年初定向降准改善了市场对资金面的预期。但实际情况经济虽然下行，但韧性仍然较强，监管政策继续加码，资管新规及流动性新规征求意见稿相继出台，货币政策坚持“削峰填谷”的中性政策，导致收益率快速上行，部分交易机构出现止损需求，卖券和国债期货套保形成负反馈作用，同时银行配置力量缺席，做空力量不断增强，收益率出现超调。</w:t>
      </w:r>
    </w:p>
    <w:p w:rsidR="00BB2831" w:rsidRDefault="004B6FE5">
      <w:pPr>
        <w:pStyle w:val="new"/>
      </w:pPr>
      <w:r>
        <w:t>四季度，本基金保持适度久期和适度杠杆的操作，利用基金本身定期开放的优势。</w:t>
      </w:r>
    </w:p>
    <w:p w:rsidR="00952A72" w:rsidRPr="00EB30DF" w:rsidRDefault="00323F25" w:rsidP="00DD02EA">
      <w:pPr>
        <w:pStyle w:val="new"/>
      </w:pPr>
      <w:r w:rsidRPr="00EB30DF">
        <w:t>展望2018年一季度，短期经济基本面仍具备韧性，通胀小幅回升，但因海外的加息及美国税改政策，对货币政策形成了一定的制约。去金融杠杆仍将是监管重心，预期货币政策仍会维持中性。短端利率难有大幅下行，也制约利率整体的下行空间。同时金融去杠杆、强监管也限制了债券市场的整体需求，可能出现短期的流动性冲击，对债券收益率有持续的负面影响，债券收益率大概率维持高位震荡格局。利率债可以把握交易性机会，但是趋势性机会尚需等待；信用债绝对收益率达到历史高位，具备配置价值，但是信用利差和期限利差保护较弱，高等级短久期信用债安全性更高。一季度跨春节资金可能偏紧，低杠杆策略相对更优。</w:t>
      </w:r>
    </w:p>
    <w:p w:rsidR="00860FBE" w:rsidRDefault="009F21B5" w:rsidP="00860FBE">
      <w:pPr>
        <w:pStyle w:val="xx"/>
      </w:pPr>
      <w:r w:rsidRPr="00C40F2F">
        <w:rPr>
          <w:rFonts w:hint="eastAsia"/>
        </w:rPr>
        <w:t xml:space="preserve">4.5 </w:t>
      </w:r>
      <w:r w:rsidRPr="00C40F2F">
        <w:rPr>
          <w:rFonts w:hint="eastAsia"/>
        </w:rPr>
        <w:t>报告期内基金的业绩表现</w:t>
      </w:r>
    </w:p>
    <w:p w:rsidR="00860FBE" w:rsidRPr="00EB30DF" w:rsidRDefault="00860FBE" w:rsidP="00860FBE">
      <w:pPr>
        <w:pStyle w:val="new"/>
      </w:pPr>
      <w:r w:rsidRPr="00EB30DF">
        <w:t>截至2017年</w:t>
      </w:r>
      <w:r>
        <w:rPr>
          <w:rFonts w:hint="eastAsia"/>
        </w:rPr>
        <w:t>12</w:t>
      </w:r>
      <w:r w:rsidRPr="00EB30DF">
        <w:t>月</w:t>
      </w:r>
      <w:r>
        <w:rPr>
          <w:rFonts w:hint="eastAsia"/>
        </w:rPr>
        <w:t>29</w:t>
      </w:r>
      <w:r w:rsidRPr="00EB30DF">
        <w:t>日,本基金A类基金份额净值为1.004元,份额累计净值为1.004元,本基金C类基金份额净值为</w:t>
      </w:r>
      <w:r>
        <w:t>0.99</w:t>
      </w:r>
      <w:r>
        <w:rPr>
          <w:rFonts w:hint="eastAsia"/>
        </w:rPr>
        <w:t>7</w:t>
      </w:r>
      <w:r w:rsidRPr="00EB30DF">
        <w:t>元,份额累计净值为</w:t>
      </w:r>
      <w:r>
        <w:t>0.99</w:t>
      </w:r>
      <w:r>
        <w:rPr>
          <w:rFonts w:hint="eastAsia"/>
        </w:rPr>
        <w:t>7</w:t>
      </w:r>
      <w:r w:rsidRPr="00EB30DF">
        <w:t>元.报告期内，本基金A基金份额净值增长率为</w:t>
      </w:r>
      <w:r>
        <w:t>0.</w:t>
      </w:r>
      <w:r>
        <w:rPr>
          <w:rFonts w:hint="eastAsia"/>
        </w:rPr>
        <w:t>00</w:t>
      </w:r>
      <w:r w:rsidRPr="00EB30DF">
        <w:t>%,本基金C基金份额净值增长率为</w:t>
      </w:r>
      <w:r>
        <w:rPr>
          <w:rFonts w:hint="eastAsia"/>
        </w:rPr>
        <w:t>-0.20</w:t>
      </w:r>
      <w:r w:rsidRPr="00EB30DF">
        <w:t>%，同期业绩基准增长率</w:t>
      </w:r>
      <w:r>
        <w:rPr>
          <w:rFonts w:hint="eastAsia"/>
        </w:rPr>
        <w:t>-0.38</w:t>
      </w:r>
      <w:r w:rsidRPr="00EB30DF">
        <w:t>%</w:t>
      </w:r>
      <w:r>
        <w:rPr>
          <w:rFonts w:hint="eastAsia"/>
        </w:rPr>
        <w:t>。</w:t>
      </w:r>
    </w:p>
    <w:p w:rsidR="00022662" w:rsidRPr="00832A15" w:rsidRDefault="00D971CB" w:rsidP="002263D2">
      <w:pPr>
        <w:pStyle w:val="xx"/>
      </w:pPr>
      <w:r w:rsidRPr="00832A15">
        <w:t>4</w:t>
      </w:r>
      <w:r w:rsidR="004734F0" w:rsidRPr="00832A15">
        <w:rPr>
          <w:rFonts w:hint="eastAsia"/>
        </w:rPr>
        <w:t>.</w:t>
      </w:r>
      <w:r w:rsidR="00B63B6A" w:rsidRPr="00832A15">
        <w:rPr>
          <w:rFonts w:hint="eastAsia"/>
        </w:rPr>
        <w:t>6</w:t>
      </w:r>
      <w:r w:rsidRPr="00832A15">
        <w:rPr>
          <w:rFonts w:hint="eastAsia"/>
        </w:rPr>
        <w:t>报告期内基金持有人数或基金资产净值预警说明</w:t>
      </w:r>
    </w:p>
    <w:p w:rsidR="00D971CB" w:rsidRPr="00832A15" w:rsidRDefault="00D971CB" w:rsidP="00DD02EA">
      <w:pPr>
        <w:pStyle w:val="new"/>
      </w:pPr>
      <w:r w:rsidRPr="00EB30DF">
        <w:t>无</w:t>
      </w:r>
      <w:r w:rsidR="00757113">
        <w:rPr>
          <w:rFonts w:hint="eastAsia"/>
        </w:rPr>
        <w:t>。</w:t>
      </w:r>
    </w:p>
    <w:p w:rsidR="009238DB" w:rsidRPr="00DD02EA" w:rsidRDefault="009238DB" w:rsidP="00356901">
      <w:pPr>
        <w:pStyle w:val="2"/>
        <w:ind w:left="210" w:right="210"/>
      </w:pPr>
      <w:r w:rsidRPr="00DD02EA">
        <w:t xml:space="preserve">§5  </w:t>
      </w:r>
      <w:r w:rsidRPr="00DD02EA">
        <w:t>投资组合报告</w:t>
      </w:r>
    </w:p>
    <w:p w:rsidR="009238DB" w:rsidRPr="00832A15" w:rsidRDefault="009238DB" w:rsidP="002263D2">
      <w:pPr>
        <w:pStyle w:val="xx"/>
      </w:pPr>
      <w:r w:rsidRPr="00832A15">
        <w:t xml:space="preserve">5.1 </w:t>
      </w:r>
      <w:r w:rsidRPr="00832A15">
        <w:t>报告期末基金资产组合情况</w:t>
      </w:r>
    </w:p>
    <w:tbl>
      <w:tblPr>
        <w:tblStyle w:val="af2"/>
        <w:tblW w:w="9072" w:type="dxa"/>
        <w:tblInd w:w="108" w:type="dxa"/>
        <w:tblLayout w:type="fixed"/>
        <w:tblLook w:val="04A0"/>
      </w:tblPr>
      <w:tblGrid>
        <w:gridCol w:w="709"/>
        <w:gridCol w:w="11"/>
        <w:gridCol w:w="2115"/>
        <w:gridCol w:w="3828"/>
        <w:gridCol w:w="2409"/>
      </w:tblGrid>
      <w:tr w:rsidR="004264FD" w:rsidRPr="00EB30DF" w:rsidTr="00A82726">
        <w:tc>
          <w:tcPr>
            <w:tcW w:w="709" w:type="dxa"/>
            <w:vAlign w:val="center"/>
          </w:tcPr>
          <w:p w:rsidR="009A6018" w:rsidRPr="00EB30DF" w:rsidRDefault="009A6018" w:rsidP="00CB141F">
            <w:pPr>
              <w:pStyle w:val="aff2"/>
              <w:jc w:val="center"/>
            </w:pPr>
            <w:r w:rsidRPr="00EB30DF">
              <w:t>序号</w:t>
            </w:r>
          </w:p>
        </w:tc>
        <w:tc>
          <w:tcPr>
            <w:tcW w:w="2126" w:type="dxa"/>
            <w:gridSpan w:val="2"/>
            <w:vAlign w:val="center"/>
          </w:tcPr>
          <w:p w:rsidR="009A6018" w:rsidRPr="00EB30DF" w:rsidRDefault="009A6018" w:rsidP="00CB141F">
            <w:pPr>
              <w:pStyle w:val="aff2"/>
              <w:jc w:val="center"/>
            </w:pPr>
            <w:r w:rsidRPr="00EB30DF">
              <w:t>项目</w:t>
            </w:r>
          </w:p>
        </w:tc>
        <w:tc>
          <w:tcPr>
            <w:tcW w:w="3828" w:type="dxa"/>
            <w:vAlign w:val="center"/>
          </w:tcPr>
          <w:p w:rsidR="009A6018" w:rsidRPr="00EB30DF" w:rsidRDefault="009A6018" w:rsidP="00CB141F">
            <w:pPr>
              <w:pStyle w:val="aff2"/>
              <w:jc w:val="center"/>
            </w:pPr>
            <w:r w:rsidRPr="00EB30DF">
              <w:t>金额</w:t>
            </w:r>
            <w:r w:rsidRPr="00EB30DF">
              <w:t>(</w:t>
            </w:r>
            <w:r w:rsidRPr="00EB30DF">
              <w:t>元</w:t>
            </w:r>
            <w:r w:rsidRPr="00EB30DF">
              <w:t>)</w:t>
            </w:r>
          </w:p>
        </w:tc>
        <w:tc>
          <w:tcPr>
            <w:tcW w:w="2409" w:type="dxa"/>
            <w:vAlign w:val="center"/>
          </w:tcPr>
          <w:p w:rsidR="009A6018" w:rsidRPr="00EB30DF" w:rsidRDefault="009A6018" w:rsidP="00CB141F">
            <w:pPr>
              <w:pStyle w:val="aff2"/>
              <w:jc w:val="center"/>
            </w:pPr>
            <w:r w:rsidRPr="00EB30DF">
              <w:t>占基金总资产的比例</w:t>
            </w:r>
            <w:r w:rsidRPr="00EB30DF">
              <w:t>(%)</w:t>
            </w:r>
          </w:p>
        </w:tc>
      </w:tr>
      <w:tr w:rsidR="004264FD" w:rsidRPr="00EB30DF" w:rsidTr="00A82726">
        <w:tc>
          <w:tcPr>
            <w:tcW w:w="709" w:type="dxa"/>
            <w:vAlign w:val="center"/>
          </w:tcPr>
          <w:p w:rsidR="009A6018" w:rsidRPr="00EB30DF" w:rsidRDefault="009A6018" w:rsidP="00CB141F">
            <w:pPr>
              <w:pStyle w:val="aff2"/>
            </w:pPr>
            <w:r w:rsidRPr="00EB30DF">
              <w:t>1</w:t>
            </w:r>
          </w:p>
        </w:tc>
        <w:tc>
          <w:tcPr>
            <w:tcW w:w="2126" w:type="dxa"/>
            <w:gridSpan w:val="2"/>
            <w:vAlign w:val="center"/>
          </w:tcPr>
          <w:p w:rsidR="009A6018" w:rsidRPr="00EB30DF" w:rsidRDefault="009A6018" w:rsidP="00CB141F">
            <w:pPr>
              <w:pStyle w:val="aff2"/>
            </w:pPr>
            <w:r w:rsidRPr="00EB30DF">
              <w:t>权益投资</w:t>
            </w:r>
          </w:p>
        </w:tc>
        <w:tc>
          <w:tcPr>
            <w:tcW w:w="3828" w:type="dxa"/>
            <w:vAlign w:val="center"/>
          </w:tcPr>
          <w:p w:rsidR="009A6018" w:rsidRPr="00EB30DF" w:rsidRDefault="009A6018" w:rsidP="00CB141F">
            <w:pPr>
              <w:pStyle w:val="aff2"/>
              <w:jc w:val="right"/>
            </w:pPr>
            <w:r w:rsidRPr="00EB30DF">
              <w:t>-</w:t>
            </w:r>
          </w:p>
        </w:tc>
        <w:tc>
          <w:tcPr>
            <w:tcW w:w="2409" w:type="dxa"/>
            <w:vAlign w:val="center"/>
          </w:tcPr>
          <w:p w:rsidR="009A6018" w:rsidRPr="00EB30DF" w:rsidRDefault="009A6018" w:rsidP="00CB141F">
            <w:pPr>
              <w:pStyle w:val="aff2"/>
              <w:jc w:val="right"/>
            </w:pPr>
            <w:r w:rsidRPr="00EB30DF">
              <w:t>-</w:t>
            </w:r>
          </w:p>
        </w:tc>
      </w:tr>
      <w:tr w:rsidR="004264FD" w:rsidRPr="00EB30DF" w:rsidTr="00A82726">
        <w:tc>
          <w:tcPr>
            <w:tcW w:w="709" w:type="dxa"/>
            <w:vAlign w:val="center"/>
          </w:tcPr>
          <w:p w:rsidR="009A6018" w:rsidRPr="00EB30DF" w:rsidRDefault="009A6018" w:rsidP="00CB141F">
            <w:pPr>
              <w:pStyle w:val="aff2"/>
            </w:pPr>
          </w:p>
        </w:tc>
        <w:tc>
          <w:tcPr>
            <w:tcW w:w="2126" w:type="dxa"/>
            <w:gridSpan w:val="2"/>
            <w:vAlign w:val="center"/>
          </w:tcPr>
          <w:p w:rsidR="009A6018" w:rsidRPr="00EB30DF" w:rsidRDefault="009A6018" w:rsidP="00CB141F">
            <w:pPr>
              <w:pStyle w:val="aff2"/>
            </w:pPr>
            <w:r w:rsidRPr="00EB30DF">
              <w:t>其中：股票</w:t>
            </w:r>
          </w:p>
        </w:tc>
        <w:tc>
          <w:tcPr>
            <w:tcW w:w="3828" w:type="dxa"/>
            <w:vAlign w:val="center"/>
          </w:tcPr>
          <w:p w:rsidR="009A6018" w:rsidRPr="00EB30DF" w:rsidRDefault="009A6018" w:rsidP="00CB141F">
            <w:pPr>
              <w:pStyle w:val="aff2"/>
              <w:jc w:val="right"/>
            </w:pPr>
            <w:r w:rsidRPr="00EB30DF">
              <w:t>-</w:t>
            </w:r>
          </w:p>
        </w:tc>
        <w:tc>
          <w:tcPr>
            <w:tcW w:w="2409" w:type="dxa"/>
            <w:vAlign w:val="center"/>
          </w:tcPr>
          <w:p w:rsidR="009A6018" w:rsidRPr="00EB30DF" w:rsidRDefault="009A6018" w:rsidP="00CB141F">
            <w:pPr>
              <w:pStyle w:val="aff2"/>
              <w:jc w:val="right"/>
            </w:pPr>
            <w:r w:rsidRPr="00EB30DF">
              <w:t>-</w:t>
            </w:r>
          </w:p>
        </w:tc>
      </w:tr>
      <w:tr w:rsidR="004264FD" w:rsidRPr="00EB30DF" w:rsidTr="00A82726">
        <w:tc>
          <w:tcPr>
            <w:tcW w:w="709" w:type="dxa"/>
            <w:vAlign w:val="center"/>
          </w:tcPr>
          <w:p w:rsidR="009A6018" w:rsidRPr="00EB30DF" w:rsidRDefault="009A6018" w:rsidP="00CB141F">
            <w:pPr>
              <w:pStyle w:val="aff2"/>
            </w:pPr>
            <w:r w:rsidRPr="00EB30DF">
              <w:t>2</w:t>
            </w:r>
          </w:p>
        </w:tc>
        <w:tc>
          <w:tcPr>
            <w:tcW w:w="2126" w:type="dxa"/>
            <w:gridSpan w:val="2"/>
            <w:vAlign w:val="center"/>
          </w:tcPr>
          <w:p w:rsidR="009A6018" w:rsidRPr="00EB30DF" w:rsidRDefault="009A6018" w:rsidP="00CB141F">
            <w:pPr>
              <w:pStyle w:val="aff2"/>
            </w:pPr>
            <w:r w:rsidRPr="00EB30DF">
              <w:t>固定收益投资</w:t>
            </w:r>
          </w:p>
        </w:tc>
        <w:tc>
          <w:tcPr>
            <w:tcW w:w="3828" w:type="dxa"/>
            <w:vAlign w:val="center"/>
          </w:tcPr>
          <w:p w:rsidR="009A6018" w:rsidRPr="00EB30DF" w:rsidRDefault="009A6018" w:rsidP="00CB141F">
            <w:pPr>
              <w:pStyle w:val="aff2"/>
              <w:jc w:val="right"/>
            </w:pPr>
            <w:r w:rsidRPr="00EB30DF">
              <w:t>-</w:t>
            </w:r>
          </w:p>
        </w:tc>
        <w:tc>
          <w:tcPr>
            <w:tcW w:w="2409" w:type="dxa"/>
            <w:vAlign w:val="center"/>
          </w:tcPr>
          <w:p w:rsidR="009A6018" w:rsidRPr="00EB30DF" w:rsidRDefault="009A6018" w:rsidP="00CB141F">
            <w:pPr>
              <w:pStyle w:val="aff2"/>
              <w:jc w:val="right"/>
            </w:pPr>
            <w:r w:rsidRPr="00EB30DF">
              <w:t>-</w:t>
            </w:r>
          </w:p>
        </w:tc>
      </w:tr>
      <w:tr w:rsidR="004264FD" w:rsidRPr="00EB30DF" w:rsidTr="00A82726">
        <w:tc>
          <w:tcPr>
            <w:tcW w:w="709" w:type="dxa"/>
            <w:vAlign w:val="center"/>
          </w:tcPr>
          <w:p w:rsidR="009A6018" w:rsidRPr="00EB30DF" w:rsidRDefault="009A6018" w:rsidP="00CB141F">
            <w:pPr>
              <w:pStyle w:val="aff2"/>
            </w:pPr>
          </w:p>
        </w:tc>
        <w:tc>
          <w:tcPr>
            <w:tcW w:w="2126" w:type="dxa"/>
            <w:gridSpan w:val="2"/>
            <w:vAlign w:val="center"/>
          </w:tcPr>
          <w:p w:rsidR="009A6018" w:rsidRPr="00EB30DF" w:rsidRDefault="009A6018" w:rsidP="00CB141F">
            <w:pPr>
              <w:pStyle w:val="aff2"/>
            </w:pPr>
            <w:r w:rsidRPr="00EB30DF">
              <w:t>其中：债券</w:t>
            </w:r>
          </w:p>
        </w:tc>
        <w:tc>
          <w:tcPr>
            <w:tcW w:w="3828" w:type="dxa"/>
            <w:vAlign w:val="center"/>
          </w:tcPr>
          <w:p w:rsidR="009A6018" w:rsidRPr="00EB30DF" w:rsidRDefault="009A6018" w:rsidP="00CB141F">
            <w:pPr>
              <w:pStyle w:val="aff2"/>
              <w:jc w:val="right"/>
            </w:pPr>
            <w:r w:rsidRPr="00EB30DF">
              <w:t>-</w:t>
            </w:r>
          </w:p>
        </w:tc>
        <w:tc>
          <w:tcPr>
            <w:tcW w:w="2409" w:type="dxa"/>
            <w:vAlign w:val="center"/>
          </w:tcPr>
          <w:p w:rsidR="009A6018" w:rsidRPr="00EB30DF" w:rsidRDefault="009A6018" w:rsidP="00CB141F">
            <w:pPr>
              <w:pStyle w:val="aff2"/>
              <w:jc w:val="right"/>
            </w:pPr>
            <w:r w:rsidRPr="00EB30DF">
              <w:t>-</w:t>
            </w:r>
          </w:p>
        </w:tc>
      </w:tr>
      <w:tr w:rsidR="004264FD" w:rsidRPr="00EB30DF" w:rsidTr="00A82726">
        <w:tc>
          <w:tcPr>
            <w:tcW w:w="709" w:type="dxa"/>
            <w:vAlign w:val="center"/>
          </w:tcPr>
          <w:p w:rsidR="009A6018" w:rsidRPr="00EB30DF" w:rsidRDefault="009A6018" w:rsidP="00CB141F">
            <w:pPr>
              <w:pStyle w:val="aff2"/>
            </w:pPr>
          </w:p>
        </w:tc>
        <w:tc>
          <w:tcPr>
            <w:tcW w:w="2126" w:type="dxa"/>
            <w:gridSpan w:val="2"/>
            <w:vAlign w:val="center"/>
          </w:tcPr>
          <w:p w:rsidR="009A6018" w:rsidRPr="00EB30DF" w:rsidRDefault="009A6018" w:rsidP="00CB141F">
            <w:pPr>
              <w:pStyle w:val="aff2"/>
            </w:pPr>
            <w:r w:rsidRPr="00EB30DF">
              <w:t>资产支持证券</w:t>
            </w:r>
          </w:p>
        </w:tc>
        <w:tc>
          <w:tcPr>
            <w:tcW w:w="3828" w:type="dxa"/>
            <w:vAlign w:val="center"/>
          </w:tcPr>
          <w:p w:rsidR="009A6018" w:rsidRPr="00EB30DF" w:rsidRDefault="009A6018" w:rsidP="00CB141F">
            <w:pPr>
              <w:pStyle w:val="aff2"/>
              <w:jc w:val="right"/>
            </w:pPr>
            <w:r w:rsidRPr="00EB30DF">
              <w:t>-</w:t>
            </w:r>
          </w:p>
        </w:tc>
        <w:tc>
          <w:tcPr>
            <w:tcW w:w="2409" w:type="dxa"/>
            <w:vAlign w:val="center"/>
          </w:tcPr>
          <w:p w:rsidR="009A6018" w:rsidRPr="00EB30DF" w:rsidRDefault="009A6018" w:rsidP="00CB141F">
            <w:pPr>
              <w:pStyle w:val="aff2"/>
              <w:jc w:val="right"/>
            </w:pPr>
            <w:r w:rsidRPr="00EB30DF">
              <w:t>-</w:t>
            </w:r>
          </w:p>
        </w:tc>
      </w:tr>
      <w:tr w:rsidR="004264FD" w:rsidRPr="00EB30DF" w:rsidTr="00A82726">
        <w:tc>
          <w:tcPr>
            <w:tcW w:w="709" w:type="dxa"/>
          </w:tcPr>
          <w:p w:rsidR="009A6018" w:rsidRPr="00EB30DF" w:rsidRDefault="009A6018" w:rsidP="00CB141F">
            <w:pPr>
              <w:pStyle w:val="aff2"/>
            </w:pPr>
            <w:r w:rsidRPr="00EB30DF">
              <w:t>3</w:t>
            </w:r>
          </w:p>
        </w:tc>
        <w:tc>
          <w:tcPr>
            <w:tcW w:w="2126" w:type="dxa"/>
            <w:gridSpan w:val="2"/>
          </w:tcPr>
          <w:p w:rsidR="009A6018" w:rsidRPr="00EB30DF" w:rsidRDefault="009A6018" w:rsidP="00CB141F">
            <w:pPr>
              <w:pStyle w:val="aff2"/>
            </w:pPr>
            <w:r w:rsidRPr="00EB30DF">
              <w:t>贵金属投资</w:t>
            </w:r>
          </w:p>
        </w:tc>
        <w:tc>
          <w:tcPr>
            <w:tcW w:w="3828" w:type="dxa"/>
            <w:vAlign w:val="center"/>
          </w:tcPr>
          <w:p w:rsidR="009A6018" w:rsidRPr="00EB30DF" w:rsidRDefault="009A6018" w:rsidP="00CB141F">
            <w:pPr>
              <w:pStyle w:val="aff2"/>
              <w:jc w:val="right"/>
            </w:pPr>
            <w:r w:rsidRPr="00EB30DF">
              <w:t>-</w:t>
            </w:r>
          </w:p>
        </w:tc>
        <w:tc>
          <w:tcPr>
            <w:tcW w:w="2409" w:type="dxa"/>
            <w:vAlign w:val="center"/>
          </w:tcPr>
          <w:p w:rsidR="009A6018" w:rsidRPr="00EB30DF" w:rsidRDefault="009A6018" w:rsidP="00CB141F">
            <w:pPr>
              <w:pStyle w:val="aff2"/>
              <w:jc w:val="right"/>
            </w:pPr>
            <w:r w:rsidRPr="00EB30DF">
              <w:t>-</w:t>
            </w:r>
          </w:p>
        </w:tc>
      </w:tr>
      <w:tr w:rsidR="004264FD" w:rsidRPr="00EB30DF" w:rsidTr="00A82726">
        <w:tc>
          <w:tcPr>
            <w:tcW w:w="709" w:type="dxa"/>
            <w:vAlign w:val="center"/>
          </w:tcPr>
          <w:p w:rsidR="009A6018" w:rsidRPr="00EB30DF" w:rsidRDefault="009A6018" w:rsidP="00CB141F">
            <w:pPr>
              <w:pStyle w:val="aff2"/>
            </w:pPr>
            <w:r w:rsidRPr="00EB30DF">
              <w:t>4</w:t>
            </w:r>
          </w:p>
        </w:tc>
        <w:tc>
          <w:tcPr>
            <w:tcW w:w="2126" w:type="dxa"/>
            <w:gridSpan w:val="2"/>
            <w:vAlign w:val="center"/>
          </w:tcPr>
          <w:p w:rsidR="009A6018" w:rsidRPr="00EB30DF" w:rsidRDefault="009A6018" w:rsidP="00CB141F">
            <w:pPr>
              <w:pStyle w:val="aff2"/>
            </w:pPr>
            <w:r w:rsidRPr="00EB30DF">
              <w:t>金融衍生品投资</w:t>
            </w:r>
          </w:p>
        </w:tc>
        <w:tc>
          <w:tcPr>
            <w:tcW w:w="3828" w:type="dxa"/>
            <w:vAlign w:val="center"/>
          </w:tcPr>
          <w:p w:rsidR="009A6018" w:rsidRPr="00EB30DF" w:rsidRDefault="009A6018" w:rsidP="00CB141F">
            <w:pPr>
              <w:pStyle w:val="aff2"/>
              <w:jc w:val="right"/>
            </w:pPr>
            <w:r w:rsidRPr="00EB30DF">
              <w:t>-</w:t>
            </w:r>
          </w:p>
        </w:tc>
        <w:tc>
          <w:tcPr>
            <w:tcW w:w="2409" w:type="dxa"/>
            <w:vAlign w:val="center"/>
          </w:tcPr>
          <w:p w:rsidR="009A6018" w:rsidRPr="00EB30DF" w:rsidRDefault="009A6018" w:rsidP="00CB141F">
            <w:pPr>
              <w:pStyle w:val="aff2"/>
              <w:jc w:val="right"/>
            </w:pPr>
            <w:r w:rsidRPr="00EB30DF">
              <w:t>-</w:t>
            </w:r>
          </w:p>
        </w:tc>
      </w:tr>
      <w:tr w:rsidR="004264FD" w:rsidRPr="00EB30DF" w:rsidTr="00A82726">
        <w:tc>
          <w:tcPr>
            <w:tcW w:w="709" w:type="dxa"/>
            <w:vAlign w:val="center"/>
          </w:tcPr>
          <w:p w:rsidR="009A6018" w:rsidRPr="00EB30DF" w:rsidRDefault="009A6018" w:rsidP="00CB141F">
            <w:pPr>
              <w:pStyle w:val="aff2"/>
            </w:pPr>
            <w:r w:rsidRPr="00EB30DF">
              <w:t>5</w:t>
            </w:r>
          </w:p>
        </w:tc>
        <w:tc>
          <w:tcPr>
            <w:tcW w:w="2126" w:type="dxa"/>
            <w:gridSpan w:val="2"/>
            <w:vAlign w:val="center"/>
          </w:tcPr>
          <w:p w:rsidR="009A6018" w:rsidRPr="00EB30DF" w:rsidRDefault="009A6018" w:rsidP="00CB141F">
            <w:pPr>
              <w:pStyle w:val="aff2"/>
            </w:pPr>
            <w:r w:rsidRPr="00EB30DF">
              <w:t>买入返售金融资产</w:t>
            </w:r>
          </w:p>
        </w:tc>
        <w:tc>
          <w:tcPr>
            <w:tcW w:w="3828" w:type="dxa"/>
            <w:vAlign w:val="center"/>
          </w:tcPr>
          <w:p w:rsidR="009A6018" w:rsidRPr="00EB30DF" w:rsidRDefault="009A6018" w:rsidP="00CB141F">
            <w:pPr>
              <w:pStyle w:val="aff2"/>
              <w:jc w:val="right"/>
            </w:pPr>
            <w:r w:rsidRPr="00EB30DF">
              <w:t>-</w:t>
            </w:r>
          </w:p>
        </w:tc>
        <w:tc>
          <w:tcPr>
            <w:tcW w:w="2409" w:type="dxa"/>
            <w:vAlign w:val="center"/>
          </w:tcPr>
          <w:p w:rsidR="009A6018" w:rsidRPr="00EB30DF" w:rsidRDefault="009A6018" w:rsidP="00CB141F">
            <w:pPr>
              <w:pStyle w:val="aff2"/>
              <w:jc w:val="right"/>
            </w:pPr>
            <w:r w:rsidRPr="00EB30DF">
              <w:t>-</w:t>
            </w:r>
          </w:p>
        </w:tc>
      </w:tr>
      <w:tr w:rsidR="004264FD" w:rsidRPr="00EB30DF" w:rsidTr="00A82726">
        <w:tc>
          <w:tcPr>
            <w:tcW w:w="709" w:type="dxa"/>
            <w:vAlign w:val="center"/>
          </w:tcPr>
          <w:p w:rsidR="009A6018" w:rsidRPr="00EB30DF" w:rsidRDefault="009A6018" w:rsidP="00CB141F">
            <w:pPr>
              <w:pStyle w:val="aff2"/>
            </w:pPr>
          </w:p>
        </w:tc>
        <w:tc>
          <w:tcPr>
            <w:tcW w:w="2126" w:type="dxa"/>
            <w:gridSpan w:val="2"/>
            <w:vAlign w:val="center"/>
          </w:tcPr>
          <w:p w:rsidR="009A6018" w:rsidRPr="00EB30DF" w:rsidRDefault="009A6018" w:rsidP="00CB141F">
            <w:pPr>
              <w:pStyle w:val="aff2"/>
            </w:pPr>
            <w:r w:rsidRPr="00EB30DF">
              <w:t>其中：买断式回购的买入返售金融资产</w:t>
            </w:r>
          </w:p>
        </w:tc>
        <w:tc>
          <w:tcPr>
            <w:tcW w:w="3828" w:type="dxa"/>
            <w:vAlign w:val="center"/>
          </w:tcPr>
          <w:p w:rsidR="009A6018" w:rsidRPr="00EB30DF" w:rsidRDefault="009A6018" w:rsidP="00CB141F">
            <w:pPr>
              <w:pStyle w:val="aff2"/>
              <w:jc w:val="right"/>
            </w:pPr>
            <w:r w:rsidRPr="00EB30DF">
              <w:t>-</w:t>
            </w:r>
          </w:p>
        </w:tc>
        <w:tc>
          <w:tcPr>
            <w:tcW w:w="2409" w:type="dxa"/>
            <w:vAlign w:val="center"/>
          </w:tcPr>
          <w:p w:rsidR="009A6018" w:rsidRPr="00EB30DF" w:rsidRDefault="009A6018" w:rsidP="00CB141F">
            <w:pPr>
              <w:pStyle w:val="aff2"/>
              <w:jc w:val="right"/>
            </w:pPr>
            <w:r w:rsidRPr="00EB30DF">
              <w:t>-</w:t>
            </w:r>
          </w:p>
        </w:tc>
      </w:tr>
      <w:tr w:rsidR="004264FD" w:rsidRPr="00EB30DF" w:rsidTr="00A82726">
        <w:tc>
          <w:tcPr>
            <w:tcW w:w="709" w:type="dxa"/>
            <w:vAlign w:val="center"/>
          </w:tcPr>
          <w:p w:rsidR="009A6018" w:rsidRPr="00EB30DF" w:rsidRDefault="009A6018" w:rsidP="00CB141F">
            <w:pPr>
              <w:pStyle w:val="aff2"/>
            </w:pPr>
            <w:r w:rsidRPr="00EB30DF">
              <w:t>6</w:t>
            </w:r>
          </w:p>
        </w:tc>
        <w:tc>
          <w:tcPr>
            <w:tcW w:w="2126" w:type="dxa"/>
            <w:gridSpan w:val="2"/>
            <w:vAlign w:val="center"/>
          </w:tcPr>
          <w:p w:rsidR="009A6018" w:rsidRPr="00EB30DF" w:rsidRDefault="009A6018" w:rsidP="00CB141F">
            <w:pPr>
              <w:pStyle w:val="aff2"/>
            </w:pPr>
            <w:r w:rsidRPr="00EB30DF">
              <w:t>银行存款和结算备付金合计</w:t>
            </w:r>
          </w:p>
        </w:tc>
        <w:tc>
          <w:tcPr>
            <w:tcW w:w="3828" w:type="dxa"/>
            <w:vAlign w:val="center"/>
          </w:tcPr>
          <w:p w:rsidR="009A6018" w:rsidRPr="00EB30DF" w:rsidRDefault="009A6018" w:rsidP="00CB141F">
            <w:pPr>
              <w:pStyle w:val="aff2"/>
              <w:jc w:val="right"/>
            </w:pPr>
            <w:r w:rsidRPr="00EB30DF">
              <w:t>20,705,844.95</w:t>
            </w:r>
          </w:p>
        </w:tc>
        <w:tc>
          <w:tcPr>
            <w:tcW w:w="2409" w:type="dxa"/>
            <w:vAlign w:val="center"/>
          </w:tcPr>
          <w:p w:rsidR="009A6018" w:rsidRPr="00EB30DF" w:rsidRDefault="009A6018" w:rsidP="00CB141F">
            <w:pPr>
              <w:pStyle w:val="aff2"/>
              <w:jc w:val="right"/>
            </w:pPr>
            <w:r w:rsidRPr="00EB30DF">
              <w:t>99.6</w:t>
            </w:r>
            <w:r w:rsidR="00DD5637">
              <w:rPr>
                <w:rFonts w:hint="eastAsia"/>
              </w:rPr>
              <w:t>8</w:t>
            </w:r>
          </w:p>
        </w:tc>
      </w:tr>
      <w:tr w:rsidR="004264FD" w:rsidRPr="00EB30DF" w:rsidTr="00A82726">
        <w:tc>
          <w:tcPr>
            <w:tcW w:w="720" w:type="dxa"/>
            <w:gridSpan w:val="2"/>
            <w:vAlign w:val="center"/>
          </w:tcPr>
          <w:p w:rsidR="009A6018" w:rsidRPr="00EB30DF" w:rsidRDefault="009A6018" w:rsidP="00CB141F">
            <w:pPr>
              <w:pStyle w:val="aff2"/>
            </w:pPr>
            <w:r w:rsidRPr="00EB30DF">
              <w:t>7</w:t>
            </w:r>
          </w:p>
        </w:tc>
        <w:tc>
          <w:tcPr>
            <w:tcW w:w="2115" w:type="dxa"/>
            <w:vAlign w:val="center"/>
          </w:tcPr>
          <w:p w:rsidR="009A6018" w:rsidRPr="00EB30DF" w:rsidRDefault="009A6018" w:rsidP="00CB141F">
            <w:pPr>
              <w:pStyle w:val="aff2"/>
            </w:pPr>
            <w:r w:rsidRPr="00EB30DF">
              <w:t>其他各项资产</w:t>
            </w:r>
          </w:p>
        </w:tc>
        <w:tc>
          <w:tcPr>
            <w:tcW w:w="3828" w:type="dxa"/>
            <w:vAlign w:val="center"/>
          </w:tcPr>
          <w:p w:rsidR="009A6018" w:rsidRPr="00EB30DF" w:rsidRDefault="00DD5637" w:rsidP="00CB141F">
            <w:pPr>
              <w:pStyle w:val="aff2"/>
              <w:jc w:val="right"/>
            </w:pPr>
            <w:r>
              <w:rPr>
                <w:rFonts w:hint="eastAsia"/>
              </w:rPr>
              <w:t>66,883.65</w:t>
            </w:r>
          </w:p>
        </w:tc>
        <w:tc>
          <w:tcPr>
            <w:tcW w:w="2409" w:type="dxa"/>
            <w:vAlign w:val="center"/>
          </w:tcPr>
          <w:p w:rsidR="009A6018" w:rsidRPr="00EB30DF" w:rsidRDefault="009A6018" w:rsidP="00CB141F">
            <w:pPr>
              <w:pStyle w:val="aff2"/>
              <w:jc w:val="right"/>
            </w:pPr>
            <w:r w:rsidRPr="00EB30DF">
              <w:t>0.3</w:t>
            </w:r>
            <w:r w:rsidR="00DD5637">
              <w:rPr>
                <w:rFonts w:hint="eastAsia"/>
              </w:rPr>
              <w:t>2</w:t>
            </w:r>
          </w:p>
        </w:tc>
      </w:tr>
      <w:tr w:rsidR="004264FD" w:rsidRPr="00EB30DF" w:rsidTr="00A82726">
        <w:tc>
          <w:tcPr>
            <w:tcW w:w="720" w:type="dxa"/>
            <w:gridSpan w:val="2"/>
            <w:vAlign w:val="center"/>
          </w:tcPr>
          <w:p w:rsidR="009A6018" w:rsidRPr="00EB30DF" w:rsidRDefault="009A6018" w:rsidP="00CB141F">
            <w:pPr>
              <w:pStyle w:val="aff2"/>
            </w:pPr>
            <w:r w:rsidRPr="00EB30DF">
              <w:t>8</w:t>
            </w:r>
          </w:p>
        </w:tc>
        <w:tc>
          <w:tcPr>
            <w:tcW w:w="2115" w:type="dxa"/>
            <w:vAlign w:val="center"/>
          </w:tcPr>
          <w:p w:rsidR="009A6018" w:rsidRPr="00EB30DF" w:rsidRDefault="009A6018" w:rsidP="00CB141F">
            <w:pPr>
              <w:pStyle w:val="aff2"/>
            </w:pPr>
            <w:r w:rsidRPr="00EB30DF">
              <w:t>合计</w:t>
            </w:r>
          </w:p>
        </w:tc>
        <w:tc>
          <w:tcPr>
            <w:tcW w:w="3828" w:type="dxa"/>
            <w:vAlign w:val="center"/>
          </w:tcPr>
          <w:p w:rsidR="009A6018" w:rsidRPr="00DD5637" w:rsidRDefault="00B12414" w:rsidP="00DD5637">
            <w:pPr>
              <w:jc w:val="right"/>
              <w:rPr>
                <w:rFonts w:ascii="宋体" w:eastAsia="宋体" w:hAnsi="宋体" w:cs="宋体"/>
                <w:color w:val="000000"/>
                <w:sz w:val="22"/>
                <w:szCs w:val="22"/>
              </w:rPr>
            </w:pPr>
            <w:r>
              <w:rPr>
                <w:rFonts w:hint="eastAsia"/>
                <w:color w:val="000000"/>
                <w:sz w:val="22"/>
                <w:szCs w:val="22"/>
              </w:rPr>
              <w:t>20,772,728.60</w:t>
            </w:r>
          </w:p>
        </w:tc>
        <w:tc>
          <w:tcPr>
            <w:tcW w:w="2409" w:type="dxa"/>
            <w:vAlign w:val="center"/>
          </w:tcPr>
          <w:p w:rsidR="009A6018" w:rsidRPr="00EB30DF" w:rsidRDefault="009A6018" w:rsidP="00CB141F">
            <w:pPr>
              <w:pStyle w:val="aff2"/>
              <w:jc w:val="right"/>
            </w:pPr>
            <w:r w:rsidRPr="00EB30DF">
              <w:t>100.00</w:t>
            </w:r>
          </w:p>
        </w:tc>
      </w:tr>
    </w:tbl>
    <w:p w:rsidR="009238DB" w:rsidRDefault="009238DB" w:rsidP="002263D2">
      <w:pPr>
        <w:pStyle w:val="xx"/>
      </w:pPr>
      <w:r w:rsidRPr="00832A15">
        <w:t xml:space="preserve">5.2 </w:t>
      </w:r>
      <w:r w:rsidRPr="00832A15">
        <w:t>报告期末按行业分类的股票投资组合</w:t>
      </w:r>
    </w:p>
    <w:p w:rsidR="009238DB" w:rsidRPr="007C16D7" w:rsidRDefault="000871DB" w:rsidP="000814AC">
      <w:pPr>
        <w:pStyle w:val="new"/>
      </w:pPr>
      <w:r w:rsidRPr="007C16D7">
        <w:t>本基金本报告期末未持有股票。</w:t>
      </w:r>
    </w:p>
    <w:p w:rsidR="009238DB" w:rsidRPr="00DD02EA" w:rsidRDefault="009238DB" w:rsidP="002263D2">
      <w:pPr>
        <w:pStyle w:val="xx"/>
      </w:pPr>
      <w:r w:rsidRPr="00DD02EA">
        <w:t xml:space="preserve">5.3 </w:t>
      </w:r>
      <w:r w:rsidRPr="00DD02EA">
        <w:t>报告期末按公允价值占基金资产净值比例大小排序的前十名股票投资明细</w:t>
      </w:r>
    </w:p>
    <w:p w:rsidR="009238DB" w:rsidRDefault="000871DB" w:rsidP="000814AC">
      <w:pPr>
        <w:pStyle w:val="new"/>
      </w:pPr>
      <w:r w:rsidRPr="000471C2">
        <w:t>本基金本报告期末未持有股票。</w:t>
      </w:r>
    </w:p>
    <w:p w:rsidR="009238DB" w:rsidRDefault="009238DB" w:rsidP="002263D2">
      <w:pPr>
        <w:pStyle w:val="xx"/>
      </w:pPr>
      <w:r w:rsidRPr="00832A15">
        <w:t xml:space="preserve">5.4 </w:t>
      </w:r>
      <w:r w:rsidRPr="00832A15">
        <w:t>报告期末按债券品种分类的债券投资组合</w:t>
      </w:r>
    </w:p>
    <w:p w:rsidR="00860FBE" w:rsidRPr="000471C2" w:rsidRDefault="00860FBE" w:rsidP="00860FBE">
      <w:pPr>
        <w:pStyle w:val="new"/>
      </w:pPr>
      <w:r w:rsidRPr="000471C2">
        <w:t>本基金本报告期末未持有债券。</w:t>
      </w:r>
    </w:p>
    <w:p w:rsidR="009238DB" w:rsidRDefault="009238DB" w:rsidP="002263D2">
      <w:pPr>
        <w:pStyle w:val="xx"/>
      </w:pPr>
      <w:r w:rsidRPr="00832A15">
        <w:t xml:space="preserve">5.5 </w:t>
      </w:r>
      <w:r w:rsidRPr="00832A15">
        <w:t>报告期末按公允价值占基金资产净值比例大小排</w:t>
      </w:r>
      <w:r w:rsidR="006D462B" w:rsidRPr="00832A15">
        <w:t>序</w:t>
      </w:r>
      <w:r w:rsidRPr="00832A15">
        <w:t>的前五名债券投资明细</w:t>
      </w:r>
    </w:p>
    <w:p w:rsidR="00860FBE" w:rsidRPr="000471C2" w:rsidRDefault="00860FBE" w:rsidP="00860FBE">
      <w:pPr>
        <w:pStyle w:val="new"/>
      </w:pPr>
      <w:r w:rsidRPr="000471C2">
        <w:t>本基金本报告期末未持有</w:t>
      </w:r>
      <w:r>
        <w:rPr>
          <w:rFonts w:hint="eastAsia"/>
        </w:rPr>
        <w:t>债券。</w:t>
      </w:r>
    </w:p>
    <w:p w:rsidR="009238DB" w:rsidRPr="00832A15" w:rsidRDefault="009238DB" w:rsidP="002263D2">
      <w:pPr>
        <w:pStyle w:val="xx"/>
      </w:pPr>
      <w:r w:rsidRPr="00832A15">
        <w:t>5.6</w:t>
      </w:r>
      <w:r w:rsidRPr="00832A15">
        <w:t xml:space="preserve">　报告期末按公允价值占基金资产净值比例大小排</w:t>
      </w:r>
      <w:r w:rsidR="006D462B" w:rsidRPr="00832A15">
        <w:t>序</w:t>
      </w:r>
      <w:r w:rsidRPr="00832A15">
        <w:t>的前十名资产支持证券投资明细</w:t>
      </w:r>
    </w:p>
    <w:p w:rsidR="009238DB" w:rsidRPr="000471C2" w:rsidRDefault="00C260A2" w:rsidP="000814AC">
      <w:pPr>
        <w:pStyle w:val="new"/>
      </w:pPr>
      <w:r w:rsidRPr="000471C2">
        <w:t>本基金本报告期末未持有资产支持证券。</w:t>
      </w:r>
    </w:p>
    <w:p w:rsidR="006D462B" w:rsidRPr="00832A15" w:rsidRDefault="006D462B" w:rsidP="002263D2">
      <w:pPr>
        <w:pStyle w:val="xx"/>
      </w:pPr>
      <w:r w:rsidRPr="00832A15">
        <w:t xml:space="preserve">5.7 </w:t>
      </w:r>
      <w:r w:rsidRPr="00832A15">
        <w:t>报告期末按公允价值占基金资产净值比例大小排序的前五名贵金属投资明细</w:t>
      </w:r>
    </w:p>
    <w:p w:rsidR="006D462B" w:rsidRPr="000471C2" w:rsidRDefault="006D462B" w:rsidP="000814AC">
      <w:pPr>
        <w:pStyle w:val="new"/>
      </w:pPr>
      <w:r w:rsidRPr="000471C2">
        <w:t>本基金本报告期末未持有贵金属。</w:t>
      </w:r>
    </w:p>
    <w:p w:rsidR="009238DB" w:rsidRPr="00832A15" w:rsidRDefault="001D5CD0" w:rsidP="002263D2">
      <w:pPr>
        <w:pStyle w:val="xx"/>
      </w:pPr>
      <w:r w:rsidRPr="00832A15">
        <w:t>5</w:t>
      </w:r>
      <w:r w:rsidR="009238DB" w:rsidRPr="00832A15">
        <w:t>.</w:t>
      </w:r>
      <w:r w:rsidRPr="00832A15">
        <w:t>8</w:t>
      </w:r>
      <w:r w:rsidR="009238DB" w:rsidRPr="00832A15">
        <w:t>报告期末按公允价值占基金资产净值比例大小排</w:t>
      </w:r>
      <w:r w:rsidR="006D462B" w:rsidRPr="00832A15">
        <w:t>序</w:t>
      </w:r>
      <w:r w:rsidR="009238DB" w:rsidRPr="00832A15">
        <w:t>的前五名权证投资明细</w:t>
      </w:r>
    </w:p>
    <w:p w:rsidR="001D5CD0" w:rsidRPr="000471C2" w:rsidRDefault="00C260A2" w:rsidP="000814AC">
      <w:pPr>
        <w:pStyle w:val="new"/>
      </w:pPr>
      <w:r w:rsidRPr="000471C2">
        <w:t>本基金本报告期末未持有权证。</w:t>
      </w:r>
    </w:p>
    <w:p w:rsidR="001D5CD0" w:rsidRPr="00832A15" w:rsidRDefault="001D5CD0" w:rsidP="002263D2">
      <w:pPr>
        <w:pStyle w:val="xx"/>
      </w:pPr>
      <w:r w:rsidRPr="00832A15">
        <w:t xml:space="preserve">5.9 </w:t>
      </w:r>
      <w:r w:rsidRPr="00832A15">
        <w:t>报告期末本基金投资的股指期货交易情况说明</w:t>
      </w:r>
    </w:p>
    <w:p w:rsidR="001D5CD0" w:rsidRDefault="001D5CD0" w:rsidP="000814AC">
      <w:pPr>
        <w:pStyle w:val="new"/>
      </w:pPr>
      <w:r w:rsidRPr="000870BE">
        <w:t>本基金本报告期末未持有股指期货。</w:t>
      </w:r>
    </w:p>
    <w:p w:rsidR="001D5CD0" w:rsidRPr="00832A15" w:rsidRDefault="001D5CD0" w:rsidP="002263D2">
      <w:pPr>
        <w:pStyle w:val="xx"/>
      </w:pPr>
      <w:r w:rsidRPr="00832A15">
        <w:t>5.10</w:t>
      </w:r>
      <w:r w:rsidRPr="00832A15">
        <w:t>报告期末本基金投资的国债期货交易情况说明</w:t>
      </w:r>
    </w:p>
    <w:p w:rsidR="001D5CD0" w:rsidRPr="000870BE" w:rsidRDefault="001D5CD0" w:rsidP="000814AC">
      <w:pPr>
        <w:pStyle w:val="new"/>
      </w:pPr>
      <w:r w:rsidRPr="000870BE">
        <w:t>本基金本报告期末未持有国债期货。</w:t>
      </w:r>
    </w:p>
    <w:p w:rsidR="001D5CD0" w:rsidRPr="00832A15" w:rsidRDefault="001D5CD0" w:rsidP="002263D2">
      <w:pPr>
        <w:pStyle w:val="xx"/>
      </w:pPr>
      <w:r w:rsidRPr="00832A15">
        <w:t>5.11</w:t>
      </w:r>
      <w:r w:rsidRPr="00832A15">
        <w:t>投资组合报告附注</w:t>
      </w:r>
    </w:p>
    <w:p w:rsidR="006456D3" w:rsidRPr="007A0313" w:rsidRDefault="006456D3" w:rsidP="002263D2">
      <w:pPr>
        <w:pStyle w:val="41"/>
      </w:pPr>
      <w:r w:rsidRPr="007A0313">
        <w:t>5.11.1</w:t>
      </w:r>
      <w:r w:rsidRPr="007A0313">
        <w:t>报告期内基金投资的前十名证券的发行主体没有被监管部门立案调查，或在报告编制日前一年内受到公开谴责、处罚。</w:t>
      </w:r>
    </w:p>
    <w:p w:rsidR="006456D3" w:rsidRPr="007A0313" w:rsidRDefault="006456D3" w:rsidP="002263D2">
      <w:pPr>
        <w:pStyle w:val="41"/>
      </w:pPr>
      <w:r w:rsidRPr="007A0313">
        <w:t>5.11.2</w:t>
      </w:r>
      <w:r w:rsidRPr="007A0313">
        <w:t>基金投资的前十名股票中，没有投资超出基金合同规定备选股票库之外的股票。</w:t>
      </w:r>
    </w:p>
    <w:p w:rsidR="001D5CD0" w:rsidRPr="007A0313" w:rsidRDefault="001D5CD0" w:rsidP="002263D2">
      <w:pPr>
        <w:pStyle w:val="41"/>
      </w:pPr>
      <w:r w:rsidRPr="007A0313">
        <w:t>5.11.3</w:t>
      </w:r>
      <w:r w:rsidR="00861C20">
        <w:t>其他</w:t>
      </w:r>
      <w:r w:rsidRPr="007A0313">
        <w:t>资产构成</w:t>
      </w:r>
    </w:p>
    <w:tbl>
      <w:tblPr>
        <w:tblStyle w:val="af2"/>
        <w:tblW w:w="0" w:type="auto"/>
        <w:tblInd w:w="108" w:type="dxa"/>
        <w:tblLayout w:type="fixed"/>
        <w:tblLook w:val="04A0"/>
      </w:tblPr>
      <w:tblGrid>
        <w:gridCol w:w="709"/>
        <w:gridCol w:w="3119"/>
        <w:gridCol w:w="5244"/>
      </w:tblGrid>
      <w:tr w:rsidR="004264FD" w:rsidRPr="00C04AE0" w:rsidTr="000362CD">
        <w:tc>
          <w:tcPr>
            <w:tcW w:w="709" w:type="dxa"/>
            <w:vAlign w:val="center"/>
          </w:tcPr>
          <w:p w:rsidR="001D5CD0" w:rsidRPr="00C04AE0" w:rsidRDefault="001D5CD0" w:rsidP="00CB141F">
            <w:pPr>
              <w:pStyle w:val="aff2"/>
              <w:jc w:val="center"/>
            </w:pPr>
            <w:r w:rsidRPr="00C04AE0">
              <w:t>序号</w:t>
            </w:r>
          </w:p>
        </w:tc>
        <w:tc>
          <w:tcPr>
            <w:tcW w:w="3119" w:type="dxa"/>
            <w:vAlign w:val="center"/>
          </w:tcPr>
          <w:p w:rsidR="001D5CD0" w:rsidRPr="00C04AE0" w:rsidRDefault="001D5CD0" w:rsidP="00CB141F">
            <w:pPr>
              <w:pStyle w:val="aff2"/>
              <w:jc w:val="center"/>
            </w:pPr>
            <w:r w:rsidRPr="00C04AE0">
              <w:t>名称</w:t>
            </w:r>
          </w:p>
        </w:tc>
        <w:tc>
          <w:tcPr>
            <w:tcW w:w="5244" w:type="dxa"/>
            <w:vAlign w:val="center"/>
          </w:tcPr>
          <w:p w:rsidR="001D5CD0" w:rsidRPr="00C04AE0" w:rsidRDefault="001D5CD0" w:rsidP="00CB141F">
            <w:pPr>
              <w:pStyle w:val="aff2"/>
              <w:jc w:val="center"/>
            </w:pPr>
            <w:r w:rsidRPr="00C04AE0">
              <w:t>金额</w:t>
            </w:r>
            <w:r w:rsidRPr="00C04AE0">
              <w:t>(</w:t>
            </w:r>
            <w:r w:rsidRPr="00C04AE0">
              <w:t>元</w:t>
            </w:r>
            <w:r w:rsidRPr="00C04AE0">
              <w:t>)</w:t>
            </w:r>
          </w:p>
        </w:tc>
      </w:tr>
      <w:tr w:rsidR="004264FD" w:rsidRPr="00C04AE0" w:rsidTr="000362CD">
        <w:tc>
          <w:tcPr>
            <w:tcW w:w="709" w:type="dxa"/>
            <w:vAlign w:val="center"/>
          </w:tcPr>
          <w:p w:rsidR="001D5CD0" w:rsidRPr="00C04AE0" w:rsidRDefault="001D5CD0" w:rsidP="00CB141F">
            <w:pPr>
              <w:pStyle w:val="aff2"/>
            </w:pPr>
            <w:r w:rsidRPr="00C04AE0">
              <w:t>1</w:t>
            </w:r>
          </w:p>
        </w:tc>
        <w:tc>
          <w:tcPr>
            <w:tcW w:w="3119" w:type="dxa"/>
            <w:vAlign w:val="center"/>
          </w:tcPr>
          <w:p w:rsidR="001D5CD0" w:rsidRPr="00C04AE0" w:rsidRDefault="001D5CD0" w:rsidP="00CB141F">
            <w:pPr>
              <w:pStyle w:val="aff2"/>
            </w:pPr>
            <w:r w:rsidRPr="00C04AE0">
              <w:t>存出保证金</w:t>
            </w:r>
          </w:p>
        </w:tc>
        <w:tc>
          <w:tcPr>
            <w:tcW w:w="5244" w:type="dxa"/>
            <w:vAlign w:val="center"/>
          </w:tcPr>
          <w:p w:rsidR="001D5CD0" w:rsidRPr="00C04AE0" w:rsidRDefault="001D5CD0" w:rsidP="00CB141F">
            <w:pPr>
              <w:pStyle w:val="aff2"/>
              <w:jc w:val="right"/>
            </w:pPr>
            <w:r w:rsidRPr="00C04AE0">
              <w:t>43,134.67</w:t>
            </w:r>
          </w:p>
        </w:tc>
      </w:tr>
      <w:tr w:rsidR="004264FD" w:rsidRPr="00C04AE0" w:rsidTr="000362CD">
        <w:tc>
          <w:tcPr>
            <w:tcW w:w="709" w:type="dxa"/>
            <w:vAlign w:val="center"/>
          </w:tcPr>
          <w:p w:rsidR="001D5CD0" w:rsidRPr="00C04AE0" w:rsidRDefault="001D5CD0" w:rsidP="00CB141F">
            <w:pPr>
              <w:pStyle w:val="aff2"/>
            </w:pPr>
            <w:r w:rsidRPr="00C04AE0">
              <w:t>2</w:t>
            </w:r>
          </w:p>
        </w:tc>
        <w:tc>
          <w:tcPr>
            <w:tcW w:w="3119" w:type="dxa"/>
            <w:vAlign w:val="center"/>
          </w:tcPr>
          <w:p w:rsidR="001D5CD0" w:rsidRPr="00C04AE0" w:rsidRDefault="001D5CD0" w:rsidP="00CB141F">
            <w:pPr>
              <w:pStyle w:val="aff2"/>
            </w:pPr>
            <w:r w:rsidRPr="00C04AE0">
              <w:t>应收证券清算款</w:t>
            </w:r>
          </w:p>
        </w:tc>
        <w:tc>
          <w:tcPr>
            <w:tcW w:w="5244" w:type="dxa"/>
            <w:vAlign w:val="center"/>
          </w:tcPr>
          <w:p w:rsidR="001D5CD0" w:rsidRPr="00C04AE0" w:rsidRDefault="001D5CD0" w:rsidP="00CB141F">
            <w:pPr>
              <w:pStyle w:val="aff2"/>
              <w:jc w:val="right"/>
            </w:pPr>
            <w:r w:rsidRPr="00C04AE0">
              <w:t>-</w:t>
            </w:r>
          </w:p>
        </w:tc>
      </w:tr>
      <w:tr w:rsidR="004264FD" w:rsidRPr="00C04AE0" w:rsidTr="000362CD">
        <w:tc>
          <w:tcPr>
            <w:tcW w:w="709" w:type="dxa"/>
            <w:vAlign w:val="center"/>
          </w:tcPr>
          <w:p w:rsidR="001D5CD0" w:rsidRPr="00C04AE0" w:rsidRDefault="001D5CD0" w:rsidP="00CB141F">
            <w:pPr>
              <w:pStyle w:val="aff2"/>
            </w:pPr>
            <w:r w:rsidRPr="00C04AE0">
              <w:t>3</w:t>
            </w:r>
          </w:p>
        </w:tc>
        <w:tc>
          <w:tcPr>
            <w:tcW w:w="3119" w:type="dxa"/>
            <w:vAlign w:val="center"/>
          </w:tcPr>
          <w:p w:rsidR="001D5CD0" w:rsidRPr="00C04AE0" w:rsidRDefault="001D5CD0" w:rsidP="00CB141F">
            <w:pPr>
              <w:pStyle w:val="aff2"/>
            </w:pPr>
            <w:r w:rsidRPr="00C04AE0">
              <w:t>应收股利</w:t>
            </w:r>
          </w:p>
        </w:tc>
        <w:tc>
          <w:tcPr>
            <w:tcW w:w="5244" w:type="dxa"/>
            <w:vAlign w:val="center"/>
          </w:tcPr>
          <w:p w:rsidR="001D5CD0" w:rsidRPr="00C04AE0" w:rsidRDefault="001D5CD0" w:rsidP="00CB141F">
            <w:pPr>
              <w:pStyle w:val="aff2"/>
              <w:jc w:val="right"/>
            </w:pPr>
            <w:r w:rsidRPr="00C04AE0">
              <w:t>-</w:t>
            </w:r>
          </w:p>
        </w:tc>
      </w:tr>
      <w:tr w:rsidR="004264FD" w:rsidRPr="00C04AE0" w:rsidTr="000362CD">
        <w:tc>
          <w:tcPr>
            <w:tcW w:w="709" w:type="dxa"/>
            <w:vAlign w:val="center"/>
          </w:tcPr>
          <w:p w:rsidR="001D5CD0" w:rsidRPr="00C04AE0" w:rsidRDefault="001D5CD0" w:rsidP="00CB141F">
            <w:pPr>
              <w:pStyle w:val="aff2"/>
            </w:pPr>
            <w:r w:rsidRPr="00C04AE0">
              <w:t>4</w:t>
            </w:r>
          </w:p>
        </w:tc>
        <w:tc>
          <w:tcPr>
            <w:tcW w:w="3119" w:type="dxa"/>
            <w:vAlign w:val="center"/>
          </w:tcPr>
          <w:p w:rsidR="001D5CD0" w:rsidRPr="00C04AE0" w:rsidRDefault="001D5CD0" w:rsidP="00CB141F">
            <w:pPr>
              <w:pStyle w:val="aff2"/>
            </w:pPr>
            <w:r w:rsidRPr="00C04AE0">
              <w:t>应收利息</w:t>
            </w:r>
          </w:p>
        </w:tc>
        <w:tc>
          <w:tcPr>
            <w:tcW w:w="5244" w:type="dxa"/>
            <w:vAlign w:val="center"/>
          </w:tcPr>
          <w:p w:rsidR="001D5CD0" w:rsidRPr="008328EB" w:rsidRDefault="008328EB" w:rsidP="008328EB">
            <w:pPr>
              <w:jc w:val="right"/>
              <w:rPr>
                <w:rFonts w:ascii="宋体" w:eastAsia="宋体" w:hAnsi="宋体" w:cs="宋体"/>
              </w:rPr>
            </w:pPr>
            <w:r>
              <w:rPr>
                <w:rFonts w:hint="eastAsia"/>
              </w:rPr>
              <w:t xml:space="preserve">23,748.98 </w:t>
            </w:r>
          </w:p>
        </w:tc>
      </w:tr>
      <w:tr w:rsidR="004264FD" w:rsidRPr="00C04AE0" w:rsidTr="000362CD">
        <w:tc>
          <w:tcPr>
            <w:tcW w:w="709" w:type="dxa"/>
            <w:vAlign w:val="center"/>
          </w:tcPr>
          <w:p w:rsidR="001D5CD0" w:rsidRPr="00C04AE0" w:rsidRDefault="001D5CD0" w:rsidP="00CB141F">
            <w:pPr>
              <w:pStyle w:val="aff2"/>
            </w:pPr>
            <w:r w:rsidRPr="00C04AE0">
              <w:t>5</w:t>
            </w:r>
          </w:p>
        </w:tc>
        <w:tc>
          <w:tcPr>
            <w:tcW w:w="3119" w:type="dxa"/>
            <w:vAlign w:val="center"/>
          </w:tcPr>
          <w:p w:rsidR="001D5CD0" w:rsidRPr="00C04AE0" w:rsidRDefault="001D5CD0" w:rsidP="00CB141F">
            <w:pPr>
              <w:pStyle w:val="aff2"/>
            </w:pPr>
            <w:r w:rsidRPr="00C04AE0">
              <w:t>应收申购款</w:t>
            </w:r>
          </w:p>
        </w:tc>
        <w:tc>
          <w:tcPr>
            <w:tcW w:w="5244" w:type="dxa"/>
            <w:vAlign w:val="center"/>
          </w:tcPr>
          <w:p w:rsidR="001D5CD0" w:rsidRPr="00C04AE0" w:rsidRDefault="001D5CD0" w:rsidP="00CB141F">
            <w:pPr>
              <w:pStyle w:val="aff2"/>
              <w:jc w:val="right"/>
            </w:pPr>
            <w:r w:rsidRPr="00C04AE0">
              <w:t>-</w:t>
            </w:r>
          </w:p>
        </w:tc>
      </w:tr>
      <w:tr w:rsidR="004264FD" w:rsidRPr="00C04AE0" w:rsidTr="000362CD">
        <w:tc>
          <w:tcPr>
            <w:tcW w:w="709" w:type="dxa"/>
            <w:vAlign w:val="center"/>
          </w:tcPr>
          <w:p w:rsidR="001D5CD0" w:rsidRPr="00C04AE0" w:rsidRDefault="001D5CD0" w:rsidP="00CB141F">
            <w:pPr>
              <w:pStyle w:val="aff2"/>
            </w:pPr>
            <w:r w:rsidRPr="00C04AE0">
              <w:t>6</w:t>
            </w:r>
          </w:p>
        </w:tc>
        <w:tc>
          <w:tcPr>
            <w:tcW w:w="3119" w:type="dxa"/>
            <w:vAlign w:val="center"/>
          </w:tcPr>
          <w:p w:rsidR="001D5CD0" w:rsidRPr="00C04AE0" w:rsidRDefault="001D5CD0" w:rsidP="00CB141F">
            <w:pPr>
              <w:pStyle w:val="aff2"/>
            </w:pPr>
            <w:r w:rsidRPr="00C04AE0">
              <w:t>其他应收款</w:t>
            </w:r>
          </w:p>
        </w:tc>
        <w:tc>
          <w:tcPr>
            <w:tcW w:w="5244" w:type="dxa"/>
            <w:vAlign w:val="center"/>
          </w:tcPr>
          <w:p w:rsidR="001D5CD0" w:rsidRPr="00C04AE0" w:rsidRDefault="001D5CD0" w:rsidP="00CB141F">
            <w:pPr>
              <w:pStyle w:val="aff2"/>
              <w:jc w:val="right"/>
            </w:pPr>
            <w:r w:rsidRPr="00C04AE0">
              <w:t>-</w:t>
            </w:r>
          </w:p>
        </w:tc>
      </w:tr>
      <w:tr w:rsidR="004264FD" w:rsidRPr="00C04AE0" w:rsidTr="000362CD">
        <w:tc>
          <w:tcPr>
            <w:tcW w:w="709" w:type="dxa"/>
            <w:vAlign w:val="center"/>
          </w:tcPr>
          <w:p w:rsidR="001D5CD0" w:rsidRPr="00C04AE0" w:rsidRDefault="001D5CD0" w:rsidP="00CB141F">
            <w:pPr>
              <w:pStyle w:val="aff2"/>
            </w:pPr>
            <w:r w:rsidRPr="00C04AE0">
              <w:t>7</w:t>
            </w:r>
          </w:p>
        </w:tc>
        <w:tc>
          <w:tcPr>
            <w:tcW w:w="3119" w:type="dxa"/>
            <w:vAlign w:val="center"/>
          </w:tcPr>
          <w:p w:rsidR="001D5CD0" w:rsidRPr="00C04AE0" w:rsidRDefault="001D5CD0" w:rsidP="00CB141F">
            <w:pPr>
              <w:pStyle w:val="aff2"/>
            </w:pPr>
            <w:r w:rsidRPr="00C04AE0">
              <w:t>待摊费用</w:t>
            </w:r>
          </w:p>
        </w:tc>
        <w:tc>
          <w:tcPr>
            <w:tcW w:w="5244" w:type="dxa"/>
            <w:vAlign w:val="center"/>
          </w:tcPr>
          <w:p w:rsidR="001D5CD0" w:rsidRPr="00C04AE0" w:rsidRDefault="001D5CD0" w:rsidP="00CB141F">
            <w:pPr>
              <w:pStyle w:val="aff2"/>
              <w:jc w:val="right"/>
            </w:pPr>
            <w:r w:rsidRPr="00C04AE0">
              <w:t>-</w:t>
            </w:r>
          </w:p>
        </w:tc>
      </w:tr>
      <w:tr w:rsidR="004264FD" w:rsidRPr="00C04AE0" w:rsidTr="000362CD">
        <w:tc>
          <w:tcPr>
            <w:tcW w:w="709" w:type="dxa"/>
            <w:vAlign w:val="center"/>
          </w:tcPr>
          <w:p w:rsidR="001D5CD0" w:rsidRPr="00C04AE0" w:rsidRDefault="001D5CD0" w:rsidP="00CB141F">
            <w:pPr>
              <w:pStyle w:val="aff2"/>
            </w:pPr>
            <w:r w:rsidRPr="00C04AE0">
              <w:t>8</w:t>
            </w:r>
          </w:p>
        </w:tc>
        <w:tc>
          <w:tcPr>
            <w:tcW w:w="3119" w:type="dxa"/>
            <w:vAlign w:val="center"/>
          </w:tcPr>
          <w:p w:rsidR="001D5CD0" w:rsidRPr="00C04AE0" w:rsidRDefault="001D5CD0" w:rsidP="00CB141F">
            <w:pPr>
              <w:pStyle w:val="aff2"/>
            </w:pPr>
            <w:r w:rsidRPr="00C04AE0">
              <w:t>其他</w:t>
            </w:r>
          </w:p>
        </w:tc>
        <w:tc>
          <w:tcPr>
            <w:tcW w:w="5244" w:type="dxa"/>
            <w:vAlign w:val="center"/>
          </w:tcPr>
          <w:p w:rsidR="001D5CD0" w:rsidRPr="00C04AE0" w:rsidRDefault="001D5CD0" w:rsidP="00CB141F">
            <w:pPr>
              <w:pStyle w:val="aff2"/>
              <w:jc w:val="right"/>
            </w:pPr>
            <w:r w:rsidRPr="00C04AE0">
              <w:t>-</w:t>
            </w:r>
          </w:p>
        </w:tc>
      </w:tr>
      <w:tr w:rsidR="004264FD" w:rsidRPr="00C04AE0" w:rsidTr="00B12414">
        <w:trPr>
          <w:trHeight w:val="70"/>
        </w:trPr>
        <w:tc>
          <w:tcPr>
            <w:tcW w:w="709" w:type="dxa"/>
            <w:vAlign w:val="center"/>
          </w:tcPr>
          <w:p w:rsidR="001D5CD0" w:rsidRPr="00C04AE0" w:rsidRDefault="001D5CD0" w:rsidP="00CB141F">
            <w:pPr>
              <w:pStyle w:val="aff2"/>
            </w:pPr>
            <w:r w:rsidRPr="00C04AE0">
              <w:t>9</w:t>
            </w:r>
          </w:p>
        </w:tc>
        <w:tc>
          <w:tcPr>
            <w:tcW w:w="3119" w:type="dxa"/>
            <w:vAlign w:val="center"/>
          </w:tcPr>
          <w:p w:rsidR="001D5CD0" w:rsidRPr="00C04AE0" w:rsidRDefault="001D5CD0" w:rsidP="00CB141F">
            <w:pPr>
              <w:pStyle w:val="aff2"/>
            </w:pPr>
            <w:r w:rsidRPr="00C04AE0">
              <w:t>合计</w:t>
            </w:r>
          </w:p>
        </w:tc>
        <w:tc>
          <w:tcPr>
            <w:tcW w:w="5244" w:type="dxa"/>
            <w:vAlign w:val="center"/>
          </w:tcPr>
          <w:p w:rsidR="001D5CD0" w:rsidRPr="008328EB" w:rsidRDefault="008328EB" w:rsidP="008328EB">
            <w:pPr>
              <w:jc w:val="right"/>
              <w:rPr>
                <w:rFonts w:ascii="宋体" w:eastAsia="宋体" w:hAnsi="宋体" w:cs="宋体"/>
              </w:rPr>
            </w:pPr>
            <w:r>
              <w:rPr>
                <w:rFonts w:hint="eastAsia"/>
              </w:rPr>
              <w:t xml:space="preserve">66,883.65 </w:t>
            </w:r>
          </w:p>
        </w:tc>
      </w:tr>
    </w:tbl>
    <w:p w:rsidR="001D5CD0" w:rsidRPr="007A0313" w:rsidRDefault="001D5CD0" w:rsidP="002263D2">
      <w:pPr>
        <w:pStyle w:val="41"/>
      </w:pPr>
      <w:r w:rsidRPr="007A0313">
        <w:t>5.11.4</w:t>
      </w:r>
      <w:r w:rsidRPr="007A0313">
        <w:t>报告期末持有的处于转股期的可转换债券明细</w:t>
      </w:r>
    </w:p>
    <w:p w:rsidR="001D5CD0" w:rsidRDefault="001D5CD0" w:rsidP="000814AC">
      <w:pPr>
        <w:pStyle w:val="new"/>
      </w:pPr>
      <w:r w:rsidRPr="000471C2">
        <w:t>本基金本报告期末未持有处于转股期的可转换债券。</w:t>
      </w:r>
    </w:p>
    <w:p w:rsidR="001D5CD0" w:rsidRPr="007A0313" w:rsidRDefault="001D5CD0" w:rsidP="002263D2">
      <w:pPr>
        <w:pStyle w:val="41"/>
      </w:pPr>
      <w:r w:rsidRPr="007A0313">
        <w:t>5.11.5</w:t>
      </w:r>
      <w:r w:rsidRPr="007A0313">
        <w:t>报告期末前十名股票中存在流通受限情况的说明</w:t>
      </w:r>
    </w:p>
    <w:p w:rsidR="001D5CD0" w:rsidRDefault="001D5CD0" w:rsidP="000814AC">
      <w:pPr>
        <w:pStyle w:val="new"/>
      </w:pPr>
      <w:r w:rsidRPr="000471C2">
        <w:t>本基金本报告期末前十名股票中不存在流通受限情况。</w:t>
      </w:r>
    </w:p>
    <w:p w:rsidR="001D5CD0" w:rsidRPr="007A0313" w:rsidRDefault="001D5CD0" w:rsidP="002263D2">
      <w:pPr>
        <w:pStyle w:val="41"/>
      </w:pPr>
      <w:r w:rsidRPr="007A0313">
        <w:t>5.11.6</w:t>
      </w:r>
      <w:r w:rsidRPr="007A0313">
        <w:t>投资组合报告附注的其他文字描述部分</w:t>
      </w:r>
    </w:p>
    <w:p w:rsidR="001D5CD0" w:rsidRPr="00EB30DF" w:rsidRDefault="001D5CD0" w:rsidP="000814AC">
      <w:pPr>
        <w:pStyle w:val="new"/>
      </w:pPr>
      <w:r w:rsidRPr="00EB30DF">
        <w:t>于四舍五入的原因，分项之和与合计项之间可能存在尾差。</w:t>
      </w:r>
    </w:p>
    <w:p w:rsidR="009238DB" w:rsidRPr="00DD02EA" w:rsidRDefault="009238DB" w:rsidP="00356901">
      <w:pPr>
        <w:pStyle w:val="2"/>
        <w:ind w:left="210" w:right="210"/>
      </w:pPr>
      <w:r w:rsidRPr="00DD02EA">
        <w:t xml:space="preserve">§6  </w:t>
      </w:r>
      <w:r w:rsidRPr="00DD02EA">
        <w:t>开放式基金份额变动</w:t>
      </w:r>
    </w:p>
    <w:p w:rsidR="009238DB" w:rsidRPr="00EB30DF" w:rsidRDefault="009238DB" w:rsidP="00DD02EA">
      <w:pPr>
        <w:pStyle w:val="aff2"/>
        <w:jc w:val="right"/>
      </w:pPr>
      <w:r w:rsidRPr="00EB30DF">
        <w:t>单位：份</w:t>
      </w:r>
    </w:p>
    <w:tbl>
      <w:tblPr>
        <w:tblW w:w="0" w:type="auto"/>
        <w:tblInd w:w="108" w:type="dxa"/>
        <w:tblLayout w:type="fixed"/>
        <w:tblLook w:val="0000"/>
      </w:tblPr>
      <w:tblGrid>
        <w:gridCol w:w="2835"/>
        <w:gridCol w:w="2977"/>
        <w:gridCol w:w="3260"/>
      </w:tblGrid>
      <w:tr w:rsidR="004264FD" w:rsidRPr="00C04AE0" w:rsidTr="00860FBE">
        <w:tc>
          <w:tcPr>
            <w:tcW w:w="2835"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936D40" w:rsidP="00CB141F">
            <w:pPr>
              <w:pStyle w:val="aff2"/>
              <w:jc w:val="center"/>
            </w:pPr>
            <w:r w:rsidRPr="00C04AE0">
              <w:t>项目</w:t>
            </w:r>
          </w:p>
        </w:tc>
        <w:tc>
          <w:tcPr>
            <w:tcW w:w="2977"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center"/>
            </w:pPr>
            <w:r w:rsidRPr="00C04AE0">
              <w:t>博时安源</w:t>
            </w:r>
            <w:r w:rsidRPr="00C04AE0">
              <w:t>18</w:t>
            </w:r>
            <w:r w:rsidRPr="00C04AE0">
              <w:t>个月定开债</w:t>
            </w:r>
            <w:r w:rsidRPr="00C04AE0">
              <w:t>A</w:t>
            </w:r>
          </w:p>
        </w:tc>
        <w:tc>
          <w:tcPr>
            <w:tcW w:w="3260"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center"/>
            </w:pPr>
            <w:r w:rsidRPr="00C04AE0">
              <w:t>博时安源</w:t>
            </w:r>
            <w:r w:rsidRPr="00C04AE0">
              <w:t>18</w:t>
            </w:r>
            <w:r w:rsidRPr="00C04AE0">
              <w:t>个月定开债</w:t>
            </w:r>
            <w:r w:rsidRPr="00C04AE0">
              <w:t>C</w:t>
            </w:r>
          </w:p>
        </w:tc>
      </w:tr>
      <w:tr w:rsidR="004264FD" w:rsidRPr="00C04AE0" w:rsidTr="00860FBE">
        <w:tc>
          <w:tcPr>
            <w:tcW w:w="2835"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936D40" w:rsidP="00CB141F">
            <w:pPr>
              <w:pStyle w:val="aff2"/>
            </w:pPr>
            <w:r w:rsidRPr="00C04AE0">
              <w:t>本报告期期初基金份额总额</w:t>
            </w:r>
          </w:p>
        </w:tc>
        <w:tc>
          <w:tcPr>
            <w:tcW w:w="2977"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646,906,468.73</w:t>
            </w:r>
          </w:p>
        </w:tc>
        <w:tc>
          <w:tcPr>
            <w:tcW w:w="3260"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21,580,001.92</w:t>
            </w:r>
          </w:p>
        </w:tc>
      </w:tr>
      <w:tr w:rsidR="004264FD" w:rsidRPr="00C04AE0" w:rsidTr="00860FBE">
        <w:tc>
          <w:tcPr>
            <w:tcW w:w="2835"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F72579" w:rsidP="00CB141F">
            <w:pPr>
              <w:pStyle w:val="aff2"/>
            </w:pPr>
            <w:r w:rsidRPr="00C04AE0">
              <w:t>报告期</w:t>
            </w:r>
            <w:r w:rsidR="00936D40" w:rsidRPr="00C04AE0">
              <w:t>基金总申购份额</w:t>
            </w:r>
          </w:p>
        </w:tc>
        <w:tc>
          <w:tcPr>
            <w:tcW w:w="2977"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2.97</w:t>
            </w:r>
          </w:p>
        </w:tc>
        <w:tc>
          <w:tcPr>
            <w:tcW w:w="3260"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120.24</w:t>
            </w:r>
          </w:p>
        </w:tc>
      </w:tr>
      <w:tr w:rsidR="004264FD" w:rsidRPr="00C04AE0" w:rsidTr="00860FBE">
        <w:tc>
          <w:tcPr>
            <w:tcW w:w="2835"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936D40" w:rsidP="00CB141F">
            <w:pPr>
              <w:pStyle w:val="aff2"/>
            </w:pPr>
            <w:r w:rsidRPr="00C04AE0">
              <w:t>减：</w:t>
            </w:r>
            <w:r w:rsidR="00F72579" w:rsidRPr="00C04AE0">
              <w:t>报告期</w:t>
            </w:r>
            <w:r w:rsidRPr="00C04AE0">
              <w:t>基金总赎回份额</w:t>
            </w:r>
          </w:p>
        </w:tc>
        <w:tc>
          <w:tcPr>
            <w:tcW w:w="2977"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635,466,216.02</w:t>
            </w:r>
          </w:p>
        </w:tc>
        <w:tc>
          <w:tcPr>
            <w:tcW w:w="3260"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20,453,362.54</w:t>
            </w:r>
          </w:p>
        </w:tc>
      </w:tr>
      <w:tr w:rsidR="004264FD" w:rsidRPr="00C04AE0" w:rsidTr="00860FBE">
        <w:tc>
          <w:tcPr>
            <w:tcW w:w="2835"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F72579" w:rsidP="00CB141F">
            <w:pPr>
              <w:pStyle w:val="aff2"/>
            </w:pPr>
            <w:r w:rsidRPr="00C04AE0">
              <w:t>报告期</w:t>
            </w:r>
            <w:r w:rsidR="00936D40" w:rsidRPr="00C04AE0">
              <w:t>基金拆分变动份额</w:t>
            </w:r>
          </w:p>
        </w:tc>
        <w:tc>
          <w:tcPr>
            <w:tcW w:w="2977"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w:t>
            </w:r>
          </w:p>
        </w:tc>
        <w:tc>
          <w:tcPr>
            <w:tcW w:w="3260"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w:t>
            </w:r>
          </w:p>
        </w:tc>
      </w:tr>
      <w:tr w:rsidR="004264FD" w:rsidRPr="00C04AE0" w:rsidTr="00860FBE">
        <w:tc>
          <w:tcPr>
            <w:tcW w:w="2835"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936D40" w:rsidP="00CB141F">
            <w:pPr>
              <w:pStyle w:val="aff2"/>
            </w:pPr>
            <w:r w:rsidRPr="00C04AE0">
              <w:t>本报告期期末基金份额总额</w:t>
            </w:r>
          </w:p>
        </w:tc>
        <w:tc>
          <w:tcPr>
            <w:tcW w:w="2977"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11,440,255.68</w:t>
            </w:r>
          </w:p>
        </w:tc>
        <w:tc>
          <w:tcPr>
            <w:tcW w:w="3260" w:type="dxa"/>
            <w:tcBorders>
              <w:top w:val="single" w:sz="8" w:space="0" w:color="000000"/>
              <w:left w:val="single" w:sz="8" w:space="0" w:color="000000"/>
              <w:bottom w:val="single" w:sz="8" w:space="0" w:color="000000"/>
              <w:right w:val="single" w:sz="8" w:space="0" w:color="000000"/>
            </w:tcBorders>
            <w:vAlign w:val="center"/>
          </w:tcPr>
          <w:p w:rsidR="00936D40" w:rsidRPr="00C04AE0" w:rsidRDefault="0042785F" w:rsidP="00CB141F">
            <w:pPr>
              <w:pStyle w:val="aff2"/>
              <w:jc w:val="right"/>
            </w:pPr>
            <w:r w:rsidRPr="00C04AE0">
              <w:t>1,126,759.62</w:t>
            </w:r>
          </w:p>
        </w:tc>
      </w:tr>
    </w:tbl>
    <w:p w:rsidR="00935FB1" w:rsidRPr="00DD02EA" w:rsidRDefault="00935FB1" w:rsidP="00356901">
      <w:pPr>
        <w:pStyle w:val="2"/>
        <w:ind w:left="210" w:right="210"/>
      </w:pPr>
      <w:r w:rsidRPr="00DD02EA">
        <w:t>§7</w:t>
      </w:r>
      <w:r w:rsidRPr="00DD02EA">
        <w:t>基金管理人运用固有资金投资本基金情况</w:t>
      </w:r>
    </w:p>
    <w:p w:rsidR="00935FB1" w:rsidRPr="00832A15" w:rsidRDefault="00935FB1" w:rsidP="002263D2">
      <w:pPr>
        <w:pStyle w:val="xx"/>
      </w:pPr>
      <w:r w:rsidRPr="00832A15">
        <w:t xml:space="preserve">7.1 </w:t>
      </w:r>
      <w:r w:rsidRPr="00832A15">
        <w:t>基金管理人持有本基金份额变动情况</w:t>
      </w:r>
    </w:p>
    <w:p w:rsidR="00935FB1" w:rsidRPr="00227019" w:rsidRDefault="00227019" w:rsidP="000814AC">
      <w:pPr>
        <w:pStyle w:val="new"/>
      </w:pPr>
      <w:r w:rsidRPr="00227019">
        <w:t>基金管理人未持有本基金。</w:t>
      </w:r>
    </w:p>
    <w:p w:rsidR="00935FB1" w:rsidRPr="00832A15" w:rsidRDefault="00935FB1" w:rsidP="002263D2">
      <w:pPr>
        <w:pStyle w:val="xx"/>
      </w:pPr>
      <w:r w:rsidRPr="00832A15">
        <w:t xml:space="preserve">7.2 </w:t>
      </w:r>
      <w:r w:rsidRPr="00832A15">
        <w:t>基金管理人运用固有资金投资本基金交易明细</w:t>
      </w:r>
    </w:p>
    <w:p w:rsidR="00935FB1" w:rsidRDefault="00935FB1" w:rsidP="00B660EB">
      <w:pPr>
        <w:pStyle w:val="new"/>
      </w:pPr>
      <w:r w:rsidRPr="000870BE">
        <w:t>报告期内基金管理人未发生运用固有资金申购、赎回或者买卖本基金的情况。</w:t>
      </w:r>
    </w:p>
    <w:p w:rsidR="00252645" w:rsidRPr="00003CFA" w:rsidRDefault="00252645" w:rsidP="00252645">
      <w:pPr>
        <w:pStyle w:val="2"/>
        <w:ind w:left="210" w:right="210"/>
      </w:pPr>
      <w:r w:rsidRPr="00003CFA">
        <w:t xml:space="preserve">§8 </w:t>
      </w:r>
      <w:r w:rsidRPr="00003CFA">
        <w:t>影响投资者决策的其他重要信息</w:t>
      </w:r>
    </w:p>
    <w:p w:rsidR="00860FBE" w:rsidRPr="00860FBE" w:rsidRDefault="00252645" w:rsidP="00860FBE">
      <w:pPr>
        <w:pStyle w:val="xx"/>
        <w:ind w:firstLine="422"/>
      </w:pPr>
      <w:r w:rsidRPr="00003CFA">
        <w:t>8.</w:t>
      </w:r>
      <w:r w:rsidRPr="00003CFA">
        <w:rPr>
          <w:rFonts w:hint="eastAsia"/>
        </w:rPr>
        <w:t xml:space="preserve">1 </w:t>
      </w:r>
      <w:r w:rsidRPr="00003CFA">
        <w:rPr>
          <w:rFonts w:hint="eastAsia"/>
        </w:rPr>
        <w:t>报告期内单一投资者持有基金份额比例达到或超过</w:t>
      </w:r>
      <w:r w:rsidRPr="00003CFA">
        <w:rPr>
          <w:rFonts w:hint="eastAsia"/>
        </w:rPr>
        <w:t>20%</w:t>
      </w:r>
      <w:r w:rsidRPr="00003CFA">
        <w:rPr>
          <w:rFonts w:hint="eastAsia"/>
        </w:rPr>
        <w:t>的情况</w:t>
      </w:r>
    </w:p>
    <w:p w:rsidR="00860FBE" w:rsidRDefault="00860FBE" w:rsidP="00860FBE">
      <w:pPr>
        <w:pStyle w:val="new"/>
      </w:pPr>
      <w:r>
        <w:rPr>
          <w:rFonts w:hint="eastAsia"/>
        </w:rPr>
        <w:t>无。</w:t>
      </w:r>
    </w:p>
    <w:p w:rsidR="00252645" w:rsidRPr="00003CFA" w:rsidRDefault="00252645" w:rsidP="00252645">
      <w:pPr>
        <w:pStyle w:val="xx"/>
        <w:ind w:firstLine="422"/>
      </w:pPr>
      <w:r w:rsidRPr="00003CFA">
        <w:rPr>
          <w:rFonts w:hint="eastAsia"/>
        </w:rPr>
        <w:t xml:space="preserve">8.2 </w:t>
      </w:r>
      <w:r w:rsidRPr="00003CFA">
        <w:rPr>
          <w:rFonts w:hint="eastAsia"/>
        </w:rPr>
        <w:t>影响投资者决策的其他重要信息</w:t>
      </w:r>
    </w:p>
    <w:p w:rsidR="00BB2831" w:rsidRDefault="004B6FE5">
      <w:pPr>
        <w:pStyle w:val="new"/>
      </w:pPr>
      <w:r>
        <w:t>博时基金管理有限公司是中国内地首批成立的五家基金管理公司之一。“为国民创造财富”是博时的使命。博时的投资理念是“做投资价值的发现者”。截至2017年12月31日，博时基金公司共管理192只开放式基金，并受全国社会保障基金理事会委托管理部分社保基金，以及多个企业年金账户，管理资产总规模约7587亿元人民币，其中非货币公募基金规模约2254亿元人民币，累计分红逾828亿元人民币，是目前我国资产管理规模最大的基金公司之一，养老金资产管理规模在同业中名列前茅。</w:t>
      </w:r>
    </w:p>
    <w:p w:rsidR="00BB2831" w:rsidRDefault="004B6FE5">
      <w:pPr>
        <w:pStyle w:val="new"/>
      </w:pPr>
      <w:r>
        <w:t>1、 基金业绩</w:t>
      </w:r>
    </w:p>
    <w:p w:rsidR="00BB2831" w:rsidRDefault="004B6FE5">
      <w:pPr>
        <w:pStyle w:val="new"/>
      </w:pPr>
      <w:r>
        <w:t>根据银河证券基金研究中心统计，截至2017年4季末：</w:t>
      </w:r>
    </w:p>
    <w:p w:rsidR="00BB2831" w:rsidRDefault="004B6FE5">
      <w:pPr>
        <w:pStyle w:val="new"/>
      </w:pPr>
      <w:r>
        <w:t>权益基金方面，标准指数股票型基金里，博时上证50ETF、博时深证基本面200ETF今年以来净值增长率分别为30.41%、28.81%，同类排名分别为前1/8和前1/6，博时裕富沪深300指数(A类)今年以来净值增长率排名前1/6；股票型分级子基金里，博时中证银行指数分级（B）今年以来净值增长率为43.97%，同类基金中排名前1/6；混合偏股型基金中, 博时主题行业混合(LOF) 今年以来净值增长率为31.96%，同类基金排名位居前1/6，博时行业轮动混合今年以来净值增长率为27.90%，同类基金排名位居前1/4；混合灵活配置型基金中，博时外延增长主题灵活配置混合基金今年以来净值增长率分别为32.12%，同类基金排名位于前1/12，博时互联网主题灵活配置混合、博时沪港深优质企业灵活配置混合(A类)基金今年以来净值增长率分别为23.79%、24.01%，同类基金中排名位于前1/3。</w:t>
      </w:r>
    </w:p>
    <w:p w:rsidR="00BB2831" w:rsidRDefault="004B6FE5">
      <w:pPr>
        <w:pStyle w:val="new"/>
      </w:pPr>
      <w:r>
        <w:t>黄金基金类，博时黄金ETF(D类)今年以来净值增长率4.00%，同类排名第一。</w:t>
      </w:r>
    </w:p>
    <w:p w:rsidR="00BB2831" w:rsidRDefault="004B6FE5">
      <w:pPr>
        <w:pStyle w:val="new"/>
      </w:pPr>
      <w:r>
        <w:t>固收方面，长期标准债券型基金中，博时裕盛纯债债券今年以来净值增长率为3.63%，同类170只基金中排名前10，博时聚润纯债债券今年以来净值增长率分别为3.45%，同类基金排名位于前1/10，博时裕昂纯债债券、博时裕创纯债债券等今年以来净值增长率排名前1/8，博时裕安纯债债券、博时智臻纯债债券等今年以来净值增长率排名前1/6；货币基金类，博时合利货币、博时外服货币今年以来净值增长率分别为4.26%、4.23%，在227只同类基金排名中位列第8位与第11位。</w:t>
      </w:r>
    </w:p>
    <w:p w:rsidR="00BB2831" w:rsidRDefault="004B6FE5">
      <w:pPr>
        <w:pStyle w:val="new"/>
      </w:pPr>
      <w:r>
        <w:t>QDII基金方面，博时亚洲票息收益债券(QDII)、博时亚洲票息收益债券(QDII)(美元)，今年以来净值增长率分别为0.23%、6.38%，同类排名均位于前2/4。</w:t>
      </w:r>
    </w:p>
    <w:p w:rsidR="00BB2831" w:rsidRDefault="004B6FE5">
      <w:pPr>
        <w:pStyle w:val="new"/>
      </w:pPr>
      <w:r>
        <w:t>2、 其他大事件</w:t>
      </w:r>
    </w:p>
    <w:p w:rsidR="00BB2831" w:rsidRDefault="004B6FE5">
      <w:pPr>
        <w:pStyle w:val="new"/>
      </w:pPr>
      <w:r>
        <w:t>2017年12月13日—12月15日，由华尔街见闻主办的“2017全球投资峰会及颁奖典礼活动”和由时代周报主办的“2017（南翔）年度盛典暨2017‘金桔奖’颁奖典礼”在上海隆重举行。博时基金分别斩获“年度卓越公募基金”和“最佳财富管理机构”两项颇具份量的公司大奖。</w:t>
      </w:r>
    </w:p>
    <w:p w:rsidR="00BB2831" w:rsidRDefault="004B6FE5">
      <w:pPr>
        <w:pStyle w:val="new"/>
      </w:pPr>
      <w:r>
        <w:t>2017年12月8日，由经济观察报与上海国际信托有限公司联合主办的“观察家金融峰会”暨“2016-2017中国卓越金融奖”颁奖典礼在北京召开，博时基金实力荣获“年度卓越综合实力基金公司”奖项。</w:t>
      </w:r>
    </w:p>
    <w:p w:rsidR="00BB2831" w:rsidRDefault="004B6FE5">
      <w:pPr>
        <w:pStyle w:val="new"/>
      </w:pPr>
      <w:r>
        <w:t>2017年12月5日，北京商报联手北京市品牌协会主办的“2017北京金融论坛暨年度北京金融业十大品牌评选”在京揭晓。博时基金凭借优秀的品牌建设及卓越的品牌推广力，在本次论坛中荣获“品牌推广卓越奖”。</w:t>
      </w:r>
    </w:p>
    <w:p w:rsidR="00BB2831" w:rsidRDefault="004B6FE5">
      <w:pPr>
        <w:pStyle w:val="new"/>
      </w:pPr>
      <w:r>
        <w:t>2017年11月27日，由南方都市报和中国金融改革研究院共同主办的2017年（第三届）CFAC中国金融年会在深召开，博时基金在此次大会上荣获“年度最佳基金公司大奖”，值得一提的是，这是博时基金第三次获得该项殊荣。</w:t>
      </w:r>
    </w:p>
    <w:p w:rsidR="00BB2831" w:rsidRDefault="004B6FE5">
      <w:pPr>
        <w:pStyle w:val="new"/>
      </w:pPr>
      <w:r>
        <w:t>2017年11月24日，由《新财富》杂志社主办的“第十五届新财富最佳分析师”评选颁奖盛典在深圳举行博时基金捧得新财富十五周年特别大奖——3i最智慧投资机构。</w:t>
      </w:r>
    </w:p>
    <w:p w:rsidR="00252645" w:rsidRPr="005D07EA" w:rsidRDefault="00252645" w:rsidP="00252645">
      <w:pPr>
        <w:pStyle w:val="new"/>
      </w:pPr>
      <w:r w:rsidRPr="005D07EA">
        <w:t>2017年10月19日，外汇交易中心公布2017年第三季度银行间本币市场活跃交易商名单。博时基金管理有限公司荣誉入选“债券市场活跃交易商”。</w:t>
      </w:r>
    </w:p>
    <w:p w:rsidR="009238DB" w:rsidRPr="00DD02EA" w:rsidRDefault="009238DB" w:rsidP="00356901">
      <w:pPr>
        <w:pStyle w:val="2"/>
        <w:ind w:left="210" w:right="210"/>
      </w:pPr>
      <w:r w:rsidRPr="00DD02EA">
        <w:t>§</w:t>
      </w:r>
      <w:r w:rsidR="00A14399" w:rsidRPr="00DD02EA">
        <w:t>9</w:t>
      </w:r>
      <w:r w:rsidRPr="00DD02EA">
        <w:t>备查文件目录</w:t>
      </w:r>
    </w:p>
    <w:p w:rsidR="00FB3C94" w:rsidRPr="00832A15" w:rsidRDefault="00A14399" w:rsidP="002263D2">
      <w:pPr>
        <w:pStyle w:val="xx"/>
      </w:pPr>
      <w:r w:rsidRPr="00832A15">
        <w:t>9.</w:t>
      </w:r>
      <w:r w:rsidR="00D13A01" w:rsidRPr="00832A15">
        <w:t>1</w:t>
      </w:r>
      <w:r w:rsidR="00FB3C94" w:rsidRPr="00832A15">
        <w:t>备查文件目录</w:t>
      </w:r>
    </w:p>
    <w:p w:rsidR="00BB2831" w:rsidRDefault="004B6FE5">
      <w:pPr>
        <w:pStyle w:val="new"/>
      </w:pPr>
      <w:r>
        <w:t>9.1.1 中国证监会批准博时安源18个月定期开放债券型证券投资基金设立的文件</w:t>
      </w:r>
    </w:p>
    <w:p w:rsidR="00BB2831" w:rsidRDefault="004B6FE5">
      <w:pPr>
        <w:pStyle w:val="new"/>
      </w:pPr>
      <w:r>
        <w:t>9.1.2《博时安源18个月定期开放债券型证券投资基金基金合同》</w:t>
      </w:r>
    </w:p>
    <w:p w:rsidR="00BB2831" w:rsidRDefault="004B6FE5">
      <w:pPr>
        <w:pStyle w:val="new"/>
      </w:pPr>
      <w:r>
        <w:t>9.1.3《博时安源18个月定期开放债券型证券投资基金托管协议》</w:t>
      </w:r>
    </w:p>
    <w:p w:rsidR="00BB2831" w:rsidRDefault="004B6FE5">
      <w:pPr>
        <w:pStyle w:val="new"/>
      </w:pPr>
      <w:r>
        <w:t>9.1.4 基金管理人业务资格批件、营业执照和公司章程</w:t>
      </w:r>
    </w:p>
    <w:p w:rsidR="00BB2831" w:rsidRDefault="004B6FE5">
      <w:pPr>
        <w:pStyle w:val="new"/>
      </w:pPr>
      <w:r>
        <w:t>9.1.5博时安源18个月定期开放债券型证券投资基金年度审计报告正本</w:t>
      </w:r>
    </w:p>
    <w:p w:rsidR="00F11783" w:rsidRPr="00EB30DF" w:rsidRDefault="00FB3C94" w:rsidP="0070291C">
      <w:pPr>
        <w:pStyle w:val="new"/>
      </w:pPr>
      <w:r w:rsidRPr="00EB30DF">
        <w:t>9.1.6报告期内博时安源18个月定期开放债券型证券投资基金在指定报刊上各项公告的原稿</w:t>
      </w:r>
    </w:p>
    <w:p w:rsidR="00FB3C94" w:rsidRPr="00832A15" w:rsidRDefault="00D13A01" w:rsidP="002263D2">
      <w:pPr>
        <w:pStyle w:val="xx"/>
      </w:pPr>
      <w:r w:rsidRPr="00832A15">
        <w:t>9.2</w:t>
      </w:r>
      <w:r w:rsidR="00FB3C94" w:rsidRPr="00832A15">
        <w:t>存放地点</w:t>
      </w:r>
    </w:p>
    <w:p w:rsidR="00F11783" w:rsidRPr="00EB30DF" w:rsidRDefault="00FB3C94" w:rsidP="0070291C">
      <w:pPr>
        <w:pStyle w:val="new"/>
      </w:pPr>
      <w:r w:rsidRPr="00EB30DF">
        <w:t>基金管理人、基金托管人处</w:t>
      </w:r>
    </w:p>
    <w:p w:rsidR="00FB3C94" w:rsidRPr="00832A15" w:rsidRDefault="00D13A01" w:rsidP="002263D2">
      <w:pPr>
        <w:pStyle w:val="xx"/>
      </w:pPr>
      <w:r w:rsidRPr="00832A15">
        <w:t>9.3</w:t>
      </w:r>
      <w:r w:rsidR="00FB3C94" w:rsidRPr="00832A15">
        <w:t>查阅方式</w:t>
      </w:r>
    </w:p>
    <w:p w:rsidR="00BB2831" w:rsidRDefault="004B6FE5">
      <w:pPr>
        <w:pStyle w:val="new"/>
      </w:pPr>
      <w:r>
        <w:t>投资者可在营业时间免费查阅，也可按工本费购买复印件</w:t>
      </w:r>
    </w:p>
    <w:p w:rsidR="00BB2831" w:rsidRDefault="004B6FE5">
      <w:pPr>
        <w:pStyle w:val="new"/>
      </w:pPr>
      <w:r>
        <w:t>投资者对本报告书如有疑问，可咨询本基金管理人博时基金管理有限公司</w:t>
      </w:r>
    </w:p>
    <w:p w:rsidR="00FB3C94" w:rsidRPr="00EB30DF" w:rsidRDefault="00FB3C94" w:rsidP="0070291C">
      <w:pPr>
        <w:pStyle w:val="new"/>
      </w:pPr>
      <w:r w:rsidRPr="00EB30DF">
        <w:t>博时一线通：95105568（免长途话费）</w:t>
      </w:r>
    </w:p>
    <w:p w:rsidR="00FB3C94" w:rsidRPr="00C04AE0" w:rsidRDefault="00FB3C94" w:rsidP="00632575">
      <w:pPr>
        <w:spacing w:line="360" w:lineRule="auto"/>
        <w:ind w:left="840"/>
        <w:jc w:val="right"/>
        <w:rPr>
          <w:rFonts w:ascii="宋体" w:hAnsi="宋体"/>
          <w:color w:val="000000" w:themeColor="text1"/>
        </w:rPr>
      </w:pPr>
    </w:p>
    <w:p w:rsidR="00AF3AF9" w:rsidRPr="00C04AE0" w:rsidRDefault="00AF3AF9" w:rsidP="00632575">
      <w:pPr>
        <w:spacing w:line="360" w:lineRule="auto"/>
        <w:ind w:left="840"/>
        <w:jc w:val="center"/>
        <w:rPr>
          <w:rFonts w:ascii="宋体" w:hAnsi="宋体"/>
          <w:b/>
          <w:color w:val="000000" w:themeColor="text1"/>
        </w:rPr>
      </w:pPr>
    </w:p>
    <w:p w:rsidR="00FB3C94" w:rsidRPr="000814AC" w:rsidRDefault="00FB3C94" w:rsidP="00632575">
      <w:pPr>
        <w:spacing w:line="360" w:lineRule="auto"/>
        <w:jc w:val="right"/>
        <w:rPr>
          <w:rFonts w:ascii="宋体" w:hAnsi="宋体"/>
          <w:b/>
          <w:bCs/>
          <w:color w:val="000000" w:themeColor="text1"/>
          <w:sz w:val="24"/>
        </w:rPr>
      </w:pPr>
      <w:r w:rsidRPr="000814AC">
        <w:rPr>
          <w:rFonts w:ascii="宋体" w:hAnsi="宋体"/>
          <w:b/>
          <w:bCs/>
          <w:color w:val="000000" w:themeColor="text1"/>
          <w:sz w:val="24"/>
        </w:rPr>
        <w:t>博时基金管理有限公司</w:t>
      </w:r>
    </w:p>
    <w:p w:rsidR="009238DB" w:rsidRPr="000814AC" w:rsidRDefault="00D04410" w:rsidP="00632575">
      <w:pPr>
        <w:spacing w:line="360" w:lineRule="auto"/>
        <w:jc w:val="right"/>
        <w:rPr>
          <w:rFonts w:ascii="宋体" w:hAnsi="宋体"/>
          <w:b/>
          <w:bCs/>
          <w:color w:val="000000" w:themeColor="text1"/>
          <w:sz w:val="24"/>
        </w:rPr>
      </w:pPr>
      <w:r w:rsidRPr="000814AC">
        <w:rPr>
          <w:rFonts w:ascii="宋体" w:hAnsi="宋体"/>
          <w:b/>
          <w:bCs/>
          <w:color w:val="000000" w:themeColor="text1"/>
          <w:sz w:val="24"/>
        </w:rPr>
        <w:t>二〇一八年一月二十日</w:t>
      </w:r>
    </w:p>
    <w:sectPr w:rsidR="009238DB" w:rsidRPr="000814AC" w:rsidSect="000870BE">
      <w:headerReference w:type="default" r:id="rId11"/>
      <w:footerReference w:type="even" r:id="rId12"/>
      <w:footerReference w:type="default" r:id="rId13"/>
      <w:pgSz w:w="11906" w:h="16838"/>
      <w:pgMar w:top="1236" w:right="1418" w:bottom="1418" w:left="1418" w:header="851" w:footer="992" w:gutter="0"/>
      <w:pgNumType w:start="1"/>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655" w:rsidRDefault="00975655">
      <w:r>
        <w:separator/>
      </w:r>
    </w:p>
  </w:endnote>
  <w:endnote w:type="continuationSeparator" w:id="1">
    <w:p w:rsidR="00975655" w:rsidRDefault="009756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angSong">
    <w:altName w:val="Arial"/>
    <w:charset w:val="00"/>
    <w:family w:val="auto"/>
    <w:pitch w:val="default"/>
    <w:sig w:usb0="00000003" w:usb1="00000000" w:usb2="00000000" w:usb3="00000000" w:csb0="00000001" w:csb1="00000000"/>
  </w:font>
  <w:font w:name="黑体">
    <w:altName w:val="SimHei"/>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D2" w:rsidRDefault="009759AA">
    <w:pPr>
      <w:pStyle w:val="a6"/>
      <w:framePr w:wrap="around" w:vAnchor="text" w:hAnchor="margin" w:xAlign="center" w:y="1"/>
      <w:rPr>
        <w:rStyle w:val="a7"/>
      </w:rPr>
    </w:pPr>
    <w:r>
      <w:rPr>
        <w:rStyle w:val="a7"/>
      </w:rPr>
      <w:fldChar w:fldCharType="begin"/>
    </w:r>
    <w:r w:rsidR="002263D2">
      <w:rPr>
        <w:rStyle w:val="a7"/>
      </w:rPr>
      <w:instrText xml:space="preserve">PAGE  </w:instrText>
    </w:r>
    <w:r>
      <w:rPr>
        <w:rStyle w:val="a7"/>
      </w:rPr>
      <w:fldChar w:fldCharType="end"/>
    </w:r>
  </w:p>
  <w:p w:rsidR="002263D2" w:rsidRDefault="002263D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D2" w:rsidRDefault="009759AA">
    <w:pPr>
      <w:pStyle w:val="a6"/>
      <w:framePr w:wrap="around" w:vAnchor="text" w:hAnchor="margin" w:xAlign="center" w:y="1"/>
      <w:rPr>
        <w:rStyle w:val="a7"/>
      </w:rPr>
    </w:pPr>
    <w:r>
      <w:rPr>
        <w:rStyle w:val="a7"/>
      </w:rPr>
      <w:fldChar w:fldCharType="begin"/>
    </w:r>
    <w:r w:rsidR="002263D2">
      <w:rPr>
        <w:rStyle w:val="a7"/>
      </w:rPr>
      <w:instrText xml:space="preserve">PAGE  </w:instrText>
    </w:r>
    <w:r>
      <w:rPr>
        <w:rStyle w:val="a7"/>
      </w:rPr>
      <w:fldChar w:fldCharType="separate"/>
    </w:r>
    <w:r w:rsidR="00C41C96">
      <w:rPr>
        <w:rStyle w:val="a7"/>
        <w:noProof/>
      </w:rPr>
      <w:t>1</w:t>
    </w:r>
    <w:r>
      <w:rPr>
        <w:rStyle w:val="a7"/>
      </w:rPr>
      <w:fldChar w:fldCharType="end"/>
    </w:r>
  </w:p>
  <w:p w:rsidR="002263D2" w:rsidRDefault="002263D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655" w:rsidRDefault="00975655">
      <w:r>
        <w:separator/>
      </w:r>
    </w:p>
  </w:footnote>
  <w:footnote w:type="continuationSeparator" w:id="1">
    <w:p w:rsidR="00975655" w:rsidRDefault="009756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D2" w:rsidRDefault="002263D2">
    <w:pPr>
      <w:pStyle w:val="a9"/>
    </w:pPr>
    <w:r>
      <w:rPr>
        <w:noProof/>
      </w:rPr>
      <w:drawing>
        <wp:anchor distT="0" distB="0" distL="114300" distR="114300" simplePos="0" relativeHeight="251661312" behindDoc="0" locked="0" layoutInCell="1" allowOverlap="1">
          <wp:simplePos x="0" y="0"/>
          <wp:positionH relativeFrom="column">
            <wp:posOffset>-4445</wp:posOffset>
          </wp:positionH>
          <wp:positionV relativeFrom="paragraph">
            <wp:posOffset>-191135</wp:posOffset>
          </wp:positionV>
          <wp:extent cx="1257300" cy="314325"/>
          <wp:effectExtent l="0" t="0" r="0" b="0"/>
          <wp:wrapNone/>
          <wp:docPr id="3" name="图片 3"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Bosera_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31432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D2" w:rsidRPr="002263D2" w:rsidRDefault="002263D2" w:rsidP="001207F2">
    <w:pPr>
      <w:pStyle w:val="a9"/>
      <w:pBdr>
        <w:bottom w:val="single" w:sz="6" w:space="0" w:color="auto"/>
      </w:pBdr>
      <w:jc w:val="right"/>
      <w:rPr>
        <w:szCs w:val="21"/>
      </w:rPr>
    </w:pPr>
    <w:r w:rsidRPr="002263D2">
      <w:rPr>
        <w:noProof/>
        <w:szCs w:val="21"/>
      </w:rPr>
      <w:drawing>
        <wp:anchor distT="0" distB="0" distL="114300" distR="114300" simplePos="0" relativeHeight="251660288" behindDoc="0" locked="0" layoutInCell="1" allowOverlap="1">
          <wp:simplePos x="0" y="0"/>
          <wp:positionH relativeFrom="column">
            <wp:posOffset>5715</wp:posOffset>
          </wp:positionH>
          <wp:positionV relativeFrom="paragraph">
            <wp:posOffset>-211455</wp:posOffset>
          </wp:positionV>
          <wp:extent cx="1257300" cy="314325"/>
          <wp:effectExtent l="0" t="0" r="0" b="0"/>
          <wp:wrapNone/>
          <wp:docPr id="4" name="图片 4"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era_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314325"/>
                  </a:xfrm>
                  <a:prstGeom prst="rect">
                    <a:avLst/>
                  </a:prstGeom>
                  <a:noFill/>
                  <a:ln>
                    <a:noFill/>
                  </a:ln>
                </pic:spPr>
              </pic:pic>
            </a:graphicData>
          </a:graphic>
        </wp:anchor>
      </w:drawing>
    </w:r>
    <w:r w:rsidRPr="002263D2">
      <w:rPr>
        <w:szCs w:val="21"/>
      </w:rPr>
      <w:t>博时安源</w:t>
    </w:r>
    <w:r w:rsidRPr="002263D2">
      <w:rPr>
        <w:szCs w:val="21"/>
      </w:rPr>
      <w:t>18</w:t>
    </w:r>
    <w:r w:rsidRPr="002263D2">
      <w:rPr>
        <w:szCs w:val="21"/>
      </w:rPr>
      <w:t>个月定期开放债券型证券投资基金</w:t>
    </w:r>
    <w:r w:rsidRPr="002263D2">
      <w:rPr>
        <w:szCs w:val="21"/>
      </w:rPr>
      <w:t>2017</w:t>
    </w:r>
    <w:r w:rsidRPr="002263D2">
      <w:rPr>
        <w:szCs w:val="21"/>
      </w:rPr>
      <w:t>年第</w:t>
    </w:r>
    <w:r w:rsidRPr="002263D2">
      <w:rPr>
        <w:szCs w:val="21"/>
      </w:rPr>
      <w:t>4</w:t>
    </w:r>
    <w:r w:rsidRPr="002263D2">
      <w:rPr>
        <w:szCs w:val="21"/>
      </w:rPr>
      <w:t>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64C22724"/>
    <w:multiLevelType w:val="multilevel"/>
    <w:tmpl w:val="0409001D"/>
    <w:numStyleLink w:val="5"/>
  </w:abstractNum>
  <w:abstractNum w:abstractNumId="6">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 w:numId="9">
    <w:abstractNumId w:val="3"/>
  </w:num>
  <w:num w:numId="10">
    <w:abstractNumId w:val="3"/>
  </w:num>
  <w:num w:numId="11">
    <w:abstractNumId w:val="3"/>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PostScriptOverText/>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2187"/>
    <w:rsid w:val="0000059C"/>
    <w:rsid w:val="000008B1"/>
    <w:rsid w:val="0000403B"/>
    <w:rsid w:val="00007441"/>
    <w:rsid w:val="00007F1F"/>
    <w:rsid w:val="00010A83"/>
    <w:rsid w:val="000137C1"/>
    <w:rsid w:val="0001579C"/>
    <w:rsid w:val="00016551"/>
    <w:rsid w:val="00020737"/>
    <w:rsid w:val="00020C27"/>
    <w:rsid w:val="00020EB3"/>
    <w:rsid w:val="000219D5"/>
    <w:rsid w:val="00022396"/>
    <w:rsid w:val="00022662"/>
    <w:rsid w:val="00023073"/>
    <w:rsid w:val="00023B97"/>
    <w:rsid w:val="00024836"/>
    <w:rsid w:val="000252D8"/>
    <w:rsid w:val="0003564A"/>
    <w:rsid w:val="000362CD"/>
    <w:rsid w:val="00037B55"/>
    <w:rsid w:val="00037C73"/>
    <w:rsid w:val="00042065"/>
    <w:rsid w:val="00043FD2"/>
    <w:rsid w:val="00045476"/>
    <w:rsid w:val="00045558"/>
    <w:rsid w:val="00045BA9"/>
    <w:rsid w:val="000471C2"/>
    <w:rsid w:val="00047D87"/>
    <w:rsid w:val="000510AB"/>
    <w:rsid w:val="00053FFD"/>
    <w:rsid w:val="00056D5C"/>
    <w:rsid w:val="00061B0B"/>
    <w:rsid w:val="00061E09"/>
    <w:rsid w:val="00062C69"/>
    <w:rsid w:val="00062E1F"/>
    <w:rsid w:val="00064601"/>
    <w:rsid w:val="00064AE3"/>
    <w:rsid w:val="0006750A"/>
    <w:rsid w:val="000739C3"/>
    <w:rsid w:val="00077282"/>
    <w:rsid w:val="000776C0"/>
    <w:rsid w:val="00077849"/>
    <w:rsid w:val="000803AD"/>
    <w:rsid w:val="000813D6"/>
    <w:rsid w:val="000814AC"/>
    <w:rsid w:val="00081D05"/>
    <w:rsid w:val="000827CC"/>
    <w:rsid w:val="0008352F"/>
    <w:rsid w:val="000870BE"/>
    <w:rsid w:val="000871DB"/>
    <w:rsid w:val="000922C5"/>
    <w:rsid w:val="0009314F"/>
    <w:rsid w:val="00093A23"/>
    <w:rsid w:val="000A08FC"/>
    <w:rsid w:val="000A15F1"/>
    <w:rsid w:val="000A1617"/>
    <w:rsid w:val="000A40A5"/>
    <w:rsid w:val="000A457E"/>
    <w:rsid w:val="000A549A"/>
    <w:rsid w:val="000A5A81"/>
    <w:rsid w:val="000A72F2"/>
    <w:rsid w:val="000A7BFD"/>
    <w:rsid w:val="000B000E"/>
    <w:rsid w:val="000B1CB9"/>
    <w:rsid w:val="000B24AF"/>
    <w:rsid w:val="000B251E"/>
    <w:rsid w:val="000B3E43"/>
    <w:rsid w:val="000B4E99"/>
    <w:rsid w:val="000B648A"/>
    <w:rsid w:val="000C1718"/>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E6DA1"/>
    <w:rsid w:val="000F0558"/>
    <w:rsid w:val="000F0AC3"/>
    <w:rsid w:val="000F125F"/>
    <w:rsid w:val="000F175F"/>
    <w:rsid w:val="000F17D1"/>
    <w:rsid w:val="000F1CC9"/>
    <w:rsid w:val="000F5ABD"/>
    <w:rsid w:val="000F60FF"/>
    <w:rsid w:val="000F6A12"/>
    <w:rsid w:val="000F6F7C"/>
    <w:rsid w:val="001005BB"/>
    <w:rsid w:val="00103B0E"/>
    <w:rsid w:val="001040EA"/>
    <w:rsid w:val="0011283B"/>
    <w:rsid w:val="00112BCF"/>
    <w:rsid w:val="00114E7E"/>
    <w:rsid w:val="00117465"/>
    <w:rsid w:val="00117F22"/>
    <w:rsid w:val="00120280"/>
    <w:rsid w:val="001207F2"/>
    <w:rsid w:val="00121533"/>
    <w:rsid w:val="0012304E"/>
    <w:rsid w:val="00123051"/>
    <w:rsid w:val="001257C7"/>
    <w:rsid w:val="00125E66"/>
    <w:rsid w:val="001263E1"/>
    <w:rsid w:val="00126AC0"/>
    <w:rsid w:val="00126C2B"/>
    <w:rsid w:val="00127A01"/>
    <w:rsid w:val="00130D77"/>
    <w:rsid w:val="00131EF6"/>
    <w:rsid w:val="0013251D"/>
    <w:rsid w:val="00134734"/>
    <w:rsid w:val="00134CBE"/>
    <w:rsid w:val="00140C30"/>
    <w:rsid w:val="00142C74"/>
    <w:rsid w:val="001434EE"/>
    <w:rsid w:val="00145E5B"/>
    <w:rsid w:val="00147319"/>
    <w:rsid w:val="00147551"/>
    <w:rsid w:val="0015012F"/>
    <w:rsid w:val="00150C2E"/>
    <w:rsid w:val="0015170D"/>
    <w:rsid w:val="001517AE"/>
    <w:rsid w:val="00154FA5"/>
    <w:rsid w:val="0015531A"/>
    <w:rsid w:val="00156F9D"/>
    <w:rsid w:val="001602E3"/>
    <w:rsid w:val="00160539"/>
    <w:rsid w:val="00161548"/>
    <w:rsid w:val="001678CC"/>
    <w:rsid w:val="0017176A"/>
    <w:rsid w:val="00172B54"/>
    <w:rsid w:val="001763D8"/>
    <w:rsid w:val="00176874"/>
    <w:rsid w:val="0017725A"/>
    <w:rsid w:val="0018052A"/>
    <w:rsid w:val="00180952"/>
    <w:rsid w:val="0018191A"/>
    <w:rsid w:val="00185B68"/>
    <w:rsid w:val="00186199"/>
    <w:rsid w:val="001874E3"/>
    <w:rsid w:val="00194155"/>
    <w:rsid w:val="001A0417"/>
    <w:rsid w:val="001A0B71"/>
    <w:rsid w:val="001A1389"/>
    <w:rsid w:val="001A3016"/>
    <w:rsid w:val="001A3914"/>
    <w:rsid w:val="001A5FA6"/>
    <w:rsid w:val="001A68D9"/>
    <w:rsid w:val="001B053A"/>
    <w:rsid w:val="001B0C78"/>
    <w:rsid w:val="001B151C"/>
    <w:rsid w:val="001B1A13"/>
    <w:rsid w:val="001B1A6E"/>
    <w:rsid w:val="001B22BA"/>
    <w:rsid w:val="001C2045"/>
    <w:rsid w:val="001C5040"/>
    <w:rsid w:val="001C715A"/>
    <w:rsid w:val="001D0F6A"/>
    <w:rsid w:val="001D2FA5"/>
    <w:rsid w:val="001D3394"/>
    <w:rsid w:val="001D3D57"/>
    <w:rsid w:val="001D4980"/>
    <w:rsid w:val="001D5045"/>
    <w:rsid w:val="001D5A44"/>
    <w:rsid w:val="001D5CD0"/>
    <w:rsid w:val="001D724B"/>
    <w:rsid w:val="001E023C"/>
    <w:rsid w:val="001E0BA5"/>
    <w:rsid w:val="001F03E1"/>
    <w:rsid w:val="001F1F19"/>
    <w:rsid w:val="001F2BD1"/>
    <w:rsid w:val="001F3080"/>
    <w:rsid w:val="001F3CC6"/>
    <w:rsid w:val="001F5F5F"/>
    <w:rsid w:val="00205064"/>
    <w:rsid w:val="0020548A"/>
    <w:rsid w:val="00211668"/>
    <w:rsid w:val="002118A6"/>
    <w:rsid w:val="002122FF"/>
    <w:rsid w:val="002125F7"/>
    <w:rsid w:val="0021288A"/>
    <w:rsid w:val="002150AC"/>
    <w:rsid w:val="0021650B"/>
    <w:rsid w:val="00221938"/>
    <w:rsid w:val="00222262"/>
    <w:rsid w:val="00222ABD"/>
    <w:rsid w:val="002230A8"/>
    <w:rsid w:val="002263D2"/>
    <w:rsid w:val="00227019"/>
    <w:rsid w:val="00227D20"/>
    <w:rsid w:val="00231BCE"/>
    <w:rsid w:val="0023336A"/>
    <w:rsid w:val="002359EB"/>
    <w:rsid w:val="0023649E"/>
    <w:rsid w:val="00241740"/>
    <w:rsid w:val="00241BA9"/>
    <w:rsid w:val="002424E4"/>
    <w:rsid w:val="00243122"/>
    <w:rsid w:val="002437F5"/>
    <w:rsid w:val="00244DB1"/>
    <w:rsid w:val="00245012"/>
    <w:rsid w:val="0024504E"/>
    <w:rsid w:val="0024651F"/>
    <w:rsid w:val="00246874"/>
    <w:rsid w:val="00246D81"/>
    <w:rsid w:val="00250869"/>
    <w:rsid w:val="00251920"/>
    <w:rsid w:val="00251CC4"/>
    <w:rsid w:val="00252645"/>
    <w:rsid w:val="00253D3C"/>
    <w:rsid w:val="00254A7E"/>
    <w:rsid w:val="00255292"/>
    <w:rsid w:val="00256047"/>
    <w:rsid w:val="002571D3"/>
    <w:rsid w:val="0025722F"/>
    <w:rsid w:val="00257E84"/>
    <w:rsid w:val="00260200"/>
    <w:rsid w:val="00263106"/>
    <w:rsid w:val="002642F2"/>
    <w:rsid w:val="00264AE1"/>
    <w:rsid w:val="00266645"/>
    <w:rsid w:val="00267386"/>
    <w:rsid w:val="00267C2E"/>
    <w:rsid w:val="00267DA9"/>
    <w:rsid w:val="00273E5C"/>
    <w:rsid w:val="00275FD0"/>
    <w:rsid w:val="00280514"/>
    <w:rsid w:val="002819E7"/>
    <w:rsid w:val="00282FF2"/>
    <w:rsid w:val="00283483"/>
    <w:rsid w:val="002844B5"/>
    <w:rsid w:val="0028459B"/>
    <w:rsid w:val="00285618"/>
    <w:rsid w:val="002872F8"/>
    <w:rsid w:val="00290EEA"/>
    <w:rsid w:val="00296E4A"/>
    <w:rsid w:val="002976E5"/>
    <w:rsid w:val="002A1F14"/>
    <w:rsid w:val="002A2678"/>
    <w:rsid w:val="002A3369"/>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356A"/>
    <w:rsid w:val="002E4C01"/>
    <w:rsid w:val="002F0516"/>
    <w:rsid w:val="002F22D2"/>
    <w:rsid w:val="002F778A"/>
    <w:rsid w:val="00302187"/>
    <w:rsid w:val="003028D8"/>
    <w:rsid w:val="0030290F"/>
    <w:rsid w:val="00302DE9"/>
    <w:rsid w:val="00303869"/>
    <w:rsid w:val="00303F1D"/>
    <w:rsid w:val="00305084"/>
    <w:rsid w:val="00311ABF"/>
    <w:rsid w:val="00314A81"/>
    <w:rsid w:val="00314DD2"/>
    <w:rsid w:val="00315A7C"/>
    <w:rsid w:val="00317705"/>
    <w:rsid w:val="003204E9"/>
    <w:rsid w:val="003232AA"/>
    <w:rsid w:val="00323A10"/>
    <w:rsid w:val="00323E6A"/>
    <w:rsid w:val="00323F25"/>
    <w:rsid w:val="00324A71"/>
    <w:rsid w:val="003303E3"/>
    <w:rsid w:val="00334656"/>
    <w:rsid w:val="00337A86"/>
    <w:rsid w:val="0034147B"/>
    <w:rsid w:val="00341889"/>
    <w:rsid w:val="00341D87"/>
    <w:rsid w:val="003426CE"/>
    <w:rsid w:val="00343016"/>
    <w:rsid w:val="0034447B"/>
    <w:rsid w:val="00351704"/>
    <w:rsid w:val="00356901"/>
    <w:rsid w:val="003570C8"/>
    <w:rsid w:val="00364A29"/>
    <w:rsid w:val="00367770"/>
    <w:rsid w:val="00370BEA"/>
    <w:rsid w:val="00371424"/>
    <w:rsid w:val="00371FF4"/>
    <w:rsid w:val="00372209"/>
    <w:rsid w:val="00374C4E"/>
    <w:rsid w:val="003771ED"/>
    <w:rsid w:val="0037768B"/>
    <w:rsid w:val="00381791"/>
    <w:rsid w:val="00382E6F"/>
    <w:rsid w:val="00387C00"/>
    <w:rsid w:val="00397960"/>
    <w:rsid w:val="00397F75"/>
    <w:rsid w:val="003A1B8D"/>
    <w:rsid w:val="003A2008"/>
    <w:rsid w:val="003A3BC4"/>
    <w:rsid w:val="003A4AA3"/>
    <w:rsid w:val="003A7A4D"/>
    <w:rsid w:val="003B405E"/>
    <w:rsid w:val="003B4843"/>
    <w:rsid w:val="003B494E"/>
    <w:rsid w:val="003C3C8C"/>
    <w:rsid w:val="003C6E9E"/>
    <w:rsid w:val="003C792F"/>
    <w:rsid w:val="003D117A"/>
    <w:rsid w:val="003D36B2"/>
    <w:rsid w:val="003D42D5"/>
    <w:rsid w:val="003D656E"/>
    <w:rsid w:val="003D78B5"/>
    <w:rsid w:val="003E0BD4"/>
    <w:rsid w:val="003E45B9"/>
    <w:rsid w:val="003E654C"/>
    <w:rsid w:val="003F0DE5"/>
    <w:rsid w:val="003F46FC"/>
    <w:rsid w:val="003F4AA5"/>
    <w:rsid w:val="003F61CF"/>
    <w:rsid w:val="003F697D"/>
    <w:rsid w:val="003F7026"/>
    <w:rsid w:val="003F7C45"/>
    <w:rsid w:val="00400500"/>
    <w:rsid w:val="0040132C"/>
    <w:rsid w:val="00404257"/>
    <w:rsid w:val="00407F66"/>
    <w:rsid w:val="004113B4"/>
    <w:rsid w:val="0041220A"/>
    <w:rsid w:val="00413B96"/>
    <w:rsid w:val="00413C2C"/>
    <w:rsid w:val="00415168"/>
    <w:rsid w:val="00415B04"/>
    <w:rsid w:val="00416A6B"/>
    <w:rsid w:val="0042044C"/>
    <w:rsid w:val="00421624"/>
    <w:rsid w:val="00424151"/>
    <w:rsid w:val="00425A5A"/>
    <w:rsid w:val="00425FB6"/>
    <w:rsid w:val="004264FD"/>
    <w:rsid w:val="004268BB"/>
    <w:rsid w:val="0042785F"/>
    <w:rsid w:val="004314FF"/>
    <w:rsid w:val="004408EC"/>
    <w:rsid w:val="00440F74"/>
    <w:rsid w:val="00441FEC"/>
    <w:rsid w:val="004425E8"/>
    <w:rsid w:val="00443C8F"/>
    <w:rsid w:val="00447B32"/>
    <w:rsid w:val="00447BC6"/>
    <w:rsid w:val="004501CE"/>
    <w:rsid w:val="00452481"/>
    <w:rsid w:val="00453832"/>
    <w:rsid w:val="00454A0F"/>
    <w:rsid w:val="0046335D"/>
    <w:rsid w:val="00463C2C"/>
    <w:rsid w:val="00464CEA"/>
    <w:rsid w:val="004733AC"/>
    <w:rsid w:val="004734F0"/>
    <w:rsid w:val="00474033"/>
    <w:rsid w:val="00483271"/>
    <w:rsid w:val="0049210E"/>
    <w:rsid w:val="0049297D"/>
    <w:rsid w:val="0049327D"/>
    <w:rsid w:val="0049405D"/>
    <w:rsid w:val="0049455C"/>
    <w:rsid w:val="00495A03"/>
    <w:rsid w:val="004A135B"/>
    <w:rsid w:val="004A1BE1"/>
    <w:rsid w:val="004A4980"/>
    <w:rsid w:val="004A4F68"/>
    <w:rsid w:val="004A63CB"/>
    <w:rsid w:val="004A67B0"/>
    <w:rsid w:val="004A6FB2"/>
    <w:rsid w:val="004B0847"/>
    <w:rsid w:val="004B0E6D"/>
    <w:rsid w:val="004B16E8"/>
    <w:rsid w:val="004B6FE5"/>
    <w:rsid w:val="004C0541"/>
    <w:rsid w:val="004C3A16"/>
    <w:rsid w:val="004C634A"/>
    <w:rsid w:val="004C660B"/>
    <w:rsid w:val="004C7BC6"/>
    <w:rsid w:val="004D050C"/>
    <w:rsid w:val="004D23D9"/>
    <w:rsid w:val="004D29A9"/>
    <w:rsid w:val="004D3537"/>
    <w:rsid w:val="004D4D4E"/>
    <w:rsid w:val="004D614E"/>
    <w:rsid w:val="004D650F"/>
    <w:rsid w:val="004E2133"/>
    <w:rsid w:val="004E4E04"/>
    <w:rsid w:val="004E67D0"/>
    <w:rsid w:val="004E6CBA"/>
    <w:rsid w:val="004F521C"/>
    <w:rsid w:val="004F7124"/>
    <w:rsid w:val="00502CD8"/>
    <w:rsid w:val="0050361C"/>
    <w:rsid w:val="00503ABF"/>
    <w:rsid w:val="00506A40"/>
    <w:rsid w:val="0051064F"/>
    <w:rsid w:val="00513A0E"/>
    <w:rsid w:val="00515D7B"/>
    <w:rsid w:val="00515F29"/>
    <w:rsid w:val="0052009E"/>
    <w:rsid w:val="00530161"/>
    <w:rsid w:val="00535D54"/>
    <w:rsid w:val="005450F7"/>
    <w:rsid w:val="00545A0B"/>
    <w:rsid w:val="00545EA5"/>
    <w:rsid w:val="0054672F"/>
    <w:rsid w:val="00547FA4"/>
    <w:rsid w:val="005536D4"/>
    <w:rsid w:val="00553EC8"/>
    <w:rsid w:val="005564EE"/>
    <w:rsid w:val="00557D4A"/>
    <w:rsid w:val="0056176B"/>
    <w:rsid w:val="00561889"/>
    <w:rsid w:val="005621F6"/>
    <w:rsid w:val="0056291C"/>
    <w:rsid w:val="005668D3"/>
    <w:rsid w:val="00566EBD"/>
    <w:rsid w:val="0057154B"/>
    <w:rsid w:val="005742DB"/>
    <w:rsid w:val="00576A51"/>
    <w:rsid w:val="00577209"/>
    <w:rsid w:val="005800A9"/>
    <w:rsid w:val="00581139"/>
    <w:rsid w:val="00581645"/>
    <w:rsid w:val="0058694E"/>
    <w:rsid w:val="005875F9"/>
    <w:rsid w:val="00593A35"/>
    <w:rsid w:val="00593C74"/>
    <w:rsid w:val="00597D8B"/>
    <w:rsid w:val="005A376C"/>
    <w:rsid w:val="005A46FF"/>
    <w:rsid w:val="005A557E"/>
    <w:rsid w:val="005A63FD"/>
    <w:rsid w:val="005A7FE6"/>
    <w:rsid w:val="005B462A"/>
    <w:rsid w:val="005B5137"/>
    <w:rsid w:val="005B6047"/>
    <w:rsid w:val="005C0ED7"/>
    <w:rsid w:val="005C3DCE"/>
    <w:rsid w:val="005C4875"/>
    <w:rsid w:val="005C5409"/>
    <w:rsid w:val="005C62A5"/>
    <w:rsid w:val="005C6FF7"/>
    <w:rsid w:val="005C7C75"/>
    <w:rsid w:val="005C7D00"/>
    <w:rsid w:val="005D01A4"/>
    <w:rsid w:val="005D0BAB"/>
    <w:rsid w:val="005D1893"/>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16F2"/>
    <w:rsid w:val="00602321"/>
    <w:rsid w:val="006033E3"/>
    <w:rsid w:val="00606B29"/>
    <w:rsid w:val="0060758A"/>
    <w:rsid w:val="00607D0E"/>
    <w:rsid w:val="006101F5"/>
    <w:rsid w:val="00610DA5"/>
    <w:rsid w:val="00611663"/>
    <w:rsid w:val="0061321C"/>
    <w:rsid w:val="00613F44"/>
    <w:rsid w:val="006149D4"/>
    <w:rsid w:val="006160BD"/>
    <w:rsid w:val="00620EDB"/>
    <w:rsid w:val="0062386E"/>
    <w:rsid w:val="006253EF"/>
    <w:rsid w:val="00626075"/>
    <w:rsid w:val="0062680E"/>
    <w:rsid w:val="00631158"/>
    <w:rsid w:val="00632575"/>
    <w:rsid w:val="00632923"/>
    <w:rsid w:val="006341E6"/>
    <w:rsid w:val="00634439"/>
    <w:rsid w:val="00634B21"/>
    <w:rsid w:val="006366C6"/>
    <w:rsid w:val="0063693D"/>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61244"/>
    <w:rsid w:val="006640DF"/>
    <w:rsid w:val="00666A3C"/>
    <w:rsid w:val="00667519"/>
    <w:rsid w:val="006676A0"/>
    <w:rsid w:val="00670857"/>
    <w:rsid w:val="00670868"/>
    <w:rsid w:val="00673D69"/>
    <w:rsid w:val="00676431"/>
    <w:rsid w:val="00677A9C"/>
    <w:rsid w:val="0068050D"/>
    <w:rsid w:val="00685FFC"/>
    <w:rsid w:val="00686943"/>
    <w:rsid w:val="00686EDE"/>
    <w:rsid w:val="00687AD5"/>
    <w:rsid w:val="00690A31"/>
    <w:rsid w:val="006911CE"/>
    <w:rsid w:val="00692002"/>
    <w:rsid w:val="00695251"/>
    <w:rsid w:val="00695B58"/>
    <w:rsid w:val="006A4828"/>
    <w:rsid w:val="006A7C09"/>
    <w:rsid w:val="006B046C"/>
    <w:rsid w:val="006B252F"/>
    <w:rsid w:val="006B3940"/>
    <w:rsid w:val="006C168D"/>
    <w:rsid w:val="006C4033"/>
    <w:rsid w:val="006C5BC9"/>
    <w:rsid w:val="006C642C"/>
    <w:rsid w:val="006D462B"/>
    <w:rsid w:val="006D7386"/>
    <w:rsid w:val="006E0DAD"/>
    <w:rsid w:val="006E313F"/>
    <w:rsid w:val="006F1F1A"/>
    <w:rsid w:val="006F5AC2"/>
    <w:rsid w:val="006F6C28"/>
    <w:rsid w:val="007007EB"/>
    <w:rsid w:val="00701E8A"/>
    <w:rsid w:val="00701F57"/>
    <w:rsid w:val="0070291C"/>
    <w:rsid w:val="00703E8A"/>
    <w:rsid w:val="00706046"/>
    <w:rsid w:val="007112F0"/>
    <w:rsid w:val="00711343"/>
    <w:rsid w:val="00714309"/>
    <w:rsid w:val="0071450F"/>
    <w:rsid w:val="00717087"/>
    <w:rsid w:val="00717772"/>
    <w:rsid w:val="00721DBE"/>
    <w:rsid w:val="007226EC"/>
    <w:rsid w:val="00722B5E"/>
    <w:rsid w:val="00724F6D"/>
    <w:rsid w:val="0072678C"/>
    <w:rsid w:val="00732D1D"/>
    <w:rsid w:val="007350D4"/>
    <w:rsid w:val="00736034"/>
    <w:rsid w:val="00740707"/>
    <w:rsid w:val="007409BB"/>
    <w:rsid w:val="0074120F"/>
    <w:rsid w:val="00743764"/>
    <w:rsid w:val="00743B2D"/>
    <w:rsid w:val="00747930"/>
    <w:rsid w:val="0075060E"/>
    <w:rsid w:val="00752E8B"/>
    <w:rsid w:val="007541BB"/>
    <w:rsid w:val="00754D62"/>
    <w:rsid w:val="00756CFF"/>
    <w:rsid w:val="00757113"/>
    <w:rsid w:val="00757FD7"/>
    <w:rsid w:val="00761B7A"/>
    <w:rsid w:val="007651E5"/>
    <w:rsid w:val="00765256"/>
    <w:rsid w:val="007661D4"/>
    <w:rsid w:val="007661FD"/>
    <w:rsid w:val="00766A7C"/>
    <w:rsid w:val="00767A27"/>
    <w:rsid w:val="0077111A"/>
    <w:rsid w:val="00775419"/>
    <w:rsid w:val="007763A5"/>
    <w:rsid w:val="0078105B"/>
    <w:rsid w:val="00782B50"/>
    <w:rsid w:val="00784FE0"/>
    <w:rsid w:val="007858B1"/>
    <w:rsid w:val="0078648E"/>
    <w:rsid w:val="00791A3A"/>
    <w:rsid w:val="00791D9C"/>
    <w:rsid w:val="007A0313"/>
    <w:rsid w:val="007A391B"/>
    <w:rsid w:val="007A4409"/>
    <w:rsid w:val="007A4F37"/>
    <w:rsid w:val="007A5241"/>
    <w:rsid w:val="007A59B8"/>
    <w:rsid w:val="007B06C7"/>
    <w:rsid w:val="007B3D06"/>
    <w:rsid w:val="007B42F5"/>
    <w:rsid w:val="007B5157"/>
    <w:rsid w:val="007B5CD8"/>
    <w:rsid w:val="007C1122"/>
    <w:rsid w:val="007C16D7"/>
    <w:rsid w:val="007C19EC"/>
    <w:rsid w:val="007C364E"/>
    <w:rsid w:val="007C5359"/>
    <w:rsid w:val="007C6701"/>
    <w:rsid w:val="007D1446"/>
    <w:rsid w:val="007D16ED"/>
    <w:rsid w:val="007D2398"/>
    <w:rsid w:val="007D440B"/>
    <w:rsid w:val="007D62F9"/>
    <w:rsid w:val="007D63A4"/>
    <w:rsid w:val="007D732D"/>
    <w:rsid w:val="007E0F19"/>
    <w:rsid w:val="007E2A84"/>
    <w:rsid w:val="007E5ECB"/>
    <w:rsid w:val="007F063D"/>
    <w:rsid w:val="007F0D73"/>
    <w:rsid w:val="007F153F"/>
    <w:rsid w:val="007F3137"/>
    <w:rsid w:val="007F432A"/>
    <w:rsid w:val="007F63AA"/>
    <w:rsid w:val="007F64F8"/>
    <w:rsid w:val="008006B7"/>
    <w:rsid w:val="008032FD"/>
    <w:rsid w:val="00806461"/>
    <w:rsid w:val="008064CE"/>
    <w:rsid w:val="0080673A"/>
    <w:rsid w:val="00807A94"/>
    <w:rsid w:val="00810B79"/>
    <w:rsid w:val="00810EAD"/>
    <w:rsid w:val="00814530"/>
    <w:rsid w:val="00815386"/>
    <w:rsid w:val="00821F9C"/>
    <w:rsid w:val="00825570"/>
    <w:rsid w:val="00826403"/>
    <w:rsid w:val="0082717F"/>
    <w:rsid w:val="00827990"/>
    <w:rsid w:val="008328EB"/>
    <w:rsid w:val="00832A15"/>
    <w:rsid w:val="00834CA6"/>
    <w:rsid w:val="0083623B"/>
    <w:rsid w:val="00836C5A"/>
    <w:rsid w:val="00837E59"/>
    <w:rsid w:val="00840986"/>
    <w:rsid w:val="00842100"/>
    <w:rsid w:val="008428A9"/>
    <w:rsid w:val="0084308F"/>
    <w:rsid w:val="00846C2B"/>
    <w:rsid w:val="008473F2"/>
    <w:rsid w:val="0085139A"/>
    <w:rsid w:val="008524F6"/>
    <w:rsid w:val="008532F3"/>
    <w:rsid w:val="00854B3F"/>
    <w:rsid w:val="00860FBE"/>
    <w:rsid w:val="00861C20"/>
    <w:rsid w:val="00861C2C"/>
    <w:rsid w:val="00863744"/>
    <w:rsid w:val="008668B8"/>
    <w:rsid w:val="0086748F"/>
    <w:rsid w:val="0086758B"/>
    <w:rsid w:val="00867B4D"/>
    <w:rsid w:val="00867CF3"/>
    <w:rsid w:val="00870A92"/>
    <w:rsid w:val="008740E8"/>
    <w:rsid w:val="00874AB5"/>
    <w:rsid w:val="00877671"/>
    <w:rsid w:val="00877A13"/>
    <w:rsid w:val="008869BC"/>
    <w:rsid w:val="00887DDD"/>
    <w:rsid w:val="00887DE6"/>
    <w:rsid w:val="00887E9F"/>
    <w:rsid w:val="008908AA"/>
    <w:rsid w:val="00890E08"/>
    <w:rsid w:val="00894DCA"/>
    <w:rsid w:val="00897D88"/>
    <w:rsid w:val="008A00BE"/>
    <w:rsid w:val="008A1539"/>
    <w:rsid w:val="008A2C5D"/>
    <w:rsid w:val="008A3BE2"/>
    <w:rsid w:val="008A6B30"/>
    <w:rsid w:val="008B05E7"/>
    <w:rsid w:val="008B0758"/>
    <w:rsid w:val="008B1875"/>
    <w:rsid w:val="008B4146"/>
    <w:rsid w:val="008B5312"/>
    <w:rsid w:val="008B59CE"/>
    <w:rsid w:val="008B6078"/>
    <w:rsid w:val="008B7110"/>
    <w:rsid w:val="008B7911"/>
    <w:rsid w:val="008B7F4A"/>
    <w:rsid w:val="008C04E1"/>
    <w:rsid w:val="008C04FE"/>
    <w:rsid w:val="008C2F50"/>
    <w:rsid w:val="008C3109"/>
    <w:rsid w:val="008C5312"/>
    <w:rsid w:val="008C5DBD"/>
    <w:rsid w:val="008C61D6"/>
    <w:rsid w:val="008D49AF"/>
    <w:rsid w:val="008D4A2B"/>
    <w:rsid w:val="008D4A9F"/>
    <w:rsid w:val="008D6294"/>
    <w:rsid w:val="008E1FE0"/>
    <w:rsid w:val="008E3939"/>
    <w:rsid w:val="008E3DDD"/>
    <w:rsid w:val="008F0212"/>
    <w:rsid w:val="008F23F4"/>
    <w:rsid w:val="008F61C4"/>
    <w:rsid w:val="008F7763"/>
    <w:rsid w:val="009007CB"/>
    <w:rsid w:val="009010F0"/>
    <w:rsid w:val="00901162"/>
    <w:rsid w:val="00901D46"/>
    <w:rsid w:val="009020F1"/>
    <w:rsid w:val="009028E2"/>
    <w:rsid w:val="00903692"/>
    <w:rsid w:val="00904E07"/>
    <w:rsid w:val="00912BAF"/>
    <w:rsid w:val="0091311E"/>
    <w:rsid w:val="00914EAB"/>
    <w:rsid w:val="0091541F"/>
    <w:rsid w:val="00916E71"/>
    <w:rsid w:val="00920D98"/>
    <w:rsid w:val="0092108C"/>
    <w:rsid w:val="0092161A"/>
    <w:rsid w:val="00922D49"/>
    <w:rsid w:val="009238DB"/>
    <w:rsid w:val="00925E37"/>
    <w:rsid w:val="00925EDD"/>
    <w:rsid w:val="00930079"/>
    <w:rsid w:val="00930966"/>
    <w:rsid w:val="00932F64"/>
    <w:rsid w:val="00935FB1"/>
    <w:rsid w:val="00936075"/>
    <w:rsid w:val="00936D40"/>
    <w:rsid w:val="00937248"/>
    <w:rsid w:val="00937ABF"/>
    <w:rsid w:val="00937DB1"/>
    <w:rsid w:val="009463CC"/>
    <w:rsid w:val="0094687A"/>
    <w:rsid w:val="00950413"/>
    <w:rsid w:val="0095078E"/>
    <w:rsid w:val="00952404"/>
    <w:rsid w:val="00952A72"/>
    <w:rsid w:val="009542B3"/>
    <w:rsid w:val="009550A8"/>
    <w:rsid w:val="009550FE"/>
    <w:rsid w:val="00955FF2"/>
    <w:rsid w:val="0095693D"/>
    <w:rsid w:val="00956B0D"/>
    <w:rsid w:val="0096260B"/>
    <w:rsid w:val="009631C1"/>
    <w:rsid w:val="00970C69"/>
    <w:rsid w:val="00973B57"/>
    <w:rsid w:val="00973E0D"/>
    <w:rsid w:val="0097403F"/>
    <w:rsid w:val="00975655"/>
    <w:rsid w:val="009759AA"/>
    <w:rsid w:val="00976797"/>
    <w:rsid w:val="00980C0C"/>
    <w:rsid w:val="00982E47"/>
    <w:rsid w:val="00983E7D"/>
    <w:rsid w:val="00991642"/>
    <w:rsid w:val="0099260C"/>
    <w:rsid w:val="009942F4"/>
    <w:rsid w:val="00995B3C"/>
    <w:rsid w:val="00996BCA"/>
    <w:rsid w:val="009A045B"/>
    <w:rsid w:val="009A0513"/>
    <w:rsid w:val="009A2283"/>
    <w:rsid w:val="009A31AF"/>
    <w:rsid w:val="009A3507"/>
    <w:rsid w:val="009A529F"/>
    <w:rsid w:val="009A5C1D"/>
    <w:rsid w:val="009A6018"/>
    <w:rsid w:val="009B4286"/>
    <w:rsid w:val="009B5BF9"/>
    <w:rsid w:val="009B5DAF"/>
    <w:rsid w:val="009B5F83"/>
    <w:rsid w:val="009B61C5"/>
    <w:rsid w:val="009B769E"/>
    <w:rsid w:val="009C03E5"/>
    <w:rsid w:val="009C4D19"/>
    <w:rsid w:val="009C57BD"/>
    <w:rsid w:val="009C5FDB"/>
    <w:rsid w:val="009C65AF"/>
    <w:rsid w:val="009C70CB"/>
    <w:rsid w:val="009C74DD"/>
    <w:rsid w:val="009D0D1F"/>
    <w:rsid w:val="009D27AA"/>
    <w:rsid w:val="009D2AD9"/>
    <w:rsid w:val="009D514E"/>
    <w:rsid w:val="009D5A40"/>
    <w:rsid w:val="009D5C39"/>
    <w:rsid w:val="009D6FED"/>
    <w:rsid w:val="009E0A95"/>
    <w:rsid w:val="009E0D47"/>
    <w:rsid w:val="009E549D"/>
    <w:rsid w:val="009E54AF"/>
    <w:rsid w:val="009E54BD"/>
    <w:rsid w:val="009E58D2"/>
    <w:rsid w:val="009E5C59"/>
    <w:rsid w:val="009E6BB8"/>
    <w:rsid w:val="009F1CC3"/>
    <w:rsid w:val="009F21B5"/>
    <w:rsid w:val="009F26F2"/>
    <w:rsid w:val="009F38D1"/>
    <w:rsid w:val="009F3E1E"/>
    <w:rsid w:val="009F4CC5"/>
    <w:rsid w:val="009F6550"/>
    <w:rsid w:val="00A003BE"/>
    <w:rsid w:val="00A00870"/>
    <w:rsid w:val="00A02F51"/>
    <w:rsid w:val="00A0360B"/>
    <w:rsid w:val="00A0384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68F"/>
    <w:rsid w:val="00A21B17"/>
    <w:rsid w:val="00A26437"/>
    <w:rsid w:val="00A270E0"/>
    <w:rsid w:val="00A30E4D"/>
    <w:rsid w:val="00A32410"/>
    <w:rsid w:val="00A32B48"/>
    <w:rsid w:val="00A36D00"/>
    <w:rsid w:val="00A43389"/>
    <w:rsid w:val="00A4642E"/>
    <w:rsid w:val="00A47AF8"/>
    <w:rsid w:val="00A52D75"/>
    <w:rsid w:val="00A53013"/>
    <w:rsid w:val="00A54BD6"/>
    <w:rsid w:val="00A5643A"/>
    <w:rsid w:val="00A57678"/>
    <w:rsid w:val="00A6090C"/>
    <w:rsid w:val="00A61400"/>
    <w:rsid w:val="00A6200E"/>
    <w:rsid w:val="00A62D1E"/>
    <w:rsid w:val="00A65C6D"/>
    <w:rsid w:val="00A716B9"/>
    <w:rsid w:val="00A720D8"/>
    <w:rsid w:val="00A72216"/>
    <w:rsid w:val="00A733F2"/>
    <w:rsid w:val="00A75705"/>
    <w:rsid w:val="00A75BE1"/>
    <w:rsid w:val="00A8187C"/>
    <w:rsid w:val="00A82726"/>
    <w:rsid w:val="00A82C9E"/>
    <w:rsid w:val="00A8324F"/>
    <w:rsid w:val="00A85142"/>
    <w:rsid w:val="00A95B37"/>
    <w:rsid w:val="00A96B6F"/>
    <w:rsid w:val="00AA0CE8"/>
    <w:rsid w:val="00AA35FD"/>
    <w:rsid w:val="00AA3DB7"/>
    <w:rsid w:val="00AA58C5"/>
    <w:rsid w:val="00AA5EF2"/>
    <w:rsid w:val="00AA5F63"/>
    <w:rsid w:val="00AA7EBD"/>
    <w:rsid w:val="00AB69EF"/>
    <w:rsid w:val="00AC11DC"/>
    <w:rsid w:val="00AC3E87"/>
    <w:rsid w:val="00AC469F"/>
    <w:rsid w:val="00AD0611"/>
    <w:rsid w:val="00AD0E29"/>
    <w:rsid w:val="00AD0E4F"/>
    <w:rsid w:val="00AD26D7"/>
    <w:rsid w:val="00AD3905"/>
    <w:rsid w:val="00AD4555"/>
    <w:rsid w:val="00AD4A31"/>
    <w:rsid w:val="00AD5638"/>
    <w:rsid w:val="00AD7214"/>
    <w:rsid w:val="00AE1066"/>
    <w:rsid w:val="00AE12A4"/>
    <w:rsid w:val="00AE2E1B"/>
    <w:rsid w:val="00AE5129"/>
    <w:rsid w:val="00AE5645"/>
    <w:rsid w:val="00AF1D6B"/>
    <w:rsid w:val="00AF24AA"/>
    <w:rsid w:val="00AF3AF9"/>
    <w:rsid w:val="00AF3E5F"/>
    <w:rsid w:val="00AF44C1"/>
    <w:rsid w:val="00AF4F09"/>
    <w:rsid w:val="00AF643E"/>
    <w:rsid w:val="00AF79C8"/>
    <w:rsid w:val="00B00FA8"/>
    <w:rsid w:val="00B011B0"/>
    <w:rsid w:val="00B0391C"/>
    <w:rsid w:val="00B047F6"/>
    <w:rsid w:val="00B06019"/>
    <w:rsid w:val="00B0700F"/>
    <w:rsid w:val="00B12414"/>
    <w:rsid w:val="00B1493B"/>
    <w:rsid w:val="00B15119"/>
    <w:rsid w:val="00B17169"/>
    <w:rsid w:val="00B20665"/>
    <w:rsid w:val="00B23996"/>
    <w:rsid w:val="00B23CB2"/>
    <w:rsid w:val="00B24A18"/>
    <w:rsid w:val="00B255C5"/>
    <w:rsid w:val="00B25807"/>
    <w:rsid w:val="00B268DD"/>
    <w:rsid w:val="00B32AE1"/>
    <w:rsid w:val="00B35FEC"/>
    <w:rsid w:val="00B37780"/>
    <w:rsid w:val="00B37813"/>
    <w:rsid w:val="00B37EEF"/>
    <w:rsid w:val="00B41C1D"/>
    <w:rsid w:val="00B43917"/>
    <w:rsid w:val="00B4515C"/>
    <w:rsid w:val="00B46220"/>
    <w:rsid w:val="00B464EA"/>
    <w:rsid w:val="00B47574"/>
    <w:rsid w:val="00B5430C"/>
    <w:rsid w:val="00B54782"/>
    <w:rsid w:val="00B56A90"/>
    <w:rsid w:val="00B5711C"/>
    <w:rsid w:val="00B57BCF"/>
    <w:rsid w:val="00B57E36"/>
    <w:rsid w:val="00B60209"/>
    <w:rsid w:val="00B606A3"/>
    <w:rsid w:val="00B61C5A"/>
    <w:rsid w:val="00B63B6A"/>
    <w:rsid w:val="00B65D6F"/>
    <w:rsid w:val="00B660EB"/>
    <w:rsid w:val="00B673F3"/>
    <w:rsid w:val="00B67A25"/>
    <w:rsid w:val="00B7354A"/>
    <w:rsid w:val="00B7435B"/>
    <w:rsid w:val="00B74446"/>
    <w:rsid w:val="00B74B59"/>
    <w:rsid w:val="00B77142"/>
    <w:rsid w:val="00B8024E"/>
    <w:rsid w:val="00B80C3A"/>
    <w:rsid w:val="00B84643"/>
    <w:rsid w:val="00B90452"/>
    <w:rsid w:val="00B90780"/>
    <w:rsid w:val="00B916D6"/>
    <w:rsid w:val="00B91AD8"/>
    <w:rsid w:val="00B9209B"/>
    <w:rsid w:val="00B9240D"/>
    <w:rsid w:val="00B93565"/>
    <w:rsid w:val="00B94FBA"/>
    <w:rsid w:val="00B95753"/>
    <w:rsid w:val="00B97E42"/>
    <w:rsid w:val="00BA0425"/>
    <w:rsid w:val="00BA0C05"/>
    <w:rsid w:val="00BA54D0"/>
    <w:rsid w:val="00BA7E30"/>
    <w:rsid w:val="00BB1013"/>
    <w:rsid w:val="00BB2831"/>
    <w:rsid w:val="00BB4515"/>
    <w:rsid w:val="00BB7B89"/>
    <w:rsid w:val="00BC1A9B"/>
    <w:rsid w:val="00BC2A22"/>
    <w:rsid w:val="00BC4986"/>
    <w:rsid w:val="00BC5E2E"/>
    <w:rsid w:val="00BC6379"/>
    <w:rsid w:val="00BC7EEF"/>
    <w:rsid w:val="00BD43BB"/>
    <w:rsid w:val="00BD72C1"/>
    <w:rsid w:val="00BD7ADE"/>
    <w:rsid w:val="00BE1A85"/>
    <w:rsid w:val="00BE46ED"/>
    <w:rsid w:val="00BE4FD1"/>
    <w:rsid w:val="00BE642D"/>
    <w:rsid w:val="00BE6D7A"/>
    <w:rsid w:val="00BF2511"/>
    <w:rsid w:val="00BF377F"/>
    <w:rsid w:val="00BF3F88"/>
    <w:rsid w:val="00BF57BE"/>
    <w:rsid w:val="00C0042B"/>
    <w:rsid w:val="00C02E58"/>
    <w:rsid w:val="00C030B6"/>
    <w:rsid w:val="00C04AE0"/>
    <w:rsid w:val="00C04B38"/>
    <w:rsid w:val="00C067B7"/>
    <w:rsid w:val="00C10A09"/>
    <w:rsid w:val="00C121BC"/>
    <w:rsid w:val="00C14D92"/>
    <w:rsid w:val="00C16739"/>
    <w:rsid w:val="00C17F3F"/>
    <w:rsid w:val="00C20A93"/>
    <w:rsid w:val="00C23BA2"/>
    <w:rsid w:val="00C260A2"/>
    <w:rsid w:val="00C30DEC"/>
    <w:rsid w:val="00C31142"/>
    <w:rsid w:val="00C31DEF"/>
    <w:rsid w:val="00C338EB"/>
    <w:rsid w:val="00C35484"/>
    <w:rsid w:val="00C35BB7"/>
    <w:rsid w:val="00C36B35"/>
    <w:rsid w:val="00C36FF2"/>
    <w:rsid w:val="00C400CD"/>
    <w:rsid w:val="00C41617"/>
    <w:rsid w:val="00C41C96"/>
    <w:rsid w:val="00C4309A"/>
    <w:rsid w:val="00C43F23"/>
    <w:rsid w:val="00C43FF1"/>
    <w:rsid w:val="00C45494"/>
    <w:rsid w:val="00C52D18"/>
    <w:rsid w:val="00C54DC1"/>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6813"/>
    <w:rsid w:val="00C87568"/>
    <w:rsid w:val="00C92451"/>
    <w:rsid w:val="00C9272C"/>
    <w:rsid w:val="00C97764"/>
    <w:rsid w:val="00C97C9B"/>
    <w:rsid w:val="00CA344C"/>
    <w:rsid w:val="00CA6B2A"/>
    <w:rsid w:val="00CA7CF8"/>
    <w:rsid w:val="00CB141F"/>
    <w:rsid w:val="00CB142D"/>
    <w:rsid w:val="00CB29F6"/>
    <w:rsid w:val="00CB2BBF"/>
    <w:rsid w:val="00CB481C"/>
    <w:rsid w:val="00CB4C8C"/>
    <w:rsid w:val="00CB62E1"/>
    <w:rsid w:val="00CB6EFE"/>
    <w:rsid w:val="00CC16F9"/>
    <w:rsid w:val="00CC28A9"/>
    <w:rsid w:val="00CC4183"/>
    <w:rsid w:val="00CC70A4"/>
    <w:rsid w:val="00CD0DF4"/>
    <w:rsid w:val="00CD4A0C"/>
    <w:rsid w:val="00CD5CEF"/>
    <w:rsid w:val="00CE06EC"/>
    <w:rsid w:val="00CE1020"/>
    <w:rsid w:val="00CE592E"/>
    <w:rsid w:val="00CE5BC5"/>
    <w:rsid w:val="00CE7331"/>
    <w:rsid w:val="00CF16A4"/>
    <w:rsid w:val="00CF299F"/>
    <w:rsid w:val="00CF3357"/>
    <w:rsid w:val="00CF4F26"/>
    <w:rsid w:val="00CF58DF"/>
    <w:rsid w:val="00D00BC3"/>
    <w:rsid w:val="00D03538"/>
    <w:rsid w:val="00D04410"/>
    <w:rsid w:val="00D05EE7"/>
    <w:rsid w:val="00D06A9D"/>
    <w:rsid w:val="00D07C15"/>
    <w:rsid w:val="00D11D4F"/>
    <w:rsid w:val="00D13A01"/>
    <w:rsid w:val="00D15733"/>
    <w:rsid w:val="00D20364"/>
    <w:rsid w:val="00D2130C"/>
    <w:rsid w:val="00D26746"/>
    <w:rsid w:val="00D26DDD"/>
    <w:rsid w:val="00D27BDC"/>
    <w:rsid w:val="00D3194F"/>
    <w:rsid w:val="00D33751"/>
    <w:rsid w:val="00D37343"/>
    <w:rsid w:val="00D37495"/>
    <w:rsid w:val="00D41727"/>
    <w:rsid w:val="00D427E4"/>
    <w:rsid w:val="00D45F1B"/>
    <w:rsid w:val="00D515F2"/>
    <w:rsid w:val="00D52289"/>
    <w:rsid w:val="00D55A37"/>
    <w:rsid w:val="00D55B7E"/>
    <w:rsid w:val="00D64354"/>
    <w:rsid w:val="00D646CA"/>
    <w:rsid w:val="00D66685"/>
    <w:rsid w:val="00D70D35"/>
    <w:rsid w:val="00D71163"/>
    <w:rsid w:val="00D71351"/>
    <w:rsid w:val="00D71997"/>
    <w:rsid w:val="00D753E9"/>
    <w:rsid w:val="00D76386"/>
    <w:rsid w:val="00D76AB0"/>
    <w:rsid w:val="00D777B9"/>
    <w:rsid w:val="00D77E2E"/>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5EEA"/>
    <w:rsid w:val="00D971CB"/>
    <w:rsid w:val="00D97213"/>
    <w:rsid w:val="00DA134E"/>
    <w:rsid w:val="00DA13F3"/>
    <w:rsid w:val="00DA2DE3"/>
    <w:rsid w:val="00DA3900"/>
    <w:rsid w:val="00DA62B8"/>
    <w:rsid w:val="00DA64AF"/>
    <w:rsid w:val="00DB1F4F"/>
    <w:rsid w:val="00DB2AC7"/>
    <w:rsid w:val="00DB704C"/>
    <w:rsid w:val="00DC693B"/>
    <w:rsid w:val="00DC7C77"/>
    <w:rsid w:val="00DD02EA"/>
    <w:rsid w:val="00DD0F5D"/>
    <w:rsid w:val="00DD426D"/>
    <w:rsid w:val="00DD5637"/>
    <w:rsid w:val="00DD74FC"/>
    <w:rsid w:val="00DE0DB6"/>
    <w:rsid w:val="00DE117F"/>
    <w:rsid w:val="00DE1769"/>
    <w:rsid w:val="00DE1A17"/>
    <w:rsid w:val="00DE44C8"/>
    <w:rsid w:val="00DE64CC"/>
    <w:rsid w:val="00DE6AA9"/>
    <w:rsid w:val="00DE6DB1"/>
    <w:rsid w:val="00DE7B30"/>
    <w:rsid w:val="00DF20C7"/>
    <w:rsid w:val="00DF3297"/>
    <w:rsid w:val="00DF4D0C"/>
    <w:rsid w:val="00DF5C20"/>
    <w:rsid w:val="00DF7D81"/>
    <w:rsid w:val="00E02DEB"/>
    <w:rsid w:val="00E042A1"/>
    <w:rsid w:val="00E0476C"/>
    <w:rsid w:val="00E0576B"/>
    <w:rsid w:val="00E064B2"/>
    <w:rsid w:val="00E067EA"/>
    <w:rsid w:val="00E06D18"/>
    <w:rsid w:val="00E104FA"/>
    <w:rsid w:val="00E1320D"/>
    <w:rsid w:val="00E13C1B"/>
    <w:rsid w:val="00E145BE"/>
    <w:rsid w:val="00E16022"/>
    <w:rsid w:val="00E1738C"/>
    <w:rsid w:val="00E174FF"/>
    <w:rsid w:val="00E2033E"/>
    <w:rsid w:val="00E205AA"/>
    <w:rsid w:val="00E22296"/>
    <w:rsid w:val="00E27360"/>
    <w:rsid w:val="00E27C04"/>
    <w:rsid w:val="00E30713"/>
    <w:rsid w:val="00E30EDF"/>
    <w:rsid w:val="00E31C08"/>
    <w:rsid w:val="00E31FBA"/>
    <w:rsid w:val="00E328E2"/>
    <w:rsid w:val="00E3334F"/>
    <w:rsid w:val="00E336BB"/>
    <w:rsid w:val="00E3384E"/>
    <w:rsid w:val="00E374C8"/>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5C1B"/>
    <w:rsid w:val="00E763EB"/>
    <w:rsid w:val="00E80A5B"/>
    <w:rsid w:val="00E8342F"/>
    <w:rsid w:val="00E84632"/>
    <w:rsid w:val="00E847EE"/>
    <w:rsid w:val="00E876F9"/>
    <w:rsid w:val="00E96A72"/>
    <w:rsid w:val="00E96B52"/>
    <w:rsid w:val="00EA01F7"/>
    <w:rsid w:val="00EA1D33"/>
    <w:rsid w:val="00EA1F5A"/>
    <w:rsid w:val="00EA375F"/>
    <w:rsid w:val="00EA7104"/>
    <w:rsid w:val="00EA7533"/>
    <w:rsid w:val="00EB067F"/>
    <w:rsid w:val="00EB2419"/>
    <w:rsid w:val="00EB30DF"/>
    <w:rsid w:val="00EB58F5"/>
    <w:rsid w:val="00EB6E6B"/>
    <w:rsid w:val="00EC010F"/>
    <w:rsid w:val="00EC0FC0"/>
    <w:rsid w:val="00EC2E3A"/>
    <w:rsid w:val="00EC3CCB"/>
    <w:rsid w:val="00EC5712"/>
    <w:rsid w:val="00EC5A74"/>
    <w:rsid w:val="00EC737D"/>
    <w:rsid w:val="00ED2154"/>
    <w:rsid w:val="00ED4277"/>
    <w:rsid w:val="00ED7C8C"/>
    <w:rsid w:val="00ED7DDB"/>
    <w:rsid w:val="00EE431B"/>
    <w:rsid w:val="00EE4874"/>
    <w:rsid w:val="00EE53E5"/>
    <w:rsid w:val="00EE6654"/>
    <w:rsid w:val="00EE73FB"/>
    <w:rsid w:val="00EE7BF0"/>
    <w:rsid w:val="00EF2674"/>
    <w:rsid w:val="00EF285E"/>
    <w:rsid w:val="00EF3163"/>
    <w:rsid w:val="00EF556F"/>
    <w:rsid w:val="00EF7D07"/>
    <w:rsid w:val="00F011F2"/>
    <w:rsid w:val="00F0142C"/>
    <w:rsid w:val="00F0181C"/>
    <w:rsid w:val="00F03512"/>
    <w:rsid w:val="00F0433A"/>
    <w:rsid w:val="00F0519B"/>
    <w:rsid w:val="00F055BB"/>
    <w:rsid w:val="00F059D4"/>
    <w:rsid w:val="00F11783"/>
    <w:rsid w:val="00F119AF"/>
    <w:rsid w:val="00F1480B"/>
    <w:rsid w:val="00F1498D"/>
    <w:rsid w:val="00F20065"/>
    <w:rsid w:val="00F22211"/>
    <w:rsid w:val="00F22341"/>
    <w:rsid w:val="00F22F1D"/>
    <w:rsid w:val="00F22F9F"/>
    <w:rsid w:val="00F24039"/>
    <w:rsid w:val="00F24E0E"/>
    <w:rsid w:val="00F250C6"/>
    <w:rsid w:val="00F26693"/>
    <w:rsid w:val="00F3477D"/>
    <w:rsid w:val="00F347FE"/>
    <w:rsid w:val="00F34859"/>
    <w:rsid w:val="00F356F7"/>
    <w:rsid w:val="00F40055"/>
    <w:rsid w:val="00F40868"/>
    <w:rsid w:val="00F44FDE"/>
    <w:rsid w:val="00F46467"/>
    <w:rsid w:val="00F4715C"/>
    <w:rsid w:val="00F47FF8"/>
    <w:rsid w:val="00F5095F"/>
    <w:rsid w:val="00F529B5"/>
    <w:rsid w:val="00F52AA4"/>
    <w:rsid w:val="00F56162"/>
    <w:rsid w:val="00F56B7E"/>
    <w:rsid w:val="00F6052F"/>
    <w:rsid w:val="00F62FDE"/>
    <w:rsid w:val="00F654E6"/>
    <w:rsid w:val="00F662CD"/>
    <w:rsid w:val="00F67E39"/>
    <w:rsid w:val="00F703A8"/>
    <w:rsid w:val="00F707F1"/>
    <w:rsid w:val="00F7094A"/>
    <w:rsid w:val="00F710BE"/>
    <w:rsid w:val="00F72579"/>
    <w:rsid w:val="00F73D4A"/>
    <w:rsid w:val="00F804B9"/>
    <w:rsid w:val="00F80AE2"/>
    <w:rsid w:val="00F83FF9"/>
    <w:rsid w:val="00F870C3"/>
    <w:rsid w:val="00F91B52"/>
    <w:rsid w:val="00F97478"/>
    <w:rsid w:val="00F97B71"/>
    <w:rsid w:val="00F97B9E"/>
    <w:rsid w:val="00FA0527"/>
    <w:rsid w:val="00FA085E"/>
    <w:rsid w:val="00FA0947"/>
    <w:rsid w:val="00FA2D49"/>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B740F"/>
    <w:rsid w:val="00FC0A2D"/>
    <w:rsid w:val="00FC13C8"/>
    <w:rsid w:val="00FC39F9"/>
    <w:rsid w:val="00FC59F8"/>
    <w:rsid w:val="00FC60F6"/>
    <w:rsid w:val="00FC7F43"/>
    <w:rsid w:val="00FD0DFA"/>
    <w:rsid w:val="00FD4D05"/>
    <w:rsid w:val="00FD7D41"/>
    <w:rsid w:val="00FE0072"/>
    <w:rsid w:val="00FE0C71"/>
    <w:rsid w:val="00FE1E47"/>
    <w:rsid w:val="00FE275D"/>
    <w:rsid w:val="00FE65AC"/>
    <w:rsid w:val="00FE7FBD"/>
    <w:rsid w:val="00FF10BC"/>
    <w:rsid w:val="00FF4979"/>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Normal Indent" w:uiPriority="99"/>
    <w:lsdException w:name="header" w:uiPriority="99"/>
    <w:lsdException w:name="footer" w:uiPriority="99"/>
    <w:lsdException w:name="caption" w:semiHidden="1" w:uiPriority="35" w:unhideWhenUsed="1" w:qFormat="1"/>
    <w:lsdException w:name="Title" w:uiPriority="10" w:qFormat="1"/>
    <w:lsdException w:name="Default Paragraph Font" w:uiPriority="1"/>
    <w:lsdException w:name="Subtitle" w:uiPriority="11" w:qFormat="1"/>
    <w:lsdException w:name="FollowedHyperlink" w:uiPriority="99"/>
    <w:lsdException w:name="Strong" w:uiPriority="22" w:qFormat="1"/>
    <w:lsdException w:name="Emphasis" w:uiPriority="20" w:qFormat="1"/>
    <w:lsdException w:name="Plain Text" w:uiPriority="99"/>
    <w:lsdException w:name="No List" w:uiPriority="99"/>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A376C"/>
    <w:pPr>
      <w:ind w:firstLine="360"/>
    </w:pPr>
    <w:rPr>
      <w:rFonts w:asciiTheme="minorHAnsi" w:eastAsiaTheme="minorEastAsia" w:hAnsiTheme="minorHAnsi" w:cstheme="minorBidi"/>
      <w:kern w:val="2"/>
      <w:sz w:val="21"/>
      <w:szCs w:val="21"/>
    </w:rPr>
  </w:style>
  <w:style w:type="paragraph" w:styleId="1">
    <w:name w:val="heading 1"/>
    <w:basedOn w:val="a"/>
    <w:next w:val="a"/>
    <w:link w:val="1Char"/>
    <w:uiPriority w:val="9"/>
    <w:qFormat/>
    <w:rsid w:val="005A376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A376C"/>
    <w:pPr>
      <w:pBdr>
        <w:bottom w:val="single" w:sz="8" w:space="1" w:color="C0504D" w:themeColor="accent2"/>
      </w:pBdr>
      <w:spacing w:before="360" w:after="360"/>
      <w:ind w:leftChars="100" w:left="220" w:rightChars="100" w:right="100"/>
      <w:jc w:val="center"/>
      <w:outlineLvl w:val="1"/>
    </w:pPr>
    <w:rPr>
      <w:rFonts w:eastAsia="宋体" w:cstheme="majorBidi"/>
      <w:b/>
      <w:sz w:val="28"/>
      <w:szCs w:val="24"/>
    </w:rPr>
  </w:style>
  <w:style w:type="paragraph" w:styleId="3">
    <w:name w:val="heading 3"/>
    <w:basedOn w:val="a"/>
    <w:next w:val="a"/>
    <w:link w:val="3Char"/>
    <w:uiPriority w:val="9"/>
    <w:unhideWhenUsed/>
    <w:qFormat/>
    <w:rsid w:val="005A376C"/>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5A376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
    <w:next w:val="a"/>
    <w:link w:val="5Char"/>
    <w:uiPriority w:val="9"/>
    <w:semiHidden/>
    <w:unhideWhenUsed/>
    <w:qFormat/>
    <w:rsid w:val="005A376C"/>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5A376C"/>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
    <w:next w:val="a"/>
    <w:link w:val="7Char"/>
    <w:uiPriority w:val="9"/>
    <w:semiHidden/>
    <w:unhideWhenUsed/>
    <w:qFormat/>
    <w:rsid w:val="005A376C"/>
    <w:pPr>
      <w:keepNext/>
      <w:keepLines/>
      <w:spacing w:before="240" w:after="64" w:line="320" w:lineRule="auto"/>
      <w:outlineLvl w:val="6"/>
    </w:pPr>
    <w:rPr>
      <w:b/>
      <w:bCs/>
      <w:szCs w:val="24"/>
    </w:rPr>
  </w:style>
  <w:style w:type="paragraph" w:styleId="8">
    <w:name w:val="heading 8"/>
    <w:basedOn w:val="a"/>
    <w:next w:val="a"/>
    <w:link w:val="8Char"/>
    <w:uiPriority w:val="9"/>
    <w:semiHidden/>
    <w:unhideWhenUsed/>
    <w:qFormat/>
    <w:rsid w:val="005A376C"/>
    <w:pPr>
      <w:keepNext/>
      <w:keepLines/>
      <w:spacing w:before="240" w:after="64" w:line="320" w:lineRule="auto"/>
      <w:outlineLvl w:val="7"/>
    </w:pPr>
    <w:rPr>
      <w:rFonts w:asciiTheme="majorHAnsi" w:eastAsiaTheme="majorEastAsia" w:hAnsiTheme="majorHAnsi" w:cstheme="majorBidi"/>
      <w:szCs w:val="24"/>
    </w:rPr>
  </w:style>
  <w:style w:type="paragraph" w:styleId="9">
    <w:name w:val="heading 9"/>
    <w:basedOn w:val="a"/>
    <w:next w:val="a"/>
    <w:link w:val="9Char"/>
    <w:uiPriority w:val="9"/>
    <w:semiHidden/>
    <w:unhideWhenUsed/>
    <w:qFormat/>
    <w:rsid w:val="005A376C"/>
    <w:pPr>
      <w:keepNext/>
      <w:keepLines/>
      <w:spacing w:before="240" w:after="64" w:line="320" w:lineRule="auto"/>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5A376C"/>
    <w:pPr>
      <w:ind w:firstLineChars="200" w:firstLine="420"/>
    </w:pPr>
  </w:style>
  <w:style w:type="paragraph" w:styleId="a4">
    <w:name w:val="Body Text Indent"/>
    <w:basedOn w:val="a"/>
    <w:link w:val="Char"/>
    <w:rsid w:val="005A376C"/>
    <w:pPr>
      <w:spacing w:before="100" w:beforeAutospacing="1" w:after="100" w:afterAutospacing="1"/>
    </w:pPr>
    <w:rPr>
      <w:rFonts w:ascii="Arial Unicode MS" w:eastAsia="Arial Unicode MS" w:hAnsi="Arial Unicode MS" w:cs="Arial Unicode MS"/>
    </w:rPr>
  </w:style>
  <w:style w:type="paragraph" w:styleId="a5">
    <w:name w:val="Plain Text"/>
    <w:basedOn w:val="a"/>
    <w:link w:val="Char0"/>
    <w:uiPriority w:val="99"/>
    <w:rsid w:val="005A376C"/>
    <w:rPr>
      <w:rFonts w:ascii="宋体" w:hAnsi="Courier New"/>
    </w:rPr>
  </w:style>
  <w:style w:type="paragraph" w:styleId="20">
    <w:name w:val="Body Text Indent 2"/>
    <w:basedOn w:val="a"/>
    <w:link w:val="2Char0"/>
    <w:rsid w:val="005A376C"/>
    <w:pPr>
      <w:spacing w:line="560" w:lineRule="exact"/>
      <w:ind w:firstLineChars="200" w:firstLine="480"/>
    </w:pPr>
    <w:rPr>
      <w:rFonts w:ascii="宋体" w:hAnsi="宋体"/>
      <w:color w:val="FF0000"/>
    </w:rPr>
  </w:style>
  <w:style w:type="paragraph" w:styleId="a6">
    <w:name w:val="footer"/>
    <w:basedOn w:val="a"/>
    <w:link w:val="Char1"/>
    <w:uiPriority w:val="99"/>
    <w:rsid w:val="005A376C"/>
    <w:pPr>
      <w:tabs>
        <w:tab w:val="center" w:pos="4153"/>
        <w:tab w:val="right" w:pos="8306"/>
      </w:tabs>
      <w:snapToGrid w:val="0"/>
    </w:pPr>
    <w:rPr>
      <w:sz w:val="18"/>
      <w:szCs w:val="18"/>
    </w:rPr>
  </w:style>
  <w:style w:type="character" w:styleId="a7">
    <w:name w:val="page number"/>
    <w:basedOn w:val="a0"/>
    <w:rsid w:val="005A376C"/>
  </w:style>
  <w:style w:type="character" w:styleId="a8">
    <w:name w:val="Hyperlink"/>
    <w:basedOn w:val="a0"/>
    <w:rsid w:val="005A376C"/>
    <w:rPr>
      <w:color w:val="0000FF"/>
      <w:u w:val="single"/>
    </w:rPr>
  </w:style>
  <w:style w:type="paragraph" w:styleId="30">
    <w:name w:val="Body Text Indent 3"/>
    <w:basedOn w:val="a"/>
    <w:link w:val="3Char0"/>
    <w:rsid w:val="005A376C"/>
    <w:pPr>
      <w:spacing w:line="560" w:lineRule="exact"/>
      <w:ind w:firstLineChars="200" w:firstLine="420"/>
    </w:pPr>
    <w:rPr>
      <w:rFonts w:ascii="Arial" w:hAnsi="Arial" w:cs="Arial"/>
      <w:color w:val="FF0000"/>
    </w:rPr>
  </w:style>
  <w:style w:type="paragraph" w:styleId="a9">
    <w:name w:val="header"/>
    <w:basedOn w:val="a"/>
    <w:link w:val="Char2"/>
    <w:uiPriority w:val="99"/>
    <w:rsid w:val="005A376C"/>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0"/>
    <w:rsid w:val="005A376C"/>
    <w:rPr>
      <w:color w:val="800080"/>
      <w:u w:val="single"/>
    </w:rPr>
  </w:style>
  <w:style w:type="paragraph" w:styleId="aa">
    <w:name w:val="List"/>
    <w:basedOn w:val="ab"/>
    <w:rsid w:val="005A376C"/>
    <w:pPr>
      <w:spacing w:after="220" w:line="220" w:lineRule="atLeast"/>
      <w:ind w:left="1440" w:hanging="360"/>
    </w:pPr>
    <w:rPr>
      <w:szCs w:val="20"/>
    </w:rPr>
  </w:style>
  <w:style w:type="paragraph" w:styleId="ab">
    <w:name w:val="Body Text"/>
    <w:basedOn w:val="a"/>
    <w:link w:val="Char3"/>
    <w:rsid w:val="005A376C"/>
    <w:pPr>
      <w:spacing w:after="120"/>
    </w:pPr>
  </w:style>
  <w:style w:type="paragraph" w:styleId="ac">
    <w:name w:val="Date"/>
    <w:basedOn w:val="a"/>
    <w:next w:val="a"/>
    <w:link w:val="Char4"/>
    <w:rsid w:val="005A376C"/>
    <w:rPr>
      <w:szCs w:val="20"/>
    </w:rPr>
  </w:style>
  <w:style w:type="character" w:customStyle="1" w:styleId="c1">
    <w:name w:val="c1"/>
    <w:basedOn w:val="a0"/>
    <w:rsid w:val="005A376C"/>
    <w:rPr>
      <w:color w:val="000000"/>
      <w:sz w:val="18"/>
      <w:szCs w:val="18"/>
    </w:rPr>
  </w:style>
  <w:style w:type="paragraph" w:styleId="11">
    <w:name w:val="index 1"/>
    <w:basedOn w:val="a"/>
    <w:next w:val="a"/>
    <w:autoRedefine/>
    <w:rsid w:val="005A376C"/>
    <w:pPr>
      <w:jc w:val="right"/>
    </w:pPr>
    <w:rPr>
      <w:color w:val="008000"/>
    </w:rPr>
  </w:style>
  <w:style w:type="paragraph" w:customStyle="1" w:styleId="font5">
    <w:name w:val="font5"/>
    <w:basedOn w:val="a"/>
    <w:rsid w:val="005A376C"/>
    <w:pPr>
      <w:spacing w:before="100" w:beforeAutospacing="1" w:after="100" w:afterAutospacing="1"/>
    </w:pPr>
    <w:rPr>
      <w:rFonts w:ascii="宋体" w:hAnsi="宋体" w:cs="Arial Unicode MS" w:hint="eastAsia"/>
      <w:sz w:val="18"/>
      <w:szCs w:val="18"/>
    </w:rPr>
  </w:style>
  <w:style w:type="paragraph" w:customStyle="1" w:styleId="xl24">
    <w:name w:val="xl24"/>
    <w:basedOn w:val="a"/>
    <w:rsid w:val="005A376C"/>
    <w:pPr>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sz w:val="29"/>
      <w:szCs w:val="29"/>
    </w:rPr>
  </w:style>
  <w:style w:type="paragraph" w:customStyle="1" w:styleId="xl25">
    <w:name w:val="xl25"/>
    <w:basedOn w:val="a"/>
    <w:rsid w:val="005A376C"/>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Unicode MS" w:eastAsia="Arial Unicode MS" w:hAnsi="Arial Unicode MS" w:cs="Arial Unicode MS"/>
      <w:b/>
      <w:bCs/>
      <w:color w:val="000000"/>
    </w:rPr>
  </w:style>
  <w:style w:type="paragraph" w:customStyle="1" w:styleId="xl26">
    <w:name w:val="xl26"/>
    <w:basedOn w:val="a"/>
    <w:rsid w:val="005A376C"/>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rPr>
  </w:style>
  <w:style w:type="paragraph" w:customStyle="1" w:styleId="xl27">
    <w:name w:val="xl27"/>
    <w:basedOn w:val="a"/>
    <w:rsid w:val="005A376C"/>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sz w:val="12"/>
      <w:szCs w:val="12"/>
    </w:rPr>
  </w:style>
  <w:style w:type="paragraph" w:customStyle="1" w:styleId="xl28">
    <w:name w:val="xl28"/>
    <w:basedOn w:val="a"/>
    <w:rsid w:val="005A376C"/>
    <w:pPr>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rPr>
  </w:style>
  <w:style w:type="paragraph" w:customStyle="1" w:styleId="xl29">
    <w:name w:val="xl29"/>
    <w:basedOn w:val="a"/>
    <w:rsid w:val="005A376C"/>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rPr>
  </w:style>
  <w:style w:type="paragraph" w:customStyle="1" w:styleId="xl30">
    <w:name w:val="xl30"/>
    <w:basedOn w:val="a"/>
    <w:rsid w:val="005A376C"/>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rPr>
  </w:style>
  <w:style w:type="paragraph" w:customStyle="1" w:styleId="xl31">
    <w:name w:val="xl31"/>
    <w:basedOn w:val="a"/>
    <w:rsid w:val="005A376C"/>
    <w:pPr>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sz w:val="22"/>
    </w:rPr>
  </w:style>
  <w:style w:type="paragraph" w:customStyle="1" w:styleId="xl32">
    <w:name w:val="xl32"/>
    <w:basedOn w:val="a"/>
    <w:rsid w:val="005A376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sz w:val="22"/>
    </w:rPr>
  </w:style>
  <w:style w:type="paragraph" w:customStyle="1" w:styleId="xl33">
    <w:name w:val="xl33"/>
    <w:basedOn w:val="a"/>
    <w:rsid w:val="005A376C"/>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sz w:val="22"/>
    </w:rPr>
  </w:style>
  <w:style w:type="paragraph" w:customStyle="1" w:styleId="xl34">
    <w:name w:val="xl34"/>
    <w:basedOn w:val="a"/>
    <w:uiPriority w:val="99"/>
    <w:rsid w:val="005A376C"/>
    <w:pPr>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sz w:val="22"/>
    </w:rPr>
  </w:style>
  <w:style w:type="paragraph" w:customStyle="1" w:styleId="xl35">
    <w:name w:val="xl35"/>
    <w:basedOn w:val="a"/>
    <w:rsid w:val="005A376C"/>
    <w:pPr>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sz w:val="23"/>
      <w:szCs w:val="23"/>
    </w:rPr>
  </w:style>
  <w:style w:type="paragraph" w:customStyle="1" w:styleId="xl36">
    <w:name w:val="xl36"/>
    <w:basedOn w:val="a"/>
    <w:rsid w:val="005A376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sz w:val="23"/>
      <w:szCs w:val="23"/>
    </w:rPr>
  </w:style>
  <w:style w:type="paragraph" w:customStyle="1" w:styleId="xl37">
    <w:name w:val="xl37"/>
    <w:basedOn w:val="a"/>
    <w:rsid w:val="005A376C"/>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sz w:val="23"/>
      <w:szCs w:val="23"/>
    </w:rPr>
  </w:style>
  <w:style w:type="paragraph" w:customStyle="1" w:styleId="xl38">
    <w:name w:val="xl38"/>
    <w:basedOn w:val="a"/>
    <w:rsid w:val="005A376C"/>
    <w:pPr>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sz w:val="23"/>
      <w:szCs w:val="23"/>
    </w:rPr>
  </w:style>
  <w:style w:type="paragraph" w:styleId="ad">
    <w:name w:val="Balloon Text"/>
    <w:basedOn w:val="a"/>
    <w:link w:val="Char5"/>
    <w:rsid w:val="005A376C"/>
    <w:rPr>
      <w:sz w:val="18"/>
      <w:szCs w:val="18"/>
    </w:rPr>
  </w:style>
  <w:style w:type="character" w:styleId="ae">
    <w:name w:val="annotation reference"/>
    <w:basedOn w:val="a0"/>
    <w:rsid w:val="005A376C"/>
    <w:rPr>
      <w:sz w:val="21"/>
      <w:szCs w:val="21"/>
    </w:rPr>
  </w:style>
  <w:style w:type="paragraph" w:styleId="af">
    <w:name w:val="annotation text"/>
    <w:basedOn w:val="a"/>
    <w:link w:val="Char6"/>
    <w:rsid w:val="005A376C"/>
  </w:style>
  <w:style w:type="paragraph" w:styleId="af0">
    <w:name w:val="annotation subject"/>
    <w:basedOn w:val="af"/>
    <w:next w:val="af"/>
    <w:link w:val="Char7"/>
    <w:rsid w:val="005A376C"/>
    <w:rPr>
      <w:b/>
      <w:bCs/>
    </w:rPr>
  </w:style>
  <w:style w:type="paragraph" w:customStyle="1" w:styleId="Char8">
    <w:name w:val="Char"/>
    <w:basedOn w:val="a"/>
    <w:rsid w:val="006A4828"/>
  </w:style>
  <w:style w:type="paragraph" w:styleId="af1">
    <w:name w:val="Document Map"/>
    <w:basedOn w:val="a"/>
    <w:link w:val="Char9"/>
    <w:rsid w:val="005A376C"/>
    <w:pPr>
      <w:shd w:val="clear" w:color="auto" w:fill="000080"/>
    </w:pPr>
  </w:style>
  <w:style w:type="table" w:styleId="af2">
    <w:name w:val="Table Grid"/>
    <w:basedOn w:val="a1"/>
    <w:qFormat/>
    <w:rsid w:val="005A376C"/>
    <w:pPr>
      <w:widowControl w:val="0"/>
      <w:jc w:val="both"/>
    </w:pPr>
    <w:rPr>
      <w:rFonts w:asciiTheme="minorHAnsi" w:eastAsiaTheme="minorEastAsia" w:hAnsiTheme="minorHAnsi" w:cstheme="minorBid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a"/>
    <w:rsid w:val="005A376C"/>
    <w:pPr>
      <w:snapToGrid w:val="0"/>
    </w:pPr>
    <w:rPr>
      <w:sz w:val="18"/>
      <w:szCs w:val="18"/>
    </w:rPr>
  </w:style>
  <w:style w:type="character" w:styleId="af4">
    <w:name w:val="footnote reference"/>
    <w:basedOn w:val="a0"/>
    <w:rsid w:val="005A376C"/>
    <w:rPr>
      <w:vertAlign w:val="superscript"/>
    </w:rPr>
  </w:style>
  <w:style w:type="paragraph" w:styleId="af5">
    <w:name w:val="Normal (Web)"/>
    <w:basedOn w:val="a"/>
    <w:rsid w:val="005A376C"/>
    <w:pPr>
      <w:spacing w:before="100" w:beforeAutospacing="1" w:after="100" w:afterAutospacing="1"/>
    </w:pPr>
    <w:rPr>
      <w:rFonts w:ascii="宋体" w:hAnsi="宋体"/>
    </w:rPr>
  </w:style>
  <w:style w:type="paragraph" w:customStyle="1" w:styleId="Charb">
    <w:name w:val="Char"/>
    <w:basedOn w:val="a"/>
    <w:rsid w:val="005A376C"/>
  </w:style>
  <w:style w:type="numbering" w:customStyle="1" w:styleId="5">
    <w:name w:val="样式5"/>
    <w:rsid w:val="005A376C"/>
    <w:pPr>
      <w:numPr>
        <w:numId w:val="8"/>
      </w:numPr>
    </w:pPr>
  </w:style>
  <w:style w:type="character" w:customStyle="1" w:styleId="t1">
    <w:name w:val="t1"/>
    <w:basedOn w:val="a0"/>
    <w:rsid w:val="005A376C"/>
    <w:rPr>
      <w:color w:val="990000"/>
    </w:rPr>
  </w:style>
  <w:style w:type="character" w:customStyle="1" w:styleId="Char0">
    <w:name w:val="纯文本 Char"/>
    <w:basedOn w:val="a0"/>
    <w:link w:val="a5"/>
    <w:uiPriority w:val="99"/>
    <w:rsid w:val="005A376C"/>
    <w:rPr>
      <w:rFonts w:ascii="宋体" w:eastAsiaTheme="minorEastAsia" w:hAnsi="Courier New" w:cstheme="minorBidi"/>
      <w:kern w:val="2"/>
      <w:sz w:val="21"/>
      <w:szCs w:val="21"/>
    </w:rPr>
  </w:style>
  <w:style w:type="character" w:customStyle="1" w:styleId="Chara">
    <w:name w:val="脚注文本 Char"/>
    <w:basedOn w:val="a0"/>
    <w:link w:val="af3"/>
    <w:rsid w:val="005A376C"/>
    <w:rPr>
      <w:rFonts w:asciiTheme="minorHAnsi" w:eastAsiaTheme="minorEastAsia" w:hAnsiTheme="minorHAnsi" w:cstheme="minorBidi"/>
      <w:kern w:val="2"/>
      <w:sz w:val="18"/>
      <w:szCs w:val="18"/>
    </w:rPr>
  </w:style>
  <w:style w:type="paragraph" w:customStyle="1" w:styleId="Default">
    <w:name w:val="Default"/>
    <w:rsid w:val="005A376C"/>
    <w:pPr>
      <w:widowControl w:val="0"/>
      <w:autoSpaceDE w:val="0"/>
      <w:autoSpaceDN w:val="0"/>
      <w:adjustRightInd w:val="0"/>
    </w:pPr>
    <w:rPr>
      <w:rFonts w:ascii="FangSong" w:eastAsiaTheme="minorEastAsia" w:hAnsi="FangSong" w:cs="FangSong"/>
      <w:color w:val="000000"/>
      <w:kern w:val="2"/>
      <w:sz w:val="24"/>
      <w:szCs w:val="24"/>
    </w:rPr>
  </w:style>
  <w:style w:type="character" w:customStyle="1" w:styleId="Char2">
    <w:name w:val="页眉 Char"/>
    <w:basedOn w:val="a0"/>
    <w:link w:val="a9"/>
    <w:uiPriority w:val="99"/>
    <w:rsid w:val="005A376C"/>
    <w:rPr>
      <w:rFonts w:asciiTheme="minorHAnsi" w:eastAsiaTheme="minorEastAsia" w:hAnsiTheme="minorHAnsi" w:cstheme="minorBidi"/>
      <w:kern w:val="2"/>
      <w:sz w:val="18"/>
      <w:szCs w:val="18"/>
    </w:rPr>
  </w:style>
  <w:style w:type="character" w:customStyle="1" w:styleId="1Char">
    <w:name w:val="标题 1 Char"/>
    <w:basedOn w:val="a0"/>
    <w:link w:val="1"/>
    <w:uiPriority w:val="9"/>
    <w:rsid w:val="005A376C"/>
    <w:rPr>
      <w:rFonts w:asciiTheme="minorHAnsi" w:eastAsiaTheme="minorEastAsia" w:hAnsiTheme="minorHAnsi" w:cstheme="minorBidi"/>
      <w:b/>
      <w:bCs/>
      <w:kern w:val="44"/>
      <w:sz w:val="44"/>
      <w:szCs w:val="44"/>
    </w:rPr>
  </w:style>
  <w:style w:type="character" w:customStyle="1" w:styleId="Char4">
    <w:name w:val="日期 Char"/>
    <w:basedOn w:val="a0"/>
    <w:link w:val="ac"/>
    <w:rsid w:val="005A376C"/>
    <w:rPr>
      <w:rFonts w:asciiTheme="minorHAnsi" w:eastAsiaTheme="minorEastAsia" w:hAnsiTheme="minorHAnsi" w:cstheme="minorBidi"/>
      <w:kern w:val="2"/>
      <w:sz w:val="21"/>
    </w:rPr>
  </w:style>
  <w:style w:type="character" w:styleId="af6">
    <w:name w:val="Strong"/>
    <w:basedOn w:val="a0"/>
    <w:uiPriority w:val="22"/>
    <w:qFormat/>
    <w:rsid w:val="005A376C"/>
    <w:rPr>
      <w:rFonts w:eastAsia="宋体"/>
      <w:b/>
      <w:bCs/>
      <w:spacing w:val="0"/>
      <w:sz w:val="30"/>
    </w:rPr>
  </w:style>
  <w:style w:type="character" w:customStyle="1" w:styleId="2Char">
    <w:name w:val="标题 2 Char"/>
    <w:basedOn w:val="a0"/>
    <w:link w:val="2"/>
    <w:uiPriority w:val="9"/>
    <w:rsid w:val="005A376C"/>
    <w:rPr>
      <w:rFonts w:asciiTheme="minorHAnsi" w:hAnsiTheme="minorHAnsi" w:cstheme="majorBidi"/>
      <w:b/>
      <w:kern w:val="2"/>
      <w:sz w:val="28"/>
      <w:szCs w:val="24"/>
    </w:rPr>
  </w:style>
  <w:style w:type="character" w:customStyle="1" w:styleId="2Char0">
    <w:name w:val="正文文本缩进 2 Char"/>
    <w:basedOn w:val="a0"/>
    <w:link w:val="20"/>
    <w:rsid w:val="005A376C"/>
    <w:rPr>
      <w:rFonts w:ascii="宋体" w:eastAsiaTheme="minorEastAsia" w:hAnsi="宋体" w:cstheme="minorBidi"/>
      <w:color w:val="FF0000"/>
      <w:kern w:val="2"/>
      <w:sz w:val="21"/>
      <w:szCs w:val="21"/>
    </w:rPr>
  </w:style>
  <w:style w:type="paragraph" w:styleId="TOC">
    <w:name w:val="TOC Heading"/>
    <w:basedOn w:val="1"/>
    <w:next w:val="a"/>
    <w:uiPriority w:val="39"/>
    <w:semiHidden/>
    <w:unhideWhenUsed/>
    <w:qFormat/>
    <w:rsid w:val="005A376C"/>
    <w:pPr>
      <w:outlineLvl w:val="9"/>
    </w:pPr>
  </w:style>
  <w:style w:type="paragraph" w:styleId="af7">
    <w:name w:val="Title"/>
    <w:basedOn w:val="a"/>
    <w:next w:val="a"/>
    <w:link w:val="Charc"/>
    <w:uiPriority w:val="10"/>
    <w:qFormat/>
    <w:rsid w:val="005A376C"/>
    <w:pPr>
      <w:ind w:firstLine="0"/>
      <w:jc w:val="center"/>
    </w:pPr>
    <w:rPr>
      <w:rFonts w:asciiTheme="majorHAnsi" w:eastAsia="宋体" w:hAnsiTheme="majorHAnsi" w:cstheme="majorBidi"/>
      <w:b/>
      <w:iCs/>
      <w:sz w:val="52"/>
      <w:szCs w:val="60"/>
    </w:rPr>
  </w:style>
  <w:style w:type="character" w:customStyle="1" w:styleId="Charc">
    <w:name w:val="标题 Char"/>
    <w:basedOn w:val="a0"/>
    <w:link w:val="af7"/>
    <w:uiPriority w:val="10"/>
    <w:rsid w:val="005A376C"/>
    <w:rPr>
      <w:rFonts w:asciiTheme="majorHAnsi" w:hAnsiTheme="majorHAnsi" w:cstheme="majorBidi"/>
      <w:b/>
      <w:iCs/>
      <w:kern w:val="2"/>
      <w:sz w:val="52"/>
      <w:szCs w:val="60"/>
    </w:rPr>
  </w:style>
  <w:style w:type="character" w:customStyle="1" w:styleId="3Char">
    <w:name w:val="标题 3 Char"/>
    <w:basedOn w:val="a0"/>
    <w:link w:val="3"/>
    <w:uiPriority w:val="9"/>
    <w:rsid w:val="005A376C"/>
    <w:rPr>
      <w:rFonts w:asciiTheme="minorHAnsi" w:eastAsiaTheme="minorEastAsia" w:hAnsiTheme="minorHAnsi" w:cstheme="minorBidi"/>
      <w:b/>
      <w:bCs/>
      <w:kern w:val="2"/>
      <w:sz w:val="32"/>
      <w:szCs w:val="32"/>
    </w:rPr>
  </w:style>
  <w:style w:type="character" w:customStyle="1" w:styleId="4Char">
    <w:name w:val="标题 4 Char"/>
    <w:basedOn w:val="a0"/>
    <w:link w:val="4"/>
    <w:uiPriority w:val="9"/>
    <w:semiHidden/>
    <w:rsid w:val="005A376C"/>
    <w:rPr>
      <w:rFonts w:asciiTheme="majorHAnsi" w:eastAsiaTheme="majorEastAsia" w:hAnsiTheme="majorHAnsi" w:cstheme="majorBidi"/>
      <w:b/>
      <w:bCs/>
      <w:kern w:val="2"/>
      <w:sz w:val="28"/>
      <w:szCs w:val="28"/>
    </w:rPr>
  </w:style>
  <w:style w:type="character" w:customStyle="1" w:styleId="5Char">
    <w:name w:val="标题 5 Char"/>
    <w:basedOn w:val="a0"/>
    <w:link w:val="50"/>
    <w:uiPriority w:val="9"/>
    <w:semiHidden/>
    <w:rsid w:val="005A376C"/>
    <w:rPr>
      <w:rFonts w:asciiTheme="minorHAnsi" w:eastAsiaTheme="minorEastAsia" w:hAnsiTheme="minorHAnsi" w:cstheme="minorBidi"/>
      <w:b/>
      <w:bCs/>
      <w:kern w:val="2"/>
      <w:sz w:val="28"/>
      <w:szCs w:val="28"/>
    </w:rPr>
  </w:style>
  <w:style w:type="character" w:customStyle="1" w:styleId="6Char">
    <w:name w:val="标题 6 Char"/>
    <w:basedOn w:val="a0"/>
    <w:link w:val="6"/>
    <w:uiPriority w:val="9"/>
    <w:semiHidden/>
    <w:rsid w:val="005A376C"/>
    <w:rPr>
      <w:rFonts w:asciiTheme="majorHAnsi" w:eastAsiaTheme="majorEastAsia" w:hAnsiTheme="majorHAnsi" w:cstheme="majorBidi"/>
      <w:b/>
      <w:bCs/>
      <w:kern w:val="2"/>
      <w:sz w:val="21"/>
      <w:szCs w:val="24"/>
    </w:rPr>
  </w:style>
  <w:style w:type="character" w:customStyle="1" w:styleId="7Char">
    <w:name w:val="标题 7 Char"/>
    <w:basedOn w:val="a0"/>
    <w:link w:val="7"/>
    <w:uiPriority w:val="9"/>
    <w:semiHidden/>
    <w:rsid w:val="005A376C"/>
    <w:rPr>
      <w:rFonts w:asciiTheme="minorHAnsi" w:eastAsiaTheme="minorEastAsia" w:hAnsiTheme="minorHAnsi" w:cstheme="minorBidi"/>
      <w:b/>
      <w:bCs/>
      <w:kern w:val="2"/>
      <w:sz w:val="21"/>
      <w:szCs w:val="24"/>
    </w:rPr>
  </w:style>
  <w:style w:type="character" w:customStyle="1" w:styleId="8Char">
    <w:name w:val="标题 8 Char"/>
    <w:basedOn w:val="a0"/>
    <w:link w:val="8"/>
    <w:uiPriority w:val="9"/>
    <w:semiHidden/>
    <w:rsid w:val="005A376C"/>
    <w:rPr>
      <w:rFonts w:asciiTheme="majorHAnsi" w:eastAsiaTheme="majorEastAsia" w:hAnsiTheme="majorHAnsi" w:cstheme="majorBidi"/>
      <w:kern w:val="2"/>
      <w:sz w:val="21"/>
      <w:szCs w:val="24"/>
    </w:rPr>
  </w:style>
  <w:style w:type="character" w:customStyle="1" w:styleId="9Char">
    <w:name w:val="标题 9 Char"/>
    <w:basedOn w:val="a0"/>
    <w:link w:val="9"/>
    <w:uiPriority w:val="9"/>
    <w:semiHidden/>
    <w:rsid w:val="005A376C"/>
    <w:rPr>
      <w:rFonts w:asciiTheme="majorHAnsi" w:eastAsiaTheme="majorEastAsia" w:hAnsiTheme="majorHAnsi" w:cstheme="majorBidi"/>
      <w:kern w:val="2"/>
      <w:sz w:val="21"/>
      <w:szCs w:val="21"/>
    </w:rPr>
  </w:style>
  <w:style w:type="character" w:styleId="af8">
    <w:name w:val="Subtle Reference"/>
    <w:uiPriority w:val="31"/>
    <w:rsid w:val="005A376C"/>
    <w:rPr>
      <w:rFonts w:asciiTheme="minorEastAsia" w:hAnsiTheme="minorEastAsia"/>
      <w:smallCaps/>
      <w:color w:val="auto"/>
      <w:sz w:val="24"/>
    </w:rPr>
  </w:style>
  <w:style w:type="character" w:styleId="af9">
    <w:name w:val="Subtle Emphasis"/>
    <w:uiPriority w:val="19"/>
    <w:rsid w:val="005A376C"/>
    <w:rPr>
      <w:i/>
      <w:iCs/>
      <w:color w:val="808080" w:themeColor="text1" w:themeTint="7F"/>
    </w:rPr>
  </w:style>
  <w:style w:type="paragraph" w:styleId="afa">
    <w:name w:val="Subtitle"/>
    <w:basedOn w:val="a"/>
    <w:next w:val="a"/>
    <w:link w:val="Chard"/>
    <w:uiPriority w:val="11"/>
    <w:qFormat/>
    <w:rsid w:val="005A376C"/>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d">
    <w:name w:val="副标题 Char"/>
    <w:basedOn w:val="a0"/>
    <w:link w:val="afa"/>
    <w:uiPriority w:val="11"/>
    <w:rsid w:val="005A376C"/>
    <w:rPr>
      <w:rFonts w:asciiTheme="majorHAnsi" w:hAnsiTheme="majorHAnsi" w:cstheme="majorBidi"/>
      <w:b/>
      <w:bCs/>
      <w:kern w:val="28"/>
      <w:sz w:val="32"/>
      <w:szCs w:val="32"/>
    </w:rPr>
  </w:style>
  <w:style w:type="character" w:customStyle="1" w:styleId="Char3">
    <w:name w:val="正文文本 Char"/>
    <w:basedOn w:val="a0"/>
    <w:link w:val="ab"/>
    <w:rsid w:val="005A376C"/>
    <w:rPr>
      <w:rFonts w:asciiTheme="minorHAnsi" w:eastAsiaTheme="minorEastAsia" w:hAnsiTheme="minorHAnsi" w:cstheme="minorBidi"/>
      <w:kern w:val="2"/>
      <w:sz w:val="21"/>
      <w:szCs w:val="21"/>
    </w:rPr>
  </w:style>
  <w:style w:type="paragraph" w:styleId="afb">
    <w:name w:val="List Paragraph"/>
    <w:basedOn w:val="a"/>
    <w:uiPriority w:val="34"/>
    <w:rsid w:val="005A376C"/>
    <w:pPr>
      <w:ind w:firstLineChars="200" w:firstLine="420"/>
    </w:pPr>
  </w:style>
  <w:style w:type="character" w:styleId="afc">
    <w:name w:val="Intense Reference"/>
    <w:basedOn w:val="a0"/>
    <w:uiPriority w:val="32"/>
    <w:rsid w:val="005A376C"/>
    <w:rPr>
      <w:b/>
      <w:bCs/>
      <w:smallCaps/>
      <w:color w:val="C0504D" w:themeColor="accent2"/>
      <w:spacing w:val="5"/>
      <w:u w:val="single"/>
    </w:rPr>
  </w:style>
  <w:style w:type="character" w:styleId="afd">
    <w:name w:val="Intense Emphasis"/>
    <w:uiPriority w:val="21"/>
    <w:rsid w:val="005A376C"/>
    <w:rPr>
      <w:b/>
      <w:bCs/>
      <w:i/>
      <w:iCs/>
      <w:color w:val="4F81BD" w:themeColor="accent1"/>
    </w:rPr>
  </w:style>
  <w:style w:type="paragraph" w:styleId="afe">
    <w:name w:val="Intense Quote"/>
    <w:basedOn w:val="a"/>
    <w:next w:val="a"/>
    <w:link w:val="Chare"/>
    <w:uiPriority w:val="30"/>
    <w:rsid w:val="005A376C"/>
    <w:pPr>
      <w:pBdr>
        <w:bottom w:val="single" w:sz="4" w:space="4" w:color="4F81BD" w:themeColor="accent1"/>
      </w:pBdr>
      <w:spacing w:before="200" w:after="280"/>
      <w:ind w:left="936" w:right="936"/>
    </w:pPr>
    <w:rPr>
      <w:b/>
      <w:bCs/>
      <w:i/>
      <w:iCs/>
      <w:color w:val="4F81BD" w:themeColor="accent1"/>
    </w:rPr>
  </w:style>
  <w:style w:type="character" w:customStyle="1" w:styleId="Chare">
    <w:name w:val="明显引用 Char"/>
    <w:basedOn w:val="a0"/>
    <w:link w:val="afe"/>
    <w:uiPriority w:val="30"/>
    <w:rsid w:val="005A376C"/>
    <w:rPr>
      <w:rFonts w:asciiTheme="minorHAnsi" w:eastAsiaTheme="minorEastAsia" w:hAnsiTheme="minorHAnsi" w:cstheme="minorBidi"/>
      <w:b/>
      <w:bCs/>
      <w:i/>
      <w:iCs/>
      <w:color w:val="4F81BD" w:themeColor="accent1"/>
      <w:kern w:val="2"/>
      <w:sz w:val="21"/>
      <w:szCs w:val="21"/>
    </w:rPr>
  </w:style>
  <w:style w:type="character" w:customStyle="1" w:styleId="Char5">
    <w:name w:val="批注框文本 Char"/>
    <w:basedOn w:val="a0"/>
    <w:link w:val="ad"/>
    <w:rsid w:val="005A376C"/>
    <w:rPr>
      <w:rFonts w:asciiTheme="minorHAnsi" w:eastAsiaTheme="minorEastAsia" w:hAnsiTheme="minorHAnsi" w:cstheme="minorBidi"/>
      <w:kern w:val="2"/>
      <w:sz w:val="18"/>
      <w:szCs w:val="18"/>
    </w:rPr>
  </w:style>
  <w:style w:type="character" w:customStyle="1" w:styleId="Char6">
    <w:name w:val="批注文字 Char"/>
    <w:basedOn w:val="a0"/>
    <w:link w:val="af"/>
    <w:rsid w:val="005A376C"/>
    <w:rPr>
      <w:rFonts w:asciiTheme="minorHAnsi" w:eastAsiaTheme="minorEastAsia" w:hAnsiTheme="minorHAnsi" w:cstheme="minorBidi"/>
      <w:kern w:val="2"/>
      <w:sz w:val="21"/>
      <w:szCs w:val="21"/>
    </w:rPr>
  </w:style>
  <w:style w:type="character" w:customStyle="1" w:styleId="Char7">
    <w:name w:val="批注主题 Char"/>
    <w:basedOn w:val="Char6"/>
    <w:link w:val="af0"/>
    <w:rsid w:val="005A376C"/>
    <w:rPr>
      <w:rFonts w:asciiTheme="minorHAnsi" w:eastAsiaTheme="minorEastAsia" w:hAnsiTheme="minorHAnsi" w:cstheme="minorBidi"/>
      <w:b/>
      <w:bCs/>
      <w:kern w:val="2"/>
      <w:sz w:val="21"/>
      <w:szCs w:val="21"/>
    </w:rPr>
  </w:style>
  <w:style w:type="character" w:styleId="aff">
    <w:name w:val="Emphasis"/>
    <w:uiPriority w:val="20"/>
    <w:rsid w:val="005A376C"/>
    <w:rPr>
      <w:i/>
      <w:iCs/>
    </w:rPr>
  </w:style>
  <w:style w:type="character" w:styleId="aff0">
    <w:name w:val="Book Title"/>
    <w:basedOn w:val="a0"/>
    <w:uiPriority w:val="33"/>
    <w:rsid w:val="005A376C"/>
    <w:rPr>
      <w:b/>
      <w:bCs/>
      <w:smallCaps/>
      <w:spacing w:val="5"/>
    </w:rPr>
  </w:style>
  <w:style w:type="paragraph" w:styleId="aff1">
    <w:name w:val="caption"/>
    <w:basedOn w:val="a"/>
    <w:next w:val="a"/>
    <w:uiPriority w:val="35"/>
    <w:semiHidden/>
    <w:unhideWhenUsed/>
    <w:qFormat/>
    <w:rsid w:val="005A376C"/>
    <w:rPr>
      <w:rFonts w:asciiTheme="majorHAnsi" w:eastAsia="黑体" w:hAnsiTheme="majorHAnsi" w:cstheme="majorBidi"/>
      <w:sz w:val="20"/>
      <w:szCs w:val="20"/>
    </w:rPr>
  </w:style>
  <w:style w:type="character" w:customStyle="1" w:styleId="Char9">
    <w:name w:val="文档结构图 Char"/>
    <w:basedOn w:val="a0"/>
    <w:link w:val="af1"/>
    <w:rsid w:val="005A376C"/>
    <w:rPr>
      <w:rFonts w:asciiTheme="minorHAnsi" w:eastAsiaTheme="minorEastAsia" w:hAnsiTheme="minorHAnsi" w:cstheme="minorBidi"/>
      <w:kern w:val="2"/>
      <w:sz w:val="21"/>
      <w:szCs w:val="21"/>
      <w:shd w:val="clear" w:color="auto" w:fill="000080"/>
    </w:rPr>
  </w:style>
  <w:style w:type="paragraph" w:styleId="aff2">
    <w:name w:val="No Spacing"/>
    <w:basedOn w:val="a"/>
    <w:link w:val="Charf"/>
    <w:uiPriority w:val="1"/>
    <w:qFormat/>
    <w:rsid w:val="005A376C"/>
    <w:pPr>
      <w:ind w:firstLine="0"/>
    </w:pPr>
  </w:style>
  <w:style w:type="character" w:customStyle="1" w:styleId="Charf">
    <w:name w:val="无间隔 Char"/>
    <w:basedOn w:val="a0"/>
    <w:link w:val="aff2"/>
    <w:uiPriority w:val="1"/>
    <w:rsid w:val="005A376C"/>
    <w:rPr>
      <w:rFonts w:asciiTheme="minorHAnsi" w:eastAsiaTheme="minorEastAsia" w:hAnsiTheme="minorHAnsi" w:cstheme="minorBidi"/>
      <w:kern w:val="2"/>
      <w:sz w:val="21"/>
      <w:szCs w:val="21"/>
    </w:rPr>
  </w:style>
  <w:style w:type="paragraph" w:customStyle="1" w:styleId="aff3">
    <w:name w:val="无分隔首行缩进"/>
    <w:basedOn w:val="aff2"/>
    <w:link w:val="Charf0"/>
    <w:qFormat/>
    <w:rsid w:val="005A376C"/>
    <w:pPr>
      <w:ind w:firstLineChars="202" w:firstLine="424"/>
    </w:pPr>
  </w:style>
  <w:style w:type="character" w:customStyle="1" w:styleId="Charf0">
    <w:name w:val="无分隔首行缩进 Char"/>
    <w:basedOn w:val="Charf"/>
    <w:link w:val="aff3"/>
    <w:rsid w:val="005A376C"/>
    <w:rPr>
      <w:rFonts w:asciiTheme="minorHAnsi" w:eastAsiaTheme="minorEastAsia" w:hAnsiTheme="minorHAnsi" w:cstheme="minorBidi"/>
      <w:kern w:val="2"/>
      <w:sz w:val="21"/>
      <w:szCs w:val="21"/>
    </w:rPr>
  </w:style>
  <w:style w:type="character" w:customStyle="1" w:styleId="Char1">
    <w:name w:val="页脚 Char"/>
    <w:basedOn w:val="a0"/>
    <w:link w:val="a6"/>
    <w:uiPriority w:val="99"/>
    <w:rsid w:val="005A376C"/>
    <w:rPr>
      <w:rFonts w:asciiTheme="minorHAnsi" w:eastAsiaTheme="minorEastAsia" w:hAnsiTheme="minorHAnsi" w:cstheme="minorBidi"/>
      <w:kern w:val="2"/>
      <w:sz w:val="18"/>
      <w:szCs w:val="18"/>
    </w:rPr>
  </w:style>
  <w:style w:type="paragraph" w:styleId="aff4">
    <w:name w:val="Quote"/>
    <w:aliases w:val="正文小标题"/>
    <w:basedOn w:val="a"/>
    <w:next w:val="a"/>
    <w:link w:val="Charf1"/>
    <w:uiPriority w:val="29"/>
    <w:rsid w:val="005A376C"/>
    <w:pPr>
      <w:spacing w:line="360" w:lineRule="auto"/>
    </w:pPr>
    <w:rPr>
      <w:b/>
      <w:iCs/>
      <w:color w:val="000000" w:themeColor="text1"/>
    </w:rPr>
  </w:style>
  <w:style w:type="character" w:customStyle="1" w:styleId="Charf1">
    <w:name w:val="引用 Char"/>
    <w:aliases w:val="正文小标题 Char"/>
    <w:basedOn w:val="a0"/>
    <w:link w:val="aff4"/>
    <w:uiPriority w:val="29"/>
    <w:rsid w:val="005A376C"/>
    <w:rPr>
      <w:rFonts w:asciiTheme="minorHAnsi" w:eastAsiaTheme="minorEastAsia" w:hAnsiTheme="minorHAnsi" w:cstheme="minorBidi"/>
      <w:b/>
      <w:iCs/>
      <w:color w:val="000000" w:themeColor="text1"/>
      <w:kern w:val="2"/>
      <w:sz w:val="21"/>
      <w:szCs w:val="21"/>
    </w:rPr>
  </w:style>
  <w:style w:type="paragraph" w:customStyle="1" w:styleId="new">
    <w:name w:val="正文new"/>
    <w:basedOn w:val="a"/>
    <w:link w:val="newChar"/>
    <w:qFormat/>
    <w:rsid w:val="005A376C"/>
    <w:pPr>
      <w:spacing w:line="360" w:lineRule="auto"/>
    </w:pPr>
    <w:rPr>
      <w:rFonts w:asciiTheme="minorEastAsia" w:hAnsiTheme="minorEastAsia"/>
    </w:rPr>
  </w:style>
  <w:style w:type="character" w:customStyle="1" w:styleId="newChar">
    <w:name w:val="正文new Char"/>
    <w:basedOn w:val="a0"/>
    <w:link w:val="new"/>
    <w:rsid w:val="005A376C"/>
    <w:rPr>
      <w:rFonts w:asciiTheme="minorEastAsia" w:eastAsiaTheme="minorEastAsia" w:hAnsiTheme="minorEastAsia" w:cstheme="minorBidi"/>
      <w:kern w:val="2"/>
      <w:sz w:val="21"/>
      <w:szCs w:val="21"/>
    </w:rPr>
  </w:style>
  <w:style w:type="character" w:customStyle="1" w:styleId="Char">
    <w:name w:val="正文文本缩进 Char"/>
    <w:basedOn w:val="a0"/>
    <w:link w:val="a4"/>
    <w:rsid w:val="005A376C"/>
    <w:rPr>
      <w:rFonts w:ascii="Arial Unicode MS" w:eastAsia="Arial Unicode MS" w:hAnsi="Arial Unicode MS" w:cs="Arial Unicode MS"/>
      <w:kern w:val="2"/>
      <w:sz w:val="21"/>
      <w:szCs w:val="21"/>
    </w:rPr>
  </w:style>
  <w:style w:type="character" w:customStyle="1" w:styleId="3Char0">
    <w:name w:val="正文文本缩进 3 Char"/>
    <w:basedOn w:val="a0"/>
    <w:link w:val="30"/>
    <w:rsid w:val="005A376C"/>
    <w:rPr>
      <w:rFonts w:ascii="Arial" w:eastAsiaTheme="minorEastAsia" w:hAnsi="Arial" w:cs="Arial"/>
      <w:color w:val="FF0000"/>
      <w:kern w:val="2"/>
      <w:sz w:val="21"/>
      <w:szCs w:val="21"/>
    </w:rPr>
  </w:style>
  <w:style w:type="paragraph" w:customStyle="1" w:styleId="new0">
    <w:name w:val="正文小标题new"/>
    <w:basedOn w:val="a"/>
    <w:link w:val="newChar0"/>
    <w:qFormat/>
    <w:rsid w:val="005A376C"/>
    <w:pPr>
      <w:autoSpaceDE w:val="0"/>
      <w:autoSpaceDN w:val="0"/>
      <w:adjustRightInd w:val="0"/>
      <w:spacing w:line="360" w:lineRule="auto"/>
    </w:pPr>
    <w:rPr>
      <w:rFonts w:ascii="宋体" w:hAnsi="宋体"/>
      <w:b/>
      <w:color w:val="000000" w:themeColor="text1"/>
    </w:rPr>
  </w:style>
  <w:style w:type="character" w:customStyle="1" w:styleId="newChar0">
    <w:name w:val="正文小标题new Char"/>
    <w:basedOn w:val="a0"/>
    <w:link w:val="new0"/>
    <w:rsid w:val="005A376C"/>
    <w:rPr>
      <w:rFonts w:ascii="宋体" w:eastAsiaTheme="minorEastAsia" w:hAnsi="宋体" w:cstheme="minorBidi"/>
      <w:b/>
      <w:color w:val="000000" w:themeColor="text1"/>
      <w:kern w:val="2"/>
      <w:sz w:val="21"/>
      <w:szCs w:val="21"/>
    </w:rPr>
  </w:style>
  <w:style w:type="paragraph" w:customStyle="1" w:styleId="31">
    <w:name w:val="样式3"/>
    <w:basedOn w:val="3"/>
    <w:link w:val="3Char1"/>
    <w:rsid w:val="005A376C"/>
    <w:pPr>
      <w:spacing w:line="360" w:lineRule="auto"/>
    </w:pPr>
    <w:rPr>
      <w:rFonts w:ascii="黑体" w:eastAsia="黑体" w:hAnsi="黑体"/>
      <w:sz w:val="24"/>
      <w:szCs w:val="24"/>
    </w:rPr>
  </w:style>
  <w:style w:type="character" w:customStyle="1" w:styleId="3Char1">
    <w:name w:val="样式3 Char"/>
    <w:basedOn w:val="a0"/>
    <w:link w:val="31"/>
    <w:rsid w:val="005A376C"/>
    <w:rPr>
      <w:rFonts w:ascii="黑体" w:eastAsia="黑体" w:hAnsi="黑体" w:cstheme="minorBidi"/>
      <w:b/>
      <w:bCs/>
      <w:kern w:val="2"/>
      <w:sz w:val="24"/>
      <w:szCs w:val="24"/>
    </w:rPr>
  </w:style>
  <w:style w:type="paragraph" w:customStyle="1" w:styleId="xx">
    <w:name w:val="x.x三级"/>
    <w:basedOn w:val="31"/>
    <w:link w:val="xxChar"/>
    <w:qFormat/>
    <w:rsid w:val="00B20665"/>
    <w:pPr>
      <w:spacing w:line="240" w:lineRule="auto"/>
    </w:pPr>
    <w:rPr>
      <w:rFonts w:asciiTheme="minorHAnsi" w:eastAsia="宋体" w:hAnsiTheme="minorHAnsi"/>
    </w:rPr>
  </w:style>
  <w:style w:type="character" w:customStyle="1" w:styleId="xxChar">
    <w:name w:val="x.x三级 Char"/>
    <w:basedOn w:val="3Char1"/>
    <w:link w:val="xx"/>
    <w:rsid w:val="00B20665"/>
    <w:rPr>
      <w:rFonts w:asciiTheme="minorHAnsi" w:eastAsia="黑体" w:hAnsiTheme="minorHAnsi" w:cstheme="minorBidi"/>
      <w:b/>
      <w:bCs/>
      <w:kern w:val="2"/>
      <w:sz w:val="24"/>
      <w:szCs w:val="24"/>
    </w:rPr>
  </w:style>
  <w:style w:type="paragraph" w:customStyle="1" w:styleId="xx0">
    <w:name w:val="x.x三级标"/>
    <w:basedOn w:val="new0"/>
    <w:next w:val="32"/>
    <w:link w:val="xxChar0"/>
    <w:rsid w:val="005A376C"/>
    <w:rPr>
      <w:rFonts w:eastAsia="黑体"/>
    </w:rPr>
  </w:style>
  <w:style w:type="character" w:customStyle="1" w:styleId="xxChar0">
    <w:name w:val="x.x三级标 Char"/>
    <w:basedOn w:val="newChar0"/>
    <w:link w:val="xx0"/>
    <w:rsid w:val="005A376C"/>
    <w:rPr>
      <w:rFonts w:ascii="宋体" w:eastAsia="黑体" w:hAnsi="宋体" w:cstheme="minorBidi"/>
      <w:b/>
      <w:color w:val="000000" w:themeColor="text1"/>
      <w:kern w:val="2"/>
      <w:sz w:val="21"/>
      <w:szCs w:val="21"/>
    </w:rPr>
  </w:style>
  <w:style w:type="paragraph" w:styleId="32">
    <w:name w:val="index 3"/>
    <w:basedOn w:val="a"/>
    <w:next w:val="a"/>
    <w:autoRedefine/>
    <w:rsid w:val="005A376C"/>
    <w:pPr>
      <w:ind w:leftChars="400" w:left="400" w:firstLine="0"/>
    </w:pPr>
  </w:style>
  <w:style w:type="paragraph" w:customStyle="1" w:styleId="xxnew">
    <w:name w:val="x.x三级标new"/>
    <w:basedOn w:val="xx0"/>
    <w:next w:val="xx0"/>
    <w:link w:val="xxnewChar"/>
    <w:rsid w:val="005A376C"/>
  </w:style>
  <w:style w:type="character" w:customStyle="1" w:styleId="xxnewChar">
    <w:name w:val="x.x三级标new Char"/>
    <w:basedOn w:val="xxChar0"/>
    <w:link w:val="xxnew"/>
    <w:rsid w:val="005A376C"/>
    <w:rPr>
      <w:rFonts w:ascii="宋体" w:eastAsia="黑体" w:hAnsi="宋体" w:cstheme="minorBidi"/>
      <w:b/>
      <w:color w:val="000000" w:themeColor="text1"/>
      <w:kern w:val="2"/>
      <w:sz w:val="21"/>
      <w:szCs w:val="21"/>
    </w:rPr>
  </w:style>
  <w:style w:type="paragraph" w:customStyle="1" w:styleId="40">
    <w:name w:val="标题4"/>
    <w:basedOn w:val="4"/>
    <w:link w:val="4Char0"/>
    <w:rsid w:val="005A376C"/>
  </w:style>
  <w:style w:type="character" w:customStyle="1" w:styleId="4Char0">
    <w:name w:val="标题4 Char"/>
    <w:basedOn w:val="4Char"/>
    <w:link w:val="40"/>
    <w:rsid w:val="005A376C"/>
    <w:rPr>
      <w:rFonts w:asciiTheme="majorHAnsi" w:eastAsiaTheme="majorEastAsia" w:hAnsiTheme="majorHAnsi" w:cstheme="majorBidi"/>
      <w:b/>
      <w:bCs/>
      <w:kern w:val="2"/>
      <w:sz w:val="28"/>
      <w:szCs w:val="28"/>
    </w:rPr>
  </w:style>
  <w:style w:type="paragraph" w:customStyle="1" w:styleId="12">
    <w:name w:val="样式1"/>
    <w:basedOn w:val="xxnew"/>
    <w:next w:val="3"/>
    <w:rsid w:val="005A376C"/>
  </w:style>
  <w:style w:type="paragraph" w:customStyle="1" w:styleId="21">
    <w:name w:val="样式2"/>
    <w:basedOn w:val="xxnew"/>
    <w:link w:val="2Char1"/>
    <w:rsid w:val="005A376C"/>
  </w:style>
  <w:style w:type="character" w:customStyle="1" w:styleId="2Char1">
    <w:name w:val="样式2 Char"/>
    <w:basedOn w:val="xxnewChar"/>
    <w:link w:val="21"/>
    <w:rsid w:val="005A376C"/>
    <w:rPr>
      <w:rFonts w:ascii="宋体" w:eastAsia="黑体" w:hAnsi="宋体" w:cstheme="minorBidi"/>
      <w:b/>
      <w:color w:val="000000" w:themeColor="text1"/>
      <w:kern w:val="2"/>
      <w:sz w:val="21"/>
      <w:szCs w:val="21"/>
    </w:rPr>
  </w:style>
  <w:style w:type="paragraph" w:customStyle="1" w:styleId="41">
    <w:name w:val="样式4"/>
    <w:basedOn w:val="40"/>
    <w:link w:val="4Char1"/>
    <w:qFormat/>
    <w:rsid w:val="005A376C"/>
    <w:pPr>
      <w:spacing w:before="40" w:after="50" w:line="240" w:lineRule="auto"/>
    </w:pPr>
    <w:rPr>
      <w:sz w:val="22"/>
      <w:szCs w:val="24"/>
    </w:rPr>
  </w:style>
  <w:style w:type="character" w:customStyle="1" w:styleId="4Char1">
    <w:name w:val="样式4 Char"/>
    <w:basedOn w:val="4Char0"/>
    <w:link w:val="41"/>
    <w:rsid w:val="005A376C"/>
    <w:rPr>
      <w:rFonts w:asciiTheme="majorHAnsi" w:eastAsiaTheme="majorEastAsia" w:hAnsiTheme="majorHAnsi" w:cstheme="majorBidi"/>
      <w:b/>
      <w:bCs/>
      <w:kern w:val="2"/>
      <w:sz w:val="22"/>
      <w:szCs w:val="24"/>
    </w:rPr>
  </w:style>
  <w:style w:type="paragraph" w:customStyle="1" w:styleId="CharCharCharCharCharChar1CharCharChar">
    <w:name w:val="Char Char Char Char Char Char1 Char Char Char"/>
    <w:basedOn w:val="a"/>
    <w:uiPriority w:val="99"/>
    <w:rsid w:val="005A376C"/>
    <w:pPr>
      <w:autoSpaceDE w:val="0"/>
      <w:autoSpaceDN w:val="0"/>
      <w:adjustRightInd w:val="0"/>
      <w:textAlignment w:val="baseline"/>
    </w:pPr>
    <w:rPr>
      <w:rFonts w:ascii="宋体" w:cs="宋体"/>
      <w:kern w:val="0"/>
      <w:sz w:val="34"/>
      <w:szCs w:val="34"/>
    </w:rPr>
  </w:style>
  <w:style w:type="paragraph" w:customStyle="1" w:styleId="CharCharCharCharCharChar1CharCharChar1">
    <w:name w:val="Char Char Char Char Char Char1 Char Char Char1"/>
    <w:basedOn w:val="a"/>
    <w:uiPriority w:val="99"/>
    <w:rsid w:val="005A376C"/>
    <w:pPr>
      <w:autoSpaceDE w:val="0"/>
      <w:autoSpaceDN w:val="0"/>
      <w:adjustRightInd w:val="0"/>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5A376C"/>
    <w:pPr>
      <w:autoSpaceDE w:val="0"/>
      <w:autoSpaceDN w:val="0"/>
      <w:adjustRightInd w:val="0"/>
      <w:textAlignment w:val="baseline"/>
    </w:pPr>
    <w:rPr>
      <w:rFonts w:ascii="宋体" w:cs="宋体"/>
      <w:kern w:val="0"/>
      <w:sz w:val="34"/>
      <w:szCs w:val="34"/>
    </w:rPr>
  </w:style>
  <w:style w:type="paragraph" w:customStyle="1" w:styleId="Char10">
    <w:name w:val="Char1"/>
    <w:basedOn w:val="a"/>
    <w:uiPriority w:val="99"/>
    <w:rsid w:val="005A376C"/>
  </w:style>
  <w:style w:type="character" w:styleId="aff5">
    <w:name w:val="FollowedHyperlink"/>
    <w:basedOn w:val="a0"/>
    <w:uiPriority w:val="99"/>
    <w:rsid w:val="005A376C"/>
    <w:rPr>
      <w:color w:val="800080"/>
      <w:u w:val="single"/>
    </w:rPr>
  </w:style>
  <w:style w:type="paragraph" w:customStyle="1" w:styleId="aff6">
    <w:name w:val="正文 + (符号) 宋体"/>
    <w:aliases w:val="小四,紧缩量  0.2 磅"/>
    <w:basedOn w:val="a"/>
    <w:uiPriority w:val="99"/>
    <w:rsid w:val="005A376C"/>
    <w:pPr>
      <w:autoSpaceDE w:val="0"/>
      <w:autoSpaceDN w:val="0"/>
      <w:adjustRightInd w:val="0"/>
      <w:ind w:rightChars="671" w:right="1409" w:firstLineChars="512" w:firstLine="1229"/>
      <w:jc w:val="distribute"/>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3"/>
    <w:qFormat/>
    <w:pPr>
      <w:keepNext/>
      <w:keepLines/>
      <w:spacing w:before="260" w:after="260" w:line="360" w:lineRule="auto"/>
      <w:outlineLvl w:val="1"/>
    </w:pPr>
    <w:rPr>
      <w:rFonts w:ascii="Arial" w:hAnsi="Arial" w:cs="Arial"/>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ind w:firstLineChars="200" w:firstLine="420"/>
    </w:pPr>
  </w:style>
  <w:style w:type="paragraph" w:styleId="a4">
    <w:name w:val="Body Text Indent"/>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0"/>
    <w:uiPriority w:val="99"/>
    <w:rPr>
      <w:rFonts w:ascii="宋体" w:hAnsi="Courier New"/>
      <w:szCs w:val="21"/>
    </w:rPr>
  </w:style>
  <w:style w:type="paragraph" w:styleId="20">
    <w:name w:val="Body Text Indent 2"/>
    <w:basedOn w:val="a"/>
    <w:pPr>
      <w:spacing w:line="560" w:lineRule="exact"/>
      <w:ind w:firstLineChars="200" w:firstLine="480"/>
    </w:pPr>
    <w:rPr>
      <w:rFonts w:ascii="宋体" w:hAnsi="宋体"/>
      <w:color w:val="FF0000"/>
      <w:sz w:val="24"/>
    </w:rPr>
  </w:style>
  <w:style w:type="paragraph" w:styleId="a6">
    <w:name w:val="footer"/>
    <w:basedOn w:val="a"/>
    <w:pPr>
      <w:tabs>
        <w:tab w:val="center" w:pos="4153"/>
        <w:tab w:val="right" w:pos="8306"/>
      </w:tabs>
      <w:snapToGrid w:val="0"/>
      <w:jc w:val="left"/>
    </w:pPr>
    <w:rPr>
      <w:sz w:val="18"/>
      <w:szCs w:val="18"/>
    </w:rPr>
  </w:style>
  <w:style w:type="character" w:styleId="a7">
    <w:name w:val="page number"/>
    <w:basedOn w:val="a0"/>
  </w:style>
  <w:style w:type="character" w:styleId="a8">
    <w:name w:val="Hyperlink"/>
    <w:basedOn w:val="a0"/>
    <w:rPr>
      <w:color w:val="0000FF"/>
      <w:u w:val="single"/>
    </w:rPr>
  </w:style>
  <w:style w:type="paragraph" w:styleId="30">
    <w:name w:val="Body Text Indent 3"/>
    <w:basedOn w:val="a"/>
    <w:pPr>
      <w:spacing w:line="560" w:lineRule="exact"/>
      <w:ind w:firstLineChars="200" w:firstLine="420"/>
    </w:pPr>
    <w:rPr>
      <w:rFonts w:ascii="Arial" w:hAnsi="Arial" w:cs="Arial"/>
      <w:color w:val="FF0000"/>
    </w:rPr>
  </w:style>
  <w:style w:type="paragraph" w:styleId="a9">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character" w:customStyle="1" w:styleId="10">
    <w:name w:val="已访问的超链接"/>
    <w:basedOn w:val="a0"/>
    <w:rPr>
      <w:color w:val="800080"/>
      <w:u w:val="single"/>
    </w:rPr>
  </w:style>
  <w:style w:type="paragraph" w:styleId="aa">
    <w:name w:val="List"/>
    <w:basedOn w:val="ab"/>
    <w:pPr>
      <w:spacing w:after="220" w:line="220" w:lineRule="atLeast"/>
      <w:ind w:left="1440" w:hanging="360"/>
    </w:pPr>
    <w:rPr>
      <w:szCs w:val="20"/>
    </w:rPr>
  </w:style>
  <w:style w:type="paragraph" w:styleId="ab">
    <w:name w:val="Body Text"/>
    <w:basedOn w:val="a"/>
    <w:pPr>
      <w:spacing w:after="120"/>
    </w:pPr>
  </w:style>
  <w:style w:type="paragraph" w:styleId="ac">
    <w:name w:val="Date"/>
    <w:basedOn w:val="a"/>
    <w:next w:val="a"/>
    <w:link w:val="Char4"/>
    <w:rPr>
      <w:sz w:val="24"/>
      <w:szCs w:val="20"/>
    </w:rPr>
  </w:style>
  <w:style w:type="character" w:customStyle="1" w:styleId="c1">
    <w:name w:val="c1"/>
    <w:basedOn w:val="a0"/>
    <w:rPr>
      <w:color w:val="000000"/>
      <w:sz w:val="18"/>
      <w:szCs w:val="18"/>
    </w:rPr>
  </w:style>
  <w:style w:type="paragraph" w:styleId="11">
    <w:name w:val="index 1"/>
    <w:basedOn w:val="a"/>
    <w:next w:val="a"/>
    <w:autoRedefine/>
    <w:semiHidden/>
    <w:pPr>
      <w:jc w:val="right"/>
    </w:pPr>
    <w:rPr>
      <w:color w:val="008000"/>
    </w:rPr>
  </w:style>
  <w:style w:type="paragraph" w:customStyle="1" w:styleId="font5">
    <w:name w:val="font5"/>
    <w:basedOn w:val="a"/>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Pr>
      <w:sz w:val="18"/>
      <w:szCs w:val="18"/>
    </w:rPr>
  </w:style>
  <w:style w:type="character" w:styleId="ae">
    <w:name w:val="annotation reference"/>
    <w:basedOn w:val="a0"/>
    <w:semiHidden/>
    <w:rPr>
      <w:sz w:val="21"/>
      <w:szCs w:val="21"/>
    </w:rPr>
  </w:style>
  <w:style w:type="paragraph" w:styleId="af">
    <w:name w:val="annotation text"/>
    <w:basedOn w:val="a"/>
    <w:semiHidden/>
    <w:pPr>
      <w:jc w:val="left"/>
    </w:pPr>
  </w:style>
  <w:style w:type="paragraph" w:styleId="af0">
    <w:name w:val="annotation subject"/>
    <w:basedOn w:val="af"/>
    <w:next w:val="af"/>
    <w:semiHidden/>
    <w:rPr>
      <w:b/>
      <w:bCs/>
    </w:rPr>
  </w:style>
  <w:style w:type="paragraph" w:customStyle="1" w:styleId="Char8">
    <w:name w:val="Char"/>
    <w:basedOn w:val="a"/>
  </w:style>
  <w:style w:type="paragraph" w:styleId="af1">
    <w:name w:val="Document Map"/>
    <w:basedOn w:val="a"/>
    <w:semiHidden/>
    <w:rsid w:val="000A549A"/>
    <w:pPr>
      <w:shd w:val="clear" w:color="auto" w:fill="000080"/>
    </w:pPr>
  </w:style>
  <w:style w:type="table" w:styleId="af2">
    <w:name w:val="Table Grid"/>
    <w:basedOn w:val="a1"/>
    <w:uiPriority w:val="99"/>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rsid w:val="000B251E"/>
    <w:pPr>
      <w:snapToGrid w:val="0"/>
      <w:jc w:val="left"/>
    </w:pPr>
    <w:rPr>
      <w:sz w:val="18"/>
      <w:szCs w:val="18"/>
    </w:rPr>
  </w:style>
  <w:style w:type="character" w:styleId="af4">
    <w:name w:val="footnote reference"/>
    <w:basedOn w:val="a0"/>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b">
    <w:name w:val="Char"/>
    <w:basedOn w:val="a"/>
    <w:rsid w:val="00D97213"/>
  </w:style>
  <w:style w:type="numbering" w:customStyle="1" w:styleId="5">
    <w:name w:val="样式5"/>
    <w:rsid w:val="00952A72"/>
    <w:pPr>
      <w:numPr>
        <w:numId w:val="8"/>
      </w:numPr>
    </w:pPr>
  </w:style>
  <w:style w:type="character" w:customStyle="1" w:styleId="t1">
    <w:name w:val="t1"/>
    <w:basedOn w:val="a0"/>
    <w:rsid w:val="002D2A00"/>
    <w:rPr>
      <w:color w:val="990000"/>
    </w:rPr>
  </w:style>
  <w:style w:type="character" w:customStyle="1" w:styleId="Char0">
    <w:name w:val="纯文本 Char"/>
    <w:basedOn w:val="a0"/>
    <w:link w:val="a5"/>
    <w:uiPriority w:val="99"/>
    <w:rsid w:val="009A045B"/>
    <w:rPr>
      <w:rFonts w:ascii="宋体" w:hAnsi="Courier New"/>
      <w:kern w:val="2"/>
      <w:sz w:val="21"/>
      <w:szCs w:val="21"/>
    </w:rPr>
  </w:style>
  <w:style w:type="character" w:customStyle="1" w:styleId="Chara">
    <w:name w:val="脚注文本 Char"/>
    <w:basedOn w:val="a0"/>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2">
    <w:name w:val="页眉 Char"/>
    <w:basedOn w:val="a0"/>
    <w:link w:val="a9"/>
    <w:uiPriority w:val="99"/>
    <w:rsid w:val="001207F2"/>
    <w:rPr>
      <w:kern w:val="2"/>
      <w:sz w:val="18"/>
      <w:szCs w:val="18"/>
    </w:rPr>
  </w:style>
  <w:style w:type="character" w:customStyle="1" w:styleId="1Char">
    <w:name w:val="标题 1 Char"/>
    <w:basedOn w:val="a0"/>
    <w:link w:val="1"/>
    <w:rsid w:val="00180952"/>
    <w:rPr>
      <w:b/>
      <w:bCs/>
      <w:kern w:val="44"/>
      <w:sz w:val="44"/>
      <w:szCs w:val="44"/>
    </w:rPr>
  </w:style>
  <w:style w:type="character" w:customStyle="1" w:styleId="Char4">
    <w:name w:val="日期 Char"/>
    <w:basedOn w:val="a0"/>
    <w:link w:val="ac"/>
    <w:rsid w:val="00D66685"/>
    <w:rPr>
      <w:kern w:val="2"/>
      <w:sz w:val="24"/>
    </w:rPr>
  </w:style>
</w:styles>
</file>

<file path=word/webSettings.xml><?xml version="1.0" encoding="utf-8"?>
<w:webSettings xmlns:r="http://schemas.openxmlformats.org/officeDocument/2006/relationships" xmlns:w="http://schemas.openxmlformats.org/wordprocessingml/2006/main">
  <w:divs>
    <w:div w:id="50465457">
      <w:bodyDiv w:val="1"/>
      <w:marLeft w:val="0"/>
      <w:marRight w:val="0"/>
      <w:marTop w:val="0"/>
      <w:marBottom w:val="0"/>
      <w:divBdr>
        <w:top w:val="none" w:sz="0" w:space="0" w:color="auto"/>
        <w:left w:val="none" w:sz="0" w:space="0" w:color="auto"/>
        <w:bottom w:val="none" w:sz="0" w:space="0" w:color="auto"/>
        <w:right w:val="none" w:sz="0" w:space="0" w:color="auto"/>
      </w:divBdr>
    </w:div>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283733999">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952980446">
      <w:bodyDiv w:val="1"/>
      <w:marLeft w:val="0"/>
      <w:marRight w:val="0"/>
      <w:marTop w:val="0"/>
      <w:marBottom w:val="0"/>
      <w:divBdr>
        <w:top w:val="none" w:sz="0" w:space="0" w:color="auto"/>
        <w:left w:val="none" w:sz="0" w:space="0" w:color="auto"/>
        <w:bottom w:val="none" w:sz="0" w:space="0" w:color="auto"/>
        <w:right w:val="none" w:sz="0" w:space="0" w:color="auto"/>
      </w:divBdr>
    </w:div>
    <w:div w:id="1017849003">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456020890">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1BFCD-C0CF-4728-BE32-AFCE59084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0</TotalTime>
  <Pages>3</Pages>
  <Words>1079</Words>
  <Characters>6156</Characters>
  <Application>Microsoft Office Word</Application>
  <DocSecurity>4</DocSecurity>
  <Lines>51</Lines>
  <Paragraphs>14</Paragraphs>
  <ScaleCrop>false</ScaleCrop>
  <Company>TRT. Ltd. Co.</Company>
  <LinksUpToDate>false</LinksUpToDate>
  <CharactersWithSpaces>7221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ZHONGM</cp:lastModifiedBy>
  <cp:revision>2</cp:revision>
  <cp:lastPrinted>2007-07-19T00:46:00Z</cp:lastPrinted>
  <dcterms:created xsi:type="dcterms:W3CDTF">2018-01-19T17:30:00Z</dcterms:created>
  <dcterms:modified xsi:type="dcterms:W3CDTF">2018-01-19T17:30:00Z</dcterms:modified>
</cp:coreProperties>
</file>