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AC" w:rsidRPr="004C4C9E" w:rsidRDefault="004061AC" w:rsidP="004C4C9E">
      <w:pPr>
        <w:autoSpaceDE w:val="0"/>
        <w:autoSpaceDN w:val="0"/>
        <w:adjustRightInd w:val="0"/>
        <w:spacing w:line="360" w:lineRule="auto"/>
        <w:jc w:val="left"/>
        <w:rPr>
          <w:rFonts w:eastAsiaTheme="minorEastAsia"/>
          <w:color w:val="000000" w:themeColor="text1"/>
          <w:kern w:val="0"/>
        </w:rPr>
      </w:pPr>
    </w:p>
    <w:p w:rsidR="004061AC" w:rsidRPr="004C4C9E" w:rsidRDefault="004061AC" w:rsidP="004C4C9E">
      <w:pPr>
        <w:autoSpaceDE w:val="0"/>
        <w:autoSpaceDN w:val="0"/>
        <w:adjustRightInd w:val="0"/>
        <w:spacing w:line="360" w:lineRule="auto"/>
        <w:jc w:val="left"/>
        <w:rPr>
          <w:rFonts w:eastAsiaTheme="minorEastAsia"/>
          <w:color w:val="000000" w:themeColor="text1"/>
          <w:kern w:val="0"/>
        </w:rPr>
      </w:pPr>
    </w:p>
    <w:p w:rsidR="000C1E17" w:rsidRPr="004C4C9E" w:rsidRDefault="000C1E17" w:rsidP="004C4C9E">
      <w:pPr>
        <w:autoSpaceDE w:val="0"/>
        <w:autoSpaceDN w:val="0"/>
        <w:adjustRightInd w:val="0"/>
        <w:spacing w:line="360" w:lineRule="auto"/>
        <w:jc w:val="left"/>
        <w:rPr>
          <w:rFonts w:eastAsiaTheme="minorEastAsia"/>
          <w:color w:val="000000" w:themeColor="text1"/>
          <w:kern w:val="0"/>
        </w:rPr>
      </w:pPr>
    </w:p>
    <w:p w:rsidR="00A97688" w:rsidRPr="004C4C9E" w:rsidRDefault="00A97688" w:rsidP="004C4C9E">
      <w:pPr>
        <w:autoSpaceDE w:val="0"/>
        <w:autoSpaceDN w:val="0"/>
        <w:adjustRightInd w:val="0"/>
        <w:spacing w:line="360" w:lineRule="auto"/>
        <w:jc w:val="left"/>
        <w:rPr>
          <w:rFonts w:eastAsiaTheme="minorEastAsia"/>
          <w:color w:val="000000" w:themeColor="text1"/>
          <w:kern w:val="0"/>
        </w:rPr>
      </w:pPr>
    </w:p>
    <w:p w:rsidR="006D4252" w:rsidRPr="00307D5B" w:rsidRDefault="006D4252" w:rsidP="004C4C9E">
      <w:pPr>
        <w:spacing w:line="360" w:lineRule="auto"/>
        <w:jc w:val="center"/>
        <w:rPr>
          <w:rFonts w:eastAsia="黑体"/>
          <w:b/>
          <w:bCs/>
          <w:color w:val="000000"/>
          <w:sz w:val="36"/>
          <w:szCs w:val="36"/>
        </w:rPr>
      </w:pPr>
      <w:bookmarkStart w:id="0" w:name="_Toc361324840"/>
      <w:r w:rsidRPr="00307D5B">
        <w:rPr>
          <w:rFonts w:eastAsia="黑体"/>
          <w:b/>
          <w:bCs/>
          <w:color w:val="000000"/>
          <w:sz w:val="36"/>
          <w:szCs w:val="36"/>
        </w:rPr>
        <w:t>中银互利半年定期开放债券型证券投资基金</w:t>
      </w:r>
      <w:bookmarkEnd w:id="0"/>
    </w:p>
    <w:p w:rsidR="006D4252" w:rsidRDefault="006D4252" w:rsidP="004C4C9E">
      <w:pPr>
        <w:spacing w:line="360" w:lineRule="auto"/>
        <w:jc w:val="center"/>
        <w:rPr>
          <w:rFonts w:eastAsia="黑体"/>
          <w:b/>
          <w:bCs/>
          <w:color w:val="000000"/>
          <w:sz w:val="36"/>
          <w:szCs w:val="36"/>
        </w:rPr>
      </w:pPr>
      <w:r w:rsidRPr="00307D5B">
        <w:rPr>
          <w:rFonts w:eastAsia="黑体"/>
          <w:b/>
          <w:bCs/>
          <w:color w:val="000000"/>
          <w:sz w:val="36"/>
          <w:szCs w:val="36"/>
        </w:rPr>
        <w:t>(</w:t>
      </w:r>
      <w:r w:rsidR="00A94C69">
        <w:rPr>
          <w:rFonts w:eastAsia="黑体" w:hint="eastAsia"/>
          <w:b/>
          <w:bCs/>
          <w:color w:val="000000"/>
          <w:sz w:val="36"/>
          <w:szCs w:val="36"/>
        </w:rPr>
        <w:t>原</w:t>
      </w:r>
      <w:bookmarkStart w:id="1" w:name="_GoBack"/>
      <w:bookmarkEnd w:id="1"/>
      <w:r w:rsidRPr="00307D5B">
        <w:rPr>
          <w:rFonts w:eastAsia="黑体"/>
          <w:b/>
          <w:bCs/>
          <w:color w:val="000000"/>
          <w:sz w:val="36"/>
          <w:szCs w:val="36"/>
        </w:rPr>
        <w:t>中银互利分级债券型证券投资基金</w:t>
      </w:r>
      <w:r w:rsidRPr="00307D5B">
        <w:rPr>
          <w:rFonts w:eastAsia="黑体"/>
          <w:b/>
          <w:bCs/>
          <w:color w:val="000000"/>
          <w:sz w:val="36"/>
          <w:szCs w:val="36"/>
        </w:rPr>
        <w:t>)</w:t>
      </w:r>
    </w:p>
    <w:p w:rsidR="00307D5B" w:rsidRPr="00307D5B" w:rsidRDefault="00307D5B" w:rsidP="00307D5B">
      <w:pPr>
        <w:spacing w:line="360" w:lineRule="auto"/>
        <w:jc w:val="center"/>
        <w:rPr>
          <w:rFonts w:eastAsiaTheme="minorEastAsia"/>
          <w:b/>
          <w:color w:val="000000" w:themeColor="text1"/>
          <w:sz w:val="36"/>
          <w:szCs w:val="36"/>
        </w:rPr>
      </w:pPr>
      <w:r w:rsidRPr="00051E3B">
        <w:rPr>
          <w:rFonts w:eastAsiaTheme="minorEastAsia"/>
          <w:b/>
          <w:color w:val="000000" w:themeColor="text1"/>
          <w:sz w:val="36"/>
          <w:szCs w:val="36"/>
        </w:rPr>
        <w:t>2017</w:t>
      </w:r>
      <w:r w:rsidRPr="00051E3B">
        <w:rPr>
          <w:rFonts w:eastAsiaTheme="minorEastAsia"/>
          <w:b/>
          <w:color w:val="000000" w:themeColor="text1"/>
          <w:sz w:val="36"/>
          <w:szCs w:val="36"/>
        </w:rPr>
        <w:t>年第</w:t>
      </w:r>
      <w:r w:rsidRPr="00051E3B">
        <w:rPr>
          <w:rFonts w:eastAsiaTheme="minorEastAsia"/>
          <w:b/>
          <w:color w:val="000000" w:themeColor="text1"/>
          <w:sz w:val="36"/>
          <w:szCs w:val="36"/>
        </w:rPr>
        <w:t>4</w:t>
      </w:r>
      <w:r w:rsidRPr="00051E3B">
        <w:rPr>
          <w:rFonts w:eastAsiaTheme="minorEastAsia"/>
          <w:b/>
          <w:color w:val="000000" w:themeColor="text1"/>
          <w:sz w:val="36"/>
          <w:szCs w:val="36"/>
        </w:rPr>
        <w:t>季度报告</w:t>
      </w:r>
    </w:p>
    <w:p w:rsidR="004061AC" w:rsidRPr="00307D5B" w:rsidRDefault="00655CD8" w:rsidP="004C4C9E">
      <w:pPr>
        <w:spacing w:line="360" w:lineRule="auto"/>
        <w:jc w:val="center"/>
        <w:rPr>
          <w:rFonts w:eastAsia="黑体"/>
          <w:b/>
          <w:color w:val="000000"/>
          <w:sz w:val="36"/>
          <w:szCs w:val="36"/>
        </w:rPr>
      </w:pPr>
      <w:r w:rsidRPr="00307D5B">
        <w:rPr>
          <w:rFonts w:eastAsia="黑体"/>
          <w:b/>
          <w:color w:val="000000"/>
          <w:sz w:val="36"/>
          <w:szCs w:val="36"/>
        </w:rPr>
        <w:t>2017</w:t>
      </w:r>
      <w:r w:rsidRPr="00307D5B">
        <w:rPr>
          <w:rFonts w:eastAsia="黑体"/>
          <w:b/>
          <w:color w:val="000000"/>
          <w:sz w:val="36"/>
          <w:szCs w:val="36"/>
        </w:rPr>
        <w:t>年</w:t>
      </w:r>
      <w:r w:rsidRPr="00307D5B">
        <w:rPr>
          <w:rFonts w:eastAsia="黑体"/>
          <w:b/>
          <w:color w:val="000000"/>
          <w:sz w:val="36"/>
          <w:szCs w:val="36"/>
        </w:rPr>
        <w:t>12</w:t>
      </w:r>
      <w:r w:rsidRPr="00307D5B">
        <w:rPr>
          <w:rFonts w:eastAsia="黑体"/>
          <w:b/>
          <w:color w:val="000000"/>
          <w:sz w:val="36"/>
          <w:szCs w:val="36"/>
        </w:rPr>
        <w:t>月</w:t>
      </w:r>
      <w:r w:rsidRPr="00307D5B">
        <w:rPr>
          <w:rFonts w:eastAsia="黑体"/>
          <w:b/>
          <w:color w:val="000000"/>
          <w:sz w:val="36"/>
          <w:szCs w:val="36"/>
        </w:rPr>
        <w:t>31</w:t>
      </w:r>
      <w:r w:rsidRPr="00307D5B">
        <w:rPr>
          <w:rFonts w:eastAsia="黑体"/>
          <w:b/>
          <w:color w:val="000000"/>
          <w:sz w:val="36"/>
          <w:szCs w:val="36"/>
        </w:rPr>
        <w:t>日</w:t>
      </w: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jc w:val="center"/>
        <w:rPr>
          <w:rFonts w:eastAsiaTheme="minorEastAsia"/>
          <w:b/>
          <w:bCs/>
          <w:color w:val="000000" w:themeColor="text1"/>
        </w:rPr>
      </w:pPr>
    </w:p>
    <w:p w:rsidR="004061AC" w:rsidRPr="004C4C9E" w:rsidRDefault="004061AC" w:rsidP="004C4C9E">
      <w:pPr>
        <w:spacing w:line="360" w:lineRule="auto"/>
        <w:rPr>
          <w:rFonts w:eastAsiaTheme="minorEastAsia"/>
          <w:b/>
          <w:bCs/>
          <w:color w:val="000000" w:themeColor="text1"/>
        </w:rPr>
      </w:pPr>
    </w:p>
    <w:p w:rsidR="004061AC" w:rsidRPr="004C4C9E" w:rsidRDefault="004061AC" w:rsidP="005A69A1">
      <w:pPr>
        <w:spacing w:line="360" w:lineRule="auto"/>
        <w:ind w:firstLineChars="833" w:firstLine="2007"/>
        <w:jc w:val="left"/>
        <w:rPr>
          <w:b/>
          <w:color w:val="000000"/>
          <w:sz w:val="24"/>
          <w:szCs w:val="24"/>
        </w:rPr>
      </w:pPr>
      <w:r w:rsidRPr="004C4C9E">
        <w:rPr>
          <w:b/>
          <w:color w:val="000000"/>
          <w:sz w:val="24"/>
          <w:szCs w:val="24"/>
        </w:rPr>
        <w:t>基金管理人：中银基金管理有限公司</w:t>
      </w:r>
    </w:p>
    <w:p w:rsidR="00251012" w:rsidRDefault="004061AC" w:rsidP="005A69A1">
      <w:pPr>
        <w:spacing w:line="360" w:lineRule="auto"/>
        <w:ind w:firstLineChars="833" w:firstLine="2007"/>
        <w:jc w:val="left"/>
        <w:rPr>
          <w:b/>
          <w:color w:val="000000"/>
          <w:sz w:val="24"/>
          <w:szCs w:val="24"/>
        </w:rPr>
      </w:pPr>
      <w:r w:rsidRPr="004C4C9E">
        <w:rPr>
          <w:b/>
          <w:color w:val="000000"/>
          <w:sz w:val="24"/>
          <w:szCs w:val="24"/>
        </w:rPr>
        <w:t>基金托管人：中国民生银行股份有限公司</w:t>
      </w:r>
    </w:p>
    <w:p w:rsidR="004061AC" w:rsidRPr="004C4C9E" w:rsidRDefault="004061AC" w:rsidP="005A69A1">
      <w:pPr>
        <w:spacing w:line="360" w:lineRule="auto"/>
        <w:ind w:firstLineChars="833" w:firstLine="2007"/>
        <w:jc w:val="left"/>
        <w:rPr>
          <w:b/>
          <w:color w:val="000000"/>
          <w:sz w:val="24"/>
          <w:szCs w:val="24"/>
        </w:rPr>
      </w:pPr>
      <w:r w:rsidRPr="004C4C9E">
        <w:rPr>
          <w:b/>
          <w:color w:val="000000"/>
          <w:sz w:val="24"/>
          <w:szCs w:val="24"/>
        </w:rPr>
        <w:t>报告送出日期：</w:t>
      </w:r>
      <w:r w:rsidR="00F16E3F" w:rsidRPr="004C4C9E">
        <w:rPr>
          <w:b/>
          <w:color w:val="000000"/>
          <w:sz w:val="24"/>
          <w:szCs w:val="24"/>
        </w:rPr>
        <w:t>二〇一八年一月十九日</w:t>
      </w:r>
    </w:p>
    <w:p w:rsidR="000F3948" w:rsidRPr="004C4C9E" w:rsidRDefault="000F3948" w:rsidP="004C4C9E">
      <w:pPr>
        <w:spacing w:line="360" w:lineRule="auto"/>
        <w:jc w:val="left"/>
        <w:rPr>
          <w:color w:val="000000"/>
        </w:rPr>
        <w:sectPr w:rsidR="000F3948" w:rsidRPr="004C4C9E" w:rsidSect="00B1315F">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p>
    <w:p w:rsidR="004061AC"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lastRenderedPageBreak/>
        <w:t xml:space="preserve">§1  </w:t>
      </w:r>
      <w:r w:rsidRPr="004C4C9E">
        <w:rPr>
          <w:color w:val="000000"/>
          <w:kern w:val="0"/>
          <w:sz w:val="21"/>
          <w:szCs w:val="21"/>
        </w:rPr>
        <w:t>重要提示</w:t>
      </w:r>
    </w:p>
    <w:p w:rsidR="0049111A" w:rsidRDefault="00CE4D5E">
      <w:pPr>
        <w:spacing w:line="360" w:lineRule="auto"/>
        <w:ind w:firstLineChars="200" w:firstLine="420"/>
        <w:rPr>
          <w:color w:val="000000"/>
        </w:rPr>
      </w:pPr>
      <w:r>
        <w:rPr>
          <w:color w:val="000000"/>
        </w:rPr>
        <w:t>基金管理人的董事会及董事保证本报告所载资料不存在虚假记载、误导性陈述或重大遗漏，并对其内容的真实性、准确性和完整性承担个别及连带责任。</w:t>
      </w:r>
      <w:r>
        <w:rPr>
          <w:color w:val="000000"/>
        </w:rPr>
        <w:t xml:space="preserve"> </w:t>
      </w:r>
    </w:p>
    <w:p w:rsidR="0049111A" w:rsidRDefault="00CE4D5E">
      <w:pPr>
        <w:spacing w:line="360" w:lineRule="auto"/>
        <w:ind w:firstLineChars="200" w:firstLine="420"/>
        <w:rPr>
          <w:color w:val="000000"/>
        </w:rPr>
      </w:pPr>
      <w:r>
        <w:rPr>
          <w:color w:val="000000"/>
        </w:rPr>
        <w:t>基金托管人中国民生银行股份有限公司根据本基金合同规定，于</w:t>
      </w:r>
      <w:r>
        <w:rPr>
          <w:color w:val="000000"/>
        </w:rPr>
        <w:t>2018</w:t>
      </w:r>
      <w:r>
        <w:rPr>
          <w:color w:val="000000"/>
        </w:rPr>
        <w:t>年</w:t>
      </w:r>
      <w:r>
        <w:rPr>
          <w:color w:val="000000"/>
        </w:rPr>
        <w:t>1</w:t>
      </w:r>
      <w:r>
        <w:rPr>
          <w:color w:val="000000"/>
        </w:rPr>
        <w:t>月</w:t>
      </w:r>
      <w:r>
        <w:rPr>
          <w:color w:val="000000"/>
        </w:rPr>
        <w:t>18</w:t>
      </w:r>
      <w:r>
        <w:rPr>
          <w:color w:val="000000"/>
        </w:rPr>
        <w:t>日复核了本报告中的财务指标、净值表现和投资组合报告等内容，保证复核内容不存在虚假记载、误导性陈述或者重大遗漏。</w:t>
      </w:r>
      <w:r>
        <w:rPr>
          <w:color w:val="000000"/>
        </w:rPr>
        <w:t xml:space="preserve"> </w:t>
      </w:r>
    </w:p>
    <w:p w:rsidR="0049111A" w:rsidRDefault="00CE4D5E">
      <w:pPr>
        <w:spacing w:line="360" w:lineRule="auto"/>
        <w:ind w:firstLineChars="200" w:firstLine="420"/>
        <w:rPr>
          <w:color w:val="000000"/>
        </w:rPr>
      </w:pPr>
      <w:r>
        <w:rPr>
          <w:color w:val="000000"/>
        </w:rPr>
        <w:t>基金管理人承诺以诚实信用、勤勉尽责的原则管理和运用基金资产，但不保证基金一定盈利。</w:t>
      </w:r>
      <w:r>
        <w:rPr>
          <w:color w:val="000000"/>
        </w:rPr>
        <w:t xml:space="preserve"> </w:t>
      </w:r>
    </w:p>
    <w:p w:rsidR="0049111A" w:rsidRDefault="00CE4D5E">
      <w:pPr>
        <w:spacing w:line="360" w:lineRule="auto"/>
        <w:ind w:firstLineChars="200" w:firstLine="420"/>
        <w:rPr>
          <w:color w:val="000000"/>
        </w:rPr>
      </w:pPr>
      <w:r>
        <w:rPr>
          <w:color w:val="000000"/>
        </w:rPr>
        <w:t>基金的过往业绩并不代表其未来表现。投资有风险，投资者在作出投资决策前应仔细阅读本基金的招募说明书。</w:t>
      </w:r>
      <w:r>
        <w:rPr>
          <w:color w:val="000000"/>
        </w:rPr>
        <w:t xml:space="preserve"> </w:t>
      </w:r>
    </w:p>
    <w:p w:rsidR="0049111A" w:rsidRDefault="00CE4D5E">
      <w:pPr>
        <w:spacing w:line="360" w:lineRule="auto"/>
        <w:ind w:firstLineChars="200" w:firstLine="420"/>
        <w:rPr>
          <w:color w:val="000000"/>
        </w:rPr>
      </w:pPr>
      <w:r>
        <w:rPr>
          <w:color w:val="000000"/>
        </w:rPr>
        <w:t>本报告中财务资料未经审计。</w:t>
      </w:r>
      <w:r>
        <w:rPr>
          <w:color w:val="000000"/>
        </w:rPr>
        <w:t xml:space="preserve"> </w:t>
      </w:r>
    </w:p>
    <w:p w:rsidR="004061AC" w:rsidRPr="004C4C9E" w:rsidRDefault="004061AC" w:rsidP="004C4C9E">
      <w:pPr>
        <w:spacing w:line="360" w:lineRule="auto"/>
        <w:ind w:firstLineChars="200" w:firstLine="420"/>
        <w:rPr>
          <w:color w:val="000000"/>
        </w:rPr>
      </w:pPr>
      <w:r w:rsidRPr="004C4C9E">
        <w:rPr>
          <w:color w:val="000000"/>
        </w:rPr>
        <w:t>本报告期自</w:t>
      </w:r>
      <w:r w:rsidRPr="004C4C9E">
        <w:rPr>
          <w:color w:val="000000"/>
        </w:rPr>
        <w:t>2017</w:t>
      </w:r>
      <w:r w:rsidRPr="004C4C9E">
        <w:rPr>
          <w:color w:val="000000"/>
        </w:rPr>
        <w:t>年</w:t>
      </w:r>
      <w:r w:rsidRPr="004C4C9E">
        <w:rPr>
          <w:color w:val="000000"/>
        </w:rPr>
        <w:t>10</w:t>
      </w:r>
      <w:r w:rsidRPr="004C4C9E">
        <w:rPr>
          <w:color w:val="000000"/>
        </w:rPr>
        <w:t>月</w:t>
      </w:r>
      <w:r w:rsidRPr="004C4C9E">
        <w:rPr>
          <w:color w:val="000000"/>
        </w:rPr>
        <w:t>1</w:t>
      </w:r>
      <w:r w:rsidRPr="004C4C9E">
        <w:rPr>
          <w:color w:val="000000"/>
        </w:rPr>
        <w:t>日起至</w:t>
      </w:r>
      <w:r w:rsidRPr="004C4C9E">
        <w:rPr>
          <w:color w:val="000000"/>
        </w:rPr>
        <w:t>12</w:t>
      </w:r>
      <w:r w:rsidRPr="004C4C9E">
        <w:rPr>
          <w:color w:val="000000"/>
        </w:rPr>
        <w:t>月</w:t>
      </w:r>
      <w:r w:rsidRPr="004C4C9E">
        <w:rPr>
          <w:color w:val="000000"/>
        </w:rPr>
        <w:t>31</w:t>
      </w:r>
      <w:r w:rsidRPr="004C4C9E">
        <w:rPr>
          <w:color w:val="000000"/>
        </w:rPr>
        <w:t>日止。</w:t>
      </w:r>
    </w:p>
    <w:p w:rsidR="004061AC"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§2  </w:t>
      </w:r>
      <w:r w:rsidRPr="004C4C9E">
        <w:rPr>
          <w:color w:val="000000"/>
          <w:kern w:val="0"/>
          <w:sz w:val="21"/>
          <w:szCs w:val="21"/>
        </w:rPr>
        <w:t>基金产品概况</w:t>
      </w:r>
    </w:p>
    <w:p w:rsidR="006D4252" w:rsidRPr="004C4C9E" w:rsidRDefault="006D4252" w:rsidP="004C4C9E">
      <w:pPr>
        <w:pStyle w:val="a0"/>
        <w:spacing w:line="360" w:lineRule="auto"/>
        <w:ind w:firstLineChars="0" w:firstLine="0"/>
        <w:outlineLvl w:val="1"/>
        <w:rPr>
          <w:b/>
        </w:rPr>
      </w:pPr>
      <w:r w:rsidRPr="004C4C9E">
        <w:rPr>
          <w:b/>
        </w:rPr>
        <w:t xml:space="preserve">2.1 </w:t>
      </w:r>
      <w:r w:rsidRPr="004C4C9E">
        <w:rPr>
          <w:b/>
        </w:rPr>
        <w:t>中银互利半年定期开放债券型证券投资基金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5479"/>
      </w:tblGrid>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基金简称</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中银互利半年定期开放债券</w:t>
            </w:r>
          </w:p>
        </w:tc>
      </w:tr>
      <w:tr w:rsidR="001539D3" w:rsidRPr="004C4C9E" w:rsidTr="00AB3C3F">
        <w:tc>
          <w:tcPr>
            <w:tcW w:w="2835" w:type="dxa"/>
            <w:tcBorders>
              <w:top w:val="single" w:sz="4" w:space="0" w:color="auto"/>
              <w:left w:val="single" w:sz="4" w:space="0" w:color="auto"/>
              <w:bottom w:val="single" w:sz="4" w:space="0" w:color="auto"/>
              <w:right w:val="single" w:sz="4" w:space="0" w:color="auto"/>
            </w:tcBorders>
            <w:vAlign w:val="center"/>
            <w:hideMark/>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163825</w:t>
            </w:r>
          </w:p>
        </w:tc>
      </w:tr>
      <w:tr w:rsidR="001539D3" w:rsidRPr="004C4C9E" w:rsidTr="00AB3C3F">
        <w:tc>
          <w:tcPr>
            <w:tcW w:w="2835" w:type="dxa"/>
            <w:tcBorders>
              <w:top w:val="single" w:sz="4" w:space="0" w:color="auto"/>
              <w:left w:val="single" w:sz="4" w:space="0" w:color="auto"/>
              <w:bottom w:val="single" w:sz="4" w:space="0" w:color="auto"/>
              <w:right w:val="single" w:sz="4" w:space="0" w:color="auto"/>
            </w:tcBorders>
            <w:vAlign w:val="center"/>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1539D3" w:rsidRPr="004C4C9E" w:rsidRDefault="001539D3"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163825</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基金运作方式</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契约型、定期开放式</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基金合同生效日</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2017</w:t>
            </w:r>
            <w:r w:rsidRPr="004C4C9E">
              <w:rPr>
                <w:rFonts w:eastAsiaTheme="minorEastAsia"/>
                <w:color w:val="000000" w:themeColor="text1"/>
                <w:kern w:val="0"/>
              </w:rPr>
              <w:t>年</w:t>
            </w:r>
            <w:r w:rsidRPr="004C4C9E">
              <w:rPr>
                <w:rFonts w:eastAsiaTheme="minorEastAsia"/>
                <w:color w:val="000000" w:themeColor="text1"/>
                <w:kern w:val="0"/>
              </w:rPr>
              <w:t>11</w:t>
            </w:r>
            <w:r w:rsidRPr="004C4C9E">
              <w:rPr>
                <w:rFonts w:eastAsiaTheme="minorEastAsia"/>
                <w:color w:val="000000" w:themeColor="text1"/>
                <w:kern w:val="0"/>
              </w:rPr>
              <w:t>月</w:t>
            </w:r>
            <w:r w:rsidRPr="004C4C9E">
              <w:rPr>
                <w:rFonts w:eastAsiaTheme="minorEastAsia"/>
                <w:color w:val="000000" w:themeColor="text1"/>
                <w:kern w:val="0"/>
              </w:rPr>
              <w:t>9</w:t>
            </w:r>
            <w:r w:rsidRPr="004C4C9E">
              <w:rPr>
                <w:rFonts w:eastAsiaTheme="minorEastAsia"/>
                <w:color w:val="000000" w:themeColor="text1"/>
                <w:kern w:val="0"/>
              </w:rPr>
              <w:t>日</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报告期末基金份额总额</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402,367,329.92</w:t>
            </w:r>
            <w:r w:rsidRPr="004C4C9E">
              <w:rPr>
                <w:rFonts w:eastAsiaTheme="minorEastAsia"/>
                <w:color w:val="000000" w:themeColor="text1"/>
                <w:kern w:val="0"/>
              </w:rPr>
              <w:t>份</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投资目标</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本基金在追求基金资产长期稳健增值的基础上，力争为基金份额持有人创造超越业绩比较基准的稳定收益。</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投资策略</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本基金以中长期利率趋势分析为基础，结合经济周期、宏观政策方向及收益率曲线分析，进行债券投资时机的选择和久期、类属配置，实施积极的债券投资组合管理，力争获取超越业绩比较基准的稳定投资收益。</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业绩比较基准</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中债综合指数</w:t>
            </w:r>
            <w:r w:rsidRPr="004C4C9E">
              <w:rPr>
                <w:rFonts w:eastAsiaTheme="minorEastAsia"/>
                <w:color w:val="000000" w:themeColor="text1"/>
                <w:kern w:val="0"/>
              </w:rPr>
              <w:t>(</w:t>
            </w:r>
            <w:r w:rsidRPr="004C4C9E">
              <w:rPr>
                <w:rFonts w:eastAsiaTheme="minorEastAsia"/>
                <w:color w:val="000000" w:themeColor="text1"/>
                <w:kern w:val="0"/>
              </w:rPr>
              <w:t>全价</w:t>
            </w:r>
            <w:r w:rsidRPr="004C4C9E">
              <w:rPr>
                <w:rFonts w:eastAsiaTheme="minorEastAsia"/>
                <w:color w:val="000000" w:themeColor="text1"/>
                <w:kern w:val="0"/>
              </w:rPr>
              <w:t>)</w:t>
            </w:r>
            <w:r w:rsidRPr="004C4C9E">
              <w:rPr>
                <w:rFonts w:eastAsiaTheme="minorEastAsia"/>
                <w:color w:val="000000" w:themeColor="text1"/>
                <w:kern w:val="0"/>
              </w:rPr>
              <w:t>收益率</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风险收益特征</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本基金为债券型基金，属于证券投资基金中的较低风险品种，本基金的预期收益和预期风险高于货币市场基金，低于混合型基金和股票型基金。</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基金管理人</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中银基金管理有限公司</w:t>
            </w:r>
          </w:p>
        </w:tc>
      </w:tr>
      <w:tr w:rsidR="001539D3" w:rsidRPr="004C4C9E" w:rsidTr="00AB3C3F">
        <w:tc>
          <w:tcPr>
            <w:tcW w:w="2835"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lastRenderedPageBreak/>
              <w:t>基金托管人</w:t>
            </w:r>
          </w:p>
        </w:tc>
        <w:tc>
          <w:tcPr>
            <w:tcW w:w="5479" w:type="dxa"/>
            <w:vAlign w:val="center"/>
          </w:tcPr>
          <w:p w:rsidR="001539D3" w:rsidRPr="004C4C9E" w:rsidRDefault="001539D3"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中国民生银行股份有限公司</w:t>
            </w:r>
          </w:p>
        </w:tc>
      </w:tr>
    </w:tbl>
    <w:p w:rsidR="00500059" w:rsidRPr="004C4C9E" w:rsidRDefault="00500059" w:rsidP="00CE4D5E">
      <w:pPr>
        <w:pStyle w:val="a0"/>
        <w:spacing w:beforeLines="50" w:line="360" w:lineRule="auto"/>
        <w:ind w:firstLineChars="0" w:firstLine="0"/>
        <w:outlineLvl w:val="1"/>
        <w:rPr>
          <w:b/>
        </w:rPr>
      </w:pPr>
      <w:r w:rsidRPr="004C4C9E">
        <w:rPr>
          <w:b/>
        </w:rPr>
        <w:t xml:space="preserve">2.2 </w:t>
      </w:r>
      <w:r w:rsidRPr="004C4C9E">
        <w:rPr>
          <w:b/>
          <w:color w:val="000000"/>
          <w:kern w:val="0"/>
        </w:rPr>
        <w:t>中银互利分级债券型证券投资基金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739"/>
        <w:gridCol w:w="2740"/>
      </w:tblGrid>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基金简称</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中银互利分级债券</w:t>
            </w:r>
          </w:p>
        </w:tc>
      </w:tr>
      <w:tr w:rsidR="0011093E" w:rsidRPr="004C4C9E" w:rsidTr="00AB3C3F">
        <w:tc>
          <w:tcPr>
            <w:tcW w:w="2835" w:type="dxa"/>
            <w:tcBorders>
              <w:top w:val="single" w:sz="4" w:space="0" w:color="auto"/>
              <w:left w:val="single" w:sz="4" w:space="0" w:color="auto"/>
              <w:bottom w:val="single" w:sz="4" w:space="0" w:color="auto"/>
              <w:right w:val="single" w:sz="4" w:space="0" w:color="auto"/>
            </w:tcBorders>
            <w:vAlign w:val="center"/>
            <w:hideMark/>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基金主代码</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163825</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基金运作方式</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契约型。本基金</w:t>
            </w:r>
            <w:r w:rsidRPr="004C4C9E">
              <w:rPr>
                <w:rFonts w:eastAsiaTheme="minorEastAsia"/>
                <w:color w:val="000000" w:themeColor="text1"/>
                <w:kern w:val="0"/>
              </w:rPr>
              <w:t>2</w:t>
            </w:r>
            <w:r w:rsidRPr="004C4C9E">
              <w:rPr>
                <w:rFonts w:eastAsiaTheme="minorEastAsia"/>
                <w:color w:val="000000" w:themeColor="text1"/>
                <w:kern w:val="0"/>
              </w:rPr>
              <w:t>年为一个分级运作周期，在每个分级运作周期内，互利</w:t>
            </w:r>
            <w:r w:rsidRPr="004C4C9E">
              <w:rPr>
                <w:rFonts w:eastAsiaTheme="minorEastAsia"/>
                <w:color w:val="000000" w:themeColor="text1"/>
                <w:kern w:val="0"/>
              </w:rPr>
              <w:t xml:space="preserve">A </w:t>
            </w:r>
            <w:r w:rsidRPr="004C4C9E">
              <w:rPr>
                <w:rFonts w:eastAsiaTheme="minorEastAsia"/>
                <w:color w:val="000000" w:themeColor="text1"/>
                <w:kern w:val="0"/>
              </w:rPr>
              <w:t>份额自分级运作周期起始日起每</w:t>
            </w:r>
            <w:r w:rsidRPr="004C4C9E">
              <w:rPr>
                <w:rFonts w:eastAsiaTheme="minorEastAsia"/>
                <w:color w:val="000000" w:themeColor="text1"/>
                <w:kern w:val="0"/>
              </w:rPr>
              <w:t>6</w:t>
            </w:r>
            <w:r w:rsidRPr="004C4C9E">
              <w:rPr>
                <w:rFonts w:eastAsiaTheme="minorEastAsia"/>
                <w:color w:val="000000" w:themeColor="text1"/>
                <w:kern w:val="0"/>
              </w:rPr>
              <w:t>个月开放一次申购、赎回，但在第四个开放日仅开放赎回，不开放申购，且互利</w:t>
            </w:r>
            <w:r w:rsidRPr="004C4C9E">
              <w:rPr>
                <w:rFonts w:eastAsiaTheme="minorEastAsia"/>
                <w:color w:val="000000" w:themeColor="text1"/>
                <w:kern w:val="0"/>
              </w:rPr>
              <w:t>A</w:t>
            </w:r>
            <w:r w:rsidRPr="004C4C9E">
              <w:rPr>
                <w:rFonts w:eastAsiaTheme="minorEastAsia"/>
                <w:color w:val="000000" w:themeColor="text1"/>
                <w:kern w:val="0"/>
              </w:rPr>
              <w:t>份额不上市交易。互利</w:t>
            </w:r>
            <w:r w:rsidRPr="004C4C9E">
              <w:rPr>
                <w:rFonts w:eastAsiaTheme="minorEastAsia"/>
                <w:color w:val="000000" w:themeColor="text1"/>
                <w:kern w:val="0"/>
              </w:rPr>
              <w:t>B</w:t>
            </w:r>
            <w:r w:rsidRPr="004C4C9E">
              <w:rPr>
                <w:rFonts w:eastAsiaTheme="minorEastAsia"/>
                <w:color w:val="000000" w:themeColor="text1"/>
                <w:kern w:val="0"/>
              </w:rPr>
              <w:t>份额上市交易，但不可申购、赎回。每两个分级运作周期之间，本基金将安排不超过十个工作日的过渡期，办理份额折算确认、互利</w:t>
            </w:r>
            <w:r w:rsidRPr="004C4C9E">
              <w:rPr>
                <w:rFonts w:eastAsiaTheme="minorEastAsia"/>
                <w:color w:val="000000" w:themeColor="text1"/>
                <w:kern w:val="0"/>
              </w:rPr>
              <w:t>B</w:t>
            </w:r>
            <w:r w:rsidRPr="004C4C9E">
              <w:rPr>
                <w:rFonts w:eastAsiaTheme="minorEastAsia"/>
                <w:color w:val="000000" w:themeColor="text1"/>
                <w:kern w:val="0"/>
              </w:rPr>
              <w:t>份额的申购、赎回以及互利</w:t>
            </w:r>
            <w:r w:rsidRPr="004C4C9E">
              <w:rPr>
                <w:rFonts w:eastAsiaTheme="minorEastAsia"/>
                <w:color w:val="000000" w:themeColor="text1"/>
                <w:kern w:val="0"/>
              </w:rPr>
              <w:t>A</w:t>
            </w:r>
            <w:r w:rsidRPr="004C4C9E">
              <w:rPr>
                <w:rFonts w:eastAsiaTheme="minorEastAsia"/>
                <w:color w:val="000000" w:themeColor="text1"/>
                <w:kern w:val="0"/>
              </w:rPr>
              <w:t>份额的申购等事宜。</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基金合同生效日</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2013</w:t>
            </w:r>
            <w:r w:rsidRPr="004C4C9E">
              <w:rPr>
                <w:rFonts w:eastAsiaTheme="minorEastAsia"/>
                <w:color w:val="000000" w:themeColor="text1"/>
                <w:kern w:val="0"/>
              </w:rPr>
              <w:t>年</w:t>
            </w:r>
            <w:r w:rsidRPr="004C4C9E">
              <w:rPr>
                <w:rFonts w:eastAsiaTheme="minorEastAsia"/>
                <w:color w:val="000000" w:themeColor="text1"/>
                <w:kern w:val="0"/>
              </w:rPr>
              <w:t>9</w:t>
            </w:r>
            <w:r w:rsidRPr="004C4C9E">
              <w:rPr>
                <w:rFonts w:eastAsiaTheme="minorEastAsia"/>
                <w:color w:val="000000" w:themeColor="text1"/>
                <w:kern w:val="0"/>
              </w:rPr>
              <w:t>月</w:t>
            </w:r>
            <w:r w:rsidRPr="004C4C9E">
              <w:rPr>
                <w:rFonts w:eastAsiaTheme="minorEastAsia"/>
                <w:color w:val="000000" w:themeColor="text1"/>
                <w:kern w:val="0"/>
              </w:rPr>
              <w:t>24</w:t>
            </w:r>
            <w:r w:rsidRPr="004C4C9E">
              <w:rPr>
                <w:rFonts w:eastAsiaTheme="minorEastAsia"/>
                <w:color w:val="000000" w:themeColor="text1"/>
                <w:kern w:val="0"/>
              </w:rPr>
              <w:t>日</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报告期末基金份额总额</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378,041,748.37</w:t>
            </w:r>
            <w:r w:rsidRPr="004C4C9E">
              <w:rPr>
                <w:rFonts w:eastAsiaTheme="minorEastAsia"/>
                <w:color w:val="000000" w:themeColor="text1"/>
                <w:kern w:val="0"/>
              </w:rPr>
              <w:t>份</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投资目标</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在合理控制风险的前提下，本基金力争获取高于业绩比较基准的投资收益。</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投资策略</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本基金采取自上而下和自下而上相结合的投资策略，在严格控制风险的前提下，实现风险和收益的最佳配比。</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业绩比较基准</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中债综合指数（全价）</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风险收益特征</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从基金整体运作来看，本基金属于中低风险品种，预期收益和预期风险高于货币市场基金，低于混合型基金和股票型基金。从两类份额看，互利</w:t>
            </w:r>
            <w:r w:rsidRPr="004C4C9E">
              <w:rPr>
                <w:rFonts w:eastAsiaTheme="minorEastAsia"/>
                <w:color w:val="000000" w:themeColor="text1"/>
                <w:kern w:val="0"/>
              </w:rPr>
              <w:t>A</w:t>
            </w:r>
            <w:r w:rsidRPr="004C4C9E">
              <w:rPr>
                <w:rFonts w:eastAsiaTheme="minorEastAsia"/>
                <w:color w:val="000000" w:themeColor="text1"/>
                <w:kern w:val="0"/>
              </w:rPr>
              <w:t>持有人的年化约定收益率为</w:t>
            </w:r>
            <w:r w:rsidRPr="004C4C9E">
              <w:rPr>
                <w:rFonts w:eastAsiaTheme="minorEastAsia"/>
                <w:color w:val="000000" w:themeColor="text1"/>
                <w:kern w:val="0"/>
              </w:rPr>
              <w:t>1.1×</w:t>
            </w:r>
            <w:r w:rsidRPr="004C4C9E">
              <w:rPr>
                <w:rFonts w:eastAsiaTheme="minorEastAsia"/>
                <w:color w:val="000000" w:themeColor="text1"/>
                <w:kern w:val="0"/>
              </w:rPr>
              <w:t>一年期定期存款利率</w:t>
            </w:r>
            <w:r w:rsidRPr="004C4C9E">
              <w:rPr>
                <w:rFonts w:eastAsiaTheme="minorEastAsia"/>
                <w:color w:val="000000" w:themeColor="text1"/>
                <w:kern w:val="0"/>
              </w:rPr>
              <w:t>+</w:t>
            </w:r>
            <w:r w:rsidRPr="004C4C9E">
              <w:rPr>
                <w:rFonts w:eastAsiaTheme="minorEastAsia"/>
                <w:color w:val="000000" w:themeColor="text1"/>
                <w:kern w:val="0"/>
              </w:rPr>
              <w:t>利差，表现出预期风险较低、预期收益相对稳定的特点。互利</w:t>
            </w:r>
            <w:r w:rsidRPr="004C4C9E">
              <w:rPr>
                <w:rFonts w:eastAsiaTheme="minorEastAsia"/>
                <w:color w:val="000000" w:themeColor="text1"/>
                <w:kern w:val="0"/>
              </w:rPr>
              <w:t>B</w:t>
            </w:r>
            <w:r w:rsidRPr="004C4C9E">
              <w:rPr>
                <w:rFonts w:eastAsiaTheme="minorEastAsia"/>
                <w:color w:val="000000" w:themeColor="text1"/>
                <w:kern w:val="0"/>
              </w:rPr>
              <w:t>获得剩余收益，带有适当的杠杆效应，表现出预期风险较高，预期收益较高的特点，其预期收益及预期风险要高于普通纯债型基金。</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基金管理人</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中银基金管理有限公司</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kern w:val="0"/>
              </w:rPr>
              <w:t>基金托管人</w:t>
            </w:r>
          </w:p>
        </w:tc>
        <w:tc>
          <w:tcPr>
            <w:tcW w:w="5479" w:type="dxa"/>
            <w:gridSpan w:val="2"/>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中国民生银行股份有限公司</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rPr>
              <w:t>下属两级基金的基金简称</w:t>
            </w:r>
          </w:p>
        </w:tc>
        <w:tc>
          <w:tcPr>
            <w:tcW w:w="2739" w:type="dxa"/>
            <w:vAlign w:val="center"/>
          </w:tcPr>
          <w:p w:rsidR="0011093E" w:rsidRPr="004C4C9E" w:rsidRDefault="0011093E" w:rsidP="004C4C9E">
            <w:pPr>
              <w:spacing w:line="276" w:lineRule="auto"/>
              <w:rPr>
                <w:rFonts w:eastAsiaTheme="minorEastAsia"/>
                <w:color w:val="000000" w:themeColor="text1"/>
                <w:kern w:val="0"/>
              </w:rPr>
            </w:pPr>
            <w:r w:rsidRPr="004C4C9E">
              <w:rPr>
                <w:rFonts w:eastAsiaTheme="minorEastAsia"/>
                <w:color w:val="000000" w:themeColor="text1"/>
                <w:kern w:val="0"/>
              </w:rPr>
              <w:t>中银互利分级债券</w:t>
            </w:r>
            <w:r w:rsidRPr="004C4C9E">
              <w:rPr>
                <w:rFonts w:eastAsiaTheme="minorEastAsia"/>
                <w:color w:val="000000" w:themeColor="text1"/>
                <w:kern w:val="0"/>
              </w:rPr>
              <w:t>A</w:t>
            </w:r>
          </w:p>
        </w:tc>
        <w:tc>
          <w:tcPr>
            <w:tcW w:w="2740" w:type="dxa"/>
            <w:vAlign w:val="center"/>
          </w:tcPr>
          <w:p w:rsidR="0011093E" w:rsidRPr="004C4C9E" w:rsidRDefault="0011093E" w:rsidP="004C4C9E">
            <w:pPr>
              <w:spacing w:line="276" w:lineRule="auto"/>
              <w:rPr>
                <w:rFonts w:eastAsiaTheme="minorEastAsia"/>
                <w:color w:val="000000" w:themeColor="text1"/>
                <w:kern w:val="0"/>
              </w:rPr>
            </w:pPr>
            <w:r w:rsidRPr="004C4C9E">
              <w:rPr>
                <w:rFonts w:eastAsiaTheme="minorEastAsia"/>
                <w:color w:val="000000" w:themeColor="text1"/>
                <w:kern w:val="0"/>
              </w:rPr>
              <w:t>中银互利分级债券</w:t>
            </w:r>
            <w:r w:rsidRPr="004C4C9E">
              <w:rPr>
                <w:rFonts w:eastAsiaTheme="minorEastAsia"/>
                <w:color w:val="000000" w:themeColor="text1"/>
                <w:kern w:val="0"/>
              </w:rPr>
              <w:t>B</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rPr>
              <w:t>下属两级基金的交易代码</w:t>
            </w:r>
          </w:p>
        </w:tc>
        <w:tc>
          <w:tcPr>
            <w:tcW w:w="2739" w:type="dxa"/>
            <w:vAlign w:val="center"/>
          </w:tcPr>
          <w:p w:rsidR="0011093E" w:rsidRPr="004C4C9E" w:rsidRDefault="0011093E" w:rsidP="004C4C9E">
            <w:pPr>
              <w:spacing w:line="276" w:lineRule="auto"/>
              <w:rPr>
                <w:rFonts w:eastAsiaTheme="minorEastAsia"/>
                <w:color w:val="000000" w:themeColor="text1"/>
                <w:kern w:val="0"/>
              </w:rPr>
            </w:pPr>
            <w:r w:rsidRPr="004C4C9E">
              <w:rPr>
                <w:rFonts w:eastAsiaTheme="minorEastAsia"/>
                <w:color w:val="000000" w:themeColor="text1"/>
                <w:kern w:val="0"/>
              </w:rPr>
              <w:t>163826</w:t>
            </w:r>
          </w:p>
        </w:tc>
        <w:tc>
          <w:tcPr>
            <w:tcW w:w="2740" w:type="dxa"/>
            <w:vAlign w:val="center"/>
          </w:tcPr>
          <w:p w:rsidR="0011093E" w:rsidRPr="004C4C9E" w:rsidRDefault="0011093E" w:rsidP="00A652D0">
            <w:pPr>
              <w:spacing w:line="276" w:lineRule="auto"/>
              <w:rPr>
                <w:rFonts w:eastAsiaTheme="minorEastAsia"/>
                <w:color w:val="000000" w:themeColor="text1"/>
                <w:kern w:val="0"/>
              </w:rPr>
            </w:pPr>
            <w:r w:rsidRPr="004C4C9E">
              <w:rPr>
                <w:rFonts w:eastAsiaTheme="minorEastAsia"/>
                <w:color w:val="000000" w:themeColor="text1"/>
                <w:kern w:val="0"/>
              </w:rPr>
              <w:t>150156</w:t>
            </w:r>
          </w:p>
        </w:tc>
      </w:tr>
      <w:tr w:rsidR="0011093E" w:rsidRPr="004C4C9E" w:rsidTr="00AB3C3F">
        <w:tc>
          <w:tcPr>
            <w:tcW w:w="2835" w:type="dxa"/>
            <w:vAlign w:val="center"/>
          </w:tcPr>
          <w:p w:rsidR="0011093E" w:rsidRPr="004C4C9E" w:rsidRDefault="0011093E" w:rsidP="004C4C9E">
            <w:pPr>
              <w:adjustRightInd w:val="0"/>
              <w:spacing w:before="29" w:line="276" w:lineRule="auto"/>
              <w:ind w:left="17"/>
              <w:rPr>
                <w:rFonts w:eastAsiaTheme="minorEastAsia"/>
                <w:color w:val="000000" w:themeColor="text1"/>
              </w:rPr>
            </w:pPr>
            <w:r w:rsidRPr="004C4C9E">
              <w:rPr>
                <w:rFonts w:eastAsiaTheme="minorEastAsia"/>
                <w:color w:val="000000" w:themeColor="text1"/>
              </w:rPr>
              <w:t>报告期末下属两级基金的份额总额</w:t>
            </w:r>
          </w:p>
        </w:tc>
        <w:tc>
          <w:tcPr>
            <w:tcW w:w="2739" w:type="dxa"/>
            <w:vAlign w:val="center"/>
          </w:tcPr>
          <w:p w:rsidR="0011093E" w:rsidRPr="004C4C9E" w:rsidRDefault="0011093E" w:rsidP="004C4C9E">
            <w:pPr>
              <w:spacing w:line="276" w:lineRule="auto"/>
              <w:rPr>
                <w:rFonts w:eastAsiaTheme="minorEastAsia"/>
                <w:color w:val="000000" w:themeColor="text1"/>
                <w:kern w:val="0"/>
              </w:rPr>
            </w:pPr>
            <w:r w:rsidRPr="004C4C9E">
              <w:rPr>
                <w:rFonts w:eastAsiaTheme="minorEastAsia"/>
                <w:color w:val="000000" w:themeColor="text1"/>
                <w:kern w:val="0"/>
              </w:rPr>
              <w:t>18,630,404.61</w:t>
            </w:r>
            <w:r w:rsidRPr="004C4C9E">
              <w:rPr>
                <w:rFonts w:eastAsiaTheme="minorEastAsia"/>
                <w:color w:val="000000" w:themeColor="text1"/>
                <w:kern w:val="0"/>
              </w:rPr>
              <w:t>份</w:t>
            </w:r>
          </w:p>
        </w:tc>
        <w:tc>
          <w:tcPr>
            <w:tcW w:w="2740" w:type="dxa"/>
            <w:vAlign w:val="center"/>
          </w:tcPr>
          <w:p w:rsidR="0011093E" w:rsidRPr="004C4C9E" w:rsidRDefault="0011093E" w:rsidP="00A652D0">
            <w:pPr>
              <w:spacing w:line="276" w:lineRule="auto"/>
              <w:rPr>
                <w:rFonts w:eastAsiaTheme="minorEastAsia"/>
                <w:color w:val="000000" w:themeColor="text1"/>
                <w:kern w:val="0"/>
              </w:rPr>
            </w:pPr>
            <w:r w:rsidRPr="004C4C9E">
              <w:rPr>
                <w:rFonts w:eastAsiaTheme="minorEastAsia"/>
                <w:color w:val="000000" w:themeColor="text1"/>
                <w:kern w:val="0"/>
              </w:rPr>
              <w:t>359,411,343.76</w:t>
            </w:r>
            <w:r w:rsidRPr="004C4C9E">
              <w:rPr>
                <w:rFonts w:eastAsiaTheme="minorEastAsia"/>
                <w:color w:val="000000" w:themeColor="text1"/>
                <w:kern w:val="0"/>
              </w:rPr>
              <w:t>份</w:t>
            </w:r>
          </w:p>
        </w:tc>
      </w:tr>
    </w:tbl>
    <w:p w:rsidR="00500059" w:rsidRPr="004C4C9E" w:rsidRDefault="00500059" w:rsidP="004C4C9E">
      <w:pPr>
        <w:autoSpaceDE w:val="0"/>
        <w:autoSpaceDN w:val="0"/>
        <w:adjustRightInd w:val="0"/>
        <w:spacing w:line="360" w:lineRule="auto"/>
        <w:ind w:firstLineChars="150" w:firstLine="315"/>
        <w:jc w:val="left"/>
        <w:rPr>
          <w:color w:val="000000"/>
          <w:kern w:val="0"/>
        </w:rPr>
      </w:pPr>
      <w:r w:rsidRPr="004C4C9E">
        <w:rPr>
          <w:color w:val="000000"/>
          <w:kern w:val="0"/>
        </w:rPr>
        <w:t>注：自原中银互利分级债券型证券投资基金的基金份额结转为中银互利半年定期开放债券型证券投资基金的基金份额的下一工作日（即</w:t>
      </w:r>
      <w:r w:rsidRPr="004C4C9E">
        <w:rPr>
          <w:color w:val="000000"/>
          <w:kern w:val="0"/>
        </w:rPr>
        <w:t xml:space="preserve"> 2017 </w:t>
      </w:r>
      <w:r w:rsidRPr="004C4C9E">
        <w:rPr>
          <w:color w:val="000000"/>
          <w:kern w:val="0"/>
        </w:rPr>
        <w:t>年</w:t>
      </w:r>
      <w:r w:rsidRPr="004C4C9E">
        <w:rPr>
          <w:color w:val="000000"/>
          <w:kern w:val="0"/>
        </w:rPr>
        <w:t xml:space="preserve"> 11 </w:t>
      </w:r>
      <w:r w:rsidRPr="004C4C9E">
        <w:rPr>
          <w:color w:val="000000"/>
          <w:kern w:val="0"/>
        </w:rPr>
        <w:t>月</w:t>
      </w:r>
      <w:r w:rsidRPr="004C4C9E">
        <w:rPr>
          <w:color w:val="000000"/>
          <w:kern w:val="0"/>
        </w:rPr>
        <w:t xml:space="preserve">9 </w:t>
      </w:r>
      <w:r w:rsidRPr="004C4C9E">
        <w:rPr>
          <w:color w:val="000000"/>
          <w:kern w:val="0"/>
        </w:rPr>
        <w:t>日）起（含该日），《中银互利半年定期开放债券型证券投资基金基金合同》生效，《中银互利分级债券型证券投资基金基金合同》同时失效。原中银互利分级债券型证券投资基金报告期为</w:t>
      </w:r>
      <w:r w:rsidRPr="004C4C9E">
        <w:rPr>
          <w:color w:val="000000"/>
          <w:kern w:val="0"/>
        </w:rPr>
        <w:t>2017</w:t>
      </w:r>
      <w:r w:rsidRPr="004C4C9E">
        <w:rPr>
          <w:color w:val="000000"/>
          <w:kern w:val="0"/>
        </w:rPr>
        <w:t>年</w:t>
      </w:r>
      <w:r w:rsidRPr="004C4C9E">
        <w:rPr>
          <w:color w:val="000000"/>
          <w:kern w:val="0"/>
        </w:rPr>
        <w:t>10</w:t>
      </w:r>
      <w:r w:rsidRPr="004C4C9E">
        <w:rPr>
          <w:color w:val="000000"/>
          <w:kern w:val="0"/>
        </w:rPr>
        <w:t>月</w:t>
      </w:r>
      <w:r w:rsidRPr="004C4C9E">
        <w:rPr>
          <w:color w:val="000000"/>
          <w:kern w:val="0"/>
        </w:rPr>
        <w:t>1</w:t>
      </w:r>
      <w:r w:rsidRPr="004C4C9E">
        <w:rPr>
          <w:color w:val="000000"/>
          <w:kern w:val="0"/>
        </w:rPr>
        <w:t>日起至</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8</w:t>
      </w:r>
      <w:r w:rsidRPr="004C4C9E">
        <w:rPr>
          <w:color w:val="000000"/>
          <w:kern w:val="0"/>
        </w:rPr>
        <w:t>日，中银互利半年定期开放债券型证券投资基金报告期为</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日至</w:t>
      </w:r>
      <w:r w:rsidRPr="004C4C9E">
        <w:rPr>
          <w:color w:val="000000"/>
          <w:kern w:val="0"/>
        </w:rPr>
        <w:t>2017</w:t>
      </w:r>
      <w:r w:rsidRPr="004C4C9E">
        <w:rPr>
          <w:color w:val="000000"/>
          <w:kern w:val="0"/>
        </w:rPr>
        <w:t>年</w:t>
      </w:r>
      <w:r w:rsidRPr="004C4C9E">
        <w:rPr>
          <w:color w:val="000000"/>
          <w:kern w:val="0"/>
        </w:rPr>
        <w:t>12</w:t>
      </w:r>
      <w:r w:rsidRPr="004C4C9E">
        <w:rPr>
          <w:color w:val="000000"/>
          <w:kern w:val="0"/>
        </w:rPr>
        <w:t>月</w:t>
      </w:r>
      <w:r w:rsidRPr="004C4C9E">
        <w:rPr>
          <w:color w:val="000000"/>
          <w:kern w:val="0"/>
        </w:rPr>
        <w:t>31</w:t>
      </w:r>
      <w:r w:rsidRPr="004C4C9E">
        <w:rPr>
          <w:color w:val="000000"/>
          <w:kern w:val="0"/>
        </w:rPr>
        <w:t>日。</w:t>
      </w:r>
    </w:p>
    <w:p w:rsidR="00412748"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§3  </w:t>
      </w:r>
      <w:r w:rsidRPr="004C4C9E">
        <w:rPr>
          <w:color w:val="000000"/>
          <w:kern w:val="0"/>
          <w:sz w:val="21"/>
          <w:szCs w:val="21"/>
        </w:rPr>
        <w:t>主要财务指标和基金净值表现</w:t>
      </w:r>
    </w:p>
    <w:p w:rsidR="004061AC" w:rsidRPr="004C4C9E" w:rsidRDefault="004061AC" w:rsidP="004C4C9E">
      <w:pPr>
        <w:pStyle w:val="2"/>
        <w:tabs>
          <w:tab w:val="left" w:pos="2580"/>
        </w:tabs>
        <w:spacing w:before="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 xml:space="preserve">3.1 </w:t>
      </w:r>
      <w:r w:rsidRPr="004C4C9E">
        <w:rPr>
          <w:rFonts w:ascii="Times New Roman" w:hAnsi="Times New Roman" w:cs="Times New Roman"/>
          <w:color w:val="000000"/>
          <w:kern w:val="0"/>
          <w:sz w:val="21"/>
          <w:szCs w:val="21"/>
        </w:rPr>
        <w:t>主要财务指标</w:t>
      </w:r>
    </w:p>
    <w:p w:rsidR="006F4C41" w:rsidRPr="004C4C9E" w:rsidRDefault="00E67FC4" w:rsidP="004C4C9E">
      <w:pPr>
        <w:pStyle w:val="3"/>
        <w:spacing w:before="0" w:after="0" w:line="360" w:lineRule="auto"/>
        <w:rPr>
          <w:bCs w:val="0"/>
          <w:color w:val="000000"/>
          <w:kern w:val="0"/>
          <w:sz w:val="21"/>
          <w:szCs w:val="21"/>
        </w:rPr>
      </w:pPr>
      <w:r w:rsidRPr="004C4C9E">
        <w:rPr>
          <w:bCs w:val="0"/>
          <w:color w:val="000000"/>
          <w:kern w:val="0"/>
          <w:sz w:val="21"/>
          <w:szCs w:val="21"/>
        </w:rPr>
        <w:t xml:space="preserve">3.1.1 </w:t>
      </w:r>
      <w:r w:rsidR="006F4C41" w:rsidRPr="004C4C9E">
        <w:rPr>
          <w:bCs w:val="0"/>
          <w:color w:val="000000"/>
          <w:kern w:val="0"/>
          <w:sz w:val="21"/>
          <w:szCs w:val="21"/>
        </w:rPr>
        <w:t>中银互利半年定期开放债券型证券投资基金</w:t>
      </w:r>
    </w:p>
    <w:p w:rsidR="004061AC" w:rsidRPr="004C4C9E" w:rsidRDefault="004061AC" w:rsidP="00A652D0">
      <w:pPr>
        <w:autoSpaceDE w:val="0"/>
        <w:autoSpaceDN w:val="0"/>
        <w:adjustRightInd w:val="0"/>
        <w:ind w:left="17" w:right="318"/>
        <w:jc w:val="right"/>
        <w:rPr>
          <w:rFonts w:eastAsiaTheme="minorEastAsia"/>
          <w:color w:val="000000" w:themeColor="text1"/>
          <w:kern w:val="0"/>
        </w:rPr>
      </w:pPr>
      <w:r w:rsidRPr="004C4C9E">
        <w:rPr>
          <w:rFonts w:eastAsiaTheme="minorEastAsia"/>
          <w:color w:val="000000" w:themeColor="text1"/>
          <w:kern w:val="0"/>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8"/>
        <w:gridCol w:w="4280"/>
      </w:tblGrid>
      <w:tr w:rsidR="00A652D0" w:rsidRPr="004C4C9E" w:rsidTr="00A652D0">
        <w:tc>
          <w:tcPr>
            <w:tcW w:w="3908" w:type="dxa"/>
            <w:vAlign w:val="center"/>
          </w:tcPr>
          <w:p w:rsidR="00A652D0" w:rsidRPr="004C4C9E" w:rsidRDefault="00A652D0" w:rsidP="004C4C9E">
            <w:pPr>
              <w:autoSpaceDE w:val="0"/>
              <w:autoSpaceDN w:val="0"/>
              <w:adjustRightInd w:val="0"/>
              <w:spacing w:line="276" w:lineRule="auto"/>
              <w:jc w:val="center"/>
              <w:rPr>
                <w:color w:val="000000"/>
                <w:kern w:val="0"/>
              </w:rPr>
            </w:pPr>
            <w:r w:rsidRPr="004C4C9E">
              <w:rPr>
                <w:color w:val="000000"/>
                <w:kern w:val="0"/>
              </w:rPr>
              <w:t>主要财务指标</w:t>
            </w:r>
          </w:p>
        </w:tc>
        <w:tc>
          <w:tcPr>
            <w:tcW w:w="4280" w:type="dxa"/>
            <w:vAlign w:val="center"/>
          </w:tcPr>
          <w:p w:rsidR="00A652D0" w:rsidRPr="004C4C9E" w:rsidRDefault="00A652D0" w:rsidP="004C4C9E">
            <w:pPr>
              <w:autoSpaceDE w:val="0"/>
              <w:autoSpaceDN w:val="0"/>
              <w:adjustRightInd w:val="0"/>
              <w:spacing w:line="276" w:lineRule="auto"/>
              <w:jc w:val="center"/>
              <w:rPr>
                <w:color w:val="000000"/>
                <w:kern w:val="0"/>
              </w:rPr>
            </w:pPr>
            <w:r w:rsidRPr="004C4C9E">
              <w:rPr>
                <w:color w:val="000000"/>
                <w:kern w:val="0"/>
              </w:rPr>
              <w:t>报告期</w:t>
            </w:r>
          </w:p>
          <w:p w:rsidR="00A652D0" w:rsidRPr="004C4C9E" w:rsidRDefault="00A652D0" w:rsidP="004C4C9E">
            <w:pPr>
              <w:autoSpaceDE w:val="0"/>
              <w:autoSpaceDN w:val="0"/>
              <w:adjustRightInd w:val="0"/>
              <w:spacing w:line="276" w:lineRule="auto"/>
              <w:jc w:val="center"/>
              <w:rPr>
                <w:color w:val="000000"/>
                <w:kern w:val="0"/>
              </w:rPr>
            </w:pP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w:t>
            </w:r>
            <w:r w:rsidRPr="004C4C9E">
              <w:rPr>
                <w:color w:val="000000"/>
                <w:kern w:val="0"/>
              </w:rPr>
              <w:t>-2017</w:t>
            </w:r>
            <w:r w:rsidRPr="004C4C9E">
              <w:rPr>
                <w:color w:val="000000"/>
                <w:kern w:val="0"/>
              </w:rPr>
              <w:t>年</w:t>
            </w:r>
            <w:r w:rsidRPr="004C4C9E">
              <w:rPr>
                <w:color w:val="000000"/>
                <w:kern w:val="0"/>
              </w:rPr>
              <w:t>12</w:t>
            </w:r>
            <w:r w:rsidRPr="004C4C9E">
              <w:rPr>
                <w:color w:val="000000"/>
                <w:kern w:val="0"/>
              </w:rPr>
              <w:t>月</w:t>
            </w:r>
            <w:r w:rsidRPr="004C4C9E">
              <w:rPr>
                <w:color w:val="000000"/>
                <w:kern w:val="0"/>
              </w:rPr>
              <w:t>31</w:t>
            </w:r>
            <w:r w:rsidRPr="004C4C9E">
              <w:rPr>
                <w:color w:val="000000"/>
                <w:kern w:val="0"/>
              </w:rPr>
              <w:t>日</w:t>
            </w:r>
            <w:r w:rsidRPr="004C4C9E">
              <w:rPr>
                <w:color w:val="000000"/>
                <w:kern w:val="0"/>
              </w:rPr>
              <w:t>)</w:t>
            </w:r>
          </w:p>
        </w:tc>
      </w:tr>
      <w:tr w:rsidR="00A652D0" w:rsidRPr="004C4C9E" w:rsidTr="00A652D0">
        <w:tc>
          <w:tcPr>
            <w:tcW w:w="3908" w:type="dxa"/>
            <w:vAlign w:val="center"/>
          </w:tcPr>
          <w:p w:rsidR="00A652D0" w:rsidRPr="004C4C9E" w:rsidRDefault="00A652D0" w:rsidP="004C4C9E">
            <w:pPr>
              <w:autoSpaceDE w:val="0"/>
              <w:autoSpaceDN w:val="0"/>
              <w:adjustRightInd w:val="0"/>
              <w:spacing w:line="276" w:lineRule="auto"/>
              <w:jc w:val="left"/>
              <w:rPr>
                <w:color w:val="000000"/>
                <w:kern w:val="0"/>
              </w:rPr>
            </w:pPr>
            <w:r w:rsidRPr="004C4C9E">
              <w:rPr>
                <w:color w:val="000000"/>
                <w:kern w:val="0"/>
              </w:rPr>
              <w:t>1.</w:t>
            </w:r>
            <w:r w:rsidRPr="004C4C9E">
              <w:rPr>
                <w:color w:val="000000"/>
                <w:kern w:val="0"/>
              </w:rPr>
              <w:t>本期已实现收益</w:t>
            </w:r>
          </w:p>
        </w:tc>
        <w:tc>
          <w:tcPr>
            <w:tcW w:w="4280" w:type="dxa"/>
            <w:vAlign w:val="center"/>
          </w:tcPr>
          <w:p w:rsidR="00A652D0" w:rsidRPr="004C4C9E" w:rsidRDefault="00A652D0" w:rsidP="004C4C9E">
            <w:pPr>
              <w:autoSpaceDE w:val="0"/>
              <w:autoSpaceDN w:val="0"/>
              <w:adjustRightInd w:val="0"/>
              <w:spacing w:line="276" w:lineRule="auto"/>
              <w:jc w:val="right"/>
              <w:rPr>
                <w:color w:val="000000"/>
                <w:kern w:val="0"/>
              </w:rPr>
            </w:pPr>
            <w:r w:rsidRPr="004C4C9E">
              <w:rPr>
                <w:color w:val="000000"/>
                <w:kern w:val="0"/>
              </w:rPr>
              <w:t>4,244,698.26</w:t>
            </w:r>
          </w:p>
        </w:tc>
      </w:tr>
      <w:tr w:rsidR="00A652D0" w:rsidRPr="004C4C9E" w:rsidTr="00A652D0">
        <w:tc>
          <w:tcPr>
            <w:tcW w:w="3908" w:type="dxa"/>
            <w:vAlign w:val="center"/>
          </w:tcPr>
          <w:p w:rsidR="00A652D0" w:rsidRPr="004C4C9E" w:rsidRDefault="00A652D0" w:rsidP="004C4C9E">
            <w:pPr>
              <w:autoSpaceDE w:val="0"/>
              <w:autoSpaceDN w:val="0"/>
              <w:adjustRightInd w:val="0"/>
              <w:spacing w:line="276" w:lineRule="auto"/>
              <w:jc w:val="left"/>
              <w:rPr>
                <w:color w:val="000000"/>
                <w:kern w:val="0"/>
              </w:rPr>
            </w:pPr>
            <w:r w:rsidRPr="004C4C9E">
              <w:rPr>
                <w:color w:val="000000"/>
                <w:kern w:val="0"/>
              </w:rPr>
              <w:t>2.</w:t>
            </w:r>
            <w:r w:rsidRPr="004C4C9E">
              <w:rPr>
                <w:color w:val="000000"/>
                <w:kern w:val="0"/>
              </w:rPr>
              <w:t>本期利润</w:t>
            </w:r>
          </w:p>
        </w:tc>
        <w:tc>
          <w:tcPr>
            <w:tcW w:w="4280" w:type="dxa"/>
            <w:vAlign w:val="center"/>
          </w:tcPr>
          <w:p w:rsidR="00A652D0" w:rsidRPr="004C4C9E" w:rsidRDefault="00A652D0" w:rsidP="004C4C9E">
            <w:pPr>
              <w:autoSpaceDE w:val="0"/>
              <w:autoSpaceDN w:val="0"/>
              <w:adjustRightInd w:val="0"/>
              <w:spacing w:line="276" w:lineRule="auto"/>
              <w:jc w:val="right"/>
              <w:rPr>
                <w:color w:val="000000"/>
                <w:kern w:val="0"/>
              </w:rPr>
            </w:pPr>
            <w:r w:rsidRPr="004C4C9E">
              <w:rPr>
                <w:color w:val="000000"/>
                <w:kern w:val="0"/>
              </w:rPr>
              <w:t>-950,118.53</w:t>
            </w:r>
          </w:p>
        </w:tc>
      </w:tr>
      <w:tr w:rsidR="00A652D0" w:rsidRPr="004C4C9E" w:rsidTr="00A652D0">
        <w:tc>
          <w:tcPr>
            <w:tcW w:w="3908" w:type="dxa"/>
            <w:vAlign w:val="center"/>
          </w:tcPr>
          <w:p w:rsidR="00A652D0" w:rsidRPr="004C4C9E" w:rsidRDefault="00A652D0" w:rsidP="004C4C9E">
            <w:pPr>
              <w:autoSpaceDE w:val="0"/>
              <w:autoSpaceDN w:val="0"/>
              <w:adjustRightInd w:val="0"/>
              <w:spacing w:line="276" w:lineRule="auto"/>
              <w:jc w:val="left"/>
              <w:rPr>
                <w:color w:val="000000"/>
                <w:kern w:val="0"/>
              </w:rPr>
            </w:pPr>
            <w:r w:rsidRPr="004C4C9E">
              <w:rPr>
                <w:color w:val="000000"/>
                <w:kern w:val="0"/>
              </w:rPr>
              <w:t>3.</w:t>
            </w:r>
            <w:r w:rsidRPr="004C4C9E">
              <w:rPr>
                <w:color w:val="000000"/>
                <w:kern w:val="0"/>
              </w:rPr>
              <w:t>加权平均基金份额本期利润</w:t>
            </w:r>
          </w:p>
        </w:tc>
        <w:tc>
          <w:tcPr>
            <w:tcW w:w="4280" w:type="dxa"/>
            <w:vAlign w:val="center"/>
          </w:tcPr>
          <w:p w:rsidR="00A652D0" w:rsidRPr="004C4C9E" w:rsidRDefault="00A652D0" w:rsidP="004C4C9E">
            <w:pPr>
              <w:autoSpaceDE w:val="0"/>
              <w:autoSpaceDN w:val="0"/>
              <w:adjustRightInd w:val="0"/>
              <w:spacing w:line="276" w:lineRule="auto"/>
              <w:jc w:val="right"/>
              <w:rPr>
                <w:color w:val="000000"/>
                <w:kern w:val="0"/>
              </w:rPr>
            </w:pPr>
            <w:r w:rsidRPr="004C4C9E">
              <w:rPr>
                <w:color w:val="000000"/>
                <w:kern w:val="0"/>
              </w:rPr>
              <w:t>-0.0023</w:t>
            </w:r>
          </w:p>
        </w:tc>
      </w:tr>
      <w:tr w:rsidR="00A652D0" w:rsidRPr="004C4C9E" w:rsidTr="00A652D0">
        <w:tc>
          <w:tcPr>
            <w:tcW w:w="3908" w:type="dxa"/>
            <w:vAlign w:val="center"/>
          </w:tcPr>
          <w:p w:rsidR="00A652D0" w:rsidRPr="004C4C9E" w:rsidRDefault="00A652D0" w:rsidP="004C4C9E">
            <w:pPr>
              <w:autoSpaceDE w:val="0"/>
              <w:autoSpaceDN w:val="0"/>
              <w:adjustRightInd w:val="0"/>
              <w:spacing w:line="276" w:lineRule="auto"/>
              <w:jc w:val="left"/>
              <w:rPr>
                <w:color w:val="000000"/>
                <w:kern w:val="0"/>
              </w:rPr>
            </w:pPr>
            <w:r w:rsidRPr="004C4C9E">
              <w:rPr>
                <w:color w:val="000000"/>
                <w:kern w:val="0"/>
              </w:rPr>
              <w:t>4.</w:t>
            </w:r>
            <w:r w:rsidRPr="004C4C9E">
              <w:rPr>
                <w:color w:val="000000"/>
                <w:kern w:val="0"/>
              </w:rPr>
              <w:t>期末基金资产净值</w:t>
            </w:r>
          </w:p>
        </w:tc>
        <w:tc>
          <w:tcPr>
            <w:tcW w:w="4280" w:type="dxa"/>
            <w:vAlign w:val="center"/>
          </w:tcPr>
          <w:p w:rsidR="00A652D0" w:rsidRPr="004C4C9E" w:rsidRDefault="00A652D0" w:rsidP="004C4C9E">
            <w:pPr>
              <w:autoSpaceDE w:val="0"/>
              <w:autoSpaceDN w:val="0"/>
              <w:adjustRightInd w:val="0"/>
              <w:spacing w:line="276" w:lineRule="auto"/>
              <w:jc w:val="right"/>
              <w:rPr>
                <w:color w:val="000000"/>
                <w:kern w:val="0"/>
              </w:rPr>
            </w:pPr>
            <w:r w:rsidRPr="004C4C9E">
              <w:rPr>
                <w:color w:val="000000"/>
                <w:kern w:val="0"/>
              </w:rPr>
              <w:t>402,454,366.54</w:t>
            </w:r>
          </w:p>
        </w:tc>
      </w:tr>
      <w:tr w:rsidR="00A652D0" w:rsidRPr="004C4C9E" w:rsidTr="00A652D0">
        <w:trPr>
          <w:trHeight w:val="158"/>
        </w:trPr>
        <w:tc>
          <w:tcPr>
            <w:tcW w:w="3908" w:type="dxa"/>
            <w:vAlign w:val="center"/>
          </w:tcPr>
          <w:p w:rsidR="00A652D0" w:rsidRPr="004C4C9E" w:rsidRDefault="00A652D0" w:rsidP="004C4C9E">
            <w:pPr>
              <w:autoSpaceDE w:val="0"/>
              <w:autoSpaceDN w:val="0"/>
              <w:adjustRightInd w:val="0"/>
              <w:spacing w:line="276" w:lineRule="auto"/>
              <w:jc w:val="left"/>
              <w:rPr>
                <w:color w:val="000000"/>
                <w:kern w:val="0"/>
              </w:rPr>
            </w:pPr>
            <w:r w:rsidRPr="004C4C9E">
              <w:rPr>
                <w:color w:val="000000"/>
                <w:kern w:val="0"/>
              </w:rPr>
              <w:t>5.</w:t>
            </w:r>
            <w:r w:rsidRPr="004C4C9E">
              <w:rPr>
                <w:color w:val="000000"/>
                <w:kern w:val="0"/>
              </w:rPr>
              <w:t>期末基金份额净值</w:t>
            </w:r>
          </w:p>
        </w:tc>
        <w:tc>
          <w:tcPr>
            <w:tcW w:w="4280" w:type="dxa"/>
            <w:vAlign w:val="center"/>
          </w:tcPr>
          <w:p w:rsidR="00A652D0" w:rsidRPr="004C4C9E" w:rsidRDefault="00A652D0" w:rsidP="004C4C9E">
            <w:pPr>
              <w:autoSpaceDE w:val="0"/>
              <w:autoSpaceDN w:val="0"/>
              <w:adjustRightInd w:val="0"/>
              <w:spacing w:line="276" w:lineRule="auto"/>
              <w:jc w:val="right"/>
              <w:rPr>
                <w:color w:val="000000"/>
                <w:kern w:val="0"/>
              </w:rPr>
            </w:pPr>
            <w:r w:rsidRPr="004C4C9E">
              <w:rPr>
                <w:color w:val="000000"/>
                <w:kern w:val="0"/>
              </w:rPr>
              <w:t>1.0002</w:t>
            </w:r>
          </w:p>
        </w:tc>
      </w:tr>
    </w:tbl>
    <w:p w:rsidR="004061AC" w:rsidRPr="004C4C9E" w:rsidRDefault="004061AC" w:rsidP="004C4C9E">
      <w:pPr>
        <w:autoSpaceDE w:val="0"/>
        <w:autoSpaceDN w:val="0"/>
        <w:adjustRightInd w:val="0"/>
        <w:spacing w:line="360" w:lineRule="auto"/>
        <w:ind w:firstLineChars="150" w:firstLine="315"/>
        <w:jc w:val="left"/>
        <w:rPr>
          <w:color w:val="000000"/>
          <w:kern w:val="0"/>
        </w:rPr>
      </w:pPr>
      <w:r w:rsidRPr="004C4C9E">
        <w:rPr>
          <w:color w:val="000000"/>
          <w:kern w:val="0"/>
        </w:rPr>
        <w:t>注：原中银互利分级债券型证券投资基金于</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日转型为中银互利半年定期开放债券型证券投资基金，中银互利半年定期开放债券型证券投资基金报告期为</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日至</w:t>
      </w:r>
      <w:r w:rsidRPr="004C4C9E">
        <w:rPr>
          <w:color w:val="000000"/>
          <w:kern w:val="0"/>
        </w:rPr>
        <w:t>2017</w:t>
      </w:r>
      <w:r w:rsidRPr="004C4C9E">
        <w:rPr>
          <w:color w:val="000000"/>
          <w:kern w:val="0"/>
        </w:rPr>
        <w:t>年</w:t>
      </w:r>
      <w:r w:rsidRPr="004C4C9E">
        <w:rPr>
          <w:color w:val="000000"/>
          <w:kern w:val="0"/>
        </w:rPr>
        <w:t>12</w:t>
      </w:r>
      <w:r w:rsidRPr="004C4C9E">
        <w:rPr>
          <w:color w:val="000000"/>
          <w:kern w:val="0"/>
        </w:rPr>
        <w:t>月</w:t>
      </w:r>
      <w:r w:rsidRPr="004C4C9E">
        <w:rPr>
          <w:color w:val="000000"/>
          <w:kern w:val="0"/>
        </w:rPr>
        <w:t>31</w:t>
      </w:r>
      <w:r w:rsidRPr="004C4C9E">
        <w:rPr>
          <w:color w:val="000000"/>
          <w:kern w:val="0"/>
        </w:rPr>
        <w:t>日，不足一季。</w:t>
      </w:r>
    </w:p>
    <w:p w:rsidR="004061AC" w:rsidRPr="004C4C9E" w:rsidRDefault="006F4C41" w:rsidP="00CE4D5E">
      <w:pPr>
        <w:pStyle w:val="3"/>
        <w:spacing w:beforeLines="50" w:after="0" w:line="360" w:lineRule="auto"/>
        <w:rPr>
          <w:rFonts w:eastAsiaTheme="minorEastAsia"/>
          <w:bCs w:val="0"/>
          <w:color w:val="000000" w:themeColor="text1"/>
          <w:sz w:val="21"/>
          <w:szCs w:val="21"/>
        </w:rPr>
      </w:pPr>
      <w:r w:rsidRPr="004C4C9E">
        <w:rPr>
          <w:rFonts w:eastAsiaTheme="minorEastAsia"/>
          <w:bCs w:val="0"/>
          <w:color w:val="000000" w:themeColor="text1"/>
          <w:sz w:val="21"/>
          <w:szCs w:val="21"/>
        </w:rPr>
        <w:t xml:space="preserve">3.1.2 </w:t>
      </w:r>
      <w:r w:rsidRPr="004C4C9E">
        <w:rPr>
          <w:rFonts w:eastAsiaTheme="minorEastAsia"/>
          <w:bCs w:val="0"/>
          <w:color w:val="000000" w:themeColor="text1"/>
          <w:sz w:val="21"/>
          <w:szCs w:val="21"/>
        </w:rPr>
        <w:t>中银互利分级债券型证券投资基金</w:t>
      </w:r>
    </w:p>
    <w:p w:rsidR="006F4C41" w:rsidRPr="004C4C9E" w:rsidRDefault="006F4C41" w:rsidP="00391E57">
      <w:pPr>
        <w:autoSpaceDE w:val="0"/>
        <w:autoSpaceDN w:val="0"/>
        <w:adjustRightInd w:val="0"/>
        <w:ind w:left="17" w:right="318"/>
        <w:jc w:val="right"/>
        <w:rPr>
          <w:rFonts w:eastAsiaTheme="minorEastAsia"/>
          <w:color w:val="000000" w:themeColor="text1"/>
          <w:kern w:val="0"/>
        </w:rPr>
      </w:pPr>
      <w:r w:rsidRPr="004C4C9E">
        <w:rPr>
          <w:rFonts w:eastAsiaTheme="minorEastAsia"/>
          <w:color w:val="000000" w:themeColor="text1"/>
          <w:kern w:val="0"/>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
        <w:gridCol w:w="5811"/>
      </w:tblGrid>
      <w:tr w:rsidR="007B5EB7" w:rsidRPr="004C4C9E" w:rsidTr="007B5EB7">
        <w:trPr>
          <w:trHeight w:val="1134"/>
        </w:trPr>
        <w:tc>
          <w:tcPr>
            <w:tcW w:w="2552" w:type="dxa"/>
            <w:vAlign w:val="center"/>
          </w:tcPr>
          <w:p w:rsidR="007B5EB7" w:rsidRPr="004C4C9E" w:rsidRDefault="007B5EB7"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主要财务指标</w:t>
            </w:r>
          </w:p>
        </w:tc>
        <w:tc>
          <w:tcPr>
            <w:tcW w:w="5812" w:type="dxa"/>
            <w:hMerge w:val="restart"/>
            <w:vAlign w:val="center"/>
          </w:tcPr>
          <w:p w:rsidR="007B5EB7" w:rsidRPr="004C4C9E" w:rsidRDefault="007B5EB7" w:rsidP="004C4C9E">
            <w:pPr>
              <w:adjustRightInd w:val="0"/>
              <w:spacing w:before="29" w:line="276" w:lineRule="auto"/>
              <w:ind w:left="17"/>
              <w:jc w:val="center"/>
              <w:rPr>
                <w:rFonts w:eastAsiaTheme="minorEastAsia"/>
                <w:color w:val="000000" w:themeColor="text1"/>
              </w:rPr>
            </w:pPr>
            <w:r w:rsidRPr="004C4C9E">
              <w:rPr>
                <w:rFonts w:eastAsiaTheme="minorEastAsia"/>
                <w:color w:val="000000" w:themeColor="text1"/>
              </w:rPr>
              <w:t>报告期</w:t>
            </w:r>
          </w:p>
          <w:p w:rsidR="007B5EB7" w:rsidRPr="004C4C9E" w:rsidRDefault="00E265A8" w:rsidP="00627ADC">
            <w:pPr>
              <w:adjustRightInd w:val="0"/>
              <w:spacing w:before="29" w:line="276" w:lineRule="auto"/>
              <w:ind w:left="17"/>
              <w:jc w:val="center"/>
              <w:rPr>
                <w:rFonts w:eastAsiaTheme="minorEastAsia"/>
                <w:color w:val="000000" w:themeColor="text1"/>
              </w:rPr>
            </w:pPr>
            <w:r w:rsidRPr="004C4C9E">
              <w:rPr>
                <w:color w:val="000000"/>
                <w:kern w:val="0"/>
              </w:rPr>
              <w:t>(2017</w:t>
            </w:r>
            <w:r w:rsidRPr="004C4C9E">
              <w:rPr>
                <w:color w:val="000000"/>
                <w:kern w:val="0"/>
              </w:rPr>
              <w:t>年</w:t>
            </w:r>
            <w:r w:rsidRPr="004C4C9E">
              <w:rPr>
                <w:color w:val="000000"/>
                <w:kern w:val="0"/>
              </w:rPr>
              <w:t>10</w:t>
            </w:r>
            <w:r w:rsidRPr="004C4C9E">
              <w:rPr>
                <w:color w:val="000000"/>
                <w:kern w:val="0"/>
              </w:rPr>
              <w:t>月</w:t>
            </w:r>
            <w:r w:rsidRPr="004C4C9E">
              <w:rPr>
                <w:color w:val="000000"/>
                <w:kern w:val="0"/>
              </w:rPr>
              <w:t>1</w:t>
            </w:r>
            <w:r w:rsidRPr="004C4C9E">
              <w:rPr>
                <w:color w:val="000000"/>
                <w:kern w:val="0"/>
              </w:rPr>
              <w:t>日</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8</w:t>
            </w:r>
            <w:r w:rsidRPr="004C4C9E">
              <w:rPr>
                <w:color w:val="000000"/>
                <w:kern w:val="0"/>
              </w:rPr>
              <w:t>日</w:t>
            </w:r>
            <w:r w:rsidRPr="004C4C9E">
              <w:rPr>
                <w:color w:val="000000"/>
                <w:kern w:val="0"/>
              </w:rPr>
              <w:t>)</w:t>
            </w:r>
          </w:p>
        </w:tc>
        <w:tc>
          <w:tcPr>
            <w:tcW w:w="2835" w:type="dxa"/>
            <w:hMerge/>
            <w:vAlign w:val="center"/>
          </w:tcPr>
          <w:p w:rsidR="007B5EB7" w:rsidRPr="004C4C9E" w:rsidRDefault="007B5EB7" w:rsidP="004C4C9E">
            <w:pPr>
              <w:adjustRightInd w:val="0"/>
              <w:spacing w:before="29" w:line="276" w:lineRule="auto"/>
              <w:ind w:left="17"/>
              <w:jc w:val="center"/>
              <w:rPr>
                <w:rFonts w:eastAsiaTheme="minorEastAsia"/>
                <w:color w:val="000000" w:themeColor="text1"/>
              </w:rPr>
            </w:pPr>
            <w:r w:rsidRPr="00051E3B">
              <w:rPr>
                <w:rFonts w:eastAsiaTheme="minorEastAsia"/>
                <w:color w:val="000000" w:themeColor="text1"/>
              </w:rPr>
              <w:t>上期金额</w:t>
            </w:r>
          </w:p>
        </w:tc>
      </w:tr>
      <w:tr w:rsidR="006F4C41" w:rsidRPr="004C4C9E" w:rsidTr="006F4C41">
        <w:tc>
          <w:tcPr>
            <w:tcW w:w="2552" w:type="dxa"/>
            <w:vAlign w:val="center"/>
          </w:tcPr>
          <w:p w:rsidR="006F4C41" w:rsidRPr="004C4C9E" w:rsidRDefault="006F4C41"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1.</w:t>
            </w:r>
            <w:r w:rsidRPr="004C4C9E">
              <w:rPr>
                <w:rFonts w:eastAsiaTheme="minorEastAsia"/>
                <w:color w:val="000000" w:themeColor="text1"/>
                <w:kern w:val="0"/>
              </w:rPr>
              <w:t>本期已实现收益</w:t>
            </w:r>
          </w:p>
        </w:tc>
        <w:tc>
          <w:tcPr>
            <w:tcW w:w="5812" w:type="dxa"/>
            <w:hMerge w:val="restart"/>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-33,803,733.27</w:t>
            </w:r>
          </w:p>
        </w:tc>
        <w:tc>
          <w:tcPr>
            <w:tcW w:w="2835" w:type="dxa"/>
            <w:hMerge/>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w:t>
            </w:r>
          </w:p>
        </w:tc>
      </w:tr>
      <w:tr w:rsidR="006F4C41" w:rsidRPr="004C4C9E" w:rsidTr="006F4C41">
        <w:tc>
          <w:tcPr>
            <w:tcW w:w="2552" w:type="dxa"/>
            <w:vAlign w:val="center"/>
          </w:tcPr>
          <w:p w:rsidR="006F4C41" w:rsidRPr="004C4C9E" w:rsidRDefault="006F4C41"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2.</w:t>
            </w:r>
            <w:r w:rsidRPr="004C4C9E">
              <w:rPr>
                <w:rFonts w:eastAsiaTheme="minorEastAsia"/>
                <w:color w:val="000000" w:themeColor="text1"/>
                <w:kern w:val="0"/>
              </w:rPr>
              <w:t>本期利润</w:t>
            </w:r>
          </w:p>
        </w:tc>
        <w:tc>
          <w:tcPr>
            <w:tcW w:w="5812" w:type="dxa"/>
            <w:hMerge w:val="restart"/>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5,330,163.87</w:t>
            </w:r>
          </w:p>
        </w:tc>
        <w:tc>
          <w:tcPr>
            <w:tcW w:w="2835" w:type="dxa"/>
            <w:hMerge/>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w:t>
            </w:r>
          </w:p>
        </w:tc>
      </w:tr>
      <w:tr w:rsidR="006F4C41" w:rsidRPr="004C4C9E" w:rsidTr="006F4C41">
        <w:tc>
          <w:tcPr>
            <w:tcW w:w="2552" w:type="dxa"/>
            <w:vAlign w:val="center"/>
          </w:tcPr>
          <w:p w:rsidR="006F4C41" w:rsidRPr="004C4C9E" w:rsidRDefault="006F4C41"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3.</w:t>
            </w:r>
            <w:r w:rsidRPr="004C4C9E">
              <w:rPr>
                <w:rFonts w:eastAsiaTheme="minorEastAsia"/>
                <w:color w:val="000000" w:themeColor="text1"/>
                <w:kern w:val="0"/>
              </w:rPr>
              <w:t>加权平均基金份额本期利润</w:t>
            </w:r>
          </w:p>
        </w:tc>
        <w:tc>
          <w:tcPr>
            <w:tcW w:w="5812" w:type="dxa"/>
            <w:hMerge w:val="restart"/>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0.0086</w:t>
            </w:r>
          </w:p>
        </w:tc>
        <w:tc>
          <w:tcPr>
            <w:tcW w:w="2835" w:type="dxa"/>
            <w:hMerge/>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w:t>
            </w:r>
          </w:p>
        </w:tc>
      </w:tr>
      <w:tr w:rsidR="006F4C41" w:rsidRPr="004C4C9E" w:rsidTr="006F4C41">
        <w:tc>
          <w:tcPr>
            <w:tcW w:w="2552" w:type="dxa"/>
            <w:vAlign w:val="center"/>
          </w:tcPr>
          <w:p w:rsidR="006F4C41" w:rsidRPr="004C4C9E" w:rsidRDefault="006F4C41"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4.</w:t>
            </w:r>
            <w:r w:rsidRPr="004C4C9E">
              <w:rPr>
                <w:rFonts w:eastAsiaTheme="minorEastAsia"/>
                <w:color w:val="000000" w:themeColor="text1"/>
                <w:kern w:val="0"/>
              </w:rPr>
              <w:t>期末基金资产净值</w:t>
            </w:r>
          </w:p>
        </w:tc>
        <w:tc>
          <w:tcPr>
            <w:tcW w:w="5812" w:type="dxa"/>
            <w:hMerge w:val="restart"/>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378,767,909.52</w:t>
            </w:r>
          </w:p>
        </w:tc>
        <w:tc>
          <w:tcPr>
            <w:tcW w:w="2835" w:type="dxa"/>
            <w:hMerge/>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w:t>
            </w:r>
          </w:p>
        </w:tc>
      </w:tr>
      <w:tr w:rsidR="006F4C41" w:rsidRPr="004C4C9E" w:rsidTr="006F4C41">
        <w:trPr>
          <w:trHeight w:val="158"/>
        </w:trPr>
        <w:tc>
          <w:tcPr>
            <w:tcW w:w="2552" w:type="dxa"/>
            <w:vAlign w:val="center"/>
          </w:tcPr>
          <w:p w:rsidR="006F4C41" w:rsidRPr="004C4C9E" w:rsidRDefault="006F4C41" w:rsidP="004C4C9E">
            <w:pPr>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5.</w:t>
            </w:r>
            <w:r w:rsidRPr="004C4C9E">
              <w:rPr>
                <w:rFonts w:eastAsiaTheme="minorEastAsia"/>
                <w:color w:val="000000" w:themeColor="text1"/>
                <w:kern w:val="0"/>
              </w:rPr>
              <w:t>期末基金份额净值</w:t>
            </w:r>
          </w:p>
        </w:tc>
        <w:tc>
          <w:tcPr>
            <w:tcW w:w="5812" w:type="dxa"/>
            <w:hMerge w:val="restart"/>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1.0019</w:t>
            </w:r>
          </w:p>
        </w:tc>
        <w:tc>
          <w:tcPr>
            <w:tcW w:w="2835" w:type="dxa"/>
            <w:hMerge/>
            <w:vAlign w:val="center"/>
          </w:tcPr>
          <w:p w:rsidR="006F4C41" w:rsidRPr="004C4C9E" w:rsidRDefault="006F4C41" w:rsidP="004C4C9E">
            <w:pPr>
              <w:adjustRightInd w:val="0"/>
              <w:spacing w:before="29" w:line="276" w:lineRule="auto"/>
              <w:ind w:left="17"/>
              <w:jc w:val="right"/>
              <w:rPr>
                <w:rFonts w:eastAsiaTheme="minorEastAsia"/>
                <w:color w:val="000000" w:themeColor="text1"/>
              </w:rPr>
            </w:pPr>
            <w:r w:rsidRPr="004C4C9E">
              <w:rPr>
                <w:rFonts w:eastAsiaTheme="minorEastAsia"/>
                <w:color w:val="000000" w:themeColor="text1"/>
              </w:rPr>
              <w:t>-</w:t>
            </w:r>
          </w:p>
        </w:tc>
      </w:tr>
    </w:tbl>
    <w:p w:rsidR="006F4C41" w:rsidRPr="004C4C9E" w:rsidRDefault="006F4C41" w:rsidP="004C4C9E">
      <w:pPr>
        <w:autoSpaceDE w:val="0"/>
        <w:autoSpaceDN w:val="0"/>
        <w:adjustRightInd w:val="0"/>
        <w:spacing w:line="360" w:lineRule="auto"/>
        <w:ind w:firstLineChars="150" w:firstLine="315"/>
        <w:jc w:val="left"/>
        <w:rPr>
          <w:color w:val="000000"/>
          <w:kern w:val="0"/>
        </w:rPr>
      </w:pPr>
      <w:r w:rsidRPr="004C4C9E">
        <w:rPr>
          <w:color w:val="000000"/>
          <w:kern w:val="0"/>
        </w:rPr>
        <w:t>注：原中银互利分级债券型证券投资基金于</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日转型为中银互利半年定期开放债券型证券投资基金，原中银互利分级债券型证券投资基金的报告期为</w:t>
      </w:r>
      <w:r w:rsidRPr="004C4C9E">
        <w:rPr>
          <w:color w:val="000000"/>
          <w:kern w:val="0"/>
        </w:rPr>
        <w:t>2017</w:t>
      </w:r>
      <w:r w:rsidRPr="004C4C9E">
        <w:rPr>
          <w:color w:val="000000"/>
          <w:kern w:val="0"/>
        </w:rPr>
        <w:t>年</w:t>
      </w:r>
      <w:r w:rsidRPr="004C4C9E">
        <w:rPr>
          <w:color w:val="000000"/>
          <w:kern w:val="0"/>
        </w:rPr>
        <w:t>10</w:t>
      </w:r>
      <w:r w:rsidRPr="004C4C9E">
        <w:rPr>
          <w:color w:val="000000"/>
          <w:kern w:val="0"/>
        </w:rPr>
        <w:t>月</w:t>
      </w:r>
      <w:r w:rsidRPr="004C4C9E">
        <w:rPr>
          <w:color w:val="000000"/>
          <w:kern w:val="0"/>
        </w:rPr>
        <w:t>1</w:t>
      </w:r>
      <w:r w:rsidRPr="004C4C9E">
        <w:rPr>
          <w:color w:val="000000"/>
          <w:kern w:val="0"/>
        </w:rPr>
        <w:t>日至</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8</w:t>
      </w:r>
      <w:r w:rsidRPr="004C4C9E">
        <w:rPr>
          <w:color w:val="000000"/>
          <w:kern w:val="0"/>
        </w:rPr>
        <w:t>日，不足一季。</w:t>
      </w:r>
      <w:r w:rsidRPr="004C4C9E">
        <w:rPr>
          <w:color w:val="000000"/>
          <w:kern w:val="0"/>
        </w:rPr>
        <w:t xml:space="preserve"> </w:t>
      </w:r>
    </w:p>
    <w:p w:rsidR="004061AC" w:rsidRPr="004C4C9E" w:rsidRDefault="004061AC" w:rsidP="00CE4D5E">
      <w:pPr>
        <w:pStyle w:val="2"/>
        <w:spacing w:beforeLines="50" w:after="0"/>
        <w:rPr>
          <w:rFonts w:ascii="Times New Roman" w:hAnsi="Times New Roman" w:cs="Times New Roman"/>
          <w:b w:val="0"/>
          <w:color w:val="000000"/>
          <w:kern w:val="0"/>
          <w:sz w:val="21"/>
          <w:szCs w:val="21"/>
        </w:rPr>
      </w:pPr>
      <w:r w:rsidRPr="004C4C9E">
        <w:rPr>
          <w:rFonts w:ascii="Times New Roman" w:hAnsi="Times New Roman" w:cs="Times New Roman"/>
          <w:color w:val="000000"/>
          <w:kern w:val="0"/>
          <w:sz w:val="21"/>
          <w:szCs w:val="21"/>
        </w:rPr>
        <w:t xml:space="preserve">3.2 </w:t>
      </w:r>
      <w:r w:rsidRPr="004C4C9E">
        <w:rPr>
          <w:rFonts w:ascii="Times New Roman" w:hAnsi="Times New Roman" w:cs="Times New Roman"/>
          <w:color w:val="000000"/>
          <w:kern w:val="0"/>
          <w:sz w:val="21"/>
          <w:szCs w:val="21"/>
        </w:rPr>
        <w:t>基金净值表现</w:t>
      </w:r>
    </w:p>
    <w:p w:rsidR="002B7BAF" w:rsidRPr="004C4C9E" w:rsidRDefault="002B7BAF" w:rsidP="004C4C9E">
      <w:pPr>
        <w:pStyle w:val="3"/>
        <w:spacing w:before="0" w:after="0" w:line="360" w:lineRule="auto"/>
        <w:rPr>
          <w:color w:val="000000"/>
          <w:kern w:val="0"/>
          <w:sz w:val="21"/>
          <w:szCs w:val="21"/>
        </w:rPr>
      </w:pPr>
      <w:r w:rsidRPr="004C4C9E">
        <w:rPr>
          <w:color w:val="000000"/>
          <w:kern w:val="0"/>
          <w:sz w:val="21"/>
          <w:szCs w:val="21"/>
        </w:rPr>
        <w:t xml:space="preserve">3.2.1 </w:t>
      </w:r>
      <w:r w:rsidRPr="004C4C9E">
        <w:rPr>
          <w:color w:val="000000"/>
          <w:kern w:val="0"/>
          <w:sz w:val="21"/>
          <w:szCs w:val="21"/>
        </w:rPr>
        <w:t>中银互利半年定期开放债券型证券投资基金</w:t>
      </w:r>
    </w:p>
    <w:p w:rsidR="002B7BAF" w:rsidRPr="004C4C9E" w:rsidRDefault="002B7BAF" w:rsidP="004C4C9E">
      <w:pPr>
        <w:autoSpaceDE w:val="0"/>
        <w:autoSpaceDN w:val="0"/>
        <w:adjustRightInd w:val="0"/>
        <w:spacing w:line="360" w:lineRule="auto"/>
        <w:ind w:left="15"/>
        <w:jc w:val="left"/>
        <w:rPr>
          <w:b/>
          <w:color w:val="000000"/>
          <w:kern w:val="0"/>
        </w:rPr>
      </w:pPr>
      <w:r w:rsidRPr="004C4C9E">
        <w:rPr>
          <w:b/>
          <w:color w:val="000000"/>
          <w:kern w:val="0"/>
        </w:rPr>
        <w:t>（报告期：</w:t>
      </w:r>
      <w:r w:rsidRPr="004C4C9E">
        <w:rPr>
          <w:b/>
          <w:color w:val="000000"/>
          <w:kern w:val="0"/>
        </w:rPr>
        <w:t>2017</w:t>
      </w:r>
      <w:r w:rsidRPr="004C4C9E">
        <w:rPr>
          <w:b/>
          <w:color w:val="000000"/>
          <w:kern w:val="0"/>
        </w:rPr>
        <w:t>年</w:t>
      </w:r>
      <w:r w:rsidRPr="004C4C9E">
        <w:rPr>
          <w:b/>
          <w:color w:val="000000"/>
          <w:kern w:val="0"/>
        </w:rPr>
        <w:t>11</w:t>
      </w:r>
      <w:r w:rsidRPr="004C4C9E">
        <w:rPr>
          <w:b/>
          <w:color w:val="000000"/>
          <w:kern w:val="0"/>
        </w:rPr>
        <w:t>月</w:t>
      </w:r>
      <w:r w:rsidRPr="004C4C9E">
        <w:rPr>
          <w:b/>
          <w:color w:val="000000"/>
          <w:kern w:val="0"/>
        </w:rPr>
        <w:t>9</w:t>
      </w:r>
      <w:r w:rsidRPr="004C4C9E">
        <w:rPr>
          <w:b/>
          <w:color w:val="000000"/>
          <w:kern w:val="0"/>
        </w:rPr>
        <w:t>日</w:t>
      </w:r>
      <w:r w:rsidRPr="004C4C9E">
        <w:rPr>
          <w:b/>
          <w:color w:val="000000"/>
          <w:kern w:val="0"/>
        </w:rPr>
        <w:t>-2017</w:t>
      </w:r>
      <w:r w:rsidRPr="004C4C9E">
        <w:rPr>
          <w:b/>
          <w:color w:val="000000"/>
          <w:kern w:val="0"/>
        </w:rPr>
        <w:t>年</w:t>
      </w:r>
      <w:r w:rsidRPr="004C4C9E">
        <w:rPr>
          <w:b/>
          <w:color w:val="000000"/>
          <w:kern w:val="0"/>
        </w:rPr>
        <w:t>12</w:t>
      </w:r>
      <w:r w:rsidRPr="004C4C9E">
        <w:rPr>
          <w:b/>
          <w:color w:val="000000"/>
          <w:kern w:val="0"/>
        </w:rPr>
        <w:t>月</w:t>
      </w:r>
      <w:r w:rsidRPr="004C4C9E">
        <w:rPr>
          <w:b/>
          <w:color w:val="000000"/>
          <w:kern w:val="0"/>
        </w:rPr>
        <w:t>31</w:t>
      </w:r>
      <w:r w:rsidRPr="004C4C9E">
        <w:rPr>
          <w:b/>
          <w:color w:val="000000"/>
          <w:kern w:val="0"/>
        </w:rPr>
        <w:t>日）</w:t>
      </w:r>
    </w:p>
    <w:p w:rsidR="002B7BAF" w:rsidRPr="004C4C9E" w:rsidRDefault="002B7BAF" w:rsidP="004C4C9E">
      <w:pPr>
        <w:spacing w:line="360" w:lineRule="auto"/>
        <w:rPr>
          <w:b/>
          <w:color w:val="000000"/>
          <w:kern w:val="0"/>
        </w:rPr>
      </w:pPr>
      <w:r w:rsidRPr="004C4C9E">
        <w:rPr>
          <w:b/>
          <w:color w:val="000000"/>
          <w:kern w:val="0"/>
        </w:rPr>
        <w:t xml:space="preserve">3.2.1.1 </w:t>
      </w:r>
      <w:r w:rsidRPr="004C4C9E">
        <w:rPr>
          <w:b/>
          <w:color w:val="000000"/>
          <w:kern w:val="0"/>
        </w:rPr>
        <w:t>本报告期基金份额净值增长率及其与同期业绩比较基准收益率的比较</w:t>
      </w:r>
    </w:p>
    <w:tbl>
      <w:tblPr>
        <w:tblStyle w:val="af7"/>
        <w:tblW w:w="0" w:type="auto"/>
        <w:tblInd w:w="108" w:type="dxa"/>
        <w:tblLayout w:type="fixed"/>
        <w:tblLook w:val="04A0"/>
      </w:tblPr>
      <w:tblGrid>
        <w:gridCol w:w="1395"/>
        <w:gridCol w:w="1092"/>
        <w:gridCol w:w="1161"/>
        <w:gridCol w:w="1181"/>
        <w:gridCol w:w="1188"/>
        <w:gridCol w:w="1199"/>
        <w:gridCol w:w="1204"/>
      </w:tblGrid>
      <w:tr w:rsidR="00220C32" w:rsidRPr="004C4C9E" w:rsidTr="00BD7703">
        <w:tc>
          <w:tcPr>
            <w:tcW w:w="1395"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color w:val="000000"/>
                <w:sz w:val="21"/>
              </w:rPr>
              <w:t>阶段</w:t>
            </w:r>
          </w:p>
        </w:tc>
        <w:tc>
          <w:tcPr>
            <w:tcW w:w="1092"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color w:val="000000"/>
                <w:sz w:val="21"/>
              </w:rPr>
              <w:t>净值增长率</w:t>
            </w:r>
            <w:r w:rsidRPr="004C4C9E">
              <w:rPr>
                <w:rFonts w:ascii="宋体" w:hAnsi="宋体" w:cs="宋体" w:hint="eastAsia"/>
                <w:color w:val="000000"/>
                <w:sz w:val="21"/>
              </w:rPr>
              <w:t>①</w:t>
            </w:r>
          </w:p>
        </w:tc>
        <w:tc>
          <w:tcPr>
            <w:tcW w:w="1161"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color w:val="000000"/>
                <w:sz w:val="21"/>
              </w:rPr>
              <w:t>净值增长率标准差</w:t>
            </w:r>
            <w:r w:rsidRPr="004C4C9E">
              <w:rPr>
                <w:rFonts w:ascii="宋体" w:hAnsi="宋体" w:cs="宋体" w:hint="eastAsia"/>
                <w:color w:val="000000"/>
                <w:sz w:val="21"/>
              </w:rPr>
              <w:t>②</w:t>
            </w:r>
          </w:p>
        </w:tc>
        <w:tc>
          <w:tcPr>
            <w:tcW w:w="1181"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color w:val="000000"/>
                <w:sz w:val="21"/>
              </w:rPr>
              <w:t>业绩比较基准收益率</w:t>
            </w:r>
            <w:r w:rsidRPr="004C4C9E">
              <w:rPr>
                <w:rFonts w:ascii="宋体" w:hAnsi="宋体" w:cs="宋体" w:hint="eastAsia"/>
                <w:color w:val="000000"/>
                <w:sz w:val="21"/>
              </w:rPr>
              <w:t>③</w:t>
            </w:r>
          </w:p>
        </w:tc>
        <w:tc>
          <w:tcPr>
            <w:tcW w:w="1188"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color w:val="000000"/>
                <w:sz w:val="21"/>
              </w:rPr>
              <w:t>业绩比较基准收益率标准差</w:t>
            </w:r>
            <w:r w:rsidRPr="004C4C9E">
              <w:rPr>
                <w:rFonts w:ascii="宋体" w:hAnsi="宋体" w:cs="宋体" w:hint="eastAsia"/>
                <w:color w:val="000000"/>
                <w:sz w:val="21"/>
              </w:rPr>
              <w:t>④</w:t>
            </w:r>
          </w:p>
        </w:tc>
        <w:tc>
          <w:tcPr>
            <w:tcW w:w="1199"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rFonts w:ascii="宋体" w:hAnsi="宋体" w:cs="宋体" w:hint="eastAsia"/>
                <w:color w:val="000000"/>
                <w:sz w:val="21"/>
              </w:rPr>
              <w:t>①</w:t>
            </w:r>
            <w:r w:rsidRPr="004C4C9E">
              <w:rPr>
                <w:color w:val="000000"/>
                <w:sz w:val="21"/>
              </w:rPr>
              <w:t>-</w:t>
            </w:r>
            <w:r w:rsidRPr="004C4C9E">
              <w:rPr>
                <w:rFonts w:ascii="宋体" w:hAnsi="宋体" w:cs="宋体" w:hint="eastAsia"/>
                <w:color w:val="000000"/>
                <w:sz w:val="21"/>
              </w:rPr>
              <w:t>③</w:t>
            </w:r>
          </w:p>
        </w:tc>
        <w:tc>
          <w:tcPr>
            <w:tcW w:w="1204" w:type="dxa"/>
            <w:vAlign w:val="center"/>
          </w:tcPr>
          <w:p w:rsidR="00154BE1" w:rsidRPr="004C4C9E" w:rsidRDefault="00154BE1" w:rsidP="004C4C9E">
            <w:pPr>
              <w:autoSpaceDE w:val="0"/>
              <w:autoSpaceDN w:val="0"/>
              <w:adjustRightInd w:val="0"/>
              <w:spacing w:before="29" w:line="276" w:lineRule="auto"/>
              <w:ind w:left="15"/>
              <w:jc w:val="center"/>
              <w:rPr>
                <w:color w:val="000000"/>
                <w:sz w:val="21"/>
              </w:rPr>
            </w:pPr>
            <w:r w:rsidRPr="004C4C9E">
              <w:rPr>
                <w:rFonts w:ascii="宋体" w:hAnsi="宋体" w:cs="宋体" w:hint="eastAsia"/>
                <w:color w:val="000000"/>
                <w:sz w:val="21"/>
              </w:rPr>
              <w:t>②</w:t>
            </w:r>
            <w:r w:rsidRPr="004C4C9E">
              <w:rPr>
                <w:color w:val="000000"/>
                <w:sz w:val="21"/>
              </w:rPr>
              <w:t>-</w:t>
            </w:r>
            <w:r w:rsidRPr="004C4C9E">
              <w:rPr>
                <w:rFonts w:ascii="宋体" w:hAnsi="宋体" w:cs="宋体" w:hint="eastAsia"/>
                <w:color w:val="000000"/>
                <w:sz w:val="21"/>
              </w:rPr>
              <w:t>④</w:t>
            </w:r>
          </w:p>
        </w:tc>
      </w:tr>
      <w:tr w:rsidR="0049111A">
        <w:tc>
          <w:tcPr>
            <w:tcW w:w="1395" w:type="dxa"/>
            <w:vAlign w:val="center"/>
          </w:tcPr>
          <w:p w:rsidR="0049111A" w:rsidRDefault="00CE4D5E">
            <w:pPr>
              <w:jc w:val="left"/>
            </w:pPr>
            <w:r>
              <w:rPr>
                <w:color w:val="000000"/>
                <w:sz w:val="21"/>
              </w:rPr>
              <w:t>过去三个月</w:t>
            </w:r>
          </w:p>
        </w:tc>
        <w:tc>
          <w:tcPr>
            <w:tcW w:w="1092" w:type="dxa"/>
            <w:vAlign w:val="center"/>
          </w:tcPr>
          <w:p w:rsidR="0049111A" w:rsidRDefault="00CE4D5E">
            <w:pPr>
              <w:jc w:val="center"/>
            </w:pPr>
            <w:r>
              <w:rPr>
                <w:color w:val="000000"/>
                <w:sz w:val="21"/>
              </w:rPr>
              <w:t>-0.17%</w:t>
            </w:r>
          </w:p>
        </w:tc>
        <w:tc>
          <w:tcPr>
            <w:tcW w:w="1161" w:type="dxa"/>
            <w:vAlign w:val="center"/>
          </w:tcPr>
          <w:p w:rsidR="0049111A" w:rsidRDefault="00CE4D5E">
            <w:pPr>
              <w:jc w:val="center"/>
            </w:pPr>
            <w:r>
              <w:rPr>
                <w:color w:val="000000"/>
                <w:sz w:val="21"/>
              </w:rPr>
              <w:t>0.08%</w:t>
            </w:r>
          </w:p>
        </w:tc>
        <w:tc>
          <w:tcPr>
            <w:tcW w:w="1181" w:type="dxa"/>
            <w:vAlign w:val="center"/>
          </w:tcPr>
          <w:p w:rsidR="0049111A" w:rsidRDefault="00CE4D5E">
            <w:pPr>
              <w:jc w:val="center"/>
            </w:pPr>
            <w:r>
              <w:rPr>
                <w:color w:val="000000"/>
                <w:sz w:val="21"/>
              </w:rPr>
              <w:t>-0.48%</w:t>
            </w:r>
          </w:p>
        </w:tc>
        <w:tc>
          <w:tcPr>
            <w:tcW w:w="1188" w:type="dxa"/>
            <w:vAlign w:val="center"/>
          </w:tcPr>
          <w:p w:rsidR="0049111A" w:rsidRDefault="00CE4D5E">
            <w:pPr>
              <w:jc w:val="center"/>
            </w:pPr>
            <w:r>
              <w:rPr>
                <w:color w:val="000000"/>
                <w:sz w:val="21"/>
              </w:rPr>
              <w:t>0.05%</w:t>
            </w:r>
          </w:p>
        </w:tc>
        <w:tc>
          <w:tcPr>
            <w:tcW w:w="1199" w:type="dxa"/>
            <w:vAlign w:val="center"/>
          </w:tcPr>
          <w:p w:rsidR="0049111A" w:rsidRDefault="00CE4D5E">
            <w:pPr>
              <w:jc w:val="center"/>
            </w:pPr>
            <w:r>
              <w:rPr>
                <w:color w:val="000000"/>
                <w:sz w:val="21"/>
              </w:rPr>
              <w:t>0.31%</w:t>
            </w:r>
          </w:p>
        </w:tc>
        <w:tc>
          <w:tcPr>
            <w:tcW w:w="1204" w:type="dxa"/>
            <w:vAlign w:val="center"/>
          </w:tcPr>
          <w:p w:rsidR="0049111A" w:rsidRDefault="00CE4D5E">
            <w:pPr>
              <w:jc w:val="center"/>
            </w:pPr>
            <w:r>
              <w:rPr>
                <w:color w:val="000000"/>
                <w:sz w:val="21"/>
              </w:rPr>
              <w:t>0.03%</w:t>
            </w:r>
          </w:p>
        </w:tc>
      </w:tr>
    </w:tbl>
    <w:p w:rsidR="00C718EF" w:rsidRPr="004C4C9E" w:rsidRDefault="00C718EF" w:rsidP="00CE4D5E">
      <w:pPr>
        <w:autoSpaceDE w:val="0"/>
        <w:autoSpaceDN w:val="0"/>
        <w:adjustRightInd w:val="0"/>
        <w:spacing w:beforeLines="50" w:line="360" w:lineRule="auto"/>
        <w:ind w:left="17"/>
        <w:jc w:val="left"/>
        <w:rPr>
          <w:rFonts w:eastAsiaTheme="minorEastAsia"/>
          <w:b/>
          <w:color w:val="000000"/>
          <w:kern w:val="0"/>
        </w:rPr>
      </w:pPr>
      <w:r w:rsidRPr="004C4C9E">
        <w:rPr>
          <w:rFonts w:eastAsiaTheme="minorEastAsia"/>
          <w:b/>
          <w:color w:val="000000"/>
          <w:kern w:val="0"/>
        </w:rPr>
        <w:t>3.2.1.2</w:t>
      </w:r>
      <w:r w:rsidRPr="004C4C9E">
        <w:rPr>
          <w:rFonts w:eastAsiaTheme="minorEastAsia"/>
          <w:b/>
          <w:color w:val="000000"/>
          <w:kern w:val="0"/>
        </w:rPr>
        <w:t>自基金转型以来基金份额累计净值增长率变动及其与同期业绩比较基准收益率变动的比较</w:t>
      </w:r>
    </w:p>
    <w:p w:rsidR="008606B6" w:rsidRPr="004C4C9E" w:rsidRDefault="008606B6" w:rsidP="004C4C9E">
      <w:pPr>
        <w:spacing w:line="360" w:lineRule="auto"/>
        <w:jc w:val="center"/>
        <w:rPr>
          <w:rFonts w:eastAsiaTheme="minorEastAsia"/>
          <w:color w:val="000000"/>
        </w:rPr>
      </w:pPr>
      <w:r w:rsidRPr="004C4C9E">
        <w:rPr>
          <w:rFonts w:eastAsiaTheme="minorEastAsia"/>
          <w:color w:val="000000"/>
        </w:rPr>
        <w:t>中银互利半年定期开放债券型证券投资基金</w:t>
      </w:r>
    </w:p>
    <w:p w:rsidR="00C718EF" w:rsidRPr="004C4C9E" w:rsidRDefault="00C718EF" w:rsidP="004C4C9E">
      <w:pPr>
        <w:spacing w:line="360" w:lineRule="auto"/>
        <w:jc w:val="center"/>
        <w:rPr>
          <w:rFonts w:eastAsiaTheme="minorEastAsia"/>
          <w:color w:val="000000"/>
        </w:rPr>
      </w:pPr>
      <w:r w:rsidRPr="004C4C9E">
        <w:rPr>
          <w:rFonts w:eastAsiaTheme="minorEastAsia"/>
          <w:color w:val="000000"/>
        </w:rPr>
        <w:t>份额累计净值增长率与业绩比较基准收益率历史走势对比图</w:t>
      </w:r>
    </w:p>
    <w:p w:rsidR="004061AC" w:rsidRPr="004C4C9E" w:rsidRDefault="00C37947" w:rsidP="004C4C9E">
      <w:pPr>
        <w:spacing w:line="360" w:lineRule="auto"/>
        <w:jc w:val="center"/>
        <w:rPr>
          <w:rFonts w:eastAsiaTheme="minorEastAsia"/>
          <w:color w:val="000000" w:themeColor="text1"/>
        </w:rPr>
      </w:pPr>
      <w:r w:rsidRPr="004C4C9E">
        <w:rPr>
          <w:rFonts w:eastAsiaTheme="minorEastAsia"/>
          <w:color w:val="000000"/>
        </w:rPr>
        <w:t>(2017</w:t>
      </w:r>
      <w:r w:rsidRPr="004C4C9E">
        <w:rPr>
          <w:rFonts w:eastAsiaTheme="minorEastAsia"/>
          <w:color w:val="000000"/>
        </w:rPr>
        <w:t>年</w:t>
      </w:r>
      <w:r w:rsidRPr="004C4C9E">
        <w:rPr>
          <w:rFonts w:eastAsiaTheme="minorEastAsia"/>
          <w:color w:val="000000"/>
        </w:rPr>
        <w:t>11</w:t>
      </w:r>
      <w:r w:rsidRPr="004C4C9E">
        <w:rPr>
          <w:rFonts w:eastAsiaTheme="minorEastAsia"/>
          <w:color w:val="000000"/>
        </w:rPr>
        <w:t>月</w:t>
      </w:r>
      <w:r w:rsidRPr="004C4C9E">
        <w:rPr>
          <w:rFonts w:eastAsiaTheme="minorEastAsia"/>
          <w:color w:val="000000"/>
        </w:rPr>
        <w:t>9</w:t>
      </w:r>
      <w:r w:rsidRPr="004C4C9E">
        <w:rPr>
          <w:rFonts w:eastAsiaTheme="minorEastAsia"/>
          <w:color w:val="000000"/>
        </w:rPr>
        <w:t>日</w:t>
      </w:r>
      <w:r w:rsidRPr="004C4C9E">
        <w:rPr>
          <w:rFonts w:eastAsiaTheme="minorEastAsia"/>
          <w:color w:val="000000"/>
        </w:rPr>
        <w:t>-2017</w:t>
      </w:r>
      <w:r w:rsidRPr="004C4C9E">
        <w:rPr>
          <w:rFonts w:eastAsiaTheme="minorEastAsia"/>
          <w:color w:val="000000"/>
        </w:rPr>
        <w:t>年</w:t>
      </w:r>
      <w:r w:rsidRPr="004C4C9E">
        <w:rPr>
          <w:rFonts w:eastAsiaTheme="minorEastAsia"/>
          <w:color w:val="000000"/>
        </w:rPr>
        <w:t>12</w:t>
      </w:r>
      <w:r w:rsidRPr="004C4C9E">
        <w:rPr>
          <w:rFonts w:eastAsiaTheme="minorEastAsia"/>
          <w:color w:val="000000"/>
        </w:rPr>
        <w:t>月</w:t>
      </w:r>
      <w:r w:rsidRPr="004C4C9E">
        <w:rPr>
          <w:rFonts w:eastAsiaTheme="minorEastAsia"/>
          <w:color w:val="000000"/>
        </w:rPr>
        <w:t>31</w:t>
      </w:r>
      <w:r w:rsidRPr="004C4C9E">
        <w:rPr>
          <w:rFonts w:eastAsiaTheme="minorEastAsia"/>
          <w:color w:val="000000"/>
        </w:rPr>
        <w:t>日</w:t>
      </w:r>
      <w:r w:rsidRPr="004C4C9E">
        <w:rPr>
          <w:rFonts w:eastAsiaTheme="minorEastAsia"/>
          <w:color w:val="000000"/>
        </w:rPr>
        <w:t>)</w:t>
      </w:r>
      <w:r w:rsidR="00866CF2" w:rsidRPr="004C4C9E">
        <w:rPr>
          <w:rFonts w:eastAsiaTheme="minorEastAsia"/>
          <w:noProof/>
          <w:color w:val="000000" w:themeColor="text1"/>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3086100"/>
                    </a:xfrm>
                    <a:prstGeom prst="rect">
                      <a:avLst/>
                    </a:prstGeom>
                    <a:noFill/>
                    <a:ln>
                      <a:noFill/>
                    </a:ln>
                  </pic:spPr>
                </pic:pic>
              </a:graphicData>
            </a:graphic>
          </wp:inline>
        </w:drawing>
      </w:r>
    </w:p>
    <w:p w:rsidR="00957594" w:rsidRPr="004C4C9E" w:rsidRDefault="004B0989" w:rsidP="004C4C9E">
      <w:pPr>
        <w:autoSpaceDE w:val="0"/>
        <w:autoSpaceDN w:val="0"/>
        <w:adjustRightInd w:val="0"/>
        <w:spacing w:line="360" w:lineRule="auto"/>
        <w:ind w:firstLineChars="150" w:firstLine="315"/>
        <w:jc w:val="left"/>
        <w:rPr>
          <w:color w:val="000000"/>
          <w:kern w:val="0"/>
        </w:rPr>
      </w:pPr>
      <w:r w:rsidRPr="004C4C9E">
        <w:rPr>
          <w:color w:val="000000"/>
          <w:kern w:val="0"/>
        </w:rPr>
        <w:t>注：中银互利半年定期开放债券型证券投资基金于</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日由原中银互利分级债券型证券投资基金转型而来，截至报告期末，中银互利半年定期开放债券型证券投资基金转型未满一年。按基金合同规定，本基金自基金合同生效起</w:t>
      </w:r>
      <w:r w:rsidRPr="004C4C9E">
        <w:rPr>
          <w:color w:val="000000"/>
          <w:kern w:val="0"/>
        </w:rPr>
        <w:t>6</w:t>
      </w:r>
      <w:r w:rsidRPr="004C4C9E">
        <w:rPr>
          <w:color w:val="000000"/>
          <w:kern w:val="0"/>
        </w:rPr>
        <w:t>个月内为建仓期，截至报告期末，本基金尚在建仓期内。</w:t>
      </w:r>
    </w:p>
    <w:p w:rsidR="00D26C58" w:rsidRPr="004C4C9E" w:rsidRDefault="00D26C58" w:rsidP="004C4C9E">
      <w:pPr>
        <w:autoSpaceDE w:val="0"/>
        <w:autoSpaceDN w:val="0"/>
        <w:adjustRightInd w:val="0"/>
        <w:spacing w:line="360" w:lineRule="auto"/>
        <w:jc w:val="left"/>
        <w:rPr>
          <w:color w:val="000000"/>
          <w:kern w:val="0"/>
        </w:rPr>
      </w:pPr>
    </w:p>
    <w:p w:rsidR="004D770C" w:rsidRPr="004C4C9E" w:rsidRDefault="004D770C" w:rsidP="004C4C9E">
      <w:pPr>
        <w:pStyle w:val="3"/>
        <w:spacing w:before="0" w:after="0" w:line="360" w:lineRule="auto"/>
        <w:rPr>
          <w:color w:val="000000"/>
          <w:kern w:val="0"/>
          <w:sz w:val="21"/>
          <w:szCs w:val="21"/>
        </w:rPr>
      </w:pPr>
      <w:r w:rsidRPr="004C4C9E">
        <w:rPr>
          <w:color w:val="000000"/>
          <w:kern w:val="0"/>
          <w:sz w:val="21"/>
          <w:szCs w:val="21"/>
        </w:rPr>
        <w:t xml:space="preserve">3.2.2 </w:t>
      </w:r>
      <w:r w:rsidRPr="004C4C9E">
        <w:rPr>
          <w:color w:val="000000"/>
          <w:kern w:val="0"/>
          <w:sz w:val="21"/>
          <w:szCs w:val="21"/>
        </w:rPr>
        <w:t>中银互利分级债券型证券投资基金</w:t>
      </w:r>
    </w:p>
    <w:p w:rsidR="004D770C" w:rsidRPr="004C4C9E" w:rsidRDefault="004D770C" w:rsidP="004C4C9E">
      <w:pPr>
        <w:autoSpaceDE w:val="0"/>
        <w:autoSpaceDN w:val="0"/>
        <w:adjustRightInd w:val="0"/>
        <w:spacing w:line="360" w:lineRule="auto"/>
        <w:ind w:left="15"/>
        <w:jc w:val="left"/>
        <w:rPr>
          <w:b/>
          <w:color w:val="000000"/>
          <w:kern w:val="0"/>
        </w:rPr>
      </w:pPr>
      <w:r w:rsidRPr="004C4C9E">
        <w:rPr>
          <w:b/>
          <w:color w:val="000000"/>
          <w:kern w:val="0"/>
        </w:rPr>
        <w:t>（报告期：</w:t>
      </w:r>
      <w:r w:rsidRPr="004C4C9E">
        <w:rPr>
          <w:b/>
          <w:color w:val="000000"/>
          <w:kern w:val="0"/>
        </w:rPr>
        <w:t>2017</w:t>
      </w:r>
      <w:r w:rsidRPr="004C4C9E">
        <w:rPr>
          <w:b/>
          <w:color w:val="000000"/>
          <w:kern w:val="0"/>
        </w:rPr>
        <w:t>年</w:t>
      </w:r>
      <w:r w:rsidRPr="004C4C9E">
        <w:rPr>
          <w:b/>
          <w:color w:val="000000"/>
          <w:kern w:val="0"/>
        </w:rPr>
        <w:t>10</w:t>
      </w:r>
      <w:r w:rsidRPr="004C4C9E">
        <w:rPr>
          <w:b/>
          <w:color w:val="000000"/>
          <w:kern w:val="0"/>
        </w:rPr>
        <w:t>月</w:t>
      </w:r>
      <w:r w:rsidRPr="004C4C9E">
        <w:rPr>
          <w:b/>
          <w:color w:val="000000"/>
          <w:kern w:val="0"/>
        </w:rPr>
        <w:t>1</w:t>
      </w:r>
      <w:r w:rsidRPr="004C4C9E">
        <w:rPr>
          <w:b/>
          <w:color w:val="000000"/>
          <w:kern w:val="0"/>
        </w:rPr>
        <w:t>日</w:t>
      </w:r>
      <w:r w:rsidRPr="004C4C9E">
        <w:rPr>
          <w:b/>
          <w:color w:val="000000"/>
          <w:kern w:val="0"/>
        </w:rPr>
        <w:t>-2017</w:t>
      </w:r>
      <w:r w:rsidRPr="004C4C9E">
        <w:rPr>
          <w:b/>
          <w:color w:val="000000"/>
          <w:kern w:val="0"/>
        </w:rPr>
        <w:t>年</w:t>
      </w:r>
      <w:r w:rsidRPr="004C4C9E">
        <w:rPr>
          <w:b/>
          <w:color w:val="000000"/>
          <w:kern w:val="0"/>
        </w:rPr>
        <w:t>11</w:t>
      </w:r>
      <w:r w:rsidRPr="004C4C9E">
        <w:rPr>
          <w:b/>
          <w:color w:val="000000"/>
          <w:kern w:val="0"/>
        </w:rPr>
        <w:t>月</w:t>
      </w:r>
      <w:r w:rsidRPr="004C4C9E">
        <w:rPr>
          <w:b/>
          <w:color w:val="000000"/>
          <w:kern w:val="0"/>
        </w:rPr>
        <w:t>8</w:t>
      </w:r>
      <w:r w:rsidRPr="004C4C9E">
        <w:rPr>
          <w:b/>
          <w:color w:val="000000"/>
          <w:kern w:val="0"/>
        </w:rPr>
        <w:t>日）</w:t>
      </w:r>
    </w:p>
    <w:p w:rsidR="004B0989" w:rsidRPr="00574FD1" w:rsidRDefault="004D770C" w:rsidP="00574FD1">
      <w:pPr>
        <w:autoSpaceDE w:val="0"/>
        <w:autoSpaceDN w:val="0"/>
        <w:adjustRightInd w:val="0"/>
        <w:spacing w:line="360" w:lineRule="auto"/>
        <w:ind w:left="15"/>
        <w:jc w:val="left"/>
        <w:rPr>
          <w:b/>
          <w:color w:val="000000"/>
          <w:kern w:val="0"/>
        </w:rPr>
      </w:pPr>
      <w:r w:rsidRPr="004C4C9E">
        <w:rPr>
          <w:b/>
          <w:color w:val="000000"/>
          <w:kern w:val="0"/>
        </w:rPr>
        <w:t>3.2.</w:t>
      </w:r>
      <w:r w:rsidR="00AB223D" w:rsidRPr="004C4C9E">
        <w:rPr>
          <w:b/>
          <w:color w:val="000000"/>
          <w:kern w:val="0"/>
        </w:rPr>
        <w:t>2</w:t>
      </w:r>
      <w:r w:rsidRPr="004C4C9E">
        <w:rPr>
          <w:b/>
          <w:color w:val="000000"/>
          <w:kern w:val="0"/>
        </w:rPr>
        <w:t xml:space="preserve">.1 </w:t>
      </w:r>
      <w:r w:rsidRPr="004C4C9E">
        <w:rPr>
          <w:b/>
          <w:color w:val="000000"/>
          <w:kern w:val="0"/>
        </w:rPr>
        <w:t>本报告期基金份额净值增长率及其与同期业绩比较基准收益率的比较</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276"/>
        <w:gridCol w:w="1276"/>
        <w:gridCol w:w="1134"/>
        <w:gridCol w:w="1417"/>
        <w:gridCol w:w="1134"/>
        <w:gridCol w:w="1134"/>
      </w:tblGrid>
      <w:tr w:rsidR="004B0989" w:rsidRPr="004C4C9E" w:rsidTr="00C85EE6">
        <w:tc>
          <w:tcPr>
            <w:tcW w:w="1276" w:type="dxa"/>
            <w:vAlign w:val="center"/>
          </w:tcPr>
          <w:p w:rsidR="004B0989" w:rsidRPr="004C4C9E" w:rsidRDefault="004B0989" w:rsidP="004C4C9E">
            <w:pPr>
              <w:spacing w:line="276" w:lineRule="auto"/>
              <w:jc w:val="center"/>
              <w:rPr>
                <w:color w:val="000000"/>
                <w:kern w:val="0"/>
              </w:rPr>
            </w:pPr>
            <w:r w:rsidRPr="004C4C9E">
              <w:rPr>
                <w:color w:val="000000"/>
                <w:kern w:val="0"/>
              </w:rPr>
              <w:t>阶段</w:t>
            </w:r>
          </w:p>
        </w:tc>
        <w:tc>
          <w:tcPr>
            <w:tcW w:w="1276" w:type="dxa"/>
            <w:vAlign w:val="center"/>
          </w:tcPr>
          <w:p w:rsidR="004B0989" w:rsidRPr="004C4C9E" w:rsidRDefault="004B0989" w:rsidP="004C4C9E">
            <w:pPr>
              <w:spacing w:line="276" w:lineRule="auto"/>
              <w:jc w:val="center"/>
              <w:rPr>
                <w:color w:val="000000"/>
                <w:kern w:val="0"/>
              </w:rPr>
            </w:pPr>
            <w:r w:rsidRPr="004C4C9E">
              <w:rPr>
                <w:color w:val="000000"/>
                <w:kern w:val="0"/>
              </w:rPr>
              <w:t>份额净值增长率</w:t>
            </w:r>
            <w:r w:rsidRPr="004C4C9E">
              <w:rPr>
                <w:rFonts w:ascii="宋体" w:hAnsi="宋体" w:cs="宋体" w:hint="eastAsia"/>
                <w:color w:val="000000"/>
                <w:kern w:val="0"/>
              </w:rPr>
              <w:t>①</w:t>
            </w:r>
          </w:p>
        </w:tc>
        <w:tc>
          <w:tcPr>
            <w:tcW w:w="1276" w:type="dxa"/>
            <w:vAlign w:val="center"/>
          </w:tcPr>
          <w:p w:rsidR="004B0989" w:rsidRPr="004C4C9E" w:rsidRDefault="004B0989" w:rsidP="004C4C9E">
            <w:pPr>
              <w:spacing w:line="276" w:lineRule="auto"/>
              <w:jc w:val="center"/>
              <w:rPr>
                <w:color w:val="000000"/>
                <w:kern w:val="0"/>
              </w:rPr>
            </w:pPr>
            <w:r w:rsidRPr="004C4C9E">
              <w:rPr>
                <w:color w:val="000000"/>
                <w:kern w:val="0"/>
              </w:rPr>
              <w:t>份额净值增长率标准差</w:t>
            </w:r>
            <w:r w:rsidRPr="004C4C9E">
              <w:rPr>
                <w:rFonts w:ascii="宋体" w:hAnsi="宋体" w:cs="宋体" w:hint="eastAsia"/>
                <w:color w:val="000000"/>
                <w:kern w:val="0"/>
              </w:rPr>
              <w:t>②</w:t>
            </w:r>
          </w:p>
        </w:tc>
        <w:tc>
          <w:tcPr>
            <w:tcW w:w="1134" w:type="dxa"/>
            <w:vAlign w:val="center"/>
          </w:tcPr>
          <w:p w:rsidR="004B0989" w:rsidRPr="004C4C9E" w:rsidRDefault="004B0989" w:rsidP="004C4C9E">
            <w:pPr>
              <w:spacing w:line="276" w:lineRule="auto"/>
              <w:jc w:val="center"/>
              <w:rPr>
                <w:color w:val="000000"/>
                <w:kern w:val="0"/>
              </w:rPr>
            </w:pPr>
            <w:r w:rsidRPr="004C4C9E">
              <w:rPr>
                <w:color w:val="000000"/>
                <w:kern w:val="0"/>
              </w:rPr>
              <w:t>业绩比较基准收益率</w:t>
            </w:r>
            <w:r w:rsidRPr="004C4C9E">
              <w:rPr>
                <w:rFonts w:ascii="宋体" w:hAnsi="宋体" w:cs="宋体" w:hint="eastAsia"/>
                <w:color w:val="000000"/>
                <w:kern w:val="0"/>
              </w:rPr>
              <w:t>③</w:t>
            </w:r>
          </w:p>
        </w:tc>
        <w:tc>
          <w:tcPr>
            <w:tcW w:w="1417" w:type="dxa"/>
            <w:vAlign w:val="center"/>
          </w:tcPr>
          <w:p w:rsidR="004B0989" w:rsidRPr="004C4C9E" w:rsidRDefault="004B0989" w:rsidP="004C4C9E">
            <w:pPr>
              <w:spacing w:line="276" w:lineRule="auto"/>
              <w:jc w:val="center"/>
              <w:rPr>
                <w:color w:val="000000"/>
                <w:kern w:val="0"/>
              </w:rPr>
            </w:pPr>
            <w:r w:rsidRPr="004C4C9E">
              <w:rPr>
                <w:color w:val="000000"/>
                <w:kern w:val="0"/>
              </w:rPr>
              <w:t>业绩比较基准收益率标准差</w:t>
            </w:r>
            <w:r w:rsidRPr="004C4C9E">
              <w:rPr>
                <w:rFonts w:ascii="宋体" w:hAnsi="宋体" w:cs="宋体" w:hint="eastAsia"/>
                <w:color w:val="000000"/>
                <w:kern w:val="0"/>
              </w:rPr>
              <w:t>④</w:t>
            </w:r>
          </w:p>
        </w:tc>
        <w:tc>
          <w:tcPr>
            <w:tcW w:w="1134" w:type="dxa"/>
            <w:vAlign w:val="center"/>
          </w:tcPr>
          <w:p w:rsidR="004B0989" w:rsidRPr="004C4C9E" w:rsidRDefault="004B0989" w:rsidP="004C4C9E">
            <w:pPr>
              <w:spacing w:line="276" w:lineRule="auto"/>
              <w:jc w:val="center"/>
              <w:rPr>
                <w:color w:val="000000"/>
                <w:kern w:val="0"/>
              </w:rPr>
            </w:pPr>
            <w:r w:rsidRPr="004C4C9E">
              <w:rPr>
                <w:rFonts w:ascii="宋体" w:hAnsi="宋体" w:cs="宋体" w:hint="eastAsia"/>
                <w:color w:val="000000"/>
                <w:kern w:val="0"/>
              </w:rPr>
              <w:t>①</w:t>
            </w:r>
            <w:r w:rsidRPr="004C4C9E">
              <w:rPr>
                <w:color w:val="000000"/>
                <w:kern w:val="0"/>
              </w:rPr>
              <w:t>－</w:t>
            </w:r>
            <w:r w:rsidRPr="004C4C9E">
              <w:rPr>
                <w:rFonts w:ascii="宋体" w:hAnsi="宋体" w:cs="宋体" w:hint="eastAsia"/>
                <w:color w:val="000000"/>
                <w:kern w:val="0"/>
              </w:rPr>
              <w:t>③</w:t>
            </w:r>
          </w:p>
        </w:tc>
        <w:tc>
          <w:tcPr>
            <w:tcW w:w="1134" w:type="dxa"/>
            <w:vAlign w:val="center"/>
          </w:tcPr>
          <w:p w:rsidR="004B0989" w:rsidRPr="004C4C9E" w:rsidRDefault="004B0989" w:rsidP="004C4C9E">
            <w:pPr>
              <w:spacing w:line="276" w:lineRule="auto"/>
              <w:jc w:val="center"/>
              <w:rPr>
                <w:color w:val="000000"/>
                <w:kern w:val="0"/>
              </w:rPr>
            </w:pPr>
            <w:r w:rsidRPr="004C4C9E">
              <w:rPr>
                <w:rFonts w:ascii="宋体" w:hAnsi="宋体" w:cs="宋体" w:hint="eastAsia"/>
                <w:color w:val="000000"/>
                <w:kern w:val="0"/>
              </w:rPr>
              <w:t>②</w:t>
            </w:r>
            <w:r w:rsidRPr="004C4C9E">
              <w:rPr>
                <w:color w:val="000000"/>
                <w:kern w:val="0"/>
              </w:rPr>
              <w:t>－</w:t>
            </w:r>
            <w:r w:rsidRPr="004C4C9E">
              <w:rPr>
                <w:rFonts w:ascii="宋体" w:hAnsi="宋体" w:cs="宋体" w:hint="eastAsia"/>
                <w:color w:val="000000"/>
                <w:kern w:val="0"/>
              </w:rPr>
              <w:t>④</w:t>
            </w:r>
          </w:p>
        </w:tc>
      </w:tr>
      <w:tr w:rsidR="0049111A">
        <w:tc>
          <w:tcPr>
            <w:tcW w:w="1276" w:type="dxa"/>
            <w:vAlign w:val="center"/>
          </w:tcPr>
          <w:p w:rsidR="0049111A" w:rsidRDefault="00CE4D5E">
            <w:pPr>
              <w:jc w:val="left"/>
            </w:pPr>
            <w:r>
              <w:rPr>
                <w:color w:val="000000"/>
                <w:kern w:val="0"/>
              </w:rPr>
              <w:t>过去三个月</w:t>
            </w:r>
          </w:p>
        </w:tc>
        <w:tc>
          <w:tcPr>
            <w:tcW w:w="1276" w:type="dxa"/>
            <w:vAlign w:val="center"/>
          </w:tcPr>
          <w:p w:rsidR="0049111A" w:rsidRDefault="00CE4D5E">
            <w:pPr>
              <w:jc w:val="center"/>
            </w:pPr>
            <w:r>
              <w:rPr>
                <w:color w:val="000000"/>
                <w:kern w:val="0"/>
              </w:rPr>
              <w:t>0.76%</w:t>
            </w:r>
          </w:p>
        </w:tc>
        <w:tc>
          <w:tcPr>
            <w:tcW w:w="1276" w:type="dxa"/>
            <w:vAlign w:val="center"/>
          </w:tcPr>
          <w:p w:rsidR="0049111A" w:rsidRDefault="00CE4D5E">
            <w:pPr>
              <w:jc w:val="center"/>
            </w:pPr>
            <w:r>
              <w:rPr>
                <w:color w:val="000000"/>
                <w:kern w:val="0"/>
              </w:rPr>
              <w:t>0.08%</w:t>
            </w:r>
          </w:p>
        </w:tc>
        <w:tc>
          <w:tcPr>
            <w:tcW w:w="1134" w:type="dxa"/>
            <w:vAlign w:val="center"/>
          </w:tcPr>
          <w:p w:rsidR="0049111A" w:rsidRDefault="00CE4D5E">
            <w:pPr>
              <w:jc w:val="center"/>
            </w:pPr>
            <w:r>
              <w:rPr>
                <w:color w:val="000000"/>
                <w:kern w:val="0"/>
              </w:rPr>
              <w:t>-0.67%</w:t>
            </w:r>
          </w:p>
        </w:tc>
        <w:tc>
          <w:tcPr>
            <w:tcW w:w="1417" w:type="dxa"/>
            <w:vAlign w:val="center"/>
          </w:tcPr>
          <w:p w:rsidR="0049111A" w:rsidRDefault="00CE4D5E">
            <w:pPr>
              <w:jc w:val="center"/>
            </w:pPr>
            <w:r>
              <w:rPr>
                <w:color w:val="000000"/>
                <w:kern w:val="0"/>
              </w:rPr>
              <w:t>0.07%</w:t>
            </w:r>
          </w:p>
        </w:tc>
        <w:tc>
          <w:tcPr>
            <w:tcW w:w="1134" w:type="dxa"/>
            <w:vAlign w:val="center"/>
          </w:tcPr>
          <w:p w:rsidR="0049111A" w:rsidRDefault="00CE4D5E">
            <w:pPr>
              <w:jc w:val="center"/>
            </w:pPr>
            <w:r>
              <w:rPr>
                <w:color w:val="000000"/>
                <w:kern w:val="0"/>
              </w:rPr>
              <w:t>1.43%</w:t>
            </w:r>
          </w:p>
        </w:tc>
        <w:tc>
          <w:tcPr>
            <w:tcW w:w="1134" w:type="dxa"/>
            <w:vAlign w:val="center"/>
          </w:tcPr>
          <w:p w:rsidR="0049111A" w:rsidRDefault="00CE4D5E">
            <w:pPr>
              <w:jc w:val="center"/>
            </w:pPr>
            <w:r>
              <w:rPr>
                <w:color w:val="000000"/>
                <w:kern w:val="0"/>
              </w:rPr>
              <w:t>0.01%</w:t>
            </w:r>
          </w:p>
        </w:tc>
      </w:tr>
    </w:tbl>
    <w:p w:rsidR="004B0989" w:rsidRPr="004C4C9E" w:rsidRDefault="004B0989" w:rsidP="00CE4D5E">
      <w:pPr>
        <w:autoSpaceDE w:val="0"/>
        <w:autoSpaceDN w:val="0"/>
        <w:adjustRightInd w:val="0"/>
        <w:spacing w:beforeLines="50" w:line="360" w:lineRule="auto"/>
        <w:ind w:left="17"/>
        <w:jc w:val="left"/>
        <w:rPr>
          <w:rFonts w:eastAsiaTheme="minorEastAsia"/>
          <w:b/>
          <w:color w:val="000000" w:themeColor="text1"/>
          <w:kern w:val="0"/>
        </w:rPr>
      </w:pPr>
      <w:r w:rsidRPr="004C4C9E">
        <w:rPr>
          <w:rFonts w:eastAsiaTheme="minorEastAsia"/>
          <w:b/>
          <w:color w:val="000000" w:themeColor="text1"/>
          <w:kern w:val="0"/>
        </w:rPr>
        <w:t>3.2.</w:t>
      </w:r>
      <w:r w:rsidR="00DE72B6" w:rsidRPr="004C4C9E">
        <w:rPr>
          <w:rFonts w:eastAsiaTheme="minorEastAsia"/>
          <w:b/>
          <w:color w:val="000000" w:themeColor="text1"/>
          <w:kern w:val="0"/>
        </w:rPr>
        <w:t>2.</w:t>
      </w:r>
      <w:r w:rsidRPr="004C4C9E">
        <w:rPr>
          <w:rFonts w:eastAsiaTheme="minorEastAsia"/>
          <w:b/>
          <w:color w:val="000000" w:themeColor="text1"/>
          <w:kern w:val="0"/>
        </w:rPr>
        <w:t>2</w:t>
      </w:r>
      <w:bookmarkStart w:id="2" w:name="OLE_LINK3"/>
      <w:bookmarkStart w:id="3" w:name="OLE_LINK2"/>
      <w:bookmarkStart w:id="4" w:name="OLE_LINK1"/>
      <w:r w:rsidR="00BE293D" w:rsidRPr="00BE293D">
        <w:rPr>
          <w:rFonts w:eastAsiaTheme="minorEastAsia" w:hint="eastAsia"/>
          <w:b/>
          <w:bCs/>
          <w:color w:val="000000" w:themeColor="text1"/>
          <w:shd w:val="clear" w:color="auto" w:fill="FFFFFF"/>
        </w:rPr>
        <w:t>自基金合同生效</w:t>
      </w:r>
      <w:bookmarkEnd w:id="2"/>
      <w:bookmarkEnd w:id="3"/>
      <w:bookmarkEnd w:id="4"/>
      <w:r w:rsidR="00BE293D" w:rsidRPr="00BE293D">
        <w:rPr>
          <w:rFonts w:eastAsiaTheme="minorEastAsia" w:hint="eastAsia"/>
          <w:b/>
          <w:bCs/>
          <w:color w:val="000000" w:themeColor="text1"/>
          <w:shd w:val="clear" w:color="auto" w:fill="FFFFFF"/>
        </w:rPr>
        <w:t>以来</w:t>
      </w:r>
      <w:r w:rsidRPr="004C4C9E">
        <w:rPr>
          <w:rFonts w:eastAsiaTheme="minorEastAsia"/>
          <w:b/>
          <w:color w:val="000000" w:themeColor="text1"/>
          <w:kern w:val="0"/>
        </w:rPr>
        <w:t>基金份额累计净值增长率变动及其与同期业绩比较基准收益率变动的比较</w:t>
      </w:r>
    </w:p>
    <w:p w:rsidR="004B0989" w:rsidRPr="004C4C9E" w:rsidRDefault="004B0989" w:rsidP="004C4C9E">
      <w:pPr>
        <w:spacing w:line="360" w:lineRule="auto"/>
        <w:jc w:val="center"/>
        <w:rPr>
          <w:rFonts w:eastAsiaTheme="minorEastAsia"/>
          <w:color w:val="000000" w:themeColor="text1"/>
        </w:rPr>
      </w:pPr>
      <w:r w:rsidRPr="004C4C9E">
        <w:rPr>
          <w:rFonts w:eastAsiaTheme="minorEastAsia"/>
          <w:color w:val="000000" w:themeColor="text1"/>
        </w:rPr>
        <w:t>中银互利分级债券型证券投资基金</w:t>
      </w:r>
    </w:p>
    <w:p w:rsidR="004B0989" w:rsidRPr="004C4C9E" w:rsidRDefault="004B0989" w:rsidP="004C4C9E">
      <w:pPr>
        <w:spacing w:line="360" w:lineRule="auto"/>
        <w:ind w:firstLine="420"/>
        <w:jc w:val="center"/>
        <w:rPr>
          <w:rFonts w:eastAsiaTheme="minorEastAsia"/>
          <w:color w:val="000000" w:themeColor="text1"/>
          <w:kern w:val="0"/>
        </w:rPr>
      </w:pPr>
      <w:r w:rsidRPr="004C4C9E">
        <w:rPr>
          <w:rFonts w:eastAsiaTheme="minorEastAsia"/>
          <w:color w:val="000000" w:themeColor="text1"/>
          <w:kern w:val="0"/>
        </w:rPr>
        <w:t>份额累计净值增长率与业绩比较基准收益率的历史走势对比图</w:t>
      </w:r>
    </w:p>
    <w:p w:rsidR="004B0989" w:rsidRPr="004C4C9E" w:rsidRDefault="004B0989" w:rsidP="004C4C9E">
      <w:pPr>
        <w:pStyle w:val="a5"/>
        <w:snapToGrid w:val="0"/>
        <w:spacing w:line="360" w:lineRule="auto"/>
        <w:ind w:firstLine="480"/>
        <w:jc w:val="center"/>
        <w:rPr>
          <w:rFonts w:ascii="Times New Roman" w:eastAsiaTheme="minorEastAsia" w:hAnsi="Times New Roman" w:cs="Times New Roman"/>
          <w:color w:val="000000" w:themeColor="text1"/>
        </w:rPr>
      </w:pPr>
      <w:r w:rsidRPr="004C4C9E">
        <w:rPr>
          <w:rFonts w:ascii="Times New Roman" w:eastAsiaTheme="minorEastAsia" w:hAnsi="Times New Roman" w:cs="Times New Roman"/>
          <w:color w:val="000000" w:themeColor="text1"/>
        </w:rPr>
        <w:t>(</w:t>
      </w:r>
      <w:r w:rsidRPr="004C4C9E">
        <w:rPr>
          <w:rFonts w:ascii="Times New Roman" w:eastAsiaTheme="majorEastAsia" w:hAnsi="Times New Roman" w:cs="Times New Roman"/>
        </w:rPr>
        <w:t>2013</w:t>
      </w:r>
      <w:r w:rsidRPr="004C4C9E">
        <w:rPr>
          <w:rFonts w:ascii="Times New Roman" w:eastAsiaTheme="majorEastAsia" w:hAnsi="Times New Roman" w:cs="Times New Roman"/>
        </w:rPr>
        <w:t>年</w:t>
      </w:r>
      <w:r w:rsidRPr="004C4C9E">
        <w:rPr>
          <w:rFonts w:ascii="Times New Roman" w:eastAsiaTheme="majorEastAsia" w:hAnsi="Times New Roman" w:cs="Times New Roman"/>
        </w:rPr>
        <w:t>9</w:t>
      </w:r>
      <w:r w:rsidRPr="004C4C9E">
        <w:rPr>
          <w:rFonts w:ascii="Times New Roman" w:eastAsiaTheme="majorEastAsia" w:hAnsi="Times New Roman" w:cs="Times New Roman"/>
        </w:rPr>
        <w:t>月</w:t>
      </w:r>
      <w:r w:rsidRPr="004C4C9E">
        <w:rPr>
          <w:rFonts w:ascii="Times New Roman" w:eastAsiaTheme="majorEastAsia" w:hAnsi="Times New Roman" w:cs="Times New Roman"/>
        </w:rPr>
        <w:t>24</w:t>
      </w:r>
      <w:r w:rsidRPr="004C4C9E">
        <w:rPr>
          <w:rFonts w:ascii="Times New Roman" w:eastAsiaTheme="majorEastAsia" w:hAnsi="Times New Roman" w:cs="Times New Roman"/>
        </w:rPr>
        <w:t>日</w:t>
      </w:r>
      <w:r w:rsidRPr="004C4C9E">
        <w:rPr>
          <w:rFonts w:ascii="Times New Roman" w:eastAsiaTheme="minorEastAsia" w:hAnsi="Times New Roman" w:cs="Times New Roman"/>
          <w:color w:val="000000" w:themeColor="text1"/>
        </w:rPr>
        <w:t>至</w:t>
      </w:r>
      <w:r w:rsidRPr="004C4C9E">
        <w:rPr>
          <w:rFonts w:ascii="Times New Roman" w:eastAsiaTheme="minorEastAsia" w:hAnsi="Times New Roman" w:cs="Times New Roman"/>
          <w:color w:val="000000" w:themeColor="text1"/>
        </w:rPr>
        <w:t>2017</w:t>
      </w:r>
      <w:r w:rsidRPr="004C4C9E">
        <w:rPr>
          <w:rFonts w:ascii="Times New Roman" w:eastAsiaTheme="minorEastAsia" w:hAnsi="Times New Roman" w:cs="Times New Roman"/>
          <w:color w:val="000000" w:themeColor="text1"/>
        </w:rPr>
        <w:t>年</w:t>
      </w:r>
      <w:r w:rsidRPr="004C4C9E">
        <w:rPr>
          <w:rFonts w:ascii="Times New Roman" w:eastAsiaTheme="minorEastAsia" w:hAnsi="Times New Roman" w:cs="Times New Roman"/>
          <w:color w:val="000000" w:themeColor="text1"/>
        </w:rPr>
        <w:t>11</w:t>
      </w:r>
      <w:r w:rsidRPr="004C4C9E">
        <w:rPr>
          <w:rFonts w:ascii="Times New Roman" w:eastAsiaTheme="minorEastAsia" w:hAnsi="Times New Roman" w:cs="Times New Roman"/>
          <w:color w:val="000000" w:themeColor="text1"/>
        </w:rPr>
        <w:t>月</w:t>
      </w:r>
      <w:r w:rsidRPr="004C4C9E">
        <w:rPr>
          <w:rFonts w:ascii="Times New Roman" w:eastAsiaTheme="minorEastAsia" w:hAnsi="Times New Roman" w:cs="Times New Roman"/>
          <w:color w:val="000000" w:themeColor="text1"/>
        </w:rPr>
        <w:t>8</w:t>
      </w:r>
      <w:r w:rsidRPr="004C4C9E">
        <w:rPr>
          <w:rFonts w:ascii="Times New Roman" w:eastAsiaTheme="minorEastAsia" w:hAnsi="Times New Roman" w:cs="Times New Roman"/>
          <w:color w:val="000000" w:themeColor="text1"/>
        </w:rPr>
        <w:t>日</w:t>
      </w:r>
      <w:r w:rsidRPr="004C4C9E">
        <w:rPr>
          <w:rFonts w:ascii="Times New Roman" w:eastAsiaTheme="minorEastAsia" w:hAnsi="Times New Roman" w:cs="Times New Roman"/>
          <w:color w:val="000000" w:themeColor="text1"/>
        </w:rPr>
        <w:t>)</w:t>
      </w:r>
    </w:p>
    <w:p w:rsidR="006C60D0" w:rsidRPr="004C4C9E" w:rsidRDefault="006C60D0" w:rsidP="00574FD1">
      <w:pPr>
        <w:pStyle w:val="20"/>
        <w:adjustRightInd w:val="0"/>
        <w:snapToGrid w:val="0"/>
        <w:spacing w:line="360" w:lineRule="auto"/>
        <w:ind w:firstLineChars="0" w:firstLine="0"/>
        <w:jc w:val="left"/>
        <w:rPr>
          <w:rFonts w:ascii="Times New Roman" w:eastAsiaTheme="minorEastAsia" w:hAnsi="Times New Roman" w:cs="Times New Roman"/>
          <w:color w:val="000000" w:themeColor="text1"/>
          <w:sz w:val="21"/>
          <w:szCs w:val="21"/>
        </w:rPr>
      </w:pPr>
      <w:r w:rsidRPr="004C4C9E">
        <w:rPr>
          <w:rFonts w:ascii="Times New Roman" w:eastAsiaTheme="minorEastAsia" w:hAnsi="Times New Roman" w:cs="Times New Roman"/>
          <w:noProof/>
          <w:color w:val="000000" w:themeColor="text1"/>
          <w:sz w:val="21"/>
          <w:szCs w:val="21"/>
        </w:rPr>
        <w:drawing>
          <wp:inline distT="0" distB="0" distL="0" distR="0">
            <wp:extent cx="5759450" cy="3372485"/>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72485"/>
                    </a:xfrm>
                    <a:prstGeom prst="rect">
                      <a:avLst/>
                    </a:prstGeom>
                    <a:noFill/>
                    <a:ln>
                      <a:noFill/>
                    </a:ln>
                  </pic:spPr>
                </pic:pic>
              </a:graphicData>
            </a:graphic>
          </wp:inline>
        </w:drawing>
      </w:r>
    </w:p>
    <w:p w:rsidR="00D26C58" w:rsidRPr="00574FD1" w:rsidRDefault="006C60D0" w:rsidP="00574FD1">
      <w:pPr>
        <w:autoSpaceDE w:val="0"/>
        <w:autoSpaceDN w:val="0"/>
        <w:adjustRightInd w:val="0"/>
        <w:spacing w:line="360" w:lineRule="auto"/>
        <w:ind w:firstLineChars="150" w:firstLine="315"/>
        <w:jc w:val="left"/>
        <w:rPr>
          <w:color w:val="000000"/>
          <w:kern w:val="0"/>
        </w:rPr>
      </w:pPr>
      <w:r w:rsidRPr="004C4C9E">
        <w:rPr>
          <w:color w:val="000000"/>
          <w:kern w:val="0"/>
        </w:rPr>
        <w:t>注：按基金合同规定，本基金自基金合同生效起</w:t>
      </w:r>
      <w:r w:rsidRPr="004C4C9E">
        <w:rPr>
          <w:color w:val="000000"/>
          <w:kern w:val="0"/>
        </w:rPr>
        <w:t>6</w:t>
      </w:r>
      <w:r w:rsidRPr="004C4C9E">
        <w:rPr>
          <w:color w:val="000000"/>
          <w:kern w:val="0"/>
        </w:rPr>
        <w:t>个月内为建仓期，截至建仓结束时本基金的各项投资比例已达到基金合同第十六部分（二）的规定，即本基金对债券资产的投资比例不低于基金资产的</w:t>
      </w:r>
      <w:r w:rsidRPr="004C4C9E">
        <w:rPr>
          <w:color w:val="000000"/>
          <w:kern w:val="0"/>
        </w:rPr>
        <w:t>80%</w:t>
      </w:r>
      <w:r w:rsidRPr="004C4C9E">
        <w:rPr>
          <w:color w:val="000000"/>
          <w:kern w:val="0"/>
        </w:rPr>
        <w:t>；在分级运作周期内的每个开放日，现金或者到期日在一年以内的政府债券的投资比例合计不低于基金资产净值的</w:t>
      </w:r>
      <w:r w:rsidRPr="004C4C9E">
        <w:rPr>
          <w:color w:val="000000"/>
          <w:kern w:val="0"/>
        </w:rPr>
        <w:t>5%</w:t>
      </w:r>
      <w:r w:rsidRPr="004C4C9E">
        <w:rPr>
          <w:color w:val="000000"/>
          <w:kern w:val="0"/>
        </w:rPr>
        <w:t>。</w:t>
      </w:r>
    </w:p>
    <w:p w:rsidR="00AB3C3F"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§4  </w:t>
      </w:r>
      <w:r w:rsidRPr="004C4C9E">
        <w:rPr>
          <w:color w:val="000000"/>
          <w:kern w:val="0"/>
          <w:sz w:val="21"/>
          <w:szCs w:val="21"/>
        </w:rPr>
        <w:t>管理人报告</w:t>
      </w:r>
    </w:p>
    <w:p w:rsidR="00B12B7D" w:rsidRPr="004C4C9E" w:rsidRDefault="004061AC" w:rsidP="004C4C9E">
      <w:pPr>
        <w:pStyle w:val="2"/>
        <w:spacing w:before="0" w:after="0"/>
        <w:rPr>
          <w:rFonts w:ascii="Times New Roman" w:hAnsi="Times New Roman" w:cs="Times New Roman"/>
          <w:b w:val="0"/>
          <w:color w:val="000000"/>
          <w:kern w:val="0"/>
          <w:sz w:val="21"/>
          <w:szCs w:val="21"/>
        </w:rPr>
      </w:pPr>
      <w:r w:rsidRPr="004C4C9E">
        <w:rPr>
          <w:rFonts w:ascii="Times New Roman" w:hAnsi="Times New Roman" w:cs="Times New Roman"/>
          <w:color w:val="000000"/>
          <w:kern w:val="0"/>
          <w:sz w:val="21"/>
          <w:szCs w:val="21"/>
        </w:rPr>
        <w:t xml:space="preserve">4.1 </w:t>
      </w:r>
      <w:r w:rsidRPr="004C4C9E">
        <w:rPr>
          <w:rFonts w:ascii="Times New Roman" w:hAnsi="Times New Roman" w:cs="Times New Roman"/>
          <w:color w:val="000000"/>
          <w:kern w:val="0"/>
          <w:sz w:val="21"/>
          <w:szCs w:val="21"/>
        </w:rPr>
        <w:t>基金经理</w:t>
      </w:r>
      <w:r w:rsidR="00D57B7C" w:rsidRPr="004C4C9E">
        <w:rPr>
          <w:rFonts w:ascii="Times New Roman" w:hAnsi="Times New Roman" w:cs="Times New Roman"/>
          <w:color w:val="000000"/>
          <w:kern w:val="0"/>
          <w:sz w:val="21"/>
          <w:szCs w:val="21"/>
        </w:rPr>
        <w:t>(</w:t>
      </w:r>
      <w:r w:rsidRPr="004C4C9E">
        <w:rPr>
          <w:rFonts w:ascii="Times New Roman" w:hAnsi="Times New Roman" w:cs="Times New Roman"/>
          <w:color w:val="000000"/>
          <w:kern w:val="0"/>
          <w:sz w:val="21"/>
          <w:szCs w:val="21"/>
        </w:rPr>
        <w:t>或基金经理小组</w:t>
      </w:r>
      <w:r w:rsidR="00D57B7C" w:rsidRPr="004C4C9E">
        <w:rPr>
          <w:rFonts w:ascii="Times New Roman" w:hAnsi="Times New Roman" w:cs="Times New Roman"/>
          <w:color w:val="000000"/>
          <w:kern w:val="0"/>
          <w:sz w:val="21"/>
          <w:szCs w:val="21"/>
        </w:rPr>
        <w:t>)</w:t>
      </w:r>
      <w:r w:rsidRPr="004C4C9E">
        <w:rPr>
          <w:rFonts w:ascii="Times New Roman" w:hAnsi="Times New Roman" w:cs="Times New Roman"/>
          <w:color w:val="000000"/>
          <w:kern w:val="0"/>
          <w:sz w:val="21"/>
          <w:szCs w:val="21"/>
        </w:rPr>
        <w:t>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1560"/>
        <w:gridCol w:w="1559"/>
        <w:gridCol w:w="1417"/>
        <w:gridCol w:w="2694"/>
      </w:tblGrid>
      <w:tr w:rsidR="00220C32" w:rsidRPr="004C4C9E" w:rsidTr="00B32AA7">
        <w:trPr>
          <w:cantSplit/>
          <w:trHeight w:val="292"/>
        </w:trPr>
        <w:tc>
          <w:tcPr>
            <w:tcW w:w="851" w:type="dxa"/>
            <w:vMerge w:val="restart"/>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姓名</w:t>
            </w:r>
          </w:p>
        </w:tc>
        <w:tc>
          <w:tcPr>
            <w:tcW w:w="850" w:type="dxa"/>
            <w:vMerge w:val="restart"/>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职务</w:t>
            </w:r>
          </w:p>
        </w:tc>
        <w:tc>
          <w:tcPr>
            <w:tcW w:w="3119" w:type="dxa"/>
            <w:gridSpan w:val="2"/>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任本基金的基金经理期限</w:t>
            </w:r>
          </w:p>
        </w:tc>
        <w:tc>
          <w:tcPr>
            <w:tcW w:w="1417" w:type="dxa"/>
            <w:vMerge w:val="restart"/>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证券从业年限</w:t>
            </w:r>
          </w:p>
        </w:tc>
        <w:tc>
          <w:tcPr>
            <w:tcW w:w="2694" w:type="dxa"/>
            <w:vMerge w:val="restart"/>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说明</w:t>
            </w:r>
          </w:p>
        </w:tc>
      </w:tr>
      <w:tr w:rsidR="00220C32" w:rsidRPr="004C4C9E" w:rsidTr="00B32AA7">
        <w:trPr>
          <w:cantSplit/>
        </w:trPr>
        <w:tc>
          <w:tcPr>
            <w:tcW w:w="851" w:type="dxa"/>
            <w:vMerge/>
            <w:vAlign w:val="center"/>
          </w:tcPr>
          <w:p w:rsidR="004061AC" w:rsidRPr="004C4C9E" w:rsidRDefault="004061AC" w:rsidP="004C4C9E">
            <w:pPr>
              <w:autoSpaceDE w:val="0"/>
              <w:autoSpaceDN w:val="0"/>
              <w:adjustRightInd w:val="0"/>
              <w:spacing w:before="29" w:line="276" w:lineRule="auto"/>
              <w:ind w:left="15"/>
              <w:jc w:val="center"/>
              <w:rPr>
                <w:color w:val="000000"/>
                <w:kern w:val="0"/>
              </w:rPr>
            </w:pPr>
          </w:p>
        </w:tc>
        <w:tc>
          <w:tcPr>
            <w:tcW w:w="850" w:type="dxa"/>
            <w:vMerge/>
            <w:vAlign w:val="center"/>
          </w:tcPr>
          <w:p w:rsidR="004061AC" w:rsidRPr="004C4C9E" w:rsidRDefault="004061AC" w:rsidP="004C4C9E">
            <w:pPr>
              <w:autoSpaceDE w:val="0"/>
              <w:autoSpaceDN w:val="0"/>
              <w:adjustRightInd w:val="0"/>
              <w:spacing w:before="29" w:line="276" w:lineRule="auto"/>
              <w:ind w:left="15"/>
              <w:jc w:val="center"/>
              <w:rPr>
                <w:color w:val="000000"/>
                <w:kern w:val="0"/>
              </w:rPr>
            </w:pPr>
          </w:p>
        </w:tc>
        <w:tc>
          <w:tcPr>
            <w:tcW w:w="1560" w:type="dxa"/>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任职日期</w:t>
            </w:r>
          </w:p>
        </w:tc>
        <w:tc>
          <w:tcPr>
            <w:tcW w:w="1559" w:type="dxa"/>
            <w:vAlign w:val="center"/>
          </w:tcPr>
          <w:p w:rsidR="004061AC" w:rsidRPr="004C4C9E" w:rsidRDefault="004061AC" w:rsidP="004C4C9E">
            <w:pPr>
              <w:autoSpaceDE w:val="0"/>
              <w:autoSpaceDN w:val="0"/>
              <w:adjustRightInd w:val="0"/>
              <w:spacing w:before="29" w:line="276" w:lineRule="auto"/>
              <w:ind w:left="15"/>
              <w:jc w:val="center"/>
              <w:rPr>
                <w:color w:val="000000"/>
                <w:kern w:val="0"/>
              </w:rPr>
            </w:pPr>
            <w:r w:rsidRPr="004C4C9E">
              <w:rPr>
                <w:color w:val="000000"/>
                <w:kern w:val="0"/>
              </w:rPr>
              <w:t>离任日期</w:t>
            </w:r>
          </w:p>
        </w:tc>
        <w:tc>
          <w:tcPr>
            <w:tcW w:w="1417" w:type="dxa"/>
            <w:vMerge/>
            <w:vAlign w:val="center"/>
          </w:tcPr>
          <w:p w:rsidR="004061AC" w:rsidRPr="004C4C9E" w:rsidRDefault="004061AC" w:rsidP="004C4C9E">
            <w:pPr>
              <w:autoSpaceDE w:val="0"/>
              <w:autoSpaceDN w:val="0"/>
              <w:adjustRightInd w:val="0"/>
              <w:spacing w:before="29" w:line="276" w:lineRule="auto"/>
              <w:ind w:left="15"/>
              <w:jc w:val="center"/>
              <w:rPr>
                <w:color w:val="000000"/>
                <w:kern w:val="0"/>
              </w:rPr>
            </w:pPr>
          </w:p>
        </w:tc>
        <w:tc>
          <w:tcPr>
            <w:tcW w:w="2694" w:type="dxa"/>
            <w:vMerge/>
            <w:vAlign w:val="center"/>
          </w:tcPr>
          <w:p w:rsidR="004061AC" w:rsidRPr="004C4C9E" w:rsidRDefault="004061AC" w:rsidP="004C4C9E">
            <w:pPr>
              <w:autoSpaceDE w:val="0"/>
              <w:autoSpaceDN w:val="0"/>
              <w:adjustRightInd w:val="0"/>
              <w:spacing w:before="29" w:line="276" w:lineRule="auto"/>
              <w:ind w:left="15"/>
              <w:jc w:val="center"/>
              <w:rPr>
                <w:color w:val="000000"/>
                <w:kern w:val="0"/>
              </w:rPr>
            </w:pPr>
          </w:p>
        </w:tc>
      </w:tr>
      <w:tr w:rsidR="0049111A">
        <w:tc>
          <w:tcPr>
            <w:tcW w:w="851" w:type="dxa"/>
            <w:vAlign w:val="center"/>
          </w:tcPr>
          <w:p w:rsidR="0049111A" w:rsidRDefault="00CE4D5E">
            <w:pPr>
              <w:jc w:val="center"/>
            </w:pPr>
            <w:r>
              <w:rPr>
                <w:color w:val="000000"/>
                <w:kern w:val="0"/>
              </w:rPr>
              <w:t>奚鹏洲</w:t>
            </w:r>
          </w:p>
        </w:tc>
        <w:tc>
          <w:tcPr>
            <w:tcW w:w="850" w:type="dxa"/>
            <w:vAlign w:val="center"/>
          </w:tcPr>
          <w:p w:rsidR="0049111A" w:rsidRDefault="00CE4D5E">
            <w:pPr>
              <w:jc w:val="center"/>
            </w:pPr>
            <w:r>
              <w:rPr>
                <w:color w:val="000000"/>
                <w:kern w:val="0"/>
              </w:rPr>
              <w:t>本基金的基金经理、中银增利基金基金经理、中银双利基金基金经理、中银信用增利基金基金经理、中银惠利纯债基金基金经理、公司固定收益投资部总经理</w:t>
            </w:r>
          </w:p>
        </w:tc>
        <w:tc>
          <w:tcPr>
            <w:tcW w:w="1560" w:type="dxa"/>
            <w:vAlign w:val="center"/>
          </w:tcPr>
          <w:p w:rsidR="0049111A" w:rsidRDefault="00CE4D5E">
            <w:pPr>
              <w:jc w:val="center"/>
            </w:pPr>
            <w:r>
              <w:rPr>
                <w:color w:val="000000"/>
                <w:kern w:val="0"/>
              </w:rPr>
              <w:t>2013-09-24</w:t>
            </w:r>
          </w:p>
        </w:tc>
        <w:tc>
          <w:tcPr>
            <w:tcW w:w="1559" w:type="dxa"/>
            <w:vAlign w:val="center"/>
          </w:tcPr>
          <w:p w:rsidR="0049111A" w:rsidRDefault="00CE4D5E">
            <w:pPr>
              <w:jc w:val="center"/>
            </w:pPr>
            <w:r>
              <w:rPr>
                <w:color w:val="000000"/>
                <w:kern w:val="0"/>
              </w:rPr>
              <w:t>-</w:t>
            </w:r>
          </w:p>
        </w:tc>
        <w:tc>
          <w:tcPr>
            <w:tcW w:w="1417" w:type="dxa"/>
            <w:vAlign w:val="center"/>
          </w:tcPr>
          <w:p w:rsidR="0049111A" w:rsidRDefault="00CE4D5E">
            <w:pPr>
              <w:jc w:val="center"/>
            </w:pPr>
            <w:r>
              <w:rPr>
                <w:color w:val="000000"/>
                <w:kern w:val="0"/>
              </w:rPr>
              <w:t>17</w:t>
            </w:r>
          </w:p>
        </w:tc>
        <w:tc>
          <w:tcPr>
            <w:tcW w:w="2694" w:type="dxa"/>
            <w:vAlign w:val="center"/>
          </w:tcPr>
          <w:p w:rsidR="0049111A" w:rsidRDefault="00CE4D5E">
            <w:r>
              <w:rPr>
                <w:color w:val="000000"/>
                <w:kern w:val="0"/>
              </w:rPr>
              <w:t>中银基金管理有限公司固定收益投资部总经理，董事总经理</w:t>
            </w:r>
            <w:r>
              <w:rPr>
                <w:color w:val="000000"/>
                <w:kern w:val="0"/>
              </w:rPr>
              <w:t>(MD)</w:t>
            </w:r>
            <w:r>
              <w:rPr>
                <w:color w:val="000000"/>
                <w:kern w:val="0"/>
              </w:rPr>
              <w:t>，理学硕士。曾任中国银行总行全球金融市场部债券高级交易员。</w:t>
            </w:r>
            <w:r>
              <w:rPr>
                <w:color w:val="000000"/>
                <w:kern w:val="0"/>
              </w:rPr>
              <w:t>2009</w:t>
            </w:r>
            <w:r>
              <w:rPr>
                <w:color w:val="000000"/>
                <w:kern w:val="0"/>
              </w:rPr>
              <w:t>年加入中银基金管理有限公司，</w:t>
            </w:r>
            <w:r>
              <w:rPr>
                <w:color w:val="000000"/>
                <w:kern w:val="0"/>
              </w:rPr>
              <w:t>2010</w:t>
            </w:r>
            <w:r>
              <w:rPr>
                <w:color w:val="000000"/>
                <w:kern w:val="0"/>
              </w:rPr>
              <w:t>年</w:t>
            </w:r>
            <w:r>
              <w:rPr>
                <w:color w:val="000000"/>
                <w:kern w:val="0"/>
              </w:rPr>
              <w:t>5</w:t>
            </w:r>
            <w:r>
              <w:rPr>
                <w:color w:val="000000"/>
                <w:kern w:val="0"/>
              </w:rPr>
              <w:t>月至</w:t>
            </w:r>
            <w:r>
              <w:rPr>
                <w:color w:val="000000"/>
                <w:kern w:val="0"/>
              </w:rPr>
              <w:t>2011</w:t>
            </w:r>
            <w:r>
              <w:rPr>
                <w:color w:val="000000"/>
                <w:kern w:val="0"/>
              </w:rPr>
              <w:t>年</w:t>
            </w:r>
            <w:r>
              <w:rPr>
                <w:color w:val="000000"/>
                <w:kern w:val="0"/>
              </w:rPr>
              <w:t>9</w:t>
            </w:r>
            <w:r>
              <w:rPr>
                <w:color w:val="000000"/>
                <w:kern w:val="0"/>
              </w:rPr>
              <w:t>月任中银货币基金基金经理，</w:t>
            </w:r>
            <w:r>
              <w:rPr>
                <w:color w:val="000000"/>
                <w:kern w:val="0"/>
              </w:rPr>
              <w:t>2010</w:t>
            </w:r>
            <w:r>
              <w:rPr>
                <w:color w:val="000000"/>
                <w:kern w:val="0"/>
              </w:rPr>
              <w:t>年</w:t>
            </w:r>
            <w:r>
              <w:rPr>
                <w:color w:val="000000"/>
                <w:kern w:val="0"/>
              </w:rPr>
              <w:t>6</w:t>
            </w:r>
            <w:r>
              <w:rPr>
                <w:color w:val="000000"/>
                <w:kern w:val="0"/>
              </w:rPr>
              <w:t>月至今任中银增利基金基金经理，</w:t>
            </w:r>
            <w:r>
              <w:rPr>
                <w:color w:val="000000"/>
                <w:kern w:val="0"/>
              </w:rPr>
              <w:t>2010</w:t>
            </w:r>
            <w:r>
              <w:rPr>
                <w:color w:val="000000"/>
                <w:kern w:val="0"/>
              </w:rPr>
              <w:t>年</w:t>
            </w:r>
            <w:r>
              <w:rPr>
                <w:color w:val="000000"/>
                <w:kern w:val="0"/>
              </w:rPr>
              <w:t>11</w:t>
            </w:r>
            <w:r>
              <w:rPr>
                <w:color w:val="000000"/>
                <w:kern w:val="0"/>
              </w:rPr>
              <w:t>月至今任中银双利基金基金经理，</w:t>
            </w:r>
            <w:r>
              <w:rPr>
                <w:color w:val="000000"/>
                <w:kern w:val="0"/>
              </w:rPr>
              <w:t>2012</w:t>
            </w:r>
            <w:r>
              <w:rPr>
                <w:color w:val="000000"/>
                <w:kern w:val="0"/>
              </w:rPr>
              <w:t>年</w:t>
            </w:r>
            <w:r>
              <w:rPr>
                <w:color w:val="000000"/>
                <w:kern w:val="0"/>
              </w:rPr>
              <w:t>3</w:t>
            </w:r>
            <w:r>
              <w:rPr>
                <w:color w:val="000000"/>
                <w:kern w:val="0"/>
              </w:rPr>
              <w:t>月至今任中银信用增利基金基金经理</w:t>
            </w:r>
            <w:r>
              <w:rPr>
                <w:color w:val="000000"/>
                <w:kern w:val="0"/>
              </w:rPr>
              <w:t>,</w:t>
            </w:r>
            <w:r>
              <w:rPr>
                <w:color w:val="000000"/>
                <w:kern w:val="0"/>
              </w:rPr>
              <w:t>2013</w:t>
            </w:r>
            <w:r>
              <w:rPr>
                <w:color w:val="000000"/>
                <w:kern w:val="0"/>
              </w:rPr>
              <w:t>年</w:t>
            </w:r>
            <w:r>
              <w:rPr>
                <w:color w:val="000000"/>
                <w:kern w:val="0"/>
              </w:rPr>
              <w:t>9</w:t>
            </w:r>
            <w:r>
              <w:rPr>
                <w:color w:val="000000"/>
                <w:kern w:val="0"/>
              </w:rPr>
              <w:t>月至今任中银互利基金基金经理，</w:t>
            </w:r>
            <w:r>
              <w:rPr>
                <w:color w:val="000000"/>
                <w:kern w:val="0"/>
              </w:rPr>
              <w:t>2013</w:t>
            </w:r>
            <w:r>
              <w:rPr>
                <w:color w:val="000000"/>
                <w:kern w:val="0"/>
              </w:rPr>
              <w:t>年</w:t>
            </w:r>
            <w:r>
              <w:rPr>
                <w:color w:val="000000"/>
                <w:kern w:val="0"/>
              </w:rPr>
              <w:t>11</w:t>
            </w:r>
            <w:r>
              <w:rPr>
                <w:color w:val="000000"/>
                <w:kern w:val="0"/>
              </w:rPr>
              <w:t>月至今任中银惠利纯债基金基金经理。具有</w:t>
            </w:r>
            <w:r>
              <w:rPr>
                <w:color w:val="000000"/>
                <w:kern w:val="0"/>
              </w:rPr>
              <w:t>17</w:t>
            </w:r>
            <w:r>
              <w:rPr>
                <w:color w:val="000000"/>
                <w:kern w:val="0"/>
              </w:rPr>
              <w:t>年证券从业年限。具备基金从业资格。</w:t>
            </w:r>
          </w:p>
        </w:tc>
      </w:tr>
    </w:tbl>
    <w:p w:rsidR="004061AC" w:rsidRPr="004C4C9E" w:rsidRDefault="004061AC" w:rsidP="004C4C9E">
      <w:pPr>
        <w:autoSpaceDE w:val="0"/>
        <w:autoSpaceDN w:val="0"/>
        <w:adjustRightInd w:val="0"/>
        <w:spacing w:line="360" w:lineRule="auto"/>
        <w:ind w:firstLineChars="150" w:firstLine="315"/>
        <w:jc w:val="left"/>
        <w:rPr>
          <w:color w:val="000000"/>
          <w:kern w:val="0"/>
        </w:rPr>
      </w:pPr>
      <w:r w:rsidRPr="004C4C9E">
        <w:rPr>
          <w:color w:val="000000"/>
          <w:kern w:val="0"/>
        </w:rPr>
        <w:t>注：</w:t>
      </w:r>
      <w:r w:rsidRPr="004C4C9E">
        <w:rPr>
          <w:color w:val="000000"/>
          <w:kern w:val="0"/>
        </w:rPr>
        <w:t>1</w:t>
      </w:r>
      <w:r w:rsidRPr="004C4C9E">
        <w:rPr>
          <w:color w:val="000000"/>
          <w:kern w:val="0"/>
        </w:rPr>
        <w:t>、首任基金经理的</w:t>
      </w:r>
      <w:r w:rsidRPr="004C4C9E">
        <w:rPr>
          <w:color w:val="000000"/>
          <w:kern w:val="0"/>
        </w:rPr>
        <w:t>“</w:t>
      </w:r>
      <w:r w:rsidRPr="004C4C9E">
        <w:rPr>
          <w:color w:val="000000"/>
          <w:kern w:val="0"/>
        </w:rPr>
        <w:t>任职日期</w:t>
      </w:r>
      <w:r w:rsidRPr="004C4C9E">
        <w:rPr>
          <w:color w:val="000000"/>
          <w:kern w:val="0"/>
        </w:rPr>
        <w:t>”</w:t>
      </w:r>
      <w:r w:rsidRPr="004C4C9E">
        <w:rPr>
          <w:color w:val="000000"/>
          <w:kern w:val="0"/>
        </w:rPr>
        <w:t>为基金合同生效日，非首任基金经理的</w:t>
      </w:r>
      <w:r w:rsidRPr="004C4C9E">
        <w:rPr>
          <w:color w:val="000000"/>
          <w:kern w:val="0"/>
        </w:rPr>
        <w:t>“</w:t>
      </w:r>
      <w:r w:rsidRPr="004C4C9E">
        <w:rPr>
          <w:color w:val="000000"/>
          <w:kern w:val="0"/>
        </w:rPr>
        <w:t>任职日期</w:t>
      </w:r>
      <w:r w:rsidRPr="004C4C9E">
        <w:rPr>
          <w:color w:val="000000"/>
          <w:kern w:val="0"/>
        </w:rPr>
        <w:t>”</w:t>
      </w:r>
      <w:r w:rsidRPr="004C4C9E">
        <w:rPr>
          <w:color w:val="000000"/>
          <w:kern w:val="0"/>
        </w:rPr>
        <w:t>为根据公司决定确定的聘任日期，基金经理的</w:t>
      </w:r>
      <w:r w:rsidRPr="004C4C9E">
        <w:rPr>
          <w:color w:val="000000"/>
          <w:kern w:val="0"/>
        </w:rPr>
        <w:t>“</w:t>
      </w:r>
      <w:r w:rsidRPr="004C4C9E">
        <w:rPr>
          <w:color w:val="000000"/>
          <w:kern w:val="0"/>
        </w:rPr>
        <w:t>离任日期</w:t>
      </w:r>
      <w:r w:rsidRPr="004C4C9E">
        <w:rPr>
          <w:color w:val="000000"/>
          <w:kern w:val="0"/>
        </w:rPr>
        <w:t>”</w:t>
      </w:r>
      <w:r w:rsidRPr="004C4C9E">
        <w:rPr>
          <w:color w:val="000000"/>
          <w:kern w:val="0"/>
        </w:rPr>
        <w:t>均为根据公司决定确定的解聘日期；</w:t>
      </w:r>
      <w:r w:rsidRPr="004C4C9E">
        <w:rPr>
          <w:color w:val="000000"/>
          <w:kern w:val="0"/>
        </w:rPr>
        <w:t>2</w:t>
      </w:r>
      <w:r w:rsidRPr="004C4C9E">
        <w:rPr>
          <w:color w:val="000000"/>
          <w:kern w:val="0"/>
        </w:rPr>
        <w:t>、证券从业年限的计算标准及含义遵从《证券业从业人员资格管理办法》的相关规定；</w:t>
      </w:r>
      <w:r w:rsidRPr="004C4C9E">
        <w:rPr>
          <w:color w:val="000000"/>
          <w:kern w:val="0"/>
        </w:rPr>
        <w:t>3</w:t>
      </w:r>
      <w:r w:rsidRPr="004C4C9E">
        <w:rPr>
          <w:color w:val="000000"/>
          <w:kern w:val="0"/>
        </w:rPr>
        <w:t>、</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日原中银互利分级债券型证券投资基金转型为中银互利半年定期开放债券型证券投资基金，奚鹏洲先生继续担任中银互利半年定期开放债券型证券投资基金的基金经理。</w:t>
      </w:r>
    </w:p>
    <w:p w:rsidR="00B57D67" w:rsidRPr="004C4C9E" w:rsidRDefault="00B57D67" w:rsidP="00CE4D5E">
      <w:pPr>
        <w:pStyle w:val="2"/>
        <w:spacing w:beforeLines="5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 xml:space="preserve">4.2 </w:t>
      </w:r>
      <w:r w:rsidRPr="004C4C9E">
        <w:rPr>
          <w:rFonts w:ascii="Times New Roman" w:hAnsi="Times New Roman" w:cs="Times New Roman"/>
          <w:color w:val="000000"/>
          <w:kern w:val="0"/>
          <w:sz w:val="21"/>
          <w:szCs w:val="21"/>
        </w:rPr>
        <w:t>报告期内本基金运作遵规守信情况说明</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本报告期内，本基金管理人严格遵守《中华人民共和国证券投资基金法》、中国证监会的有关规则和其他有关法律法规的规定，严格遵循本基金基金合同，本着诚实信用、勤勉尽责的原则管理和运用基金资产，在严格控制风险的基础上，为基金份额持有人谋求最大利益。本报告期内，本基金运作合法合规，无损害基金份额持有人利益的行为。</w:t>
      </w:r>
    </w:p>
    <w:p w:rsidR="00B57D67" w:rsidRPr="004C4C9E" w:rsidRDefault="00B57D67" w:rsidP="00CE4D5E">
      <w:pPr>
        <w:pStyle w:val="2"/>
        <w:spacing w:beforeLines="5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 xml:space="preserve">4.3 </w:t>
      </w:r>
      <w:r w:rsidRPr="004C4C9E">
        <w:rPr>
          <w:rFonts w:ascii="Times New Roman" w:hAnsi="Times New Roman" w:cs="Times New Roman"/>
          <w:color w:val="000000"/>
          <w:kern w:val="0"/>
          <w:sz w:val="21"/>
          <w:szCs w:val="21"/>
        </w:rPr>
        <w:t>公平交易专项说明</w:t>
      </w:r>
    </w:p>
    <w:p w:rsidR="00B57D67" w:rsidRPr="00A51799" w:rsidRDefault="00B57D67" w:rsidP="00A51799">
      <w:pPr>
        <w:spacing w:line="360" w:lineRule="auto"/>
        <w:ind w:firstLineChars="50" w:firstLine="105"/>
        <w:rPr>
          <w:rFonts w:eastAsiaTheme="minorEastAsia"/>
          <w:b/>
          <w:color w:val="000000" w:themeColor="text1"/>
        </w:rPr>
      </w:pPr>
      <w:smartTag w:uri="urn:schemas-microsoft-com:office:smarttags" w:element="chsdate">
        <w:smartTagPr>
          <w:attr w:name="IsROCDate" w:val="False"/>
          <w:attr w:name="IsLunarDate" w:val="False"/>
          <w:attr w:name="Day" w:val="30"/>
          <w:attr w:name="Month" w:val="12"/>
          <w:attr w:name="Year" w:val="1899"/>
        </w:smartTagPr>
        <w:r w:rsidRPr="00A51799">
          <w:rPr>
            <w:rFonts w:eastAsiaTheme="minorEastAsia"/>
            <w:b/>
            <w:color w:val="000000" w:themeColor="text1"/>
          </w:rPr>
          <w:t>4.3.1</w:t>
        </w:r>
      </w:smartTag>
      <w:r w:rsidRPr="00A51799">
        <w:rPr>
          <w:rFonts w:eastAsiaTheme="minorEastAsia"/>
          <w:b/>
          <w:color w:val="000000" w:themeColor="text1"/>
        </w:rPr>
        <w:t>公平交易制度的执行情况</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根据中国证监会颁布的《证券投资基金管理公司公平交易制度指导意见》，公司制定了《中银基金管理有限公司公平交易管理办法》，建立了《新股询价申购和参与公开增发管理办法》、《债券询价申购管理办法》、《集中交易管</w:t>
      </w:r>
      <w:r>
        <w:rPr>
          <w:rFonts w:eastAsiaTheme="minorEastAsia"/>
          <w:color w:val="000000" w:themeColor="text1"/>
        </w:rPr>
        <w:t>理办法》等公平交易相关制度体系，通过制度确保不同投资组合在投资管理活动中得到公平对待，严格防范不同投资组合之间进行利益输送。公司建立了投资决策委员会领导下的投资决策及授权制度，以科学规范的投资决策体系，采用集中交易管理加强交易执行环节的内部控制，通过工作制度、流程和技术手段保证公平交易原则的实现；通过建立层级完备的公司证券池及组合风格库，完善各类具体资产管理业务组织结构，规范各项业务之间的关系，在保证各投资组合既具有相对独立性的同时，确保其在获得投资信息、投资建议和实施投资决策方面享有公平的机会；通过对异常</w:t>
      </w:r>
      <w:r>
        <w:rPr>
          <w:rFonts w:eastAsiaTheme="minorEastAsia"/>
          <w:color w:val="000000" w:themeColor="text1"/>
        </w:rPr>
        <w:t>交易行为的实时监控、分析评估、监察稽核和信息披露确保公平交易过程和结果的有效监督。</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本报告期内，本公司严格遵守法律法规关于公平交易的相关规定，确保本公司管理的不同投资组合在授权、研究分析、投资决策、交易执行、业绩评估等投资管理活动和环节得到公平对待。各投资组合均严格按照法律、法规和公司制度执行投资交易，本报告期内未发生异常交易行为。</w:t>
      </w:r>
    </w:p>
    <w:p w:rsidR="00B57D67" w:rsidRPr="00A51799" w:rsidRDefault="00B57D67" w:rsidP="00A51799">
      <w:pPr>
        <w:spacing w:line="360" w:lineRule="auto"/>
        <w:ind w:firstLineChars="50" w:firstLine="105"/>
        <w:rPr>
          <w:rFonts w:eastAsiaTheme="minorEastAsia"/>
          <w:b/>
          <w:color w:val="000000" w:themeColor="text1"/>
        </w:rPr>
      </w:pPr>
      <w:r w:rsidRPr="00A51799">
        <w:rPr>
          <w:rFonts w:eastAsiaTheme="minorEastAsia"/>
          <w:b/>
          <w:color w:val="000000" w:themeColor="text1"/>
        </w:rPr>
        <w:t xml:space="preserve">4.3.2 </w:t>
      </w:r>
      <w:r w:rsidRPr="00A51799">
        <w:rPr>
          <w:rFonts w:eastAsiaTheme="minorEastAsia"/>
          <w:b/>
          <w:color w:val="000000" w:themeColor="text1"/>
        </w:rPr>
        <w:t>异常交易行为的专项说明</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本报告期内，本基金未发现异常交易行为。</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本报告期内，基金管理人未发生所有投资组合参与的交易所公开竞价同日反向交易成交较少的单边交易量超过该证券当日成交量的</w:t>
      </w:r>
      <w:r w:rsidRPr="004C4C9E">
        <w:rPr>
          <w:rFonts w:eastAsiaTheme="minorEastAsia"/>
          <w:color w:val="000000" w:themeColor="text1"/>
        </w:rPr>
        <w:t>5%</w:t>
      </w:r>
      <w:r w:rsidRPr="004C4C9E">
        <w:rPr>
          <w:rFonts w:eastAsiaTheme="minorEastAsia"/>
          <w:color w:val="000000" w:themeColor="text1"/>
        </w:rPr>
        <w:t>的情况。</w:t>
      </w:r>
    </w:p>
    <w:p w:rsidR="00B57D67" w:rsidRPr="004C4C9E" w:rsidRDefault="00B57D67" w:rsidP="00CE4D5E">
      <w:pPr>
        <w:pStyle w:val="2"/>
        <w:spacing w:beforeLines="5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 xml:space="preserve">4.4 </w:t>
      </w:r>
      <w:r w:rsidRPr="004C4C9E">
        <w:rPr>
          <w:rFonts w:ascii="Times New Roman" w:hAnsi="Times New Roman" w:cs="Times New Roman"/>
          <w:color w:val="000000"/>
          <w:kern w:val="0"/>
          <w:sz w:val="21"/>
          <w:szCs w:val="21"/>
        </w:rPr>
        <w:t>报告期内基金的投资策略和业绩表现说明</w:t>
      </w:r>
    </w:p>
    <w:p w:rsidR="00B57D67" w:rsidRPr="00C9778A" w:rsidRDefault="00B57D67" w:rsidP="00A51799">
      <w:pPr>
        <w:spacing w:line="360" w:lineRule="auto"/>
        <w:ind w:firstLineChars="49" w:firstLine="103"/>
        <w:rPr>
          <w:rFonts w:eastAsiaTheme="minorEastAsia"/>
          <w:b/>
          <w:color w:val="000000" w:themeColor="text1"/>
        </w:rPr>
      </w:pPr>
      <w:smartTag w:uri="urn:schemas-microsoft-com:office:smarttags" w:element="chsdate">
        <w:smartTagPr>
          <w:attr w:name="IsROCDate" w:val="False"/>
          <w:attr w:name="IsLunarDate" w:val="False"/>
          <w:attr w:name="Day" w:val="30"/>
          <w:attr w:name="Month" w:val="12"/>
          <w:attr w:name="Year" w:val="1899"/>
        </w:smartTagPr>
        <w:r w:rsidRPr="00C9778A">
          <w:rPr>
            <w:rFonts w:eastAsiaTheme="minorEastAsia"/>
            <w:b/>
            <w:color w:val="000000" w:themeColor="text1"/>
          </w:rPr>
          <w:t>4.4.1</w:t>
        </w:r>
      </w:smartTag>
      <w:r w:rsidRPr="00C9778A">
        <w:rPr>
          <w:rFonts w:eastAsiaTheme="minorEastAsia"/>
          <w:b/>
          <w:color w:val="000000" w:themeColor="text1"/>
        </w:rPr>
        <w:t>报告期内基金投资策略和运作分析</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 xml:space="preserve">1. </w:t>
      </w:r>
      <w:r>
        <w:rPr>
          <w:rFonts w:eastAsiaTheme="minorEastAsia"/>
          <w:color w:val="000000" w:themeColor="text1"/>
        </w:rPr>
        <w:t>宏观经济分析</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国外经济方面，全球经济继续稳定复苏，欧洲表现强势。从领先指标来看，四季度美国</w:t>
      </w:r>
      <w:r>
        <w:rPr>
          <w:rFonts w:eastAsiaTheme="minorEastAsia"/>
          <w:color w:val="000000" w:themeColor="text1"/>
        </w:rPr>
        <w:t>ISM</w:t>
      </w:r>
      <w:r>
        <w:rPr>
          <w:rFonts w:eastAsiaTheme="minorEastAsia"/>
          <w:color w:val="000000" w:themeColor="text1"/>
        </w:rPr>
        <w:t>制造业</w:t>
      </w:r>
      <w:r>
        <w:rPr>
          <w:rFonts w:eastAsiaTheme="minorEastAsia"/>
          <w:color w:val="000000" w:themeColor="text1"/>
        </w:rPr>
        <w:t>PMI</w:t>
      </w:r>
      <w:r>
        <w:rPr>
          <w:rFonts w:eastAsiaTheme="minorEastAsia"/>
          <w:color w:val="000000" w:themeColor="text1"/>
        </w:rPr>
        <w:t>指数从</w:t>
      </w:r>
      <w:r>
        <w:rPr>
          <w:rFonts w:eastAsiaTheme="minorEastAsia"/>
          <w:color w:val="000000" w:themeColor="text1"/>
        </w:rPr>
        <w:t>60.8</w:t>
      </w:r>
      <w:r>
        <w:rPr>
          <w:rFonts w:eastAsiaTheme="minorEastAsia"/>
          <w:color w:val="000000" w:themeColor="text1"/>
        </w:rPr>
        <w:t>小幅回落至</w:t>
      </w:r>
      <w:r>
        <w:rPr>
          <w:rFonts w:eastAsiaTheme="minorEastAsia"/>
          <w:color w:val="000000" w:themeColor="text1"/>
        </w:rPr>
        <w:t>59.7</w:t>
      </w:r>
      <w:r>
        <w:rPr>
          <w:rFonts w:eastAsiaTheme="minorEastAsia"/>
          <w:color w:val="000000" w:themeColor="text1"/>
        </w:rPr>
        <w:t>水平，实现</w:t>
      </w:r>
      <w:r>
        <w:rPr>
          <w:rFonts w:eastAsiaTheme="minorEastAsia"/>
          <w:color w:val="000000" w:themeColor="text1"/>
        </w:rPr>
        <w:t>2004</w:t>
      </w:r>
      <w:r>
        <w:rPr>
          <w:rFonts w:eastAsiaTheme="minorEastAsia"/>
          <w:color w:val="000000" w:themeColor="text1"/>
        </w:rPr>
        <w:t>年以来最佳年度表现，飓风带来的损害和灾后重建对经济有所影响，但不会实质改变全国经济增长前景；就业市场整体稳健，有效劳动人口的补充逐步接近上限，失业率降至</w:t>
      </w:r>
      <w:r>
        <w:rPr>
          <w:rFonts w:eastAsiaTheme="minorEastAsia"/>
          <w:color w:val="000000" w:themeColor="text1"/>
        </w:rPr>
        <w:t>4.1%</w:t>
      </w:r>
      <w:r>
        <w:rPr>
          <w:rFonts w:eastAsiaTheme="minorEastAsia"/>
          <w:color w:val="000000" w:themeColor="text1"/>
        </w:rPr>
        <w:t>低位，通胀预计将回暖。欧元区经济强劲复苏，四季度制造业</w:t>
      </w:r>
      <w:r>
        <w:rPr>
          <w:rFonts w:eastAsiaTheme="minorEastAsia"/>
          <w:color w:val="000000" w:themeColor="text1"/>
        </w:rPr>
        <w:t>PMI</w:t>
      </w:r>
      <w:r>
        <w:rPr>
          <w:rFonts w:eastAsiaTheme="minorEastAsia"/>
          <w:color w:val="000000" w:themeColor="text1"/>
        </w:rPr>
        <w:t>指数从</w:t>
      </w:r>
      <w:r>
        <w:rPr>
          <w:rFonts w:eastAsiaTheme="minorEastAsia"/>
          <w:color w:val="000000" w:themeColor="text1"/>
        </w:rPr>
        <w:t>58.1</w:t>
      </w:r>
      <w:r>
        <w:rPr>
          <w:rFonts w:eastAsiaTheme="minorEastAsia"/>
          <w:color w:val="000000" w:themeColor="text1"/>
        </w:rPr>
        <w:t>继续上升至历史最高值</w:t>
      </w:r>
      <w:r>
        <w:rPr>
          <w:rFonts w:eastAsiaTheme="minorEastAsia"/>
          <w:color w:val="000000" w:themeColor="text1"/>
        </w:rPr>
        <w:t>60.6</w:t>
      </w:r>
      <w:r>
        <w:rPr>
          <w:rFonts w:eastAsiaTheme="minorEastAsia"/>
          <w:color w:val="000000" w:themeColor="text1"/>
        </w:rPr>
        <w:t>，英国退欧谈判取得关键性进展，市场担忧缓和；日本经济继续复苏，四季度制造业</w:t>
      </w:r>
      <w:r>
        <w:rPr>
          <w:rFonts w:eastAsiaTheme="minorEastAsia"/>
          <w:color w:val="000000" w:themeColor="text1"/>
        </w:rPr>
        <w:t>PMI</w:t>
      </w:r>
      <w:r>
        <w:rPr>
          <w:rFonts w:eastAsiaTheme="minorEastAsia"/>
          <w:color w:val="000000" w:themeColor="text1"/>
        </w:rPr>
        <w:t>指数从</w:t>
      </w:r>
      <w:r>
        <w:rPr>
          <w:rFonts w:eastAsiaTheme="minorEastAsia"/>
          <w:color w:val="000000" w:themeColor="text1"/>
        </w:rPr>
        <w:t>52.9</w:t>
      </w:r>
      <w:r>
        <w:rPr>
          <w:rFonts w:eastAsiaTheme="minorEastAsia"/>
          <w:color w:val="000000" w:themeColor="text1"/>
        </w:rPr>
        <w:t>上升至</w:t>
      </w:r>
      <w:r>
        <w:rPr>
          <w:rFonts w:eastAsiaTheme="minorEastAsia"/>
          <w:color w:val="000000" w:themeColor="text1"/>
        </w:rPr>
        <w:t>54.</w:t>
      </w:r>
      <w:r>
        <w:rPr>
          <w:rFonts w:eastAsiaTheme="minorEastAsia"/>
          <w:color w:val="000000" w:themeColor="text1"/>
        </w:rPr>
        <w:t>2</w:t>
      </w:r>
      <w:r>
        <w:rPr>
          <w:rFonts w:eastAsiaTheme="minorEastAsia"/>
          <w:color w:val="000000" w:themeColor="text1"/>
        </w:rPr>
        <w:t>，失业率创</w:t>
      </w:r>
      <w:r>
        <w:rPr>
          <w:rFonts w:eastAsiaTheme="minorEastAsia"/>
          <w:color w:val="000000" w:themeColor="text1"/>
        </w:rPr>
        <w:t>24</w:t>
      </w:r>
      <w:r>
        <w:rPr>
          <w:rFonts w:eastAsiaTheme="minorEastAsia"/>
          <w:color w:val="000000" w:themeColor="text1"/>
        </w:rPr>
        <w:t>年新低。综合来看，美国复苏前景仍好，房地产或迎来加速补库存，通胀仍将是美国加息路径的主要影响因素，而税改落地后市场情绪出现降温，美元指数有所疲弱，回落至</w:t>
      </w:r>
      <w:r>
        <w:rPr>
          <w:rFonts w:eastAsiaTheme="minorEastAsia"/>
          <w:color w:val="000000" w:themeColor="text1"/>
        </w:rPr>
        <w:t>92</w:t>
      </w:r>
      <w:r>
        <w:rPr>
          <w:rFonts w:eastAsiaTheme="minorEastAsia"/>
          <w:color w:val="000000" w:themeColor="text1"/>
        </w:rPr>
        <w:t>下方；欧洲日本经济复苏加速，通胀压力提升。</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国内经济方面，在外需复苏内需稳定背景下，经济领先指标整体仍是韧性延续，但下行压力趋于增加。具体来看，四季度领先指标中采制造业</w:t>
      </w:r>
      <w:r>
        <w:rPr>
          <w:rFonts w:eastAsiaTheme="minorEastAsia"/>
          <w:color w:val="000000" w:themeColor="text1"/>
        </w:rPr>
        <w:t>PMI</w:t>
      </w:r>
      <w:r>
        <w:rPr>
          <w:rFonts w:eastAsiaTheme="minorEastAsia"/>
          <w:color w:val="000000" w:themeColor="text1"/>
        </w:rPr>
        <w:t>震荡下行至</w:t>
      </w:r>
      <w:r>
        <w:rPr>
          <w:rFonts w:eastAsiaTheme="minorEastAsia"/>
          <w:color w:val="000000" w:themeColor="text1"/>
        </w:rPr>
        <w:t>51.6</w:t>
      </w:r>
      <w:r>
        <w:rPr>
          <w:rFonts w:eastAsiaTheme="minorEastAsia"/>
          <w:color w:val="000000" w:themeColor="text1"/>
        </w:rPr>
        <w:t>，但持续保持在</w:t>
      </w:r>
      <w:r>
        <w:rPr>
          <w:rFonts w:eastAsiaTheme="minorEastAsia"/>
          <w:color w:val="000000" w:themeColor="text1"/>
        </w:rPr>
        <w:t>51.5</w:t>
      </w:r>
      <w:r>
        <w:rPr>
          <w:rFonts w:eastAsiaTheme="minorEastAsia"/>
          <w:color w:val="000000" w:themeColor="text1"/>
        </w:rPr>
        <w:t>以上的高位，同步指标工业增加值</w:t>
      </w:r>
      <w:r>
        <w:rPr>
          <w:rFonts w:eastAsiaTheme="minorEastAsia"/>
          <w:color w:val="000000" w:themeColor="text1"/>
        </w:rPr>
        <w:t>1-11</w:t>
      </w:r>
      <w:r>
        <w:rPr>
          <w:rFonts w:eastAsiaTheme="minorEastAsia"/>
          <w:color w:val="000000" w:themeColor="text1"/>
        </w:rPr>
        <w:t>月累计增长</w:t>
      </w:r>
      <w:r>
        <w:rPr>
          <w:rFonts w:eastAsiaTheme="minorEastAsia"/>
          <w:color w:val="000000" w:themeColor="text1"/>
        </w:rPr>
        <w:t>6.6%</w:t>
      </w:r>
      <w:r>
        <w:rPr>
          <w:rFonts w:eastAsiaTheme="minorEastAsia"/>
          <w:color w:val="000000" w:themeColor="text1"/>
        </w:rPr>
        <w:t>，较三季度末下行</w:t>
      </w:r>
      <w:r>
        <w:rPr>
          <w:rFonts w:eastAsiaTheme="minorEastAsia"/>
          <w:color w:val="000000" w:themeColor="text1"/>
        </w:rPr>
        <w:t>0.1</w:t>
      </w:r>
      <w:r>
        <w:rPr>
          <w:rFonts w:eastAsiaTheme="minorEastAsia"/>
          <w:color w:val="000000" w:themeColor="text1"/>
        </w:rPr>
        <w:t>个百分点。从经济增长动力来看，拉动经济的三驾马车</w:t>
      </w:r>
      <w:r>
        <w:rPr>
          <w:rFonts w:eastAsiaTheme="minorEastAsia"/>
          <w:color w:val="000000" w:themeColor="text1"/>
        </w:rPr>
        <w:t>中出口强势回升，消费与投资稳中有降：</w:t>
      </w:r>
      <w:r>
        <w:rPr>
          <w:rFonts w:eastAsiaTheme="minorEastAsia"/>
          <w:color w:val="000000" w:themeColor="text1"/>
        </w:rPr>
        <w:t>11</w:t>
      </w:r>
      <w:r>
        <w:rPr>
          <w:rFonts w:eastAsiaTheme="minorEastAsia"/>
          <w:color w:val="000000" w:themeColor="text1"/>
        </w:rPr>
        <w:t>月美元计价出口增速较三季度大幅回升至</w:t>
      </w:r>
      <w:r>
        <w:rPr>
          <w:rFonts w:eastAsiaTheme="minorEastAsia"/>
          <w:color w:val="000000" w:themeColor="text1"/>
        </w:rPr>
        <w:t>12.3%</w:t>
      </w:r>
      <w:r>
        <w:rPr>
          <w:rFonts w:eastAsiaTheme="minorEastAsia"/>
          <w:color w:val="000000" w:themeColor="text1"/>
        </w:rPr>
        <w:t>左右，</w:t>
      </w:r>
      <w:r>
        <w:rPr>
          <w:rFonts w:eastAsiaTheme="minorEastAsia"/>
          <w:color w:val="000000" w:themeColor="text1"/>
        </w:rPr>
        <w:t>11</w:t>
      </w:r>
      <w:r>
        <w:rPr>
          <w:rFonts w:eastAsiaTheme="minorEastAsia"/>
          <w:color w:val="000000" w:themeColor="text1"/>
        </w:rPr>
        <w:t>月消费增速较三季度小幅回落至</w:t>
      </w:r>
      <w:r>
        <w:rPr>
          <w:rFonts w:eastAsiaTheme="minorEastAsia"/>
          <w:color w:val="000000" w:themeColor="text1"/>
        </w:rPr>
        <w:t>10.2%</w:t>
      </w:r>
      <w:r>
        <w:rPr>
          <w:rFonts w:eastAsiaTheme="minorEastAsia"/>
          <w:color w:val="000000" w:themeColor="text1"/>
        </w:rPr>
        <w:t>，</w:t>
      </w:r>
      <w:r>
        <w:rPr>
          <w:rFonts w:eastAsiaTheme="minorEastAsia"/>
          <w:color w:val="000000" w:themeColor="text1"/>
        </w:rPr>
        <w:t xml:space="preserve"> 1-11</w:t>
      </w:r>
      <w:r>
        <w:rPr>
          <w:rFonts w:eastAsiaTheme="minorEastAsia"/>
          <w:color w:val="000000" w:themeColor="text1"/>
        </w:rPr>
        <w:t>月固定资产投资增速较三季度继续下降至</w:t>
      </w:r>
      <w:r>
        <w:rPr>
          <w:rFonts w:eastAsiaTheme="minorEastAsia"/>
          <w:color w:val="000000" w:themeColor="text1"/>
        </w:rPr>
        <w:t>7.2%</w:t>
      </w:r>
      <w:r>
        <w:rPr>
          <w:rFonts w:eastAsiaTheme="minorEastAsia"/>
          <w:color w:val="000000" w:themeColor="text1"/>
        </w:rPr>
        <w:t>的水平。通胀方面，</w:t>
      </w:r>
      <w:r>
        <w:rPr>
          <w:rFonts w:eastAsiaTheme="minorEastAsia"/>
          <w:color w:val="000000" w:themeColor="text1"/>
        </w:rPr>
        <w:t>CPI</w:t>
      </w:r>
      <w:r>
        <w:rPr>
          <w:rFonts w:eastAsiaTheme="minorEastAsia"/>
          <w:color w:val="000000" w:themeColor="text1"/>
        </w:rPr>
        <w:t>持续低位徘徊，</w:t>
      </w:r>
      <w:r>
        <w:rPr>
          <w:rFonts w:eastAsiaTheme="minorEastAsia"/>
          <w:color w:val="000000" w:themeColor="text1"/>
        </w:rPr>
        <w:t>11</w:t>
      </w:r>
      <w:r>
        <w:rPr>
          <w:rFonts w:eastAsiaTheme="minorEastAsia"/>
          <w:color w:val="000000" w:themeColor="text1"/>
        </w:rPr>
        <w:t>月同比涨幅小幅震荡至</w:t>
      </w:r>
      <w:r>
        <w:rPr>
          <w:rFonts w:eastAsiaTheme="minorEastAsia"/>
          <w:color w:val="000000" w:themeColor="text1"/>
        </w:rPr>
        <w:t>1.7%</w:t>
      </w:r>
      <w:r>
        <w:rPr>
          <w:rFonts w:eastAsiaTheme="minorEastAsia"/>
          <w:color w:val="000000" w:themeColor="text1"/>
        </w:rPr>
        <w:t>的水平，</w:t>
      </w:r>
      <w:r>
        <w:rPr>
          <w:rFonts w:eastAsiaTheme="minorEastAsia"/>
          <w:color w:val="000000" w:themeColor="text1"/>
        </w:rPr>
        <w:t>PPI</w:t>
      </w:r>
      <w:r>
        <w:rPr>
          <w:rFonts w:eastAsiaTheme="minorEastAsia"/>
          <w:color w:val="000000" w:themeColor="text1"/>
        </w:rPr>
        <w:t>见顶回落，</w:t>
      </w:r>
      <w:r>
        <w:rPr>
          <w:rFonts w:eastAsiaTheme="minorEastAsia"/>
          <w:color w:val="000000" w:themeColor="text1"/>
        </w:rPr>
        <w:t>11</w:t>
      </w:r>
      <w:r>
        <w:rPr>
          <w:rFonts w:eastAsiaTheme="minorEastAsia"/>
          <w:color w:val="000000" w:themeColor="text1"/>
        </w:rPr>
        <w:t>月同比涨幅下降至</w:t>
      </w:r>
      <w:r>
        <w:rPr>
          <w:rFonts w:eastAsiaTheme="minorEastAsia"/>
          <w:color w:val="000000" w:themeColor="text1"/>
        </w:rPr>
        <w:t>5.8%</w:t>
      </w:r>
      <w:r>
        <w:rPr>
          <w:rFonts w:eastAsiaTheme="minorEastAsia"/>
          <w:color w:val="000000" w:themeColor="text1"/>
        </w:rPr>
        <w:t>。</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 xml:space="preserve">2. </w:t>
      </w:r>
      <w:r>
        <w:rPr>
          <w:rFonts w:eastAsiaTheme="minorEastAsia"/>
          <w:color w:val="000000" w:themeColor="text1"/>
        </w:rPr>
        <w:t>市场回顾</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整体来看，四季度债市整体呈现出震荡下跌走势。其中，四季度中债总全价指数下跌</w:t>
      </w:r>
      <w:r>
        <w:rPr>
          <w:rFonts w:eastAsiaTheme="minorEastAsia"/>
          <w:color w:val="000000" w:themeColor="text1"/>
        </w:rPr>
        <w:t>1.42%</w:t>
      </w:r>
      <w:r>
        <w:rPr>
          <w:rFonts w:eastAsiaTheme="minorEastAsia"/>
          <w:color w:val="000000" w:themeColor="text1"/>
        </w:rPr>
        <w:t>，中债银行间国债全价指数下跌</w:t>
      </w:r>
      <w:r>
        <w:rPr>
          <w:rFonts w:eastAsiaTheme="minorEastAsia"/>
          <w:color w:val="000000" w:themeColor="text1"/>
        </w:rPr>
        <w:t>1.02%</w:t>
      </w:r>
      <w:r>
        <w:rPr>
          <w:rFonts w:eastAsiaTheme="minorEastAsia"/>
          <w:color w:val="000000" w:themeColor="text1"/>
        </w:rPr>
        <w:t>，中债企业债总全价指数下跌</w:t>
      </w:r>
      <w:r>
        <w:rPr>
          <w:rFonts w:eastAsiaTheme="minorEastAsia"/>
          <w:color w:val="000000" w:themeColor="text1"/>
        </w:rPr>
        <w:t>1.52%</w:t>
      </w:r>
      <w:r>
        <w:rPr>
          <w:rFonts w:eastAsiaTheme="minorEastAsia"/>
          <w:color w:val="000000" w:themeColor="text1"/>
        </w:rPr>
        <w:t>，在收益率曲线上，四季</w:t>
      </w:r>
      <w:r>
        <w:rPr>
          <w:rFonts w:eastAsiaTheme="minorEastAsia"/>
          <w:color w:val="000000" w:themeColor="text1"/>
        </w:rPr>
        <w:t>度收益率曲线经历了由陡变平的变化。其中，四季度</w:t>
      </w:r>
      <w:r>
        <w:rPr>
          <w:rFonts w:eastAsiaTheme="minorEastAsia"/>
          <w:color w:val="000000" w:themeColor="text1"/>
        </w:rPr>
        <w:t>10</w:t>
      </w:r>
      <w:r>
        <w:rPr>
          <w:rFonts w:eastAsiaTheme="minorEastAsia"/>
          <w:color w:val="000000" w:themeColor="text1"/>
        </w:rPr>
        <w:t>年期国债收益率从</w:t>
      </w:r>
      <w:r>
        <w:rPr>
          <w:rFonts w:eastAsiaTheme="minorEastAsia"/>
          <w:color w:val="000000" w:themeColor="text1"/>
        </w:rPr>
        <w:t>3.61%</w:t>
      </w:r>
      <w:r>
        <w:rPr>
          <w:rFonts w:eastAsiaTheme="minorEastAsia"/>
          <w:color w:val="000000" w:themeColor="text1"/>
        </w:rPr>
        <w:t>的水平上行</w:t>
      </w:r>
      <w:r>
        <w:rPr>
          <w:rFonts w:eastAsiaTheme="minorEastAsia"/>
          <w:color w:val="000000" w:themeColor="text1"/>
        </w:rPr>
        <w:t>27</w:t>
      </w:r>
      <w:r>
        <w:rPr>
          <w:rFonts w:eastAsiaTheme="minorEastAsia"/>
          <w:color w:val="000000" w:themeColor="text1"/>
        </w:rPr>
        <w:t>个</w:t>
      </w:r>
      <w:r>
        <w:rPr>
          <w:rFonts w:eastAsiaTheme="minorEastAsia"/>
          <w:color w:val="000000" w:themeColor="text1"/>
        </w:rPr>
        <w:t>bp</w:t>
      </w:r>
      <w:r>
        <w:rPr>
          <w:rFonts w:eastAsiaTheme="minorEastAsia"/>
          <w:color w:val="000000" w:themeColor="text1"/>
        </w:rPr>
        <w:t>至</w:t>
      </w:r>
      <w:r>
        <w:rPr>
          <w:rFonts w:eastAsiaTheme="minorEastAsia"/>
          <w:color w:val="000000" w:themeColor="text1"/>
        </w:rPr>
        <w:t>3.88%</w:t>
      </w:r>
      <w:r>
        <w:rPr>
          <w:rFonts w:eastAsiaTheme="minorEastAsia"/>
          <w:color w:val="000000" w:themeColor="text1"/>
        </w:rPr>
        <w:t>，</w:t>
      </w:r>
      <w:r>
        <w:rPr>
          <w:rFonts w:eastAsiaTheme="minorEastAsia"/>
          <w:color w:val="000000" w:themeColor="text1"/>
        </w:rPr>
        <w:t>10</w:t>
      </w:r>
      <w:r>
        <w:rPr>
          <w:rFonts w:eastAsiaTheme="minorEastAsia"/>
          <w:color w:val="000000" w:themeColor="text1"/>
        </w:rPr>
        <w:t>年期金融债（国开）收益率从</w:t>
      </w:r>
      <w:r>
        <w:rPr>
          <w:rFonts w:eastAsiaTheme="minorEastAsia"/>
          <w:color w:val="000000" w:themeColor="text1"/>
        </w:rPr>
        <w:t>4.19%</w:t>
      </w:r>
      <w:r>
        <w:rPr>
          <w:rFonts w:eastAsiaTheme="minorEastAsia"/>
          <w:color w:val="000000" w:themeColor="text1"/>
        </w:rPr>
        <w:t>上行</w:t>
      </w:r>
      <w:r>
        <w:rPr>
          <w:rFonts w:eastAsiaTheme="minorEastAsia"/>
          <w:color w:val="000000" w:themeColor="text1"/>
        </w:rPr>
        <w:t>63</w:t>
      </w:r>
      <w:r>
        <w:rPr>
          <w:rFonts w:eastAsiaTheme="minorEastAsia"/>
          <w:color w:val="000000" w:themeColor="text1"/>
        </w:rPr>
        <w:t>个</w:t>
      </w:r>
      <w:r>
        <w:rPr>
          <w:rFonts w:eastAsiaTheme="minorEastAsia"/>
          <w:color w:val="000000" w:themeColor="text1"/>
        </w:rPr>
        <w:t>BP</w:t>
      </w:r>
      <w:r>
        <w:rPr>
          <w:rFonts w:eastAsiaTheme="minorEastAsia"/>
          <w:color w:val="000000" w:themeColor="text1"/>
        </w:rPr>
        <w:t>至</w:t>
      </w:r>
      <w:r>
        <w:rPr>
          <w:rFonts w:eastAsiaTheme="minorEastAsia"/>
          <w:color w:val="000000" w:themeColor="text1"/>
        </w:rPr>
        <w:t>4.82%</w:t>
      </w:r>
      <w:r>
        <w:rPr>
          <w:rFonts w:eastAsiaTheme="minorEastAsia"/>
          <w:color w:val="000000" w:themeColor="text1"/>
        </w:rPr>
        <w:t>。货币市场方面，四季度央行货币政策整体中性偏紧，资金面呈现总体结构性紧平衡的格局。其中四季度银行间</w:t>
      </w:r>
      <w:r>
        <w:rPr>
          <w:rFonts w:eastAsiaTheme="minorEastAsia"/>
          <w:color w:val="000000" w:themeColor="text1"/>
        </w:rPr>
        <w:t>1</w:t>
      </w:r>
      <w:r>
        <w:rPr>
          <w:rFonts w:eastAsiaTheme="minorEastAsia"/>
          <w:color w:val="000000" w:themeColor="text1"/>
        </w:rPr>
        <w:t>天回购加权平均利率均值在</w:t>
      </w:r>
      <w:r>
        <w:rPr>
          <w:rFonts w:eastAsiaTheme="minorEastAsia"/>
          <w:color w:val="000000" w:themeColor="text1"/>
        </w:rPr>
        <w:t>2.79%</w:t>
      </w:r>
      <w:r>
        <w:rPr>
          <w:rFonts w:eastAsiaTheme="minorEastAsia"/>
          <w:color w:val="000000" w:themeColor="text1"/>
        </w:rPr>
        <w:t>左右，较上季度均值下降</w:t>
      </w:r>
      <w:r>
        <w:rPr>
          <w:rFonts w:eastAsiaTheme="minorEastAsia"/>
          <w:color w:val="000000" w:themeColor="text1"/>
        </w:rPr>
        <w:t>9bp</w:t>
      </w:r>
      <w:r>
        <w:rPr>
          <w:rFonts w:eastAsiaTheme="minorEastAsia"/>
          <w:color w:val="000000" w:themeColor="text1"/>
        </w:rPr>
        <w:t>，银行间</w:t>
      </w:r>
      <w:r>
        <w:rPr>
          <w:rFonts w:eastAsiaTheme="minorEastAsia"/>
          <w:color w:val="000000" w:themeColor="text1"/>
        </w:rPr>
        <w:t>7</w:t>
      </w:r>
      <w:r>
        <w:rPr>
          <w:rFonts w:eastAsiaTheme="minorEastAsia"/>
          <w:color w:val="000000" w:themeColor="text1"/>
        </w:rPr>
        <w:t>天回购利率均值在</w:t>
      </w:r>
      <w:r>
        <w:rPr>
          <w:rFonts w:eastAsiaTheme="minorEastAsia"/>
          <w:color w:val="000000" w:themeColor="text1"/>
        </w:rPr>
        <w:t>3.52%</w:t>
      </w:r>
      <w:r>
        <w:rPr>
          <w:rFonts w:eastAsiaTheme="minorEastAsia"/>
          <w:color w:val="000000" w:themeColor="text1"/>
        </w:rPr>
        <w:t>左右，较上季度均值上行</w:t>
      </w:r>
      <w:r>
        <w:rPr>
          <w:rFonts w:eastAsiaTheme="minorEastAsia"/>
          <w:color w:val="000000" w:themeColor="text1"/>
        </w:rPr>
        <w:t>7bp</w:t>
      </w:r>
      <w:r>
        <w:rPr>
          <w:rFonts w:eastAsiaTheme="minorEastAsia"/>
          <w:color w:val="000000" w:themeColor="text1"/>
        </w:rPr>
        <w:t>。</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可转债方面，四季度中证转债指数下跌</w:t>
      </w:r>
      <w:r>
        <w:rPr>
          <w:rFonts w:eastAsiaTheme="minorEastAsia"/>
          <w:color w:val="000000" w:themeColor="text1"/>
        </w:rPr>
        <w:t>6.65%</w:t>
      </w:r>
      <w:r>
        <w:rPr>
          <w:rFonts w:eastAsiaTheme="minorEastAsia"/>
          <w:color w:val="000000" w:themeColor="text1"/>
        </w:rPr>
        <w:t>，一方面是权益市场在四季度出现调整，另一方面是由于转债的大规模</w:t>
      </w:r>
      <w:r>
        <w:rPr>
          <w:rFonts w:eastAsiaTheme="minorEastAsia"/>
          <w:color w:val="000000" w:themeColor="text1"/>
        </w:rPr>
        <w:t>发行使得市场整体估值中枢大幅下移。个券方面，受益于周期板块上行，桐昆</w:t>
      </w:r>
      <w:r>
        <w:rPr>
          <w:rFonts w:eastAsiaTheme="minorEastAsia"/>
          <w:color w:val="000000" w:themeColor="text1"/>
        </w:rPr>
        <w:t>EB</w:t>
      </w:r>
      <w:r>
        <w:rPr>
          <w:rFonts w:eastAsiaTheme="minorEastAsia"/>
          <w:color w:val="000000" w:themeColor="text1"/>
        </w:rPr>
        <w:t>、三一转债四季度分别上涨</w:t>
      </w:r>
      <w:r>
        <w:rPr>
          <w:rFonts w:eastAsiaTheme="minorEastAsia"/>
          <w:color w:val="000000" w:themeColor="text1"/>
        </w:rPr>
        <w:t>11.97%</w:t>
      </w:r>
      <w:r>
        <w:rPr>
          <w:rFonts w:eastAsiaTheme="minorEastAsia"/>
          <w:color w:val="000000" w:themeColor="text1"/>
        </w:rPr>
        <w:t>、</w:t>
      </w:r>
      <w:r>
        <w:rPr>
          <w:rFonts w:eastAsiaTheme="minorEastAsia"/>
          <w:color w:val="000000" w:themeColor="text1"/>
        </w:rPr>
        <w:t>4.29%</w:t>
      </w:r>
      <w:r>
        <w:rPr>
          <w:rFonts w:eastAsiaTheme="minorEastAsia"/>
          <w:color w:val="000000" w:themeColor="text1"/>
        </w:rPr>
        <w:t>，表现相对较好。从市场波动情况看，在权益市场总体平稳的背景下，转债的价格波动被巨量供给持续压制，价格逐步震荡下行。往后看，史无前例的巨量供给之下，转债的估值预计短期难见系统性的提升，不过随着品种的不断丰富，市场结构性机会带来的择券空间在明显增加。</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 xml:space="preserve">3. </w:t>
      </w:r>
      <w:r>
        <w:rPr>
          <w:rFonts w:eastAsiaTheme="minorEastAsia"/>
          <w:color w:val="000000" w:themeColor="text1"/>
        </w:rPr>
        <w:t>运行分析</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四季度股票市场出现分化，债券市场小幅震荡。策略上，我们保持合适的久期和杠杆比例，积极参与波段投资机会，优化配置结构，重点配置中短</w:t>
      </w:r>
      <w:r>
        <w:rPr>
          <w:rFonts w:eastAsiaTheme="minorEastAsia"/>
          <w:color w:val="000000" w:themeColor="text1"/>
        </w:rPr>
        <w:t>期限、中高评级信用债，合理分配类属资产比例。</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4.</w:t>
      </w:r>
      <w:r>
        <w:rPr>
          <w:rFonts w:eastAsiaTheme="minorEastAsia"/>
          <w:color w:val="000000" w:themeColor="text1"/>
        </w:rPr>
        <w:t>市场展望和投资策略</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展望未来，全球经济依然处于稳定复苏阶段，美国经济向好态势延续，欧洲经济势头强劲，能源价格的回升抬升了各国通胀预期。国内经济短期内维持在合理区间内运转，但从中央经济工作会议来看，经济从追求增速向追求质量和效益的方向转变，对经济下行的容忍度提升。宏观政策仍将注重于经济结构调整和金融风险防控，使宏观杠杆率得到有效控制，金融服务实体经济能力增强。财政政策积极的取向不变，但地方融资监管不会放松。货币政策基调偏紧，定位</w:t>
      </w:r>
      <w:r>
        <w:rPr>
          <w:rFonts w:eastAsiaTheme="minorEastAsia"/>
          <w:color w:val="000000" w:themeColor="text1"/>
        </w:rPr>
        <w:t>“</w:t>
      </w:r>
      <w:r>
        <w:rPr>
          <w:rFonts w:eastAsiaTheme="minorEastAsia"/>
          <w:color w:val="000000" w:themeColor="text1"/>
        </w:rPr>
        <w:t>管住货币供给总闸门</w:t>
      </w:r>
      <w:r>
        <w:rPr>
          <w:rFonts w:eastAsiaTheme="minorEastAsia"/>
          <w:color w:val="000000" w:themeColor="text1"/>
        </w:rPr>
        <w:t>”</w:t>
      </w:r>
      <w:r>
        <w:rPr>
          <w:rFonts w:eastAsiaTheme="minorEastAsia"/>
          <w:color w:val="000000" w:themeColor="text1"/>
        </w:rPr>
        <w:t>，但总体仍</w:t>
      </w:r>
      <w:r>
        <w:rPr>
          <w:rFonts w:eastAsiaTheme="minorEastAsia"/>
          <w:color w:val="000000" w:themeColor="text1"/>
        </w:rPr>
        <w:t>维持稳健中性。社会融资方面，受</w:t>
      </w:r>
      <w:r>
        <w:rPr>
          <w:rFonts w:eastAsiaTheme="minorEastAsia"/>
          <w:color w:val="000000" w:themeColor="text1"/>
        </w:rPr>
        <w:t>“</w:t>
      </w:r>
      <w:r>
        <w:rPr>
          <w:rFonts w:eastAsiaTheme="minorEastAsia"/>
          <w:color w:val="000000" w:themeColor="text1"/>
        </w:rPr>
        <w:t>早放贷早受益</w:t>
      </w:r>
      <w:r>
        <w:rPr>
          <w:rFonts w:eastAsiaTheme="minorEastAsia"/>
          <w:color w:val="000000" w:themeColor="text1"/>
        </w:rPr>
        <w:t>”</w:t>
      </w:r>
      <w:r>
        <w:rPr>
          <w:rFonts w:eastAsiaTheme="minorEastAsia"/>
          <w:color w:val="000000" w:themeColor="text1"/>
        </w:rPr>
        <w:t>信贷冲量影响，</w:t>
      </w:r>
      <w:r>
        <w:rPr>
          <w:rFonts w:eastAsiaTheme="minorEastAsia"/>
          <w:color w:val="000000" w:themeColor="text1"/>
        </w:rPr>
        <w:t>2018</w:t>
      </w:r>
      <w:r>
        <w:rPr>
          <w:rFonts w:eastAsiaTheme="minorEastAsia"/>
          <w:color w:val="000000" w:themeColor="text1"/>
        </w:rPr>
        <w:t>年一季度实体融资仍有韧性。</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综合上述分析，我们对</w:t>
      </w:r>
      <w:r w:rsidRPr="004C4C9E">
        <w:rPr>
          <w:rFonts w:eastAsiaTheme="minorEastAsia"/>
          <w:color w:val="000000" w:themeColor="text1"/>
        </w:rPr>
        <w:t>2018</w:t>
      </w:r>
      <w:r w:rsidRPr="004C4C9E">
        <w:rPr>
          <w:rFonts w:eastAsiaTheme="minorEastAsia"/>
          <w:color w:val="000000" w:themeColor="text1"/>
        </w:rPr>
        <w:t>年一季度债券市场的走势判断保持谨慎乐观。经济基本面下行压力仍客观存在，固定资产投资增速延续下行，后续房地产投资仍然会缓中趋降，基建投资受制于财政空间有限，制造业投资可能成为亮点。在经济基本面转弱的背景下，货币政策基调整体维持稳健中性，央行年初定向降准及建立</w:t>
      </w:r>
      <w:r w:rsidRPr="004C4C9E">
        <w:rPr>
          <w:rFonts w:eastAsiaTheme="minorEastAsia"/>
          <w:color w:val="000000" w:themeColor="text1"/>
        </w:rPr>
        <w:t>“</w:t>
      </w:r>
      <w:r w:rsidRPr="004C4C9E">
        <w:rPr>
          <w:rFonts w:eastAsiaTheme="minorEastAsia"/>
          <w:color w:val="000000" w:themeColor="text1"/>
        </w:rPr>
        <w:t>临时准备金动用安排</w:t>
      </w:r>
      <w:r w:rsidRPr="004C4C9E">
        <w:rPr>
          <w:rFonts w:eastAsiaTheme="minorEastAsia"/>
          <w:color w:val="000000" w:themeColor="text1"/>
        </w:rPr>
        <w:t>”</w:t>
      </w:r>
      <w:r w:rsidRPr="004C4C9E">
        <w:rPr>
          <w:rFonts w:eastAsiaTheme="minorEastAsia"/>
          <w:color w:val="000000" w:themeColor="text1"/>
        </w:rPr>
        <w:t>，以满足春节前商业银行因现金大量投放而产生的临时流动性需求，有助于稳定流动性预期。通胀对债市的压力相对可控，</w:t>
      </w:r>
      <w:r w:rsidRPr="004C4C9E">
        <w:rPr>
          <w:rFonts w:eastAsiaTheme="minorEastAsia"/>
          <w:color w:val="000000" w:themeColor="text1"/>
        </w:rPr>
        <w:t>2018</w:t>
      </w:r>
      <w:r w:rsidRPr="004C4C9E">
        <w:rPr>
          <w:rFonts w:eastAsiaTheme="minorEastAsia"/>
          <w:color w:val="000000" w:themeColor="text1"/>
        </w:rPr>
        <w:t>年</w:t>
      </w:r>
      <w:r w:rsidRPr="004C4C9E">
        <w:rPr>
          <w:rFonts w:eastAsiaTheme="minorEastAsia"/>
          <w:color w:val="000000" w:themeColor="text1"/>
        </w:rPr>
        <w:t>CPI</w:t>
      </w:r>
      <w:r w:rsidRPr="004C4C9E">
        <w:rPr>
          <w:rFonts w:eastAsiaTheme="minorEastAsia"/>
          <w:color w:val="000000" w:themeColor="text1"/>
        </w:rPr>
        <w:t>中枢将略有抬升，一季度</w:t>
      </w:r>
      <w:r w:rsidRPr="004C4C9E">
        <w:rPr>
          <w:rFonts w:eastAsiaTheme="minorEastAsia"/>
          <w:color w:val="000000" w:themeColor="text1"/>
        </w:rPr>
        <w:t>CPI</w:t>
      </w:r>
      <w:r w:rsidRPr="004C4C9E">
        <w:rPr>
          <w:rFonts w:eastAsiaTheme="minorEastAsia"/>
          <w:color w:val="000000" w:themeColor="text1"/>
        </w:rPr>
        <w:t>在春节因素和猪肉价格季节性回升的影响下预计将阶段性冲高，而</w:t>
      </w:r>
      <w:r w:rsidRPr="004C4C9E">
        <w:rPr>
          <w:rFonts w:eastAsiaTheme="minorEastAsia"/>
          <w:color w:val="000000" w:themeColor="text1"/>
        </w:rPr>
        <w:t>PPI</w:t>
      </w:r>
      <w:r w:rsidRPr="004C4C9E">
        <w:rPr>
          <w:rFonts w:eastAsiaTheme="minorEastAsia"/>
          <w:color w:val="000000" w:themeColor="text1"/>
        </w:rPr>
        <w:t>中枢将显著回落。欧洲经济基本面持续向好，美联储</w:t>
      </w:r>
      <w:r w:rsidRPr="004C4C9E">
        <w:rPr>
          <w:rFonts w:eastAsiaTheme="minorEastAsia"/>
          <w:color w:val="000000" w:themeColor="text1"/>
        </w:rPr>
        <w:t>2018</w:t>
      </w:r>
      <w:r w:rsidRPr="004C4C9E">
        <w:rPr>
          <w:rFonts w:eastAsiaTheme="minorEastAsia"/>
          <w:color w:val="000000" w:themeColor="text1"/>
        </w:rPr>
        <w:t>年将继续加息，美债收益率曲线变平压力增大，美国货币紧缩路径可能较市场预期温和，美元指数走势疲弱，人民币兑美元汇率稳中有升，内外利差维持较高水平，考虑到货币政策取向总体中性，但</w:t>
      </w:r>
      <w:r w:rsidRPr="004C4C9E">
        <w:rPr>
          <w:rFonts w:eastAsiaTheme="minorEastAsia"/>
          <w:color w:val="000000" w:themeColor="text1"/>
        </w:rPr>
        <w:t>“</w:t>
      </w:r>
      <w:r w:rsidRPr="004C4C9E">
        <w:rPr>
          <w:rFonts w:eastAsiaTheme="minorEastAsia"/>
          <w:color w:val="000000" w:themeColor="text1"/>
        </w:rPr>
        <w:t>双支柱</w:t>
      </w:r>
      <w:r w:rsidRPr="004C4C9E">
        <w:rPr>
          <w:rFonts w:eastAsiaTheme="minorEastAsia"/>
          <w:color w:val="000000" w:themeColor="text1"/>
        </w:rPr>
        <w:t>”</w:t>
      </w:r>
      <w:r w:rsidRPr="004C4C9E">
        <w:rPr>
          <w:rFonts w:eastAsiaTheme="minorEastAsia"/>
          <w:color w:val="000000" w:themeColor="text1"/>
        </w:rPr>
        <w:t>调控推动金融生态链重塑的过程中，金融监管压力仍未完全消除，预计一季度债券收益率中枢可能呈高位震荡走势，在出现经济数据放缓、监管落地、流动性改善等情况时，适当捕捉利率债配置机会。信用债方面，当前中低等级信用利差保护不足，在地方政府债务监管趋严的背景下，融资平台、城投债压力也将增大，但短久期高收益的信用品种依然存在价值发掘的机会。具体操作上，在做好组合流动性管理的基础上，保持适度杠杆和久期，均衡配置，合理分配各类资产，审慎精选信用债和可转债品种，积极把握利率债和可转债的投资交易机会。我们将坚持从自上而下的角度预判市场走势，并从自下而上的角度严防信用风险。作为基金管理者，我们将一如既往地依靠团队的努力和智慧，为投资人创造应有的回报。</w:t>
      </w:r>
    </w:p>
    <w:p w:rsidR="00B57D67" w:rsidRPr="00C9778A" w:rsidRDefault="00B57D67" w:rsidP="00A51799">
      <w:pPr>
        <w:spacing w:line="360" w:lineRule="auto"/>
        <w:ind w:firstLineChars="49" w:firstLine="103"/>
        <w:rPr>
          <w:rFonts w:eastAsiaTheme="minorEastAsia"/>
          <w:b/>
          <w:color w:val="000000" w:themeColor="text1"/>
        </w:rPr>
      </w:pPr>
      <w:smartTag w:uri="urn:schemas-microsoft-com:office:smarttags" w:element="chsdate">
        <w:smartTagPr>
          <w:attr w:name="IsROCDate" w:val="False"/>
          <w:attr w:name="IsLunarDate" w:val="False"/>
          <w:attr w:name="Day" w:val="30"/>
          <w:attr w:name="Month" w:val="12"/>
          <w:attr w:name="Year" w:val="1899"/>
        </w:smartTagPr>
        <w:r w:rsidRPr="00C9778A">
          <w:rPr>
            <w:rFonts w:eastAsiaTheme="minorEastAsia"/>
            <w:b/>
            <w:color w:val="000000" w:themeColor="text1"/>
          </w:rPr>
          <w:t>4.4.2</w:t>
        </w:r>
      </w:smartTag>
      <w:r w:rsidRPr="00C9778A">
        <w:rPr>
          <w:rFonts w:eastAsiaTheme="minorEastAsia"/>
          <w:b/>
          <w:color w:val="000000" w:themeColor="text1"/>
        </w:rPr>
        <w:t>报告期内基金的业绩表现</w:t>
      </w:r>
    </w:p>
    <w:p w:rsidR="0049111A" w:rsidRDefault="00CE4D5E">
      <w:pPr>
        <w:spacing w:line="360" w:lineRule="auto"/>
        <w:ind w:firstLineChars="250" w:firstLine="525"/>
        <w:rPr>
          <w:rFonts w:eastAsiaTheme="minorEastAsia"/>
          <w:color w:val="000000" w:themeColor="text1"/>
        </w:rPr>
      </w:pPr>
      <w:r>
        <w:rPr>
          <w:rFonts w:eastAsiaTheme="minorEastAsia"/>
          <w:color w:val="000000" w:themeColor="text1"/>
        </w:rPr>
        <w:t>截至</w:t>
      </w:r>
      <w:r>
        <w:rPr>
          <w:rFonts w:eastAsiaTheme="minorEastAsia"/>
          <w:color w:val="000000" w:themeColor="text1"/>
        </w:rPr>
        <w:t>201</w:t>
      </w:r>
      <w:r>
        <w:rPr>
          <w:rFonts w:eastAsiaTheme="minorEastAsia"/>
          <w:color w:val="000000" w:themeColor="text1"/>
        </w:rPr>
        <w:t>7</w:t>
      </w:r>
      <w:r>
        <w:rPr>
          <w:rFonts w:eastAsiaTheme="minorEastAsia"/>
          <w:color w:val="000000" w:themeColor="text1"/>
        </w:rPr>
        <w:t>年</w:t>
      </w:r>
      <w:r>
        <w:rPr>
          <w:rFonts w:eastAsiaTheme="minorEastAsia"/>
          <w:color w:val="000000" w:themeColor="text1"/>
        </w:rPr>
        <w:t>12</w:t>
      </w:r>
      <w:r>
        <w:rPr>
          <w:rFonts w:eastAsiaTheme="minorEastAsia"/>
          <w:color w:val="000000" w:themeColor="text1"/>
        </w:rPr>
        <w:t>月</w:t>
      </w:r>
      <w:r>
        <w:rPr>
          <w:rFonts w:eastAsiaTheme="minorEastAsia"/>
          <w:color w:val="000000" w:themeColor="text1"/>
        </w:rPr>
        <w:t>31</w:t>
      </w:r>
      <w:r>
        <w:rPr>
          <w:rFonts w:eastAsiaTheme="minorEastAsia"/>
          <w:color w:val="000000" w:themeColor="text1"/>
        </w:rPr>
        <w:t>日为止，中银互利半年定期开放债券型证券投资基金的单位净值为</w:t>
      </w:r>
      <w:r>
        <w:rPr>
          <w:rFonts w:eastAsiaTheme="minorEastAsia"/>
          <w:color w:val="000000" w:themeColor="text1"/>
        </w:rPr>
        <w:t>1.0002</w:t>
      </w:r>
      <w:r>
        <w:rPr>
          <w:rFonts w:eastAsiaTheme="minorEastAsia"/>
          <w:color w:val="000000" w:themeColor="text1"/>
        </w:rPr>
        <w:t>元，本基金的累计单位净值为</w:t>
      </w:r>
      <w:r>
        <w:rPr>
          <w:rFonts w:eastAsiaTheme="minorEastAsia"/>
          <w:color w:val="000000" w:themeColor="text1"/>
        </w:rPr>
        <w:t>1.0002</w:t>
      </w:r>
      <w:r>
        <w:rPr>
          <w:rFonts w:eastAsiaTheme="minorEastAsia"/>
          <w:color w:val="000000" w:themeColor="text1"/>
        </w:rPr>
        <w:t>元。报告期内（</w:t>
      </w:r>
      <w:r>
        <w:rPr>
          <w:rFonts w:eastAsiaTheme="minorEastAsia"/>
          <w:color w:val="000000" w:themeColor="text1"/>
        </w:rPr>
        <w:t>2017</w:t>
      </w:r>
      <w:r>
        <w:rPr>
          <w:rFonts w:eastAsiaTheme="minorEastAsia"/>
          <w:color w:val="000000" w:themeColor="text1"/>
        </w:rPr>
        <w:t>年</w:t>
      </w:r>
      <w:r>
        <w:rPr>
          <w:rFonts w:eastAsiaTheme="minorEastAsia"/>
          <w:color w:val="000000" w:themeColor="text1"/>
        </w:rPr>
        <w:t>11</w:t>
      </w:r>
      <w:r>
        <w:rPr>
          <w:rFonts w:eastAsiaTheme="minorEastAsia"/>
          <w:color w:val="000000" w:themeColor="text1"/>
        </w:rPr>
        <w:t>月</w:t>
      </w:r>
      <w:r>
        <w:rPr>
          <w:rFonts w:eastAsiaTheme="minorEastAsia"/>
          <w:color w:val="000000" w:themeColor="text1"/>
        </w:rPr>
        <w:t>9</w:t>
      </w:r>
      <w:r>
        <w:rPr>
          <w:rFonts w:eastAsiaTheme="minorEastAsia"/>
          <w:color w:val="000000" w:themeColor="text1"/>
        </w:rPr>
        <w:t>日</w:t>
      </w:r>
      <w:r>
        <w:rPr>
          <w:rFonts w:eastAsiaTheme="minorEastAsia"/>
          <w:color w:val="000000" w:themeColor="text1"/>
        </w:rPr>
        <w:t>-2017</w:t>
      </w:r>
      <w:r>
        <w:rPr>
          <w:rFonts w:eastAsiaTheme="minorEastAsia"/>
          <w:color w:val="000000" w:themeColor="text1"/>
        </w:rPr>
        <w:t>年</w:t>
      </w:r>
      <w:r>
        <w:rPr>
          <w:rFonts w:eastAsiaTheme="minorEastAsia"/>
          <w:color w:val="000000" w:themeColor="text1"/>
        </w:rPr>
        <w:t>12</w:t>
      </w:r>
      <w:r>
        <w:rPr>
          <w:rFonts w:eastAsiaTheme="minorEastAsia"/>
          <w:color w:val="000000" w:themeColor="text1"/>
        </w:rPr>
        <w:t>月</w:t>
      </w:r>
      <w:r>
        <w:rPr>
          <w:rFonts w:eastAsiaTheme="minorEastAsia"/>
          <w:color w:val="000000" w:themeColor="text1"/>
        </w:rPr>
        <w:t>31</w:t>
      </w:r>
      <w:r>
        <w:rPr>
          <w:rFonts w:eastAsiaTheme="minorEastAsia"/>
          <w:color w:val="000000" w:themeColor="text1"/>
        </w:rPr>
        <w:t>日）本基金份额净值增长率为</w:t>
      </w:r>
      <w:r>
        <w:rPr>
          <w:rFonts w:eastAsiaTheme="minorEastAsia"/>
          <w:color w:val="000000" w:themeColor="text1"/>
        </w:rPr>
        <w:t>-0.17%</w:t>
      </w:r>
      <w:r>
        <w:rPr>
          <w:rFonts w:eastAsiaTheme="minorEastAsia"/>
          <w:color w:val="000000" w:themeColor="text1"/>
        </w:rPr>
        <w:t>，同期业绩比较基准收益率为</w:t>
      </w:r>
      <w:r>
        <w:rPr>
          <w:rFonts w:eastAsiaTheme="minorEastAsia"/>
          <w:color w:val="000000" w:themeColor="text1"/>
        </w:rPr>
        <w:t xml:space="preserve">-0.48% </w:t>
      </w:r>
      <w:r>
        <w:rPr>
          <w:rFonts w:eastAsiaTheme="minorEastAsia"/>
          <w:color w:val="000000" w:themeColor="text1"/>
        </w:rPr>
        <w:t>。</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截至</w:t>
      </w:r>
      <w:r w:rsidRPr="004C4C9E">
        <w:rPr>
          <w:rFonts w:eastAsiaTheme="minorEastAsia"/>
          <w:color w:val="000000" w:themeColor="text1"/>
        </w:rPr>
        <w:t>2017</w:t>
      </w:r>
      <w:r w:rsidRPr="004C4C9E">
        <w:rPr>
          <w:rFonts w:eastAsiaTheme="minorEastAsia"/>
          <w:color w:val="000000" w:themeColor="text1"/>
        </w:rPr>
        <w:t>年</w:t>
      </w:r>
      <w:r w:rsidRPr="004C4C9E">
        <w:rPr>
          <w:rFonts w:eastAsiaTheme="minorEastAsia"/>
          <w:color w:val="000000" w:themeColor="text1"/>
        </w:rPr>
        <w:t>11</w:t>
      </w:r>
      <w:r w:rsidRPr="004C4C9E">
        <w:rPr>
          <w:rFonts w:eastAsiaTheme="minorEastAsia"/>
          <w:color w:val="000000" w:themeColor="text1"/>
        </w:rPr>
        <w:t>月</w:t>
      </w:r>
      <w:r w:rsidRPr="004C4C9E">
        <w:rPr>
          <w:rFonts w:eastAsiaTheme="minorEastAsia"/>
          <w:color w:val="000000" w:themeColor="text1"/>
        </w:rPr>
        <w:t>8</w:t>
      </w:r>
      <w:r w:rsidRPr="004C4C9E">
        <w:rPr>
          <w:rFonts w:eastAsiaTheme="minorEastAsia"/>
          <w:color w:val="000000" w:themeColor="text1"/>
        </w:rPr>
        <w:t>日为止，中银互利分级债券型证券投资基金的单位净值为</w:t>
      </w:r>
      <w:r w:rsidRPr="004C4C9E">
        <w:rPr>
          <w:rFonts w:eastAsiaTheme="minorEastAsia"/>
          <w:color w:val="000000" w:themeColor="text1"/>
        </w:rPr>
        <w:t>1.0024</w:t>
      </w:r>
      <w:r w:rsidRPr="004C4C9E">
        <w:rPr>
          <w:rFonts w:eastAsiaTheme="minorEastAsia"/>
          <w:color w:val="000000" w:themeColor="text1"/>
        </w:rPr>
        <w:t>元，本基金的累积单位净值为</w:t>
      </w:r>
      <w:r w:rsidRPr="004C4C9E">
        <w:rPr>
          <w:rFonts w:eastAsiaTheme="minorEastAsia"/>
          <w:color w:val="000000" w:themeColor="text1"/>
        </w:rPr>
        <w:t>1.0024</w:t>
      </w:r>
      <w:r w:rsidRPr="004C4C9E">
        <w:rPr>
          <w:rFonts w:eastAsiaTheme="minorEastAsia"/>
          <w:color w:val="000000" w:themeColor="text1"/>
        </w:rPr>
        <w:t>元。报告期内（</w:t>
      </w:r>
      <w:r w:rsidRPr="004C4C9E">
        <w:rPr>
          <w:rFonts w:eastAsiaTheme="minorEastAsia"/>
          <w:color w:val="000000" w:themeColor="text1"/>
        </w:rPr>
        <w:t>2017</w:t>
      </w:r>
      <w:r w:rsidRPr="004C4C9E">
        <w:rPr>
          <w:rFonts w:eastAsiaTheme="minorEastAsia"/>
          <w:color w:val="000000" w:themeColor="text1"/>
        </w:rPr>
        <w:t>年</w:t>
      </w:r>
      <w:r w:rsidRPr="004C4C9E">
        <w:rPr>
          <w:rFonts w:eastAsiaTheme="minorEastAsia"/>
          <w:color w:val="000000" w:themeColor="text1"/>
        </w:rPr>
        <w:t>10</w:t>
      </w:r>
      <w:r w:rsidRPr="004C4C9E">
        <w:rPr>
          <w:rFonts w:eastAsiaTheme="minorEastAsia"/>
          <w:color w:val="000000" w:themeColor="text1"/>
        </w:rPr>
        <w:t>月</w:t>
      </w:r>
      <w:r w:rsidRPr="004C4C9E">
        <w:rPr>
          <w:rFonts w:eastAsiaTheme="minorEastAsia"/>
          <w:color w:val="000000" w:themeColor="text1"/>
        </w:rPr>
        <w:t>1</w:t>
      </w:r>
      <w:r w:rsidRPr="004C4C9E">
        <w:rPr>
          <w:rFonts w:eastAsiaTheme="minorEastAsia"/>
          <w:color w:val="000000" w:themeColor="text1"/>
        </w:rPr>
        <w:t>日</w:t>
      </w:r>
      <w:r w:rsidRPr="004C4C9E">
        <w:rPr>
          <w:rFonts w:eastAsiaTheme="minorEastAsia"/>
          <w:color w:val="000000" w:themeColor="text1"/>
        </w:rPr>
        <w:t>-2017</w:t>
      </w:r>
      <w:r w:rsidRPr="004C4C9E">
        <w:rPr>
          <w:rFonts w:eastAsiaTheme="minorEastAsia"/>
          <w:color w:val="000000" w:themeColor="text1"/>
        </w:rPr>
        <w:t>年</w:t>
      </w:r>
      <w:r w:rsidRPr="004C4C9E">
        <w:rPr>
          <w:rFonts w:eastAsiaTheme="minorEastAsia"/>
          <w:color w:val="000000" w:themeColor="text1"/>
        </w:rPr>
        <w:t>11</w:t>
      </w:r>
      <w:r w:rsidRPr="004C4C9E">
        <w:rPr>
          <w:rFonts w:eastAsiaTheme="minorEastAsia"/>
          <w:color w:val="000000" w:themeColor="text1"/>
        </w:rPr>
        <w:t>月</w:t>
      </w:r>
      <w:r w:rsidRPr="004C4C9E">
        <w:rPr>
          <w:rFonts w:eastAsiaTheme="minorEastAsia"/>
          <w:color w:val="000000" w:themeColor="text1"/>
        </w:rPr>
        <w:t>8</w:t>
      </w:r>
      <w:r w:rsidRPr="004C4C9E">
        <w:rPr>
          <w:rFonts w:eastAsiaTheme="minorEastAsia"/>
          <w:color w:val="000000" w:themeColor="text1"/>
        </w:rPr>
        <w:t>日）本基金份额净值增长率为</w:t>
      </w:r>
      <w:r w:rsidRPr="004C4C9E">
        <w:rPr>
          <w:rFonts w:eastAsiaTheme="minorEastAsia"/>
          <w:color w:val="000000" w:themeColor="text1"/>
        </w:rPr>
        <w:t>0.76%</w:t>
      </w:r>
      <w:r w:rsidRPr="004C4C9E">
        <w:rPr>
          <w:rFonts w:eastAsiaTheme="minorEastAsia"/>
          <w:color w:val="000000" w:themeColor="text1"/>
        </w:rPr>
        <w:t>，同期业绩比较基准收益率为</w:t>
      </w:r>
      <w:r w:rsidRPr="004C4C9E">
        <w:rPr>
          <w:rFonts w:eastAsiaTheme="minorEastAsia"/>
          <w:color w:val="000000" w:themeColor="text1"/>
        </w:rPr>
        <w:t>-0.67%</w:t>
      </w:r>
      <w:r w:rsidRPr="004C4C9E">
        <w:rPr>
          <w:rFonts w:eastAsiaTheme="minorEastAsia"/>
          <w:color w:val="000000" w:themeColor="text1"/>
        </w:rPr>
        <w:t>。</w:t>
      </w:r>
    </w:p>
    <w:p w:rsidR="00B57D67" w:rsidRPr="004C4C9E" w:rsidRDefault="00125587" w:rsidP="00CE4D5E">
      <w:pPr>
        <w:pStyle w:val="2"/>
        <w:spacing w:beforeLines="5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4</w:t>
      </w:r>
      <w:r w:rsidR="00B57D67" w:rsidRPr="004C4C9E">
        <w:rPr>
          <w:rFonts w:ascii="Times New Roman" w:hAnsi="Times New Roman" w:cs="Times New Roman"/>
          <w:color w:val="000000"/>
          <w:kern w:val="0"/>
          <w:sz w:val="21"/>
          <w:szCs w:val="21"/>
        </w:rPr>
        <w:t>.5</w:t>
      </w:r>
      <w:r w:rsidR="00B57D67" w:rsidRPr="004C4C9E">
        <w:rPr>
          <w:rFonts w:ascii="Times New Roman" w:hAnsi="Times New Roman" w:cs="Times New Roman"/>
          <w:color w:val="000000"/>
          <w:kern w:val="0"/>
          <w:sz w:val="21"/>
          <w:szCs w:val="21"/>
        </w:rPr>
        <w:t>报告期内基金持有人数或基金资产净值预警说明</w:t>
      </w:r>
    </w:p>
    <w:p w:rsidR="00B57D67" w:rsidRPr="004C4C9E" w:rsidRDefault="00B57D67" w:rsidP="004C4C9E">
      <w:pPr>
        <w:spacing w:line="360" w:lineRule="auto"/>
        <w:ind w:firstLineChars="250" w:firstLine="525"/>
        <w:rPr>
          <w:rFonts w:eastAsiaTheme="minorEastAsia"/>
          <w:color w:val="000000" w:themeColor="text1"/>
        </w:rPr>
      </w:pPr>
      <w:r w:rsidRPr="004C4C9E">
        <w:rPr>
          <w:rFonts w:eastAsiaTheme="minorEastAsia"/>
          <w:color w:val="000000" w:themeColor="text1"/>
        </w:rPr>
        <w:t>本基金在报告期内未出现连续二十个工作日基金份额持有人数量不满二百人或者基金资产净值低于五千万元的情形。</w:t>
      </w:r>
    </w:p>
    <w:p w:rsidR="004061AC"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w:t>
      </w:r>
      <w:r w:rsidR="001C0993" w:rsidRPr="004C4C9E">
        <w:rPr>
          <w:color w:val="000000"/>
          <w:kern w:val="0"/>
          <w:sz w:val="21"/>
          <w:szCs w:val="21"/>
        </w:rPr>
        <w:t>5</w:t>
      </w:r>
      <w:r w:rsidRPr="004C4C9E">
        <w:rPr>
          <w:color w:val="000000"/>
          <w:kern w:val="0"/>
          <w:sz w:val="21"/>
          <w:szCs w:val="21"/>
        </w:rPr>
        <w:t>投资组合报告</w:t>
      </w:r>
    </w:p>
    <w:p w:rsidR="0010032F" w:rsidRPr="004C4C9E" w:rsidRDefault="0010032F" w:rsidP="004C4C9E">
      <w:pPr>
        <w:pStyle w:val="2"/>
        <w:spacing w:before="0" w:after="0"/>
        <w:rPr>
          <w:rFonts w:ascii="Times New Roman" w:hAnsi="Times New Roman" w:cs="Times New Roman"/>
          <w:b w:val="0"/>
          <w:color w:val="000000"/>
          <w:kern w:val="0"/>
          <w:sz w:val="21"/>
          <w:szCs w:val="21"/>
        </w:rPr>
      </w:pPr>
      <w:r w:rsidRPr="004C4C9E">
        <w:rPr>
          <w:rFonts w:ascii="Times New Roman" w:hAnsi="Times New Roman" w:cs="Times New Roman"/>
          <w:color w:val="000000"/>
          <w:kern w:val="0"/>
          <w:sz w:val="21"/>
          <w:szCs w:val="21"/>
        </w:rPr>
        <w:t xml:space="preserve">5.1 </w:t>
      </w:r>
      <w:r w:rsidRPr="004C4C9E">
        <w:rPr>
          <w:rFonts w:ascii="Times New Roman" w:hAnsi="Times New Roman" w:cs="Times New Roman"/>
          <w:color w:val="000000"/>
          <w:kern w:val="0"/>
          <w:sz w:val="21"/>
          <w:szCs w:val="21"/>
        </w:rPr>
        <w:t>中银互利半年定期开放债券型证券投资基金</w:t>
      </w:r>
    </w:p>
    <w:p w:rsidR="0010032F" w:rsidRPr="004C4C9E" w:rsidRDefault="0010032F" w:rsidP="00C9778A">
      <w:pPr>
        <w:autoSpaceDE w:val="0"/>
        <w:autoSpaceDN w:val="0"/>
        <w:adjustRightInd w:val="0"/>
        <w:spacing w:line="360" w:lineRule="auto"/>
        <w:ind w:left="17"/>
        <w:jc w:val="left"/>
        <w:rPr>
          <w:b/>
          <w:color w:val="000000"/>
          <w:kern w:val="0"/>
        </w:rPr>
      </w:pPr>
      <w:r w:rsidRPr="004C4C9E">
        <w:rPr>
          <w:b/>
          <w:color w:val="000000"/>
          <w:kern w:val="0"/>
        </w:rPr>
        <w:t>（报告期：</w:t>
      </w:r>
      <w:r w:rsidRPr="004C4C9E">
        <w:rPr>
          <w:b/>
          <w:color w:val="000000"/>
          <w:kern w:val="0"/>
        </w:rPr>
        <w:t>2017</w:t>
      </w:r>
      <w:r w:rsidRPr="004C4C9E">
        <w:rPr>
          <w:b/>
          <w:color w:val="000000"/>
          <w:kern w:val="0"/>
        </w:rPr>
        <w:t>年</w:t>
      </w:r>
      <w:r w:rsidRPr="004C4C9E">
        <w:rPr>
          <w:b/>
          <w:color w:val="000000"/>
          <w:kern w:val="0"/>
        </w:rPr>
        <w:t>11</w:t>
      </w:r>
      <w:r w:rsidRPr="004C4C9E">
        <w:rPr>
          <w:b/>
          <w:color w:val="000000"/>
          <w:kern w:val="0"/>
        </w:rPr>
        <w:t>月</w:t>
      </w:r>
      <w:r w:rsidRPr="004C4C9E">
        <w:rPr>
          <w:b/>
          <w:color w:val="000000"/>
          <w:kern w:val="0"/>
        </w:rPr>
        <w:t>9</w:t>
      </w:r>
      <w:r w:rsidRPr="004C4C9E">
        <w:rPr>
          <w:b/>
          <w:color w:val="000000"/>
          <w:kern w:val="0"/>
        </w:rPr>
        <w:t>日</w:t>
      </w:r>
      <w:r w:rsidRPr="004C4C9E">
        <w:rPr>
          <w:b/>
          <w:color w:val="000000"/>
          <w:kern w:val="0"/>
        </w:rPr>
        <w:t>-2017</w:t>
      </w:r>
      <w:r w:rsidRPr="004C4C9E">
        <w:rPr>
          <w:b/>
          <w:color w:val="000000"/>
          <w:kern w:val="0"/>
        </w:rPr>
        <w:t>年</w:t>
      </w:r>
      <w:r w:rsidRPr="004C4C9E">
        <w:rPr>
          <w:b/>
          <w:color w:val="000000"/>
          <w:kern w:val="0"/>
        </w:rPr>
        <w:t>12</w:t>
      </w:r>
      <w:r w:rsidRPr="004C4C9E">
        <w:rPr>
          <w:b/>
          <w:color w:val="000000"/>
          <w:kern w:val="0"/>
        </w:rPr>
        <w:t>月</w:t>
      </w:r>
      <w:r w:rsidRPr="004C4C9E">
        <w:rPr>
          <w:b/>
          <w:color w:val="000000"/>
          <w:kern w:val="0"/>
        </w:rPr>
        <w:t>31</w:t>
      </w:r>
      <w:r w:rsidRPr="004C4C9E">
        <w:rPr>
          <w:b/>
          <w:color w:val="000000"/>
          <w:kern w:val="0"/>
        </w:rPr>
        <w:t>日）</w:t>
      </w:r>
    </w:p>
    <w:p w:rsidR="004061AC" w:rsidRPr="004C4C9E" w:rsidRDefault="008153E5" w:rsidP="004C4C9E">
      <w:pPr>
        <w:autoSpaceDE w:val="0"/>
        <w:autoSpaceDN w:val="0"/>
        <w:adjustRightInd w:val="0"/>
        <w:spacing w:line="360" w:lineRule="auto"/>
        <w:ind w:left="15"/>
        <w:jc w:val="left"/>
        <w:rPr>
          <w:b/>
          <w:color w:val="000000"/>
          <w:kern w:val="0"/>
        </w:rPr>
      </w:pPr>
      <w:r>
        <w:rPr>
          <w:rFonts w:hint="eastAsia"/>
          <w:b/>
          <w:color w:val="000000"/>
          <w:kern w:val="0"/>
        </w:rPr>
        <w:t>5.1.</w:t>
      </w:r>
      <w:r>
        <w:rPr>
          <w:rFonts w:hint="eastAsia"/>
          <w:b/>
          <w:color w:val="000000"/>
          <w:kern w:val="0"/>
          <w:sz w:val="23"/>
        </w:rPr>
        <w:t>1</w:t>
      </w:r>
      <w:r w:rsidR="004061AC" w:rsidRPr="004C4C9E">
        <w:rPr>
          <w:b/>
          <w:color w:val="000000"/>
          <w:kern w:val="0"/>
        </w:rPr>
        <w:t>报告期末基金资产组合情况</w:t>
      </w:r>
    </w:p>
    <w:tbl>
      <w:tblPr>
        <w:tblStyle w:val="af7"/>
        <w:tblW w:w="8897" w:type="dxa"/>
        <w:tblLayout w:type="fixed"/>
        <w:tblLook w:val="04A0"/>
      </w:tblPr>
      <w:tblGrid>
        <w:gridCol w:w="720"/>
        <w:gridCol w:w="2834"/>
        <w:gridCol w:w="2976"/>
        <w:gridCol w:w="2367"/>
      </w:tblGrid>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2834"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项目</w:t>
            </w:r>
          </w:p>
        </w:tc>
        <w:tc>
          <w:tcPr>
            <w:tcW w:w="2976"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金额</w:t>
            </w:r>
            <w:r w:rsidR="00D57B7C" w:rsidRPr="004C4C9E">
              <w:rPr>
                <w:color w:val="000000"/>
                <w:sz w:val="21"/>
              </w:rPr>
              <w:t>(</w:t>
            </w:r>
            <w:r w:rsidRPr="004C4C9E">
              <w:rPr>
                <w:color w:val="000000"/>
                <w:sz w:val="21"/>
              </w:rPr>
              <w:t>元</w:t>
            </w:r>
            <w:r w:rsidR="00D57B7C" w:rsidRPr="004C4C9E">
              <w:rPr>
                <w:color w:val="000000"/>
                <w:sz w:val="21"/>
              </w:rPr>
              <w:t>)</w:t>
            </w:r>
          </w:p>
        </w:tc>
        <w:tc>
          <w:tcPr>
            <w:tcW w:w="2367"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占基金总资产的比例</w:t>
            </w:r>
            <w:r w:rsidR="00D57B7C" w:rsidRPr="004C4C9E">
              <w:rPr>
                <w:color w:val="000000"/>
                <w:sz w:val="21"/>
              </w:rPr>
              <w:t>(</w:t>
            </w:r>
            <w:r w:rsidRPr="004C4C9E">
              <w:rPr>
                <w:color w:val="000000"/>
                <w:sz w:val="21"/>
              </w:rPr>
              <w:t>%</w:t>
            </w:r>
            <w:r w:rsidR="00D57B7C" w:rsidRPr="004C4C9E">
              <w:rPr>
                <w:color w:val="000000"/>
                <w:sz w:val="21"/>
              </w:rPr>
              <w:t>)</w:t>
            </w:r>
          </w:p>
        </w:tc>
      </w:tr>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2834" w:type="dxa"/>
            <w:vAlign w:val="center"/>
          </w:tcPr>
          <w:p w:rsidR="00853140" w:rsidRPr="004C4C9E" w:rsidRDefault="00853140" w:rsidP="004C4C9E">
            <w:pPr>
              <w:autoSpaceDE w:val="0"/>
              <w:autoSpaceDN w:val="0"/>
              <w:adjustRightInd w:val="0"/>
              <w:spacing w:before="29" w:line="276" w:lineRule="auto"/>
              <w:ind w:left="15"/>
              <w:jc w:val="left"/>
              <w:rPr>
                <w:color w:val="000000"/>
                <w:sz w:val="21"/>
              </w:rPr>
            </w:pPr>
            <w:r w:rsidRPr="004C4C9E">
              <w:rPr>
                <w:color w:val="000000"/>
                <w:sz w:val="21"/>
              </w:rPr>
              <w:t>权益投资</w:t>
            </w:r>
          </w:p>
        </w:tc>
        <w:tc>
          <w:tcPr>
            <w:tcW w:w="2976" w:type="dxa"/>
            <w:vAlign w:val="center"/>
          </w:tcPr>
          <w:p w:rsidR="00853140" w:rsidRPr="004C4C9E" w:rsidRDefault="00C77AEF"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p>
        </w:tc>
        <w:tc>
          <w:tcPr>
            <w:tcW w:w="2834" w:type="dxa"/>
            <w:vAlign w:val="center"/>
          </w:tcPr>
          <w:p w:rsidR="00853140" w:rsidRPr="004C4C9E" w:rsidRDefault="00853140" w:rsidP="004C4C9E">
            <w:pPr>
              <w:autoSpaceDE w:val="0"/>
              <w:autoSpaceDN w:val="0"/>
              <w:adjustRightInd w:val="0"/>
              <w:spacing w:before="29" w:line="276" w:lineRule="auto"/>
              <w:ind w:left="15"/>
              <w:jc w:val="left"/>
              <w:rPr>
                <w:color w:val="000000"/>
                <w:sz w:val="21"/>
              </w:rPr>
            </w:pPr>
            <w:r w:rsidRPr="004C4C9E">
              <w:rPr>
                <w:color w:val="000000"/>
                <w:sz w:val="21"/>
              </w:rPr>
              <w:t>其中：股票</w:t>
            </w:r>
          </w:p>
        </w:tc>
        <w:tc>
          <w:tcPr>
            <w:tcW w:w="2976"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2834" w:type="dxa"/>
            <w:vAlign w:val="center"/>
          </w:tcPr>
          <w:p w:rsidR="00853140" w:rsidRPr="004C4C9E" w:rsidRDefault="00853140" w:rsidP="004C4C9E">
            <w:pPr>
              <w:autoSpaceDE w:val="0"/>
              <w:autoSpaceDN w:val="0"/>
              <w:adjustRightInd w:val="0"/>
              <w:spacing w:before="29" w:line="276" w:lineRule="auto"/>
              <w:ind w:left="15"/>
              <w:jc w:val="left"/>
              <w:rPr>
                <w:color w:val="000000"/>
                <w:sz w:val="21"/>
              </w:rPr>
            </w:pPr>
            <w:r w:rsidRPr="004C4C9E">
              <w:rPr>
                <w:color w:val="000000"/>
                <w:sz w:val="21"/>
              </w:rPr>
              <w:t>固定收益投资</w:t>
            </w:r>
          </w:p>
        </w:tc>
        <w:tc>
          <w:tcPr>
            <w:tcW w:w="2976"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596,342,660.07</w:t>
            </w:r>
          </w:p>
        </w:tc>
        <w:tc>
          <w:tcPr>
            <w:tcW w:w="2367"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94.95</w:t>
            </w:r>
          </w:p>
        </w:tc>
      </w:tr>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p>
        </w:tc>
        <w:tc>
          <w:tcPr>
            <w:tcW w:w="2834" w:type="dxa"/>
            <w:vAlign w:val="center"/>
          </w:tcPr>
          <w:p w:rsidR="00853140" w:rsidRPr="004C4C9E" w:rsidRDefault="00853140" w:rsidP="004C4C9E">
            <w:pPr>
              <w:autoSpaceDE w:val="0"/>
              <w:autoSpaceDN w:val="0"/>
              <w:adjustRightInd w:val="0"/>
              <w:spacing w:before="29" w:line="276" w:lineRule="auto"/>
              <w:ind w:left="15"/>
              <w:jc w:val="left"/>
              <w:rPr>
                <w:color w:val="000000"/>
                <w:sz w:val="21"/>
              </w:rPr>
            </w:pPr>
            <w:r w:rsidRPr="004C4C9E">
              <w:rPr>
                <w:color w:val="000000"/>
                <w:sz w:val="21"/>
              </w:rPr>
              <w:t>其中：债券</w:t>
            </w:r>
          </w:p>
        </w:tc>
        <w:tc>
          <w:tcPr>
            <w:tcW w:w="2976"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596,342,660.07</w:t>
            </w:r>
          </w:p>
        </w:tc>
        <w:tc>
          <w:tcPr>
            <w:tcW w:w="2367"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94.95</w:t>
            </w:r>
          </w:p>
        </w:tc>
      </w:tr>
      <w:tr w:rsidR="00220C32" w:rsidRPr="004C4C9E" w:rsidTr="005F70E2">
        <w:tc>
          <w:tcPr>
            <w:tcW w:w="720" w:type="dxa"/>
            <w:vAlign w:val="center"/>
          </w:tcPr>
          <w:p w:rsidR="00853140" w:rsidRPr="004C4C9E" w:rsidRDefault="00853140" w:rsidP="004C4C9E">
            <w:pPr>
              <w:autoSpaceDE w:val="0"/>
              <w:autoSpaceDN w:val="0"/>
              <w:adjustRightInd w:val="0"/>
              <w:spacing w:before="29" w:line="276" w:lineRule="auto"/>
              <w:ind w:left="15"/>
              <w:jc w:val="center"/>
              <w:rPr>
                <w:color w:val="000000"/>
                <w:sz w:val="21"/>
              </w:rPr>
            </w:pPr>
          </w:p>
        </w:tc>
        <w:tc>
          <w:tcPr>
            <w:tcW w:w="2834" w:type="dxa"/>
            <w:vAlign w:val="center"/>
          </w:tcPr>
          <w:p w:rsidR="00853140" w:rsidRPr="004C4C9E" w:rsidRDefault="00853140" w:rsidP="004C4C9E">
            <w:pPr>
              <w:autoSpaceDE w:val="0"/>
              <w:autoSpaceDN w:val="0"/>
              <w:adjustRightInd w:val="0"/>
              <w:spacing w:before="29" w:line="276" w:lineRule="auto"/>
              <w:ind w:left="15" w:firstLineChars="250" w:firstLine="525"/>
              <w:jc w:val="left"/>
              <w:rPr>
                <w:color w:val="000000"/>
                <w:sz w:val="21"/>
              </w:rPr>
            </w:pPr>
            <w:r w:rsidRPr="004C4C9E">
              <w:rPr>
                <w:color w:val="000000"/>
                <w:sz w:val="21"/>
              </w:rPr>
              <w:t>资产支持证券</w:t>
            </w:r>
          </w:p>
        </w:tc>
        <w:tc>
          <w:tcPr>
            <w:tcW w:w="2976"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853140" w:rsidRPr="004C4C9E" w:rsidRDefault="001675CD"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2834" w:type="dxa"/>
            <w:vAlign w:val="center"/>
          </w:tcPr>
          <w:p w:rsidR="001D63BB" w:rsidRPr="004C4C9E" w:rsidRDefault="001D63BB" w:rsidP="004C4C9E">
            <w:pPr>
              <w:autoSpaceDE w:val="0"/>
              <w:autoSpaceDN w:val="0"/>
              <w:adjustRightInd w:val="0"/>
              <w:spacing w:before="29" w:line="276" w:lineRule="auto"/>
              <w:rPr>
                <w:color w:val="000000"/>
                <w:sz w:val="21"/>
              </w:rPr>
            </w:pPr>
            <w:r w:rsidRPr="004C4C9E">
              <w:rPr>
                <w:color w:val="000000"/>
                <w:sz w:val="21"/>
              </w:rPr>
              <w:t>贵金属投资</w:t>
            </w:r>
          </w:p>
        </w:tc>
        <w:tc>
          <w:tcPr>
            <w:tcW w:w="2976"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2834" w:type="dxa"/>
            <w:vAlign w:val="center"/>
          </w:tcPr>
          <w:p w:rsidR="001D63BB" w:rsidRPr="004C4C9E" w:rsidRDefault="001D63BB" w:rsidP="004C4C9E">
            <w:pPr>
              <w:autoSpaceDE w:val="0"/>
              <w:autoSpaceDN w:val="0"/>
              <w:adjustRightInd w:val="0"/>
              <w:spacing w:before="29" w:line="276" w:lineRule="auto"/>
              <w:ind w:left="15"/>
              <w:jc w:val="left"/>
              <w:rPr>
                <w:color w:val="000000"/>
                <w:sz w:val="21"/>
              </w:rPr>
            </w:pPr>
            <w:r w:rsidRPr="004C4C9E">
              <w:rPr>
                <w:color w:val="000000"/>
                <w:sz w:val="21"/>
              </w:rPr>
              <w:t>金融衍生品投资</w:t>
            </w:r>
          </w:p>
        </w:tc>
        <w:tc>
          <w:tcPr>
            <w:tcW w:w="2976"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2834" w:type="dxa"/>
            <w:vAlign w:val="center"/>
          </w:tcPr>
          <w:p w:rsidR="001D63BB" w:rsidRPr="004C4C9E" w:rsidRDefault="001D63BB" w:rsidP="004C4C9E">
            <w:pPr>
              <w:autoSpaceDE w:val="0"/>
              <w:autoSpaceDN w:val="0"/>
              <w:adjustRightInd w:val="0"/>
              <w:spacing w:before="29" w:line="276" w:lineRule="auto"/>
              <w:ind w:left="15"/>
              <w:jc w:val="left"/>
              <w:rPr>
                <w:color w:val="000000"/>
                <w:sz w:val="21"/>
              </w:rPr>
            </w:pPr>
            <w:r w:rsidRPr="004C4C9E">
              <w:rPr>
                <w:color w:val="000000"/>
                <w:sz w:val="21"/>
              </w:rPr>
              <w:t>买入返售金融资产</w:t>
            </w:r>
          </w:p>
        </w:tc>
        <w:tc>
          <w:tcPr>
            <w:tcW w:w="2976"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p>
        </w:tc>
        <w:tc>
          <w:tcPr>
            <w:tcW w:w="2834" w:type="dxa"/>
            <w:vAlign w:val="center"/>
          </w:tcPr>
          <w:p w:rsidR="001D63BB" w:rsidRPr="004C4C9E" w:rsidRDefault="001D63BB" w:rsidP="004C4C9E">
            <w:pPr>
              <w:autoSpaceDE w:val="0"/>
              <w:autoSpaceDN w:val="0"/>
              <w:adjustRightInd w:val="0"/>
              <w:spacing w:before="29" w:line="276" w:lineRule="auto"/>
              <w:ind w:left="15"/>
              <w:jc w:val="left"/>
              <w:rPr>
                <w:color w:val="000000"/>
                <w:sz w:val="21"/>
              </w:rPr>
            </w:pPr>
            <w:r w:rsidRPr="004C4C9E">
              <w:rPr>
                <w:color w:val="000000"/>
                <w:sz w:val="21"/>
              </w:rPr>
              <w:t>其中：买断式回购的买入返售金融资产</w:t>
            </w:r>
          </w:p>
        </w:tc>
        <w:tc>
          <w:tcPr>
            <w:tcW w:w="2976"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2834" w:type="dxa"/>
            <w:vAlign w:val="center"/>
          </w:tcPr>
          <w:p w:rsidR="001D63BB" w:rsidRPr="004C4C9E" w:rsidRDefault="001D63BB" w:rsidP="004C4C9E">
            <w:pPr>
              <w:autoSpaceDE w:val="0"/>
              <w:autoSpaceDN w:val="0"/>
              <w:adjustRightInd w:val="0"/>
              <w:spacing w:before="29" w:line="276" w:lineRule="auto"/>
              <w:ind w:left="15"/>
              <w:jc w:val="left"/>
              <w:rPr>
                <w:color w:val="000000"/>
                <w:sz w:val="21"/>
              </w:rPr>
            </w:pPr>
            <w:r w:rsidRPr="004C4C9E">
              <w:rPr>
                <w:color w:val="000000"/>
                <w:sz w:val="21"/>
              </w:rPr>
              <w:t>银行存款和结算备付金合计</w:t>
            </w:r>
          </w:p>
        </w:tc>
        <w:tc>
          <w:tcPr>
            <w:tcW w:w="2976"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20,312,881.77</w:t>
            </w:r>
          </w:p>
        </w:tc>
        <w:tc>
          <w:tcPr>
            <w:tcW w:w="2367" w:type="dxa"/>
            <w:vAlign w:val="center"/>
          </w:tcPr>
          <w:p w:rsidR="001D63BB" w:rsidRPr="004C4C9E" w:rsidRDefault="001D63BB" w:rsidP="004C4C9E">
            <w:pPr>
              <w:autoSpaceDE w:val="0"/>
              <w:autoSpaceDN w:val="0"/>
              <w:adjustRightInd w:val="0"/>
              <w:spacing w:before="29" w:line="276" w:lineRule="auto"/>
              <w:ind w:left="15"/>
              <w:jc w:val="right"/>
              <w:rPr>
                <w:color w:val="000000"/>
                <w:sz w:val="21"/>
              </w:rPr>
            </w:pPr>
            <w:r w:rsidRPr="004C4C9E">
              <w:rPr>
                <w:color w:val="000000"/>
                <w:sz w:val="21"/>
              </w:rPr>
              <w:t>3.23</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2834" w:type="dxa"/>
            <w:vAlign w:val="center"/>
          </w:tcPr>
          <w:p w:rsidR="001D63BB" w:rsidRPr="004C4C9E" w:rsidRDefault="001D63BB" w:rsidP="004C4C9E">
            <w:pPr>
              <w:autoSpaceDE w:val="0"/>
              <w:autoSpaceDN w:val="0"/>
              <w:adjustRightInd w:val="0"/>
              <w:spacing w:line="276" w:lineRule="auto"/>
              <w:ind w:left="15"/>
              <w:jc w:val="left"/>
              <w:rPr>
                <w:color w:val="000000"/>
                <w:sz w:val="21"/>
              </w:rPr>
            </w:pPr>
            <w:r w:rsidRPr="004C4C9E">
              <w:rPr>
                <w:color w:val="000000"/>
                <w:sz w:val="21"/>
              </w:rPr>
              <w:t>其他各项资产</w:t>
            </w:r>
          </w:p>
        </w:tc>
        <w:tc>
          <w:tcPr>
            <w:tcW w:w="2976" w:type="dxa"/>
            <w:vAlign w:val="center"/>
          </w:tcPr>
          <w:p w:rsidR="001D63BB" w:rsidRPr="004C4C9E" w:rsidRDefault="001D63BB" w:rsidP="004C4C9E">
            <w:pPr>
              <w:autoSpaceDE w:val="0"/>
              <w:autoSpaceDN w:val="0"/>
              <w:adjustRightInd w:val="0"/>
              <w:spacing w:line="276" w:lineRule="auto"/>
              <w:ind w:left="15"/>
              <w:jc w:val="right"/>
              <w:rPr>
                <w:color w:val="000000"/>
                <w:sz w:val="21"/>
              </w:rPr>
            </w:pPr>
            <w:r w:rsidRPr="004C4C9E">
              <w:rPr>
                <w:color w:val="000000"/>
                <w:sz w:val="21"/>
              </w:rPr>
              <w:t>11,402,000.36</w:t>
            </w:r>
          </w:p>
        </w:tc>
        <w:tc>
          <w:tcPr>
            <w:tcW w:w="2367" w:type="dxa"/>
            <w:vAlign w:val="center"/>
          </w:tcPr>
          <w:p w:rsidR="001D63BB" w:rsidRPr="004C4C9E" w:rsidRDefault="001D63BB" w:rsidP="004C4C9E">
            <w:pPr>
              <w:autoSpaceDE w:val="0"/>
              <w:autoSpaceDN w:val="0"/>
              <w:adjustRightInd w:val="0"/>
              <w:spacing w:line="276" w:lineRule="auto"/>
              <w:ind w:left="15"/>
              <w:jc w:val="right"/>
              <w:rPr>
                <w:color w:val="000000"/>
                <w:sz w:val="21"/>
              </w:rPr>
            </w:pPr>
            <w:r w:rsidRPr="004C4C9E">
              <w:rPr>
                <w:color w:val="000000"/>
                <w:sz w:val="21"/>
              </w:rPr>
              <w:t>1.82</w:t>
            </w:r>
          </w:p>
        </w:tc>
      </w:tr>
      <w:tr w:rsidR="00220C32" w:rsidRPr="004C4C9E" w:rsidTr="005F70E2">
        <w:tc>
          <w:tcPr>
            <w:tcW w:w="720" w:type="dxa"/>
            <w:vAlign w:val="center"/>
          </w:tcPr>
          <w:p w:rsidR="001D63BB" w:rsidRPr="004C4C9E" w:rsidRDefault="001D63BB"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2834" w:type="dxa"/>
            <w:vAlign w:val="center"/>
          </w:tcPr>
          <w:p w:rsidR="001D63BB" w:rsidRPr="004C4C9E" w:rsidRDefault="001D63BB" w:rsidP="004C4C9E">
            <w:pPr>
              <w:autoSpaceDE w:val="0"/>
              <w:autoSpaceDN w:val="0"/>
              <w:adjustRightInd w:val="0"/>
              <w:spacing w:line="276" w:lineRule="auto"/>
              <w:ind w:left="15"/>
              <w:jc w:val="left"/>
              <w:rPr>
                <w:color w:val="000000"/>
                <w:sz w:val="21"/>
              </w:rPr>
            </w:pPr>
            <w:r w:rsidRPr="004C4C9E">
              <w:rPr>
                <w:color w:val="000000"/>
                <w:sz w:val="21"/>
              </w:rPr>
              <w:t>合计</w:t>
            </w:r>
          </w:p>
        </w:tc>
        <w:tc>
          <w:tcPr>
            <w:tcW w:w="2976" w:type="dxa"/>
            <w:vAlign w:val="center"/>
          </w:tcPr>
          <w:p w:rsidR="001D63BB" w:rsidRPr="004C4C9E" w:rsidRDefault="001D63BB" w:rsidP="004C4C9E">
            <w:pPr>
              <w:autoSpaceDE w:val="0"/>
              <w:autoSpaceDN w:val="0"/>
              <w:adjustRightInd w:val="0"/>
              <w:spacing w:line="276" w:lineRule="auto"/>
              <w:ind w:left="15"/>
              <w:jc w:val="right"/>
              <w:rPr>
                <w:color w:val="000000"/>
                <w:sz w:val="21"/>
              </w:rPr>
            </w:pPr>
            <w:r w:rsidRPr="004C4C9E">
              <w:rPr>
                <w:color w:val="000000"/>
                <w:sz w:val="21"/>
              </w:rPr>
              <w:t>628,057,542.20</w:t>
            </w:r>
          </w:p>
        </w:tc>
        <w:tc>
          <w:tcPr>
            <w:tcW w:w="2367" w:type="dxa"/>
            <w:vAlign w:val="center"/>
          </w:tcPr>
          <w:p w:rsidR="001D63BB" w:rsidRPr="004C4C9E" w:rsidRDefault="001D63BB" w:rsidP="004C4C9E">
            <w:pPr>
              <w:autoSpaceDE w:val="0"/>
              <w:autoSpaceDN w:val="0"/>
              <w:adjustRightInd w:val="0"/>
              <w:spacing w:line="276" w:lineRule="auto"/>
              <w:ind w:left="15"/>
              <w:jc w:val="right"/>
              <w:rPr>
                <w:color w:val="000000"/>
                <w:sz w:val="21"/>
              </w:rPr>
            </w:pPr>
            <w:r w:rsidRPr="004C4C9E">
              <w:rPr>
                <w:color w:val="000000"/>
                <w:sz w:val="21"/>
              </w:rPr>
              <w:t>100.00</w:t>
            </w:r>
          </w:p>
        </w:tc>
      </w:tr>
    </w:tbl>
    <w:p w:rsidR="004061AC" w:rsidRPr="004C4C9E" w:rsidRDefault="002D0E1C"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2</w:t>
      </w:r>
      <w:r w:rsidR="004061AC" w:rsidRPr="004C4C9E">
        <w:rPr>
          <w:b/>
          <w:color w:val="000000"/>
          <w:kern w:val="0"/>
        </w:rPr>
        <w:t>报告期末按行业分类的股票投资组合</w:t>
      </w:r>
    </w:p>
    <w:p w:rsidR="007E1F08" w:rsidRPr="004C4C9E" w:rsidRDefault="002D0E1C" w:rsidP="004C4C9E">
      <w:pPr>
        <w:autoSpaceDE w:val="0"/>
        <w:autoSpaceDN w:val="0"/>
        <w:adjustRightInd w:val="0"/>
        <w:spacing w:line="360" w:lineRule="auto"/>
        <w:ind w:left="17"/>
        <w:jc w:val="left"/>
        <w:rPr>
          <w:b/>
          <w:color w:val="000000"/>
          <w:kern w:val="0"/>
        </w:rPr>
      </w:pPr>
      <w:r>
        <w:rPr>
          <w:rFonts w:hint="eastAsia"/>
          <w:b/>
          <w:color w:val="000000"/>
          <w:kern w:val="0"/>
        </w:rPr>
        <w:t>5.1.</w:t>
      </w:r>
      <w:r>
        <w:rPr>
          <w:rFonts w:hint="eastAsia"/>
          <w:b/>
          <w:color w:val="000000"/>
          <w:kern w:val="0"/>
          <w:sz w:val="23"/>
        </w:rPr>
        <w:t>2.1</w:t>
      </w:r>
      <w:r w:rsidR="007E1F08" w:rsidRPr="004C4C9E">
        <w:rPr>
          <w:rFonts w:eastAsiaTheme="minorEastAsia"/>
          <w:b/>
          <w:color w:val="000000" w:themeColor="text1"/>
          <w:kern w:val="0"/>
        </w:rPr>
        <w:t>报告期末按行业分类的境内股票投资组合</w:t>
      </w:r>
    </w:p>
    <w:p w:rsidR="007E1F08" w:rsidRPr="004C4C9E" w:rsidRDefault="004061AC"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本基金本报告期末未持有股票。</w:t>
      </w:r>
    </w:p>
    <w:p w:rsidR="007E1F08" w:rsidRPr="004C4C9E" w:rsidRDefault="00F24F6F" w:rsidP="00CE4D5E">
      <w:pPr>
        <w:autoSpaceDE w:val="0"/>
        <w:autoSpaceDN w:val="0"/>
        <w:adjustRightInd w:val="0"/>
        <w:spacing w:beforeLines="50" w:line="360" w:lineRule="auto"/>
        <w:ind w:left="17"/>
        <w:jc w:val="left"/>
        <w:rPr>
          <w:b/>
        </w:rPr>
      </w:pPr>
      <w:r>
        <w:rPr>
          <w:rFonts w:hint="eastAsia"/>
          <w:b/>
          <w:color w:val="000000"/>
          <w:kern w:val="0"/>
        </w:rPr>
        <w:t>5.1.</w:t>
      </w:r>
      <w:r>
        <w:rPr>
          <w:rFonts w:hint="eastAsia"/>
          <w:b/>
          <w:color w:val="000000"/>
          <w:kern w:val="0"/>
          <w:sz w:val="23"/>
        </w:rPr>
        <w:t>2.</w:t>
      </w:r>
      <w:r>
        <w:rPr>
          <w:b/>
          <w:color w:val="000000"/>
          <w:kern w:val="0"/>
          <w:sz w:val="23"/>
        </w:rPr>
        <w:t>2</w:t>
      </w:r>
      <w:r w:rsidR="007E1F08" w:rsidRPr="004C4C9E">
        <w:rPr>
          <w:b/>
        </w:rPr>
        <w:t>报告期末按行业分类的</w:t>
      </w:r>
      <w:r w:rsidR="00003D5B" w:rsidRPr="004C4C9E">
        <w:rPr>
          <w:rFonts w:eastAsiaTheme="minorEastAsia"/>
          <w:b/>
          <w:color w:val="000000" w:themeColor="text1"/>
          <w:kern w:val="0"/>
        </w:rPr>
        <w:t>港股通</w:t>
      </w:r>
      <w:r w:rsidR="007E1F08" w:rsidRPr="004C4C9E">
        <w:rPr>
          <w:b/>
        </w:rPr>
        <w:t>投资股票投资组合</w:t>
      </w:r>
    </w:p>
    <w:p w:rsidR="004061AC" w:rsidRPr="004C4C9E" w:rsidRDefault="007E1F08" w:rsidP="004C4C9E">
      <w:pPr>
        <w:autoSpaceDE w:val="0"/>
        <w:autoSpaceDN w:val="0"/>
        <w:adjustRightInd w:val="0"/>
        <w:spacing w:line="360" w:lineRule="auto"/>
        <w:jc w:val="left"/>
        <w:rPr>
          <w:color w:val="000000"/>
          <w:kern w:val="0"/>
        </w:rPr>
      </w:pPr>
      <w:r w:rsidRPr="004C4C9E">
        <w:rPr>
          <w:color w:val="000000"/>
          <w:kern w:val="0"/>
        </w:rPr>
        <w:t>本基金本报告期末未持有港股通投资股票。</w:t>
      </w:r>
    </w:p>
    <w:p w:rsidR="004061AC"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3</w:t>
      </w:r>
      <w:r w:rsidR="004061AC" w:rsidRPr="004C4C9E">
        <w:rPr>
          <w:b/>
          <w:color w:val="000000"/>
          <w:kern w:val="0"/>
        </w:rPr>
        <w:t>报告期末按公允价值占基金资产净值比例大小排序的前十名股票投资明细</w:t>
      </w:r>
    </w:p>
    <w:p w:rsidR="004061AC" w:rsidRPr="004C4C9E" w:rsidRDefault="004061AC"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本基金本报告期末未持有股票。</w:t>
      </w:r>
    </w:p>
    <w:p w:rsidR="004061AC"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4</w:t>
      </w:r>
      <w:r w:rsidR="004061AC" w:rsidRPr="004C4C9E">
        <w:rPr>
          <w:b/>
          <w:color w:val="000000"/>
          <w:kern w:val="0"/>
        </w:rPr>
        <w:t>报告期末按债券品种分类的债券投资组合</w:t>
      </w:r>
    </w:p>
    <w:tbl>
      <w:tblPr>
        <w:tblStyle w:val="af7"/>
        <w:tblW w:w="8755" w:type="dxa"/>
        <w:jc w:val="center"/>
        <w:tblLayout w:type="fixed"/>
        <w:tblLook w:val="04A0"/>
      </w:tblPr>
      <w:tblGrid>
        <w:gridCol w:w="817"/>
        <w:gridCol w:w="3233"/>
        <w:gridCol w:w="2976"/>
        <w:gridCol w:w="1729"/>
      </w:tblGrid>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3233"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债券品种</w:t>
            </w:r>
          </w:p>
        </w:tc>
        <w:tc>
          <w:tcPr>
            <w:tcW w:w="2976"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00D57B7C" w:rsidRPr="004C4C9E">
              <w:rPr>
                <w:color w:val="000000"/>
                <w:sz w:val="21"/>
              </w:rPr>
              <w:t>(</w:t>
            </w:r>
            <w:r w:rsidRPr="004C4C9E">
              <w:rPr>
                <w:color w:val="000000"/>
                <w:sz w:val="21"/>
              </w:rPr>
              <w:t>元</w:t>
            </w:r>
            <w:r w:rsidR="00D57B7C"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00D57B7C" w:rsidRPr="004C4C9E">
              <w:rPr>
                <w:color w:val="000000"/>
                <w:sz w:val="21"/>
              </w:rPr>
              <w:t>(</w:t>
            </w:r>
            <w:r w:rsidRPr="004C4C9E">
              <w:rPr>
                <w:color w:val="000000"/>
                <w:sz w:val="21"/>
              </w:rPr>
              <w:t>％</w:t>
            </w:r>
            <w:r w:rsidR="00D57B7C"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国家债券</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央行票据</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金融债券</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其中：政策性金融债</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企业债券</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527,136,857.20</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130.98</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企业短期融资</w:t>
            </w:r>
            <w:r w:rsidR="00963F40" w:rsidRPr="004C4C9E">
              <w:rPr>
                <w:color w:val="000000"/>
                <w:sz w:val="21"/>
              </w:rPr>
              <w:t>券</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FB41D3" w:rsidRPr="004C4C9E" w:rsidRDefault="00FB41D3"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3233" w:type="dxa"/>
            <w:vAlign w:val="center"/>
          </w:tcPr>
          <w:p w:rsidR="00FB41D3" w:rsidRPr="004C4C9E" w:rsidRDefault="00FB41D3" w:rsidP="004C4C9E">
            <w:pPr>
              <w:autoSpaceDE w:val="0"/>
              <w:autoSpaceDN w:val="0"/>
              <w:adjustRightInd w:val="0"/>
              <w:spacing w:before="29" w:line="276" w:lineRule="auto"/>
              <w:ind w:left="15"/>
              <w:jc w:val="left"/>
              <w:rPr>
                <w:color w:val="000000"/>
                <w:sz w:val="21"/>
              </w:rPr>
            </w:pPr>
            <w:r w:rsidRPr="004C4C9E">
              <w:rPr>
                <w:color w:val="000000"/>
                <w:sz w:val="21"/>
              </w:rPr>
              <w:t>中期票据</w:t>
            </w:r>
          </w:p>
        </w:tc>
        <w:tc>
          <w:tcPr>
            <w:tcW w:w="2976" w:type="dxa"/>
            <w:vAlign w:val="center"/>
          </w:tcPr>
          <w:p w:rsidR="00FB41D3" w:rsidRPr="004C4C9E" w:rsidRDefault="00FB41D3"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FB41D3" w:rsidRPr="004C4C9E" w:rsidRDefault="00FB41D3"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FB41D3"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可转债</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69,205,802.87</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17.20</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其他</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211B46">
        <w:trPr>
          <w:jc w:val="center"/>
        </w:trPr>
        <w:tc>
          <w:tcPr>
            <w:tcW w:w="817" w:type="dxa"/>
            <w:vAlign w:val="center"/>
          </w:tcPr>
          <w:p w:rsidR="00AC592E" w:rsidRPr="004C4C9E" w:rsidRDefault="00AC592E" w:rsidP="004C4C9E">
            <w:pPr>
              <w:autoSpaceDE w:val="0"/>
              <w:autoSpaceDN w:val="0"/>
              <w:adjustRightInd w:val="0"/>
              <w:spacing w:before="29" w:line="276" w:lineRule="auto"/>
              <w:ind w:left="15"/>
              <w:jc w:val="center"/>
              <w:rPr>
                <w:color w:val="000000"/>
                <w:sz w:val="21"/>
              </w:rPr>
            </w:pPr>
            <w:r w:rsidRPr="004C4C9E">
              <w:rPr>
                <w:color w:val="000000"/>
                <w:sz w:val="21"/>
              </w:rPr>
              <w:t>9</w:t>
            </w:r>
          </w:p>
        </w:tc>
        <w:tc>
          <w:tcPr>
            <w:tcW w:w="3233" w:type="dxa"/>
            <w:vAlign w:val="center"/>
          </w:tcPr>
          <w:p w:rsidR="00AC592E" w:rsidRPr="004C4C9E" w:rsidRDefault="00AC592E" w:rsidP="004C4C9E">
            <w:pPr>
              <w:autoSpaceDE w:val="0"/>
              <w:autoSpaceDN w:val="0"/>
              <w:adjustRightInd w:val="0"/>
              <w:spacing w:before="29" w:line="276" w:lineRule="auto"/>
              <w:ind w:left="15"/>
              <w:jc w:val="left"/>
              <w:rPr>
                <w:color w:val="000000"/>
                <w:sz w:val="21"/>
              </w:rPr>
            </w:pPr>
            <w:r w:rsidRPr="004C4C9E">
              <w:rPr>
                <w:color w:val="000000"/>
                <w:sz w:val="21"/>
              </w:rPr>
              <w:t>合计</w:t>
            </w:r>
          </w:p>
        </w:tc>
        <w:tc>
          <w:tcPr>
            <w:tcW w:w="2976"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596,342,660.07</w:t>
            </w:r>
          </w:p>
        </w:tc>
        <w:tc>
          <w:tcPr>
            <w:tcW w:w="1729" w:type="dxa"/>
            <w:vAlign w:val="center"/>
          </w:tcPr>
          <w:p w:rsidR="00AC592E" w:rsidRPr="004C4C9E" w:rsidRDefault="00AC592E" w:rsidP="004C4C9E">
            <w:pPr>
              <w:autoSpaceDE w:val="0"/>
              <w:autoSpaceDN w:val="0"/>
              <w:adjustRightInd w:val="0"/>
              <w:spacing w:before="29" w:line="276" w:lineRule="auto"/>
              <w:ind w:left="15"/>
              <w:jc w:val="right"/>
              <w:rPr>
                <w:color w:val="000000"/>
                <w:sz w:val="21"/>
              </w:rPr>
            </w:pPr>
            <w:r w:rsidRPr="004C4C9E">
              <w:rPr>
                <w:color w:val="000000"/>
                <w:sz w:val="21"/>
              </w:rPr>
              <w:t>148.18</w:t>
            </w:r>
          </w:p>
        </w:tc>
      </w:tr>
    </w:tbl>
    <w:p w:rsidR="004061AC"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5</w:t>
      </w:r>
      <w:r w:rsidR="004061AC" w:rsidRPr="004C4C9E">
        <w:rPr>
          <w:b/>
          <w:color w:val="000000"/>
          <w:kern w:val="0"/>
        </w:rPr>
        <w:t>报告期末按公允价值占基金资产净值比例大小排</w:t>
      </w:r>
      <w:r w:rsidR="001D63BB" w:rsidRPr="004C4C9E">
        <w:rPr>
          <w:b/>
          <w:color w:val="000000"/>
          <w:kern w:val="0"/>
        </w:rPr>
        <w:t>序</w:t>
      </w:r>
      <w:r w:rsidR="004061AC" w:rsidRPr="004C4C9E">
        <w:rPr>
          <w:b/>
          <w:color w:val="000000"/>
          <w:kern w:val="0"/>
        </w:rPr>
        <w:t>的前五名债券投资明细</w:t>
      </w:r>
    </w:p>
    <w:tbl>
      <w:tblPr>
        <w:tblStyle w:val="af7"/>
        <w:tblW w:w="0" w:type="auto"/>
        <w:tblLayout w:type="fixed"/>
        <w:tblLook w:val="04A0"/>
      </w:tblPr>
      <w:tblGrid>
        <w:gridCol w:w="817"/>
        <w:gridCol w:w="1276"/>
        <w:gridCol w:w="1559"/>
        <w:gridCol w:w="1418"/>
        <w:gridCol w:w="1846"/>
        <w:gridCol w:w="1612"/>
      </w:tblGrid>
      <w:tr w:rsidR="00220C32" w:rsidRPr="004C4C9E" w:rsidTr="00C66C44">
        <w:tc>
          <w:tcPr>
            <w:tcW w:w="817"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1276"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债券代码</w:t>
            </w:r>
          </w:p>
        </w:tc>
        <w:tc>
          <w:tcPr>
            <w:tcW w:w="1559"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债券名称</w:t>
            </w:r>
          </w:p>
        </w:tc>
        <w:tc>
          <w:tcPr>
            <w:tcW w:w="1418"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数量</w:t>
            </w:r>
            <w:r w:rsidR="00D57B7C" w:rsidRPr="004C4C9E">
              <w:rPr>
                <w:color w:val="000000"/>
                <w:sz w:val="21"/>
              </w:rPr>
              <w:t>(</w:t>
            </w:r>
            <w:r w:rsidRPr="004C4C9E">
              <w:rPr>
                <w:color w:val="000000"/>
                <w:sz w:val="21"/>
              </w:rPr>
              <w:t>张</w:t>
            </w:r>
            <w:r w:rsidR="00D57B7C" w:rsidRPr="004C4C9E">
              <w:rPr>
                <w:color w:val="000000"/>
                <w:sz w:val="21"/>
              </w:rPr>
              <w:t>)</w:t>
            </w:r>
          </w:p>
        </w:tc>
        <w:tc>
          <w:tcPr>
            <w:tcW w:w="1846"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Pr="004C4C9E">
              <w:rPr>
                <w:color w:val="000000"/>
                <w:sz w:val="21"/>
              </w:rPr>
              <w:t>(</w:t>
            </w:r>
            <w:r w:rsidRPr="004C4C9E">
              <w:rPr>
                <w:color w:val="000000"/>
                <w:sz w:val="21"/>
              </w:rPr>
              <w:t>元</w:t>
            </w:r>
            <w:r w:rsidRPr="004C4C9E">
              <w:rPr>
                <w:color w:val="000000"/>
                <w:sz w:val="21"/>
              </w:rPr>
              <w:t>)</w:t>
            </w:r>
          </w:p>
        </w:tc>
        <w:tc>
          <w:tcPr>
            <w:tcW w:w="1612"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00D57B7C" w:rsidRPr="004C4C9E">
              <w:rPr>
                <w:color w:val="000000"/>
                <w:sz w:val="21"/>
              </w:rPr>
              <w:t>(</w:t>
            </w:r>
            <w:r w:rsidRPr="004C4C9E">
              <w:rPr>
                <w:color w:val="000000"/>
                <w:sz w:val="21"/>
              </w:rPr>
              <w:t>％</w:t>
            </w:r>
            <w:r w:rsidR="00D57B7C" w:rsidRPr="004C4C9E">
              <w:rPr>
                <w:color w:val="000000"/>
                <w:sz w:val="21"/>
              </w:rPr>
              <w:t>)</w:t>
            </w:r>
          </w:p>
        </w:tc>
      </w:tr>
      <w:tr w:rsidR="0049111A">
        <w:tc>
          <w:tcPr>
            <w:tcW w:w="817" w:type="dxa"/>
            <w:vAlign w:val="center"/>
          </w:tcPr>
          <w:p w:rsidR="0049111A" w:rsidRDefault="00CE4D5E">
            <w:pPr>
              <w:jc w:val="center"/>
            </w:pPr>
            <w:r>
              <w:rPr>
                <w:color w:val="000000"/>
                <w:sz w:val="21"/>
              </w:rPr>
              <w:t>1</w:t>
            </w:r>
          </w:p>
        </w:tc>
        <w:tc>
          <w:tcPr>
            <w:tcW w:w="1276" w:type="dxa"/>
            <w:vAlign w:val="center"/>
          </w:tcPr>
          <w:p w:rsidR="0049111A" w:rsidRDefault="00CE4D5E">
            <w:pPr>
              <w:jc w:val="center"/>
            </w:pPr>
            <w:r>
              <w:rPr>
                <w:color w:val="000000"/>
                <w:sz w:val="21"/>
              </w:rPr>
              <w:t>136126</w:t>
            </w:r>
          </w:p>
        </w:tc>
        <w:tc>
          <w:tcPr>
            <w:tcW w:w="1559" w:type="dxa"/>
            <w:vAlign w:val="center"/>
          </w:tcPr>
          <w:p w:rsidR="0049111A" w:rsidRDefault="00CE4D5E">
            <w:pPr>
              <w:jc w:val="center"/>
            </w:pPr>
            <w:r>
              <w:rPr>
                <w:color w:val="000000"/>
                <w:sz w:val="21"/>
              </w:rPr>
              <w:t>15</w:t>
            </w:r>
            <w:r>
              <w:rPr>
                <w:color w:val="000000"/>
                <w:sz w:val="21"/>
              </w:rPr>
              <w:t>鑫苑</w:t>
            </w:r>
            <w:r>
              <w:rPr>
                <w:color w:val="000000"/>
                <w:sz w:val="21"/>
              </w:rPr>
              <w:t>01</w:t>
            </w:r>
          </w:p>
        </w:tc>
        <w:tc>
          <w:tcPr>
            <w:tcW w:w="1418" w:type="dxa"/>
            <w:vAlign w:val="center"/>
          </w:tcPr>
          <w:p w:rsidR="0049111A" w:rsidRDefault="00CE4D5E">
            <w:pPr>
              <w:jc w:val="right"/>
            </w:pPr>
            <w:r>
              <w:rPr>
                <w:color w:val="000000"/>
                <w:sz w:val="21"/>
              </w:rPr>
              <w:t>399,490</w:t>
            </w:r>
          </w:p>
        </w:tc>
        <w:tc>
          <w:tcPr>
            <w:tcW w:w="1846" w:type="dxa"/>
            <w:vAlign w:val="center"/>
          </w:tcPr>
          <w:p w:rsidR="0049111A" w:rsidRDefault="00CE4D5E">
            <w:pPr>
              <w:jc w:val="right"/>
            </w:pPr>
            <w:r>
              <w:rPr>
                <w:color w:val="000000"/>
                <w:sz w:val="21"/>
              </w:rPr>
              <w:t>39,177,984.30</w:t>
            </w:r>
          </w:p>
        </w:tc>
        <w:tc>
          <w:tcPr>
            <w:tcW w:w="1612" w:type="dxa"/>
            <w:vAlign w:val="center"/>
          </w:tcPr>
          <w:p w:rsidR="0049111A" w:rsidRDefault="00CE4D5E">
            <w:pPr>
              <w:jc w:val="right"/>
            </w:pPr>
            <w:r>
              <w:rPr>
                <w:color w:val="000000"/>
                <w:sz w:val="21"/>
              </w:rPr>
              <w:t>9.73</w:t>
            </w:r>
          </w:p>
        </w:tc>
      </w:tr>
      <w:tr w:rsidR="0049111A">
        <w:tc>
          <w:tcPr>
            <w:tcW w:w="817" w:type="dxa"/>
            <w:vAlign w:val="center"/>
          </w:tcPr>
          <w:p w:rsidR="0049111A" w:rsidRDefault="00CE4D5E">
            <w:pPr>
              <w:jc w:val="center"/>
            </w:pPr>
            <w:r>
              <w:rPr>
                <w:color w:val="000000"/>
                <w:sz w:val="21"/>
              </w:rPr>
              <w:t>2</w:t>
            </w:r>
          </w:p>
        </w:tc>
        <w:tc>
          <w:tcPr>
            <w:tcW w:w="1276" w:type="dxa"/>
            <w:vAlign w:val="center"/>
          </w:tcPr>
          <w:p w:rsidR="0049111A" w:rsidRDefault="00CE4D5E">
            <w:pPr>
              <w:jc w:val="center"/>
            </w:pPr>
            <w:r>
              <w:rPr>
                <w:color w:val="000000"/>
                <w:sz w:val="21"/>
              </w:rPr>
              <w:t>112315</w:t>
            </w:r>
          </w:p>
        </w:tc>
        <w:tc>
          <w:tcPr>
            <w:tcW w:w="1559" w:type="dxa"/>
            <w:vAlign w:val="center"/>
          </w:tcPr>
          <w:p w:rsidR="0049111A" w:rsidRDefault="00CE4D5E">
            <w:pPr>
              <w:jc w:val="center"/>
            </w:pPr>
            <w:r>
              <w:rPr>
                <w:color w:val="000000"/>
                <w:sz w:val="21"/>
              </w:rPr>
              <w:t>16</w:t>
            </w:r>
            <w:r>
              <w:rPr>
                <w:color w:val="000000"/>
                <w:sz w:val="21"/>
              </w:rPr>
              <w:t>宝龙债</w:t>
            </w:r>
          </w:p>
        </w:tc>
        <w:tc>
          <w:tcPr>
            <w:tcW w:w="1418" w:type="dxa"/>
            <w:vAlign w:val="center"/>
          </w:tcPr>
          <w:p w:rsidR="0049111A" w:rsidRDefault="00CE4D5E">
            <w:pPr>
              <w:jc w:val="right"/>
            </w:pPr>
            <w:r>
              <w:rPr>
                <w:color w:val="000000"/>
                <w:sz w:val="21"/>
              </w:rPr>
              <w:t>300,000</w:t>
            </w:r>
          </w:p>
        </w:tc>
        <w:tc>
          <w:tcPr>
            <w:tcW w:w="1846" w:type="dxa"/>
            <w:vAlign w:val="center"/>
          </w:tcPr>
          <w:p w:rsidR="0049111A" w:rsidRDefault="00CE4D5E">
            <w:pPr>
              <w:jc w:val="right"/>
            </w:pPr>
            <w:r>
              <w:rPr>
                <w:color w:val="000000"/>
                <w:sz w:val="21"/>
              </w:rPr>
              <w:t>29,688,000.00</w:t>
            </w:r>
          </w:p>
        </w:tc>
        <w:tc>
          <w:tcPr>
            <w:tcW w:w="1612" w:type="dxa"/>
            <w:vAlign w:val="center"/>
          </w:tcPr>
          <w:p w:rsidR="0049111A" w:rsidRDefault="00CE4D5E">
            <w:pPr>
              <w:jc w:val="right"/>
            </w:pPr>
            <w:r>
              <w:rPr>
                <w:color w:val="000000"/>
                <w:sz w:val="21"/>
              </w:rPr>
              <w:t>7.38</w:t>
            </w:r>
          </w:p>
        </w:tc>
      </w:tr>
      <w:tr w:rsidR="0049111A">
        <w:tc>
          <w:tcPr>
            <w:tcW w:w="817" w:type="dxa"/>
            <w:vAlign w:val="center"/>
          </w:tcPr>
          <w:p w:rsidR="0049111A" w:rsidRDefault="00CE4D5E">
            <w:pPr>
              <w:jc w:val="center"/>
            </w:pPr>
            <w:r>
              <w:rPr>
                <w:color w:val="000000"/>
                <w:sz w:val="21"/>
              </w:rPr>
              <w:t>3</w:t>
            </w:r>
          </w:p>
        </w:tc>
        <w:tc>
          <w:tcPr>
            <w:tcW w:w="1276" w:type="dxa"/>
            <w:vAlign w:val="center"/>
          </w:tcPr>
          <w:p w:rsidR="0049111A" w:rsidRDefault="00CE4D5E">
            <w:pPr>
              <w:jc w:val="center"/>
            </w:pPr>
            <w:r>
              <w:rPr>
                <w:color w:val="000000"/>
                <w:sz w:val="21"/>
              </w:rPr>
              <w:t>112494</w:t>
            </w:r>
          </w:p>
        </w:tc>
        <w:tc>
          <w:tcPr>
            <w:tcW w:w="1559" w:type="dxa"/>
            <w:vAlign w:val="center"/>
          </w:tcPr>
          <w:p w:rsidR="0049111A" w:rsidRDefault="00CE4D5E">
            <w:pPr>
              <w:jc w:val="center"/>
            </w:pPr>
            <w:r>
              <w:rPr>
                <w:color w:val="000000"/>
                <w:sz w:val="21"/>
              </w:rPr>
              <w:t>16</w:t>
            </w:r>
            <w:r>
              <w:rPr>
                <w:color w:val="000000"/>
                <w:sz w:val="21"/>
              </w:rPr>
              <w:t>凯迪</w:t>
            </w:r>
            <w:r>
              <w:rPr>
                <w:color w:val="000000"/>
                <w:sz w:val="21"/>
              </w:rPr>
              <w:t>03</w:t>
            </w:r>
          </w:p>
        </w:tc>
        <w:tc>
          <w:tcPr>
            <w:tcW w:w="1418" w:type="dxa"/>
            <w:vAlign w:val="center"/>
          </w:tcPr>
          <w:p w:rsidR="0049111A" w:rsidRDefault="00CE4D5E">
            <w:pPr>
              <w:jc w:val="right"/>
            </w:pPr>
            <w:r>
              <w:rPr>
                <w:color w:val="000000"/>
                <w:sz w:val="21"/>
              </w:rPr>
              <w:t>300,000</w:t>
            </w:r>
          </w:p>
        </w:tc>
        <w:tc>
          <w:tcPr>
            <w:tcW w:w="1846" w:type="dxa"/>
            <w:vAlign w:val="center"/>
          </w:tcPr>
          <w:p w:rsidR="0049111A" w:rsidRDefault="00CE4D5E">
            <w:pPr>
              <w:jc w:val="right"/>
            </w:pPr>
            <w:r>
              <w:rPr>
                <w:color w:val="000000"/>
                <w:sz w:val="21"/>
              </w:rPr>
              <w:t>29,442,000.00</w:t>
            </w:r>
          </w:p>
        </w:tc>
        <w:tc>
          <w:tcPr>
            <w:tcW w:w="1612" w:type="dxa"/>
            <w:vAlign w:val="center"/>
          </w:tcPr>
          <w:p w:rsidR="0049111A" w:rsidRDefault="00CE4D5E">
            <w:pPr>
              <w:jc w:val="right"/>
            </w:pPr>
            <w:r>
              <w:rPr>
                <w:color w:val="000000"/>
                <w:sz w:val="21"/>
              </w:rPr>
              <w:t>7.32</w:t>
            </w:r>
          </w:p>
        </w:tc>
      </w:tr>
      <w:tr w:rsidR="0049111A">
        <w:tc>
          <w:tcPr>
            <w:tcW w:w="817" w:type="dxa"/>
            <w:vAlign w:val="center"/>
          </w:tcPr>
          <w:p w:rsidR="0049111A" w:rsidRDefault="00CE4D5E">
            <w:pPr>
              <w:jc w:val="center"/>
            </w:pPr>
            <w:r>
              <w:rPr>
                <w:color w:val="000000"/>
                <w:sz w:val="21"/>
              </w:rPr>
              <w:t>4</w:t>
            </w:r>
          </w:p>
        </w:tc>
        <w:tc>
          <w:tcPr>
            <w:tcW w:w="1276" w:type="dxa"/>
            <w:vAlign w:val="center"/>
          </w:tcPr>
          <w:p w:rsidR="0049111A" w:rsidRDefault="00CE4D5E">
            <w:pPr>
              <w:jc w:val="center"/>
            </w:pPr>
            <w:r>
              <w:rPr>
                <w:color w:val="000000"/>
                <w:sz w:val="21"/>
              </w:rPr>
              <w:t>136317</w:t>
            </w:r>
          </w:p>
        </w:tc>
        <w:tc>
          <w:tcPr>
            <w:tcW w:w="1559" w:type="dxa"/>
            <w:vAlign w:val="center"/>
          </w:tcPr>
          <w:p w:rsidR="0049111A" w:rsidRDefault="00CE4D5E">
            <w:pPr>
              <w:jc w:val="center"/>
            </w:pPr>
            <w:r>
              <w:rPr>
                <w:color w:val="000000"/>
                <w:sz w:val="21"/>
              </w:rPr>
              <w:t>15</w:t>
            </w:r>
            <w:r>
              <w:rPr>
                <w:color w:val="000000"/>
                <w:sz w:val="21"/>
              </w:rPr>
              <w:t>智慧</w:t>
            </w:r>
            <w:r>
              <w:rPr>
                <w:color w:val="000000"/>
                <w:sz w:val="21"/>
              </w:rPr>
              <w:t>01</w:t>
            </w:r>
          </w:p>
        </w:tc>
        <w:tc>
          <w:tcPr>
            <w:tcW w:w="1418" w:type="dxa"/>
            <w:vAlign w:val="center"/>
          </w:tcPr>
          <w:p w:rsidR="0049111A" w:rsidRDefault="00CE4D5E">
            <w:pPr>
              <w:jc w:val="right"/>
            </w:pPr>
            <w:r>
              <w:rPr>
                <w:color w:val="000000"/>
                <w:sz w:val="21"/>
              </w:rPr>
              <w:t>300,000</w:t>
            </w:r>
          </w:p>
        </w:tc>
        <w:tc>
          <w:tcPr>
            <w:tcW w:w="1846" w:type="dxa"/>
            <w:vAlign w:val="center"/>
          </w:tcPr>
          <w:p w:rsidR="0049111A" w:rsidRDefault="00CE4D5E">
            <w:pPr>
              <w:jc w:val="right"/>
            </w:pPr>
            <w:r>
              <w:rPr>
                <w:color w:val="000000"/>
                <w:sz w:val="21"/>
              </w:rPr>
              <w:t>29,394,000.00</w:t>
            </w:r>
          </w:p>
        </w:tc>
        <w:tc>
          <w:tcPr>
            <w:tcW w:w="1612" w:type="dxa"/>
            <w:vAlign w:val="center"/>
          </w:tcPr>
          <w:p w:rsidR="0049111A" w:rsidRDefault="00CE4D5E">
            <w:pPr>
              <w:jc w:val="right"/>
            </w:pPr>
            <w:r>
              <w:rPr>
                <w:color w:val="000000"/>
                <w:sz w:val="21"/>
              </w:rPr>
              <w:t>7.30</w:t>
            </w:r>
          </w:p>
        </w:tc>
      </w:tr>
      <w:tr w:rsidR="0049111A">
        <w:tc>
          <w:tcPr>
            <w:tcW w:w="817" w:type="dxa"/>
            <w:vAlign w:val="center"/>
          </w:tcPr>
          <w:p w:rsidR="0049111A" w:rsidRDefault="00CE4D5E">
            <w:pPr>
              <w:jc w:val="center"/>
            </w:pPr>
            <w:r>
              <w:rPr>
                <w:color w:val="000000"/>
                <w:sz w:val="21"/>
              </w:rPr>
              <w:t>5</w:t>
            </w:r>
          </w:p>
        </w:tc>
        <w:tc>
          <w:tcPr>
            <w:tcW w:w="1276" w:type="dxa"/>
            <w:vAlign w:val="center"/>
          </w:tcPr>
          <w:p w:rsidR="0049111A" w:rsidRDefault="00CE4D5E">
            <w:pPr>
              <w:jc w:val="center"/>
            </w:pPr>
            <w:r>
              <w:rPr>
                <w:color w:val="000000"/>
                <w:sz w:val="21"/>
              </w:rPr>
              <w:t>136329</w:t>
            </w:r>
          </w:p>
        </w:tc>
        <w:tc>
          <w:tcPr>
            <w:tcW w:w="1559" w:type="dxa"/>
            <w:vAlign w:val="center"/>
          </w:tcPr>
          <w:p w:rsidR="0049111A" w:rsidRDefault="00CE4D5E">
            <w:pPr>
              <w:jc w:val="center"/>
            </w:pPr>
            <w:r>
              <w:rPr>
                <w:color w:val="000000"/>
                <w:sz w:val="21"/>
              </w:rPr>
              <w:t>16</w:t>
            </w:r>
            <w:r>
              <w:rPr>
                <w:color w:val="000000"/>
                <w:sz w:val="21"/>
              </w:rPr>
              <w:t>国美</w:t>
            </w:r>
            <w:r>
              <w:rPr>
                <w:color w:val="000000"/>
                <w:sz w:val="21"/>
              </w:rPr>
              <w:t>03</w:t>
            </w:r>
          </w:p>
        </w:tc>
        <w:tc>
          <w:tcPr>
            <w:tcW w:w="1418" w:type="dxa"/>
            <w:vAlign w:val="center"/>
          </w:tcPr>
          <w:p w:rsidR="0049111A" w:rsidRDefault="00CE4D5E">
            <w:pPr>
              <w:jc w:val="right"/>
            </w:pPr>
            <w:r>
              <w:rPr>
                <w:color w:val="000000"/>
                <w:sz w:val="21"/>
              </w:rPr>
              <w:t>300,000</w:t>
            </w:r>
          </w:p>
        </w:tc>
        <w:tc>
          <w:tcPr>
            <w:tcW w:w="1846" w:type="dxa"/>
            <w:vAlign w:val="center"/>
          </w:tcPr>
          <w:p w:rsidR="0049111A" w:rsidRDefault="00CE4D5E">
            <w:pPr>
              <w:jc w:val="right"/>
            </w:pPr>
            <w:r>
              <w:rPr>
                <w:color w:val="000000"/>
                <w:sz w:val="21"/>
              </w:rPr>
              <w:t>29,226,000.00</w:t>
            </w:r>
          </w:p>
        </w:tc>
        <w:tc>
          <w:tcPr>
            <w:tcW w:w="1612" w:type="dxa"/>
            <w:vAlign w:val="center"/>
          </w:tcPr>
          <w:p w:rsidR="0049111A" w:rsidRDefault="00CE4D5E">
            <w:pPr>
              <w:jc w:val="right"/>
            </w:pPr>
            <w:r>
              <w:rPr>
                <w:color w:val="000000"/>
                <w:sz w:val="21"/>
              </w:rPr>
              <w:t>7.26</w:t>
            </w:r>
          </w:p>
        </w:tc>
      </w:tr>
    </w:tbl>
    <w:p w:rsidR="004061AC"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6</w:t>
      </w:r>
      <w:r w:rsidR="004061AC" w:rsidRPr="004C4C9E">
        <w:rPr>
          <w:b/>
          <w:color w:val="000000"/>
          <w:kern w:val="0"/>
        </w:rPr>
        <w:t>报告期末按公允价值占基金资产净值比例大小排</w:t>
      </w:r>
      <w:r w:rsidR="001D63BB" w:rsidRPr="004C4C9E">
        <w:rPr>
          <w:b/>
          <w:color w:val="000000"/>
          <w:kern w:val="0"/>
        </w:rPr>
        <w:t>序</w:t>
      </w:r>
      <w:r w:rsidR="004061AC" w:rsidRPr="004C4C9E">
        <w:rPr>
          <w:b/>
          <w:color w:val="000000"/>
          <w:kern w:val="0"/>
        </w:rPr>
        <w:t>的前十名资产支持证券投资明细</w:t>
      </w:r>
    </w:p>
    <w:p w:rsidR="004061AC" w:rsidRPr="004C4C9E" w:rsidRDefault="004061AC"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本基金本报告期末未持有资产支持证券。</w:t>
      </w:r>
    </w:p>
    <w:p w:rsidR="001D63BB"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7</w:t>
      </w:r>
      <w:r w:rsidR="001D63BB" w:rsidRPr="004C4C9E">
        <w:rPr>
          <w:b/>
          <w:color w:val="000000"/>
          <w:kern w:val="0"/>
        </w:rPr>
        <w:t>报告期末按公允价值占基金资产净值比例大小排序的前五名贵金属投资明细</w:t>
      </w:r>
    </w:p>
    <w:p w:rsidR="001D63BB" w:rsidRPr="004C4C9E" w:rsidRDefault="001D63BB"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本基金本报告期末未持有贵金属。</w:t>
      </w:r>
    </w:p>
    <w:p w:rsidR="004061AC" w:rsidRPr="004C4C9E" w:rsidRDefault="00CC1779"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8</w:t>
      </w:r>
      <w:r w:rsidR="004061AC" w:rsidRPr="004C4C9E">
        <w:rPr>
          <w:b/>
          <w:color w:val="000000"/>
          <w:kern w:val="0"/>
        </w:rPr>
        <w:t>报告期末按公允价值占基金资产净值比例大小排</w:t>
      </w:r>
      <w:r w:rsidR="001D63BB" w:rsidRPr="004C4C9E">
        <w:rPr>
          <w:b/>
          <w:color w:val="000000"/>
          <w:kern w:val="0"/>
        </w:rPr>
        <w:t>序</w:t>
      </w:r>
      <w:r w:rsidR="004061AC" w:rsidRPr="004C4C9E">
        <w:rPr>
          <w:b/>
          <w:color w:val="000000"/>
          <w:kern w:val="0"/>
        </w:rPr>
        <w:t>的前五名权证投资明细</w:t>
      </w:r>
    </w:p>
    <w:p w:rsidR="004061AC" w:rsidRPr="004C4C9E" w:rsidRDefault="004061AC"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本基金本报告期末未持有权证。</w:t>
      </w:r>
    </w:p>
    <w:p w:rsidR="00275745" w:rsidRPr="004C4C9E" w:rsidRDefault="00C2643F"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9</w:t>
      </w:r>
      <w:r w:rsidR="00275745" w:rsidRPr="004C4C9E">
        <w:rPr>
          <w:b/>
          <w:color w:val="000000"/>
          <w:kern w:val="0"/>
        </w:rPr>
        <w:t>报告期末本基金投资的股指期货交易情况说明</w:t>
      </w:r>
    </w:p>
    <w:p w:rsidR="00A96A94" w:rsidRPr="004C4C9E" w:rsidRDefault="00C2643F" w:rsidP="004C4C9E">
      <w:pPr>
        <w:autoSpaceDE w:val="0"/>
        <w:autoSpaceDN w:val="0"/>
        <w:adjustRightInd w:val="0"/>
        <w:spacing w:line="360" w:lineRule="auto"/>
        <w:ind w:left="17"/>
        <w:jc w:val="left"/>
        <w:rPr>
          <w:b/>
          <w:color w:val="000000"/>
          <w:kern w:val="0"/>
        </w:rPr>
      </w:pPr>
      <w:r>
        <w:rPr>
          <w:rFonts w:hint="eastAsia"/>
          <w:b/>
          <w:color w:val="000000"/>
          <w:kern w:val="0"/>
        </w:rPr>
        <w:t>5.1.</w:t>
      </w:r>
      <w:r>
        <w:rPr>
          <w:rFonts w:hint="eastAsia"/>
          <w:b/>
          <w:color w:val="000000"/>
          <w:kern w:val="0"/>
          <w:sz w:val="23"/>
        </w:rPr>
        <w:t>9.1</w:t>
      </w:r>
      <w:r w:rsidR="00A96A94" w:rsidRPr="004C4C9E">
        <w:rPr>
          <w:b/>
          <w:color w:val="000000"/>
          <w:kern w:val="0"/>
        </w:rPr>
        <w:t>报告期末本基金投资的股指期货持仓和损益明细</w:t>
      </w:r>
    </w:p>
    <w:p w:rsidR="00275745" w:rsidRPr="004C4C9E" w:rsidRDefault="00AA3A38"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本基金报告期内未参与股指期货投资。</w:t>
      </w:r>
    </w:p>
    <w:p w:rsidR="00275745" w:rsidRPr="004C4C9E" w:rsidRDefault="00284221"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9.2</w:t>
      </w:r>
      <w:r w:rsidR="00275745" w:rsidRPr="004C4C9E">
        <w:rPr>
          <w:b/>
          <w:color w:val="000000"/>
          <w:kern w:val="0"/>
        </w:rPr>
        <w:t>本基金投资股指期货的投资政策</w:t>
      </w:r>
    </w:p>
    <w:p w:rsidR="00275745" w:rsidRPr="004C4C9E" w:rsidRDefault="00275745" w:rsidP="004C4C9E">
      <w:pPr>
        <w:autoSpaceDE w:val="0"/>
        <w:autoSpaceDN w:val="0"/>
        <w:adjustRightInd w:val="0"/>
        <w:spacing w:before="29" w:line="360" w:lineRule="auto"/>
        <w:ind w:leftChars="7" w:left="15" w:firstLineChars="100" w:firstLine="210"/>
        <w:jc w:val="left"/>
        <w:rPr>
          <w:color w:val="000000"/>
        </w:rPr>
      </w:pPr>
      <w:r w:rsidRPr="004C4C9E">
        <w:rPr>
          <w:color w:val="000000"/>
        </w:rPr>
        <w:t>本基金投资范围未包括股指期货，无相关投资政策。</w:t>
      </w:r>
    </w:p>
    <w:p w:rsidR="00312A9F" w:rsidRPr="004C4C9E" w:rsidRDefault="00492B74"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10</w:t>
      </w:r>
      <w:r w:rsidR="00312A9F" w:rsidRPr="004C4C9E">
        <w:rPr>
          <w:b/>
          <w:color w:val="000000"/>
          <w:kern w:val="0"/>
        </w:rPr>
        <w:t>报告期末本基金投资的国债期货交易情况说明</w:t>
      </w:r>
    </w:p>
    <w:p w:rsidR="00312A9F" w:rsidRPr="004C4C9E" w:rsidRDefault="003271EB" w:rsidP="004C4C9E">
      <w:pPr>
        <w:autoSpaceDE w:val="0"/>
        <w:autoSpaceDN w:val="0"/>
        <w:adjustRightInd w:val="0"/>
        <w:spacing w:line="360" w:lineRule="auto"/>
        <w:ind w:left="17"/>
        <w:jc w:val="left"/>
        <w:rPr>
          <w:b/>
          <w:color w:val="000000"/>
          <w:kern w:val="0"/>
        </w:rPr>
      </w:pPr>
      <w:r>
        <w:rPr>
          <w:rFonts w:hint="eastAsia"/>
          <w:b/>
          <w:color w:val="000000"/>
          <w:kern w:val="0"/>
        </w:rPr>
        <w:t>5.1.</w:t>
      </w:r>
      <w:r>
        <w:rPr>
          <w:rFonts w:hint="eastAsia"/>
          <w:b/>
          <w:color w:val="000000"/>
          <w:kern w:val="0"/>
          <w:sz w:val="23"/>
        </w:rPr>
        <w:t>10.1</w:t>
      </w:r>
      <w:r w:rsidR="00312A9F" w:rsidRPr="004C4C9E">
        <w:rPr>
          <w:b/>
          <w:color w:val="000000"/>
          <w:kern w:val="0"/>
        </w:rPr>
        <w:t>本期国债期货投资政策</w:t>
      </w:r>
    </w:p>
    <w:p w:rsidR="00312A9F" w:rsidRPr="004C4C9E" w:rsidRDefault="00312A9F" w:rsidP="004C4C9E">
      <w:pPr>
        <w:autoSpaceDE w:val="0"/>
        <w:autoSpaceDN w:val="0"/>
        <w:adjustRightInd w:val="0"/>
        <w:spacing w:before="29" w:line="360" w:lineRule="auto"/>
        <w:ind w:leftChars="7" w:left="15" w:firstLineChars="100" w:firstLine="210"/>
        <w:jc w:val="left"/>
        <w:rPr>
          <w:color w:val="000000"/>
        </w:rPr>
      </w:pPr>
      <w:r w:rsidRPr="004C4C9E">
        <w:rPr>
          <w:color w:val="000000"/>
        </w:rPr>
        <w:t>国债期货作为利率衍生品的一种，有助于管理债券组合的久期、流动性和风险水平。基金管理人将按照相关法律法规的规定，根据风险管理的原则，以套期保值为目的，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基金资产的长期稳定增值。</w:t>
      </w:r>
    </w:p>
    <w:p w:rsidR="00312A9F" w:rsidRPr="004C4C9E" w:rsidRDefault="00163F7C"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10.2</w:t>
      </w:r>
      <w:r w:rsidR="00312A9F" w:rsidRPr="004C4C9E">
        <w:rPr>
          <w:b/>
          <w:color w:val="000000"/>
          <w:kern w:val="0"/>
        </w:rPr>
        <w:t>报告期末本基金投资的国债期货持仓和损益明细</w:t>
      </w:r>
    </w:p>
    <w:p w:rsidR="00312A9F" w:rsidRPr="004C4C9E" w:rsidRDefault="00312A9F"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本基金报告期内未参与国债期货投资。</w:t>
      </w:r>
    </w:p>
    <w:p w:rsidR="00312A9F" w:rsidRPr="004C4C9E" w:rsidRDefault="009146C1"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10.3</w:t>
      </w:r>
      <w:r w:rsidR="00312A9F" w:rsidRPr="004C4C9E">
        <w:rPr>
          <w:b/>
          <w:color w:val="000000"/>
          <w:kern w:val="0"/>
        </w:rPr>
        <w:t>本期国债期货投资评价</w:t>
      </w:r>
    </w:p>
    <w:p w:rsidR="00312A9F" w:rsidRPr="004C4C9E" w:rsidRDefault="00312A9F" w:rsidP="004C4C9E">
      <w:pPr>
        <w:adjustRightInd w:val="0"/>
        <w:spacing w:before="29" w:line="360" w:lineRule="auto"/>
        <w:ind w:firstLineChars="100" w:firstLine="210"/>
        <w:rPr>
          <w:bCs/>
          <w:color w:val="000000"/>
        </w:rPr>
      </w:pPr>
      <w:r w:rsidRPr="004C4C9E">
        <w:rPr>
          <w:bCs/>
          <w:color w:val="000000"/>
        </w:rPr>
        <w:t>本基金报告期内未参与国债期货投资，无相关投资评价。</w:t>
      </w:r>
    </w:p>
    <w:p w:rsidR="004061AC" w:rsidRPr="004C4C9E" w:rsidRDefault="007F25DC"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11</w:t>
      </w:r>
      <w:r w:rsidR="004061AC" w:rsidRPr="004C4C9E">
        <w:rPr>
          <w:b/>
          <w:color w:val="000000"/>
          <w:kern w:val="0"/>
        </w:rPr>
        <w:t>投资组合报告附注</w:t>
      </w:r>
    </w:p>
    <w:p w:rsidR="004061AC" w:rsidRPr="00D71739" w:rsidRDefault="00D71739" w:rsidP="003C0F32">
      <w:pPr>
        <w:adjustRightInd w:val="0"/>
        <w:spacing w:line="360" w:lineRule="auto"/>
        <w:rPr>
          <w:color w:val="000000"/>
          <w:kern w:val="0"/>
          <w:sz w:val="23"/>
        </w:rPr>
      </w:pPr>
      <w:r w:rsidRPr="00D71739">
        <w:rPr>
          <w:rFonts w:hint="eastAsia"/>
          <w:color w:val="000000"/>
          <w:kern w:val="0"/>
        </w:rPr>
        <w:t>5.1.</w:t>
      </w:r>
      <w:r w:rsidRPr="00D71739">
        <w:rPr>
          <w:rFonts w:hint="eastAsia"/>
          <w:color w:val="000000"/>
          <w:kern w:val="0"/>
          <w:sz w:val="23"/>
        </w:rPr>
        <w:t>11.1</w:t>
      </w:r>
      <w:r w:rsidR="004061AC" w:rsidRPr="004C4C9E">
        <w:rPr>
          <w:bCs/>
          <w:color w:val="000000"/>
        </w:rPr>
        <w:t>本基金投资的前十名证券的发行主体本期没有出现被监管部门立案调查，或在报告编制日前一年内受到公开谴责、处罚的情形。</w:t>
      </w:r>
    </w:p>
    <w:p w:rsidR="004061AC" w:rsidRPr="004C4C9E" w:rsidRDefault="00D71739" w:rsidP="003C0F32">
      <w:pPr>
        <w:adjustRightInd w:val="0"/>
        <w:spacing w:line="360" w:lineRule="auto"/>
        <w:rPr>
          <w:bCs/>
          <w:color w:val="000000"/>
        </w:rPr>
      </w:pPr>
      <w:r w:rsidRPr="00D71739">
        <w:rPr>
          <w:rFonts w:hint="eastAsia"/>
          <w:color w:val="000000"/>
          <w:kern w:val="0"/>
        </w:rPr>
        <w:t>5.1.</w:t>
      </w:r>
      <w:r w:rsidRPr="00D71739">
        <w:rPr>
          <w:rFonts w:hint="eastAsia"/>
          <w:color w:val="000000"/>
          <w:kern w:val="0"/>
          <w:sz w:val="23"/>
        </w:rPr>
        <w:t>11.2</w:t>
      </w:r>
      <w:r w:rsidR="004061AC" w:rsidRPr="004C4C9E">
        <w:rPr>
          <w:bCs/>
          <w:color w:val="000000"/>
        </w:rPr>
        <w:t>本基金投资的前十名股票没有超出基金合同规定的备选股票库。</w:t>
      </w:r>
    </w:p>
    <w:p w:rsidR="004061AC" w:rsidRPr="004C4C9E" w:rsidRDefault="001C0182" w:rsidP="007C093A">
      <w:pPr>
        <w:autoSpaceDE w:val="0"/>
        <w:autoSpaceDN w:val="0"/>
        <w:adjustRightInd w:val="0"/>
        <w:spacing w:line="360" w:lineRule="auto"/>
        <w:ind w:left="17"/>
        <w:jc w:val="left"/>
        <w:rPr>
          <w:b/>
          <w:color w:val="000000"/>
          <w:kern w:val="0"/>
        </w:rPr>
      </w:pPr>
      <w:r>
        <w:rPr>
          <w:rFonts w:hint="eastAsia"/>
          <w:b/>
          <w:color w:val="000000"/>
          <w:kern w:val="0"/>
        </w:rPr>
        <w:t>5.1.</w:t>
      </w:r>
      <w:r>
        <w:rPr>
          <w:rFonts w:hint="eastAsia"/>
          <w:b/>
          <w:color w:val="000000"/>
          <w:kern w:val="0"/>
          <w:sz w:val="23"/>
        </w:rPr>
        <w:t>11.3</w:t>
      </w:r>
      <w:r w:rsidR="004061AC" w:rsidRPr="004C4C9E">
        <w:rPr>
          <w:b/>
          <w:color w:val="000000"/>
          <w:kern w:val="0"/>
        </w:rPr>
        <w:t>其他各项资产构成</w:t>
      </w:r>
    </w:p>
    <w:tbl>
      <w:tblPr>
        <w:tblStyle w:val="af7"/>
        <w:tblW w:w="0" w:type="auto"/>
        <w:tblInd w:w="15" w:type="dxa"/>
        <w:tblLook w:val="04A0"/>
      </w:tblPr>
      <w:tblGrid>
        <w:gridCol w:w="1235"/>
        <w:gridCol w:w="2470"/>
        <w:gridCol w:w="4808"/>
      </w:tblGrid>
      <w:tr w:rsidR="00220C32" w:rsidRPr="004C4C9E" w:rsidTr="00F31F6E">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2470"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名称</w:t>
            </w:r>
          </w:p>
        </w:tc>
        <w:tc>
          <w:tcPr>
            <w:tcW w:w="4808"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金额</w:t>
            </w:r>
            <w:r w:rsidRPr="004C4C9E">
              <w:rPr>
                <w:color w:val="000000"/>
                <w:sz w:val="21"/>
              </w:rPr>
              <w:t>(</w:t>
            </w:r>
            <w:r w:rsidRPr="004C4C9E">
              <w:rPr>
                <w:color w:val="000000"/>
                <w:sz w:val="21"/>
              </w:rPr>
              <w:t>元</w:t>
            </w:r>
            <w:r w:rsidRPr="004C4C9E">
              <w:rPr>
                <w:color w:val="000000"/>
                <w:sz w:val="21"/>
              </w:rPr>
              <w:t>)</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存出保证金</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123,347.41</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应收证券清算款</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1,838,711.72</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应收股利</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应收利息</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9,439,941.23</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应收申购款</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其他应收款</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175D4F">
        <w:tc>
          <w:tcPr>
            <w:tcW w:w="1235" w:type="dxa"/>
            <w:vAlign w:val="center"/>
          </w:tcPr>
          <w:p w:rsidR="00EB2C07" w:rsidRPr="004C4C9E" w:rsidRDefault="00EB2C07"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2470" w:type="dxa"/>
            <w:vAlign w:val="center"/>
          </w:tcPr>
          <w:p w:rsidR="00EB2C07" w:rsidRPr="004C4C9E" w:rsidRDefault="00EB2C07" w:rsidP="004C4C9E">
            <w:pPr>
              <w:autoSpaceDE w:val="0"/>
              <w:autoSpaceDN w:val="0"/>
              <w:adjustRightInd w:val="0"/>
              <w:spacing w:before="29" w:line="276" w:lineRule="auto"/>
              <w:ind w:left="15"/>
              <w:rPr>
                <w:color w:val="000000"/>
                <w:sz w:val="21"/>
              </w:rPr>
            </w:pPr>
            <w:r w:rsidRPr="004C4C9E">
              <w:rPr>
                <w:color w:val="000000"/>
                <w:sz w:val="21"/>
              </w:rPr>
              <w:t>待摊费用</w:t>
            </w:r>
          </w:p>
        </w:tc>
        <w:tc>
          <w:tcPr>
            <w:tcW w:w="4808" w:type="dxa"/>
            <w:vAlign w:val="center"/>
          </w:tcPr>
          <w:p w:rsidR="00EB2C07" w:rsidRPr="004C4C9E" w:rsidRDefault="00EB2C0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其他</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220C32" w:rsidRPr="004C4C9E" w:rsidTr="00175D4F">
        <w:tc>
          <w:tcPr>
            <w:tcW w:w="1235" w:type="dxa"/>
            <w:vAlign w:val="center"/>
          </w:tcPr>
          <w:p w:rsidR="00F31F6E" w:rsidRPr="004C4C9E" w:rsidRDefault="00F31F6E" w:rsidP="004C4C9E">
            <w:pPr>
              <w:autoSpaceDE w:val="0"/>
              <w:autoSpaceDN w:val="0"/>
              <w:adjustRightInd w:val="0"/>
              <w:spacing w:before="29" w:line="276" w:lineRule="auto"/>
              <w:ind w:left="15"/>
              <w:jc w:val="center"/>
              <w:rPr>
                <w:color w:val="000000"/>
                <w:sz w:val="21"/>
              </w:rPr>
            </w:pPr>
            <w:r w:rsidRPr="004C4C9E">
              <w:rPr>
                <w:color w:val="000000"/>
                <w:sz w:val="21"/>
              </w:rPr>
              <w:t>9</w:t>
            </w:r>
          </w:p>
        </w:tc>
        <w:tc>
          <w:tcPr>
            <w:tcW w:w="2470" w:type="dxa"/>
            <w:vAlign w:val="center"/>
          </w:tcPr>
          <w:p w:rsidR="00F31F6E" w:rsidRPr="004C4C9E" w:rsidRDefault="00F31F6E" w:rsidP="004C4C9E">
            <w:pPr>
              <w:autoSpaceDE w:val="0"/>
              <w:autoSpaceDN w:val="0"/>
              <w:adjustRightInd w:val="0"/>
              <w:spacing w:before="29" w:line="276" w:lineRule="auto"/>
              <w:ind w:left="15"/>
              <w:rPr>
                <w:color w:val="000000"/>
                <w:sz w:val="21"/>
              </w:rPr>
            </w:pPr>
            <w:r w:rsidRPr="004C4C9E">
              <w:rPr>
                <w:color w:val="000000"/>
                <w:sz w:val="21"/>
              </w:rPr>
              <w:t>合计</w:t>
            </w:r>
          </w:p>
        </w:tc>
        <w:tc>
          <w:tcPr>
            <w:tcW w:w="4808" w:type="dxa"/>
            <w:vAlign w:val="center"/>
          </w:tcPr>
          <w:p w:rsidR="00F31F6E" w:rsidRPr="004C4C9E" w:rsidRDefault="00F31F6E" w:rsidP="004C4C9E">
            <w:pPr>
              <w:autoSpaceDE w:val="0"/>
              <w:autoSpaceDN w:val="0"/>
              <w:adjustRightInd w:val="0"/>
              <w:spacing w:before="29" w:line="276" w:lineRule="auto"/>
              <w:ind w:left="15"/>
              <w:jc w:val="right"/>
              <w:rPr>
                <w:color w:val="000000"/>
                <w:sz w:val="21"/>
              </w:rPr>
            </w:pPr>
            <w:r w:rsidRPr="004C4C9E">
              <w:rPr>
                <w:color w:val="000000"/>
                <w:sz w:val="21"/>
              </w:rPr>
              <w:t>11,402,000.36</w:t>
            </w:r>
          </w:p>
        </w:tc>
      </w:tr>
    </w:tbl>
    <w:p w:rsidR="004061AC" w:rsidRPr="004C4C9E" w:rsidRDefault="001C0182"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 xml:space="preserve">11.4 </w:t>
      </w:r>
      <w:r w:rsidR="004061AC" w:rsidRPr="004C4C9E">
        <w:rPr>
          <w:b/>
          <w:color w:val="000000"/>
          <w:kern w:val="0"/>
        </w:rPr>
        <w:t>报告期末持有的处于转股期的可转换债券明细</w:t>
      </w:r>
    </w:p>
    <w:tbl>
      <w:tblPr>
        <w:tblStyle w:val="af7"/>
        <w:tblW w:w="0" w:type="auto"/>
        <w:tblInd w:w="15" w:type="dxa"/>
        <w:tblLayout w:type="fixed"/>
        <w:tblLook w:val="04A0"/>
      </w:tblPr>
      <w:tblGrid>
        <w:gridCol w:w="1808"/>
        <w:gridCol w:w="1729"/>
        <w:gridCol w:w="1658"/>
        <w:gridCol w:w="1697"/>
        <w:gridCol w:w="1621"/>
      </w:tblGrid>
      <w:tr w:rsidR="00220C32" w:rsidRPr="004C4C9E" w:rsidTr="00BD7703">
        <w:tc>
          <w:tcPr>
            <w:tcW w:w="1808"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1729"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债券代码</w:t>
            </w:r>
          </w:p>
        </w:tc>
        <w:tc>
          <w:tcPr>
            <w:tcW w:w="1658"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债券名称</w:t>
            </w:r>
          </w:p>
        </w:tc>
        <w:tc>
          <w:tcPr>
            <w:tcW w:w="1697"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Pr="004C4C9E">
              <w:rPr>
                <w:color w:val="000000"/>
                <w:sz w:val="21"/>
              </w:rPr>
              <w:t>(</w:t>
            </w:r>
            <w:r w:rsidRPr="004C4C9E">
              <w:rPr>
                <w:color w:val="000000"/>
                <w:sz w:val="21"/>
              </w:rPr>
              <w:t>元</w:t>
            </w:r>
            <w:r w:rsidRPr="004C4C9E">
              <w:rPr>
                <w:color w:val="000000"/>
                <w:sz w:val="21"/>
              </w:rPr>
              <w:t>)</w:t>
            </w:r>
          </w:p>
        </w:tc>
        <w:tc>
          <w:tcPr>
            <w:tcW w:w="1621" w:type="dxa"/>
            <w:vAlign w:val="center"/>
          </w:tcPr>
          <w:p w:rsidR="003E62FB" w:rsidRPr="004C4C9E" w:rsidRDefault="003E62FB"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Pr="004C4C9E">
              <w:rPr>
                <w:color w:val="000000"/>
                <w:sz w:val="21"/>
              </w:rPr>
              <w:t>(%)</w:t>
            </w:r>
          </w:p>
        </w:tc>
      </w:tr>
      <w:tr w:rsidR="0049111A">
        <w:tc>
          <w:tcPr>
            <w:tcW w:w="1808" w:type="dxa"/>
            <w:vAlign w:val="center"/>
          </w:tcPr>
          <w:p w:rsidR="0049111A" w:rsidRDefault="00CE4D5E">
            <w:pPr>
              <w:jc w:val="center"/>
            </w:pPr>
            <w:r>
              <w:rPr>
                <w:color w:val="000000"/>
                <w:sz w:val="21"/>
              </w:rPr>
              <w:t>1</w:t>
            </w:r>
          </w:p>
        </w:tc>
        <w:tc>
          <w:tcPr>
            <w:tcW w:w="1729" w:type="dxa"/>
            <w:vAlign w:val="center"/>
          </w:tcPr>
          <w:p w:rsidR="0049111A" w:rsidRDefault="00CE4D5E">
            <w:pPr>
              <w:jc w:val="center"/>
            </w:pPr>
            <w:r>
              <w:rPr>
                <w:color w:val="000000"/>
                <w:sz w:val="21"/>
              </w:rPr>
              <w:t>113008</w:t>
            </w:r>
          </w:p>
        </w:tc>
        <w:tc>
          <w:tcPr>
            <w:tcW w:w="1658" w:type="dxa"/>
            <w:vAlign w:val="center"/>
          </w:tcPr>
          <w:p w:rsidR="0049111A" w:rsidRDefault="00CE4D5E">
            <w:pPr>
              <w:jc w:val="center"/>
            </w:pPr>
            <w:r>
              <w:rPr>
                <w:color w:val="000000"/>
                <w:sz w:val="21"/>
              </w:rPr>
              <w:t>电气转债</w:t>
            </w:r>
          </w:p>
        </w:tc>
        <w:tc>
          <w:tcPr>
            <w:tcW w:w="1697" w:type="dxa"/>
            <w:vAlign w:val="center"/>
          </w:tcPr>
          <w:p w:rsidR="0049111A" w:rsidRDefault="00CE4D5E">
            <w:pPr>
              <w:jc w:val="right"/>
            </w:pPr>
            <w:r>
              <w:rPr>
                <w:color w:val="000000"/>
                <w:sz w:val="21"/>
              </w:rPr>
              <w:t>15,804,800.00</w:t>
            </w:r>
          </w:p>
        </w:tc>
        <w:tc>
          <w:tcPr>
            <w:tcW w:w="1621" w:type="dxa"/>
            <w:vAlign w:val="center"/>
          </w:tcPr>
          <w:p w:rsidR="0049111A" w:rsidRDefault="00CE4D5E">
            <w:pPr>
              <w:jc w:val="right"/>
            </w:pPr>
            <w:r>
              <w:rPr>
                <w:color w:val="000000"/>
                <w:sz w:val="21"/>
              </w:rPr>
              <w:t>3.93</w:t>
            </w:r>
          </w:p>
        </w:tc>
      </w:tr>
      <w:tr w:rsidR="0049111A">
        <w:tc>
          <w:tcPr>
            <w:tcW w:w="1808" w:type="dxa"/>
            <w:vAlign w:val="center"/>
          </w:tcPr>
          <w:p w:rsidR="0049111A" w:rsidRDefault="00CE4D5E">
            <w:pPr>
              <w:jc w:val="center"/>
            </w:pPr>
            <w:r>
              <w:rPr>
                <w:color w:val="000000"/>
                <w:sz w:val="21"/>
              </w:rPr>
              <w:t>2</w:t>
            </w:r>
          </w:p>
        </w:tc>
        <w:tc>
          <w:tcPr>
            <w:tcW w:w="1729" w:type="dxa"/>
            <w:vAlign w:val="center"/>
          </w:tcPr>
          <w:p w:rsidR="0049111A" w:rsidRDefault="00CE4D5E">
            <w:pPr>
              <w:jc w:val="center"/>
            </w:pPr>
            <w:r>
              <w:rPr>
                <w:color w:val="000000"/>
                <w:sz w:val="21"/>
              </w:rPr>
              <w:t>128013</w:t>
            </w:r>
          </w:p>
        </w:tc>
        <w:tc>
          <w:tcPr>
            <w:tcW w:w="1658" w:type="dxa"/>
            <w:vAlign w:val="center"/>
          </w:tcPr>
          <w:p w:rsidR="0049111A" w:rsidRDefault="00CE4D5E">
            <w:pPr>
              <w:jc w:val="center"/>
            </w:pPr>
            <w:r>
              <w:rPr>
                <w:color w:val="000000"/>
                <w:sz w:val="21"/>
              </w:rPr>
              <w:t>洪涛转债</w:t>
            </w:r>
          </w:p>
        </w:tc>
        <w:tc>
          <w:tcPr>
            <w:tcW w:w="1697" w:type="dxa"/>
            <w:vAlign w:val="center"/>
          </w:tcPr>
          <w:p w:rsidR="0049111A" w:rsidRDefault="00CE4D5E">
            <w:pPr>
              <w:jc w:val="right"/>
            </w:pPr>
            <w:r>
              <w:rPr>
                <w:color w:val="000000"/>
                <w:sz w:val="21"/>
              </w:rPr>
              <w:t>9,375,833.75</w:t>
            </w:r>
          </w:p>
        </w:tc>
        <w:tc>
          <w:tcPr>
            <w:tcW w:w="1621" w:type="dxa"/>
            <w:vAlign w:val="center"/>
          </w:tcPr>
          <w:p w:rsidR="0049111A" w:rsidRDefault="00CE4D5E">
            <w:pPr>
              <w:jc w:val="right"/>
            </w:pPr>
            <w:r>
              <w:rPr>
                <w:color w:val="000000"/>
                <w:sz w:val="21"/>
              </w:rPr>
              <w:t>2.33</w:t>
            </w:r>
          </w:p>
        </w:tc>
      </w:tr>
      <w:tr w:rsidR="0049111A">
        <w:tc>
          <w:tcPr>
            <w:tcW w:w="1808" w:type="dxa"/>
            <w:vAlign w:val="center"/>
          </w:tcPr>
          <w:p w:rsidR="0049111A" w:rsidRDefault="00CE4D5E">
            <w:pPr>
              <w:jc w:val="center"/>
            </w:pPr>
            <w:r>
              <w:rPr>
                <w:color w:val="000000"/>
                <w:sz w:val="21"/>
              </w:rPr>
              <w:t>3</w:t>
            </w:r>
          </w:p>
        </w:tc>
        <w:tc>
          <w:tcPr>
            <w:tcW w:w="1729" w:type="dxa"/>
            <w:vAlign w:val="center"/>
          </w:tcPr>
          <w:p w:rsidR="0049111A" w:rsidRDefault="00CE4D5E">
            <w:pPr>
              <w:jc w:val="center"/>
            </w:pPr>
            <w:r>
              <w:rPr>
                <w:color w:val="000000"/>
                <w:sz w:val="21"/>
              </w:rPr>
              <w:t>123001</w:t>
            </w:r>
          </w:p>
        </w:tc>
        <w:tc>
          <w:tcPr>
            <w:tcW w:w="1658" w:type="dxa"/>
            <w:vAlign w:val="center"/>
          </w:tcPr>
          <w:p w:rsidR="0049111A" w:rsidRDefault="00CE4D5E">
            <w:pPr>
              <w:jc w:val="center"/>
            </w:pPr>
            <w:r>
              <w:rPr>
                <w:color w:val="000000"/>
                <w:sz w:val="21"/>
              </w:rPr>
              <w:t>蓝标转债</w:t>
            </w:r>
          </w:p>
        </w:tc>
        <w:tc>
          <w:tcPr>
            <w:tcW w:w="1697" w:type="dxa"/>
            <w:vAlign w:val="center"/>
          </w:tcPr>
          <w:p w:rsidR="0049111A" w:rsidRDefault="00CE4D5E">
            <w:pPr>
              <w:jc w:val="right"/>
            </w:pPr>
            <w:r>
              <w:rPr>
                <w:color w:val="000000"/>
                <w:sz w:val="21"/>
              </w:rPr>
              <w:t>7,725,696.57</w:t>
            </w:r>
          </w:p>
        </w:tc>
        <w:tc>
          <w:tcPr>
            <w:tcW w:w="1621" w:type="dxa"/>
            <w:vAlign w:val="center"/>
          </w:tcPr>
          <w:p w:rsidR="0049111A" w:rsidRDefault="00CE4D5E">
            <w:pPr>
              <w:jc w:val="right"/>
            </w:pPr>
            <w:r>
              <w:rPr>
                <w:color w:val="000000"/>
                <w:sz w:val="21"/>
              </w:rPr>
              <w:t>1.92</w:t>
            </w:r>
          </w:p>
        </w:tc>
      </w:tr>
      <w:tr w:rsidR="0049111A">
        <w:tc>
          <w:tcPr>
            <w:tcW w:w="1808" w:type="dxa"/>
            <w:vAlign w:val="center"/>
          </w:tcPr>
          <w:p w:rsidR="0049111A" w:rsidRDefault="00CE4D5E">
            <w:pPr>
              <w:jc w:val="center"/>
            </w:pPr>
            <w:r>
              <w:rPr>
                <w:color w:val="000000"/>
                <w:sz w:val="21"/>
              </w:rPr>
              <w:t>4</w:t>
            </w:r>
          </w:p>
        </w:tc>
        <w:tc>
          <w:tcPr>
            <w:tcW w:w="1729" w:type="dxa"/>
            <w:vAlign w:val="center"/>
          </w:tcPr>
          <w:p w:rsidR="0049111A" w:rsidRDefault="00CE4D5E">
            <w:pPr>
              <w:jc w:val="center"/>
            </w:pPr>
            <w:r>
              <w:rPr>
                <w:color w:val="000000"/>
                <w:sz w:val="21"/>
              </w:rPr>
              <w:t>113010</w:t>
            </w:r>
          </w:p>
        </w:tc>
        <w:tc>
          <w:tcPr>
            <w:tcW w:w="1658" w:type="dxa"/>
            <w:vAlign w:val="center"/>
          </w:tcPr>
          <w:p w:rsidR="0049111A" w:rsidRDefault="00CE4D5E">
            <w:pPr>
              <w:jc w:val="center"/>
            </w:pPr>
            <w:r>
              <w:rPr>
                <w:color w:val="000000"/>
                <w:sz w:val="21"/>
              </w:rPr>
              <w:t>江南转债</w:t>
            </w:r>
          </w:p>
        </w:tc>
        <w:tc>
          <w:tcPr>
            <w:tcW w:w="1697" w:type="dxa"/>
            <w:vAlign w:val="center"/>
          </w:tcPr>
          <w:p w:rsidR="0049111A" w:rsidRDefault="00CE4D5E">
            <w:pPr>
              <w:jc w:val="right"/>
            </w:pPr>
            <w:r>
              <w:rPr>
                <w:color w:val="000000"/>
                <w:sz w:val="21"/>
              </w:rPr>
              <w:t>4,152,800.00</w:t>
            </w:r>
          </w:p>
        </w:tc>
        <w:tc>
          <w:tcPr>
            <w:tcW w:w="1621" w:type="dxa"/>
            <w:vAlign w:val="center"/>
          </w:tcPr>
          <w:p w:rsidR="0049111A" w:rsidRDefault="00CE4D5E">
            <w:pPr>
              <w:jc w:val="right"/>
            </w:pPr>
            <w:r>
              <w:rPr>
                <w:color w:val="000000"/>
                <w:sz w:val="21"/>
              </w:rPr>
              <w:t>1.03</w:t>
            </w:r>
          </w:p>
        </w:tc>
      </w:tr>
      <w:tr w:rsidR="0049111A">
        <w:tc>
          <w:tcPr>
            <w:tcW w:w="1808" w:type="dxa"/>
            <w:vAlign w:val="center"/>
          </w:tcPr>
          <w:p w:rsidR="0049111A" w:rsidRDefault="00CE4D5E">
            <w:pPr>
              <w:jc w:val="center"/>
            </w:pPr>
            <w:r>
              <w:rPr>
                <w:color w:val="000000"/>
                <w:sz w:val="21"/>
              </w:rPr>
              <w:t>5</w:t>
            </w:r>
          </w:p>
        </w:tc>
        <w:tc>
          <w:tcPr>
            <w:tcW w:w="1729" w:type="dxa"/>
            <w:vAlign w:val="center"/>
          </w:tcPr>
          <w:p w:rsidR="0049111A" w:rsidRDefault="00CE4D5E">
            <w:pPr>
              <w:jc w:val="center"/>
            </w:pPr>
            <w:r>
              <w:rPr>
                <w:color w:val="000000"/>
                <w:sz w:val="21"/>
              </w:rPr>
              <w:t>113012</w:t>
            </w:r>
          </w:p>
        </w:tc>
        <w:tc>
          <w:tcPr>
            <w:tcW w:w="1658" w:type="dxa"/>
            <w:vAlign w:val="center"/>
          </w:tcPr>
          <w:p w:rsidR="0049111A" w:rsidRDefault="00CE4D5E">
            <w:pPr>
              <w:jc w:val="center"/>
            </w:pPr>
            <w:r>
              <w:rPr>
                <w:color w:val="000000"/>
                <w:sz w:val="21"/>
              </w:rPr>
              <w:t>骆驼转债</w:t>
            </w:r>
          </w:p>
        </w:tc>
        <w:tc>
          <w:tcPr>
            <w:tcW w:w="1697" w:type="dxa"/>
            <w:vAlign w:val="center"/>
          </w:tcPr>
          <w:p w:rsidR="0049111A" w:rsidRDefault="00CE4D5E">
            <w:pPr>
              <w:jc w:val="right"/>
            </w:pPr>
            <w:r>
              <w:rPr>
                <w:color w:val="000000"/>
                <w:sz w:val="21"/>
              </w:rPr>
              <w:t>1,429,800.00</w:t>
            </w:r>
          </w:p>
        </w:tc>
        <w:tc>
          <w:tcPr>
            <w:tcW w:w="1621" w:type="dxa"/>
            <w:vAlign w:val="center"/>
          </w:tcPr>
          <w:p w:rsidR="0049111A" w:rsidRDefault="00CE4D5E">
            <w:pPr>
              <w:jc w:val="right"/>
            </w:pPr>
            <w:r>
              <w:rPr>
                <w:color w:val="000000"/>
                <w:sz w:val="21"/>
              </w:rPr>
              <w:t>0.36</w:t>
            </w:r>
          </w:p>
        </w:tc>
      </w:tr>
      <w:tr w:rsidR="0049111A">
        <w:tc>
          <w:tcPr>
            <w:tcW w:w="1808" w:type="dxa"/>
            <w:vAlign w:val="center"/>
          </w:tcPr>
          <w:p w:rsidR="0049111A" w:rsidRDefault="00CE4D5E">
            <w:pPr>
              <w:jc w:val="center"/>
            </w:pPr>
            <w:r>
              <w:rPr>
                <w:color w:val="000000"/>
                <w:sz w:val="21"/>
              </w:rPr>
              <w:t>6</w:t>
            </w:r>
          </w:p>
        </w:tc>
        <w:tc>
          <w:tcPr>
            <w:tcW w:w="1729" w:type="dxa"/>
            <w:vAlign w:val="center"/>
          </w:tcPr>
          <w:p w:rsidR="0049111A" w:rsidRDefault="00CE4D5E">
            <w:pPr>
              <w:jc w:val="center"/>
            </w:pPr>
            <w:r>
              <w:rPr>
                <w:color w:val="000000"/>
                <w:sz w:val="21"/>
              </w:rPr>
              <w:t>110030</w:t>
            </w:r>
          </w:p>
        </w:tc>
        <w:tc>
          <w:tcPr>
            <w:tcW w:w="1658" w:type="dxa"/>
            <w:vAlign w:val="center"/>
          </w:tcPr>
          <w:p w:rsidR="0049111A" w:rsidRDefault="00CE4D5E">
            <w:pPr>
              <w:jc w:val="center"/>
            </w:pPr>
            <w:r>
              <w:rPr>
                <w:color w:val="000000"/>
                <w:sz w:val="21"/>
              </w:rPr>
              <w:t>格力转债</w:t>
            </w:r>
          </w:p>
        </w:tc>
        <w:tc>
          <w:tcPr>
            <w:tcW w:w="1697" w:type="dxa"/>
            <w:vAlign w:val="center"/>
          </w:tcPr>
          <w:p w:rsidR="0049111A" w:rsidRDefault="00CE4D5E">
            <w:pPr>
              <w:jc w:val="right"/>
            </w:pPr>
            <w:r>
              <w:rPr>
                <w:color w:val="000000"/>
                <w:sz w:val="21"/>
              </w:rPr>
              <w:t>1,269,435.60</w:t>
            </w:r>
          </w:p>
        </w:tc>
        <w:tc>
          <w:tcPr>
            <w:tcW w:w="1621" w:type="dxa"/>
            <w:vAlign w:val="center"/>
          </w:tcPr>
          <w:p w:rsidR="0049111A" w:rsidRDefault="00CE4D5E">
            <w:pPr>
              <w:jc w:val="right"/>
            </w:pPr>
            <w:r>
              <w:rPr>
                <w:color w:val="000000"/>
                <w:sz w:val="21"/>
              </w:rPr>
              <w:t>0.32</w:t>
            </w:r>
          </w:p>
        </w:tc>
      </w:tr>
      <w:tr w:rsidR="0049111A">
        <w:tc>
          <w:tcPr>
            <w:tcW w:w="1808" w:type="dxa"/>
            <w:vAlign w:val="center"/>
          </w:tcPr>
          <w:p w:rsidR="0049111A" w:rsidRDefault="00CE4D5E">
            <w:pPr>
              <w:jc w:val="center"/>
            </w:pPr>
            <w:r>
              <w:rPr>
                <w:color w:val="000000"/>
                <w:sz w:val="21"/>
              </w:rPr>
              <w:t>7</w:t>
            </w:r>
          </w:p>
        </w:tc>
        <w:tc>
          <w:tcPr>
            <w:tcW w:w="1729" w:type="dxa"/>
            <w:vAlign w:val="center"/>
          </w:tcPr>
          <w:p w:rsidR="0049111A" w:rsidRDefault="00CE4D5E">
            <w:pPr>
              <w:jc w:val="center"/>
            </w:pPr>
            <w:r>
              <w:rPr>
                <w:color w:val="000000"/>
                <w:sz w:val="21"/>
              </w:rPr>
              <w:t>110034</w:t>
            </w:r>
          </w:p>
        </w:tc>
        <w:tc>
          <w:tcPr>
            <w:tcW w:w="1658" w:type="dxa"/>
            <w:vAlign w:val="center"/>
          </w:tcPr>
          <w:p w:rsidR="0049111A" w:rsidRDefault="00CE4D5E">
            <w:pPr>
              <w:jc w:val="center"/>
            </w:pPr>
            <w:r>
              <w:rPr>
                <w:color w:val="000000"/>
                <w:sz w:val="21"/>
              </w:rPr>
              <w:t>九州转债</w:t>
            </w:r>
          </w:p>
        </w:tc>
        <w:tc>
          <w:tcPr>
            <w:tcW w:w="1697" w:type="dxa"/>
            <w:vAlign w:val="center"/>
          </w:tcPr>
          <w:p w:rsidR="0049111A" w:rsidRDefault="00CE4D5E">
            <w:pPr>
              <w:jc w:val="right"/>
            </w:pPr>
            <w:r>
              <w:rPr>
                <w:color w:val="000000"/>
                <w:sz w:val="21"/>
              </w:rPr>
              <w:t>1,093,100.00</w:t>
            </w:r>
          </w:p>
        </w:tc>
        <w:tc>
          <w:tcPr>
            <w:tcW w:w="1621" w:type="dxa"/>
            <w:vAlign w:val="center"/>
          </w:tcPr>
          <w:p w:rsidR="0049111A" w:rsidRDefault="00CE4D5E">
            <w:pPr>
              <w:jc w:val="right"/>
            </w:pPr>
            <w:r>
              <w:rPr>
                <w:color w:val="000000"/>
                <w:sz w:val="21"/>
              </w:rPr>
              <w:t>0.27</w:t>
            </w:r>
          </w:p>
        </w:tc>
      </w:tr>
      <w:tr w:rsidR="0049111A">
        <w:tc>
          <w:tcPr>
            <w:tcW w:w="1808" w:type="dxa"/>
            <w:vAlign w:val="center"/>
          </w:tcPr>
          <w:p w:rsidR="0049111A" w:rsidRDefault="00CE4D5E">
            <w:pPr>
              <w:jc w:val="center"/>
            </w:pPr>
            <w:r>
              <w:rPr>
                <w:color w:val="000000"/>
                <w:sz w:val="21"/>
              </w:rPr>
              <w:t>8</w:t>
            </w:r>
          </w:p>
        </w:tc>
        <w:tc>
          <w:tcPr>
            <w:tcW w:w="1729" w:type="dxa"/>
            <w:vAlign w:val="center"/>
          </w:tcPr>
          <w:p w:rsidR="0049111A" w:rsidRDefault="00CE4D5E">
            <w:pPr>
              <w:jc w:val="center"/>
            </w:pPr>
            <w:r>
              <w:rPr>
                <w:color w:val="000000"/>
                <w:sz w:val="21"/>
              </w:rPr>
              <w:t>127003</w:t>
            </w:r>
          </w:p>
        </w:tc>
        <w:tc>
          <w:tcPr>
            <w:tcW w:w="1658" w:type="dxa"/>
            <w:vAlign w:val="center"/>
          </w:tcPr>
          <w:p w:rsidR="0049111A" w:rsidRDefault="00CE4D5E">
            <w:pPr>
              <w:jc w:val="center"/>
            </w:pPr>
            <w:r>
              <w:rPr>
                <w:color w:val="000000"/>
                <w:sz w:val="21"/>
              </w:rPr>
              <w:t>海印转债</w:t>
            </w:r>
          </w:p>
        </w:tc>
        <w:tc>
          <w:tcPr>
            <w:tcW w:w="1697" w:type="dxa"/>
            <w:vAlign w:val="center"/>
          </w:tcPr>
          <w:p w:rsidR="0049111A" w:rsidRDefault="00CE4D5E">
            <w:pPr>
              <w:jc w:val="right"/>
            </w:pPr>
            <w:r>
              <w:rPr>
                <w:color w:val="000000"/>
                <w:sz w:val="21"/>
              </w:rPr>
              <w:t>442,069.10</w:t>
            </w:r>
          </w:p>
        </w:tc>
        <w:tc>
          <w:tcPr>
            <w:tcW w:w="1621" w:type="dxa"/>
            <w:vAlign w:val="center"/>
          </w:tcPr>
          <w:p w:rsidR="0049111A" w:rsidRDefault="00CE4D5E">
            <w:pPr>
              <w:jc w:val="right"/>
            </w:pPr>
            <w:r>
              <w:rPr>
                <w:color w:val="000000"/>
                <w:sz w:val="21"/>
              </w:rPr>
              <w:t>0.11</w:t>
            </w:r>
          </w:p>
        </w:tc>
      </w:tr>
    </w:tbl>
    <w:p w:rsidR="004061AC" w:rsidRPr="004C4C9E" w:rsidRDefault="001C0182"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 xml:space="preserve">11.5 </w:t>
      </w:r>
      <w:r w:rsidR="004061AC" w:rsidRPr="004C4C9E">
        <w:rPr>
          <w:b/>
          <w:color w:val="000000"/>
          <w:kern w:val="0"/>
        </w:rPr>
        <w:t>报告期末前十名股票中存在流通受限情况的说明</w:t>
      </w:r>
    </w:p>
    <w:p w:rsidR="004061AC" w:rsidRPr="004C4C9E" w:rsidRDefault="004061AC"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本基金本报告期末未持有股票。</w:t>
      </w:r>
    </w:p>
    <w:p w:rsidR="004061AC" w:rsidRPr="004C4C9E" w:rsidRDefault="001C0182" w:rsidP="00CE4D5E">
      <w:pPr>
        <w:autoSpaceDE w:val="0"/>
        <w:autoSpaceDN w:val="0"/>
        <w:adjustRightInd w:val="0"/>
        <w:spacing w:beforeLines="50" w:line="360" w:lineRule="auto"/>
        <w:ind w:left="17"/>
        <w:jc w:val="left"/>
        <w:rPr>
          <w:b/>
          <w:color w:val="000000"/>
          <w:kern w:val="0"/>
        </w:rPr>
      </w:pPr>
      <w:r>
        <w:rPr>
          <w:rFonts w:hint="eastAsia"/>
          <w:b/>
          <w:color w:val="000000"/>
          <w:kern w:val="0"/>
        </w:rPr>
        <w:t>5.1.</w:t>
      </w:r>
      <w:r>
        <w:rPr>
          <w:rFonts w:hint="eastAsia"/>
          <w:b/>
          <w:color w:val="000000"/>
          <w:kern w:val="0"/>
          <w:sz w:val="23"/>
        </w:rPr>
        <w:t>11.6</w:t>
      </w:r>
      <w:r w:rsidR="001675CD" w:rsidRPr="004C4C9E">
        <w:rPr>
          <w:b/>
          <w:color w:val="000000"/>
          <w:kern w:val="0"/>
        </w:rPr>
        <w:t>投资组合报告附注的其他文字描述部分</w:t>
      </w:r>
    </w:p>
    <w:p w:rsidR="004061AC" w:rsidRPr="004C4C9E" w:rsidRDefault="004061AC" w:rsidP="004C4C9E">
      <w:pPr>
        <w:adjustRightInd w:val="0"/>
        <w:spacing w:before="29" w:line="360" w:lineRule="auto"/>
        <w:ind w:firstLineChars="100" w:firstLine="210"/>
        <w:rPr>
          <w:bCs/>
          <w:color w:val="000000"/>
        </w:rPr>
      </w:pPr>
      <w:r w:rsidRPr="004C4C9E">
        <w:rPr>
          <w:bCs/>
          <w:color w:val="000000"/>
        </w:rPr>
        <w:t>由于计算中四舍五入的原因，本报告分项之和与合计项之间可能存在尾差。</w:t>
      </w:r>
    </w:p>
    <w:p w:rsidR="00937387" w:rsidRPr="004A686C" w:rsidRDefault="00937387" w:rsidP="00CE4D5E">
      <w:pPr>
        <w:pStyle w:val="2"/>
        <w:spacing w:beforeLines="100" w:after="0"/>
        <w:rPr>
          <w:rFonts w:ascii="Times New Roman" w:hAnsi="Times New Roman" w:cs="Times New Roman"/>
          <w:color w:val="000000"/>
          <w:kern w:val="0"/>
          <w:sz w:val="21"/>
          <w:szCs w:val="21"/>
        </w:rPr>
      </w:pPr>
      <w:r w:rsidRPr="004C4C9E">
        <w:rPr>
          <w:rFonts w:ascii="Times New Roman" w:hAnsi="Times New Roman" w:cs="Times New Roman"/>
          <w:color w:val="000000"/>
          <w:kern w:val="0"/>
          <w:sz w:val="21"/>
          <w:szCs w:val="21"/>
        </w:rPr>
        <w:t>5.2</w:t>
      </w:r>
      <w:r w:rsidRPr="004C4C9E">
        <w:rPr>
          <w:rFonts w:ascii="Times New Roman" w:hAnsi="Times New Roman" w:cs="Times New Roman"/>
          <w:color w:val="000000"/>
          <w:kern w:val="0"/>
          <w:sz w:val="21"/>
          <w:szCs w:val="21"/>
        </w:rPr>
        <w:t>中银互利分级债券型证券投资基金</w:t>
      </w:r>
    </w:p>
    <w:p w:rsidR="00937387" w:rsidRPr="004C4C9E" w:rsidRDefault="00937387" w:rsidP="003C0F32">
      <w:pPr>
        <w:autoSpaceDE w:val="0"/>
        <w:autoSpaceDN w:val="0"/>
        <w:adjustRightInd w:val="0"/>
        <w:spacing w:line="360" w:lineRule="auto"/>
        <w:ind w:left="17"/>
        <w:jc w:val="left"/>
        <w:rPr>
          <w:b/>
          <w:color w:val="000000"/>
          <w:kern w:val="0"/>
        </w:rPr>
      </w:pPr>
      <w:r w:rsidRPr="004C4C9E">
        <w:rPr>
          <w:b/>
          <w:color w:val="000000"/>
          <w:kern w:val="0"/>
        </w:rPr>
        <w:t>（报告期：</w:t>
      </w:r>
      <w:r w:rsidRPr="004C4C9E">
        <w:rPr>
          <w:b/>
          <w:color w:val="000000"/>
          <w:kern w:val="0"/>
        </w:rPr>
        <w:t>2017</w:t>
      </w:r>
      <w:r w:rsidRPr="004C4C9E">
        <w:rPr>
          <w:b/>
          <w:color w:val="000000"/>
          <w:kern w:val="0"/>
        </w:rPr>
        <w:t>年</w:t>
      </w:r>
      <w:r w:rsidRPr="004C4C9E">
        <w:rPr>
          <w:b/>
          <w:color w:val="000000"/>
          <w:kern w:val="0"/>
        </w:rPr>
        <w:t>10</w:t>
      </w:r>
      <w:r w:rsidRPr="004C4C9E">
        <w:rPr>
          <w:b/>
          <w:color w:val="000000"/>
          <w:kern w:val="0"/>
        </w:rPr>
        <w:t>月</w:t>
      </w:r>
      <w:r w:rsidRPr="004C4C9E">
        <w:rPr>
          <w:b/>
          <w:color w:val="000000"/>
          <w:kern w:val="0"/>
        </w:rPr>
        <w:t>1</w:t>
      </w:r>
      <w:r w:rsidRPr="004C4C9E">
        <w:rPr>
          <w:b/>
          <w:color w:val="000000"/>
          <w:kern w:val="0"/>
        </w:rPr>
        <w:t>日</w:t>
      </w:r>
      <w:r w:rsidRPr="004C4C9E">
        <w:rPr>
          <w:b/>
          <w:color w:val="000000"/>
          <w:kern w:val="0"/>
        </w:rPr>
        <w:t>-2017</w:t>
      </w:r>
      <w:r w:rsidRPr="004C4C9E">
        <w:rPr>
          <w:b/>
          <w:color w:val="000000"/>
          <w:kern w:val="0"/>
        </w:rPr>
        <w:t>年</w:t>
      </w:r>
      <w:r w:rsidRPr="004C4C9E">
        <w:rPr>
          <w:b/>
          <w:color w:val="000000"/>
          <w:kern w:val="0"/>
        </w:rPr>
        <w:t>11</w:t>
      </w:r>
      <w:r w:rsidRPr="004C4C9E">
        <w:rPr>
          <w:b/>
          <w:color w:val="000000"/>
          <w:kern w:val="0"/>
        </w:rPr>
        <w:t>月</w:t>
      </w:r>
      <w:r w:rsidRPr="004C4C9E">
        <w:rPr>
          <w:b/>
          <w:color w:val="000000"/>
          <w:kern w:val="0"/>
        </w:rPr>
        <w:t>8</w:t>
      </w:r>
      <w:r w:rsidRPr="004C4C9E">
        <w:rPr>
          <w:b/>
          <w:color w:val="000000"/>
          <w:kern w:val="0"/>
        </w:rPr>
        <w:t>日）</w:t>
      </w:r>
    </w:p>
    <w:p w:rsidR="00937387" w:rsidRPr="004C4C9E" w:rsidRDefault="001C0182" w:rsidP="003C0F32">
      <w:pPr>
        <w:autoSpaceDE w:val="0"/>
        <w:autoSpaceDN w:val="0"/>
        <w:adjustRightInd w:val="0"/>
        <w:spacing w:line="360" w:lineRule="auto"/>
        <w:ind w:left="17"/>
        <w:jc w:val="left"/>
        <w:rPr>
          <w:b/>
          <w:color w:val="000000"/>
          <w:kern w:val="0"/>
        </w:rPr>
      </w:pPr>
      <w:r>
        <w:rPr>
          <w:rFonts w:hint="eastAsia"/>
          <w:b/>
          <w:color w:val="000000"/>
          <w:kern w:val="0"/>
        </w:rPr>
        <w:t>5.2.</w:t>
      </w:r>
      <w:r>
        <w:rPr>
          <w:rFonts w:hint="eastAsia"/>
          <w:b/>
          <w:color w:val="000000"/>
          <w:kern w:val="0"/>
          <w:sz w:val="23"/>
        </w:rPr>
        <w:t>1</w:t>
      </w:r>
      <w:r w:rsidR="00937387" w:rsidRPr="004C4C9E">
        <w:rPr>
          <w:b/>
          <w:color w:val="000000"/>
          <w:kern w:val="0"/>
        </w:rPr>
        <w:t>报告期末基金资产组合情况</w:t>
      </w:r>
    </w:p>
    <w:tbl>
      <w:tblPr>
        <w:tblStyle w:val="af7"/>
        <w:tblW w:w="0" w:type="auto"/>
        <w:tblLayout w:type="fixed"/>
        <w:tblLook w:val="04A0"/>
      </w:tblPr>
      <w:tblGrid>
        <w:gridCol w:w="720"/>
        <w:gridCol w:w="2834"/>
        <w:gridCol w:w="2976"/>
        <w:gridCol w:w="2367"/>
      </w:tblGrid>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2834"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项目</w:t>
            </w:r>
          </w:p>
        </w:tc>
        <w:tc>
          <w:tcPr>
            <w:tcW w:w="2976"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金额</w:t>
            </w:r>
            <w:r w:rsidRPr="004C4C9E">
              <w:rPr>
                <w:color w:val="000000"/>
                <w:sz w:val="21"/>
              </w:rPr>
              <w:t>(</w:t>
            </w:r>
            <w:r w:rsidRPr="004C4C9E">
              <w:rPr>
                <w:color w:val="000000"/>
                <w:sz w:val="21"/>
              </w:rPr>
              <w:t>元</w:t>
            </w: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占基金总资产的比例</w:t>
            </w: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权益投资</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其中：股票</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固定收益投资</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460,306,130.25</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80.17</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其中：债券</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460,306,130.25</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80.17</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p>
        </w:tc>
        <w:tc>
          <w:tcPr>
            <w:tcW w:w="2834" w:type="dxa"/>
            <w:vAlign w:val="center"/>
          </w:tcPr>
          <w:p w:rsidR="00937387" w:rsidRPr="004C4C9E" w:rsidRDefault="00937387" w:rsidP="004C4C9E">
            <w:pPr>
              <w:autoSpaceDE w:val="0"/>
              <w:autoSpaceDN w:val="0"/>
              <w:adjustRightInd w:val="0"/>
              <w:spacing w:before="29" w:line="276" w:lineRule="auto"/>
              <w:ind w:left="15" w:firstLineChars="250" w:firstLine="525"/>
              <w:jc w:val="left"/>
              <w:rPr>
                <w:color w:val="000000"/>
                <w:sz w:val="21"/>
              </w:rPr>
            </w:pPr>
            <w:r w:rsidRPr="004C4C9E">
              <w:rPr>
                <w:color w:val="000000"/>
                <w:sz w:val="21"/>
              </w:rPr>
              <w:t>资产支持证券</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2834" w:type="dxa"/>
          </w:tcPr>
          <w:p w:rsidR="00937387" w:rsidRPr="004C4C9E" w:rsidRDefault="00937387" w:rsidP="004C4C9E">
            <w:pPr>
              <w:autoSpaceDE w:val="0"/>
              <w:autoSpaceDN w:val="0"/>
              <w:adjustRightInd w:val="0"/>
              <w:spacing w:before="29" w:line="276" w:lineRule="auto"/>
              <w:ind w:leftChars="50" w:left="105"/>
              <w:rPr>
                <w:color w:val="000000"/>
                <w:sz w:val="21"/>
              </w:rPr>
            </w:pPr>
            <w:r w:rsidRPr="004C4C9E">
              <w:rPr>
                <w:color w:val="000000"/>
                <w:sz w:val="21"/>
              </w:rPr>
              <w:t>贵金属投资</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金融衍生品投资</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买入返售金融资产</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其中：买断式回购的买入返售金融资产</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2834"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银行存款和结算备付金合计</w:t>
            </w:r>
          </w:p>
        </w:tc>
        <w:tc>
          <w:tcPr>
            <w:tcW w:w="2976"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42,421,531.62</w:t>
            </w:r>
          </w:p>
        </w:tc>
        <w:tc>
          <w:tcPr>
            <w:tcW w:w="2367"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7.39</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2834" w:type="dxa"/>
            <w:vAlign w:val="center"/>
          </w:tcPr>
          <w:p w:rsidR="00937387" w:rsidRPr="004C4C9E" w:rsidRDefault="00937387" w:rsidP="004C4C9E">
            <w:pPr>
              <w:autoSpaceDE w:val="0"/>
              <w:autoSpaceDN w:val="0"/>
              <w:adjustRightInd w:val="0"/>
              <w:spacing w:line="276" w:lineRule="auto"/>
              <w:ind w:left="15"/>
              <w:jc w:val="left"/>
              <w:rPr>
                <w:color w:val="000000"/>
                <w:sz w:val="21"/>
              </w:rPr>
            </w:pPr>
            <w:r w:rsidRPr="004C4C9E">
              <w:rPr>
                <w:color w:val="000000"/>
                <w:sz w:val="21"/>
              </w:rPr>
              <w:t>其他各项资产</w:t>
            </w:r>
          </w:p>
        </w:tc>
        <w:tc>
          <w:tcPr>
            <w:tcW w:w="2976" w:type="dxa"/>
            <w:vAlign w:val="center"/>
          </w:tcPr>
          <w:p w:rsidR="00937387" w:rsidRPr="004C4C9E" w:rsidRDefault="00937387" w:rsidP="004C4C9E">
            <w:pPr>
              <w:autoSpaceDE w:val="0"/>
              <w:autoSpaceDN w:val="0"/>
              <w:adjustRightInd w:val="0"/>
              <w:spacing w:line="276" w:lineRule="auto"/>
              <w:ind w:left="15"/>
              <w:jc w:val="right"/>
              <w:rPr>
                <w:color w:val="000000"/>
                <w:sz w:val="21"/>
              </w:rPr>
            </w:pPr>
            <w:r w:rsidRPr="004C4C9E">
              <w:rPr>
                <w:color w:val="000000"/>
                <w:sz w:val="21"/>
              </w:rPr>
              <w:t>71,455,989.44</w:t>
            </w:r>
          </w:p>
        </w:tc>
        <w:tc>
          <w:tcPr>
            <w:tcW w:w="2367" w:type="dxa"/>
            <w:vAlign w:val="center"/>
          </w:tcPr>
          <w:p w:rsidR="00937387" w:rsidRPr="004C4C9E" w:rsidRDefault="00937387" w:rsidP="004C4C9E">
            <w:pPr>
              <w:autoSpaceDE w:val="0"/>
              <w:autoSpaceDN w:val="0"/>
              <w:adjustRightInd w:val="0"/>
              <w:spacing w:line="276" w:lineRule="auto"/>
              <w:ind w:left="15"/>
              <w:jc w:val="right"/>
              <w:rPr>
                <w:color w:val="000000"/>
                <w:sz w:val="21"/>
              </w:rPr>
            </w:pPr>
            <w:r w:rsidRPr="004C4C9E">
              <w:rPr>
                <w:color w:val="000000"/>
                <w:sz w:val="21"/>
              </w:rPr>
              <w:t>12.44</w:t>
            </w:r>
          </w:p>
        </w:tc>
      </w:tr>
      <w:tr w:rsidR="00937387" w:rsidRPr="004C4C9E" w:rsidTr="007E7114">
        <w:tc>
          <w:tcPr>
            <w:tcW w:w="72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2834" w:type="dxa"/>
            <w:vAlign w:val="center"/>
          </w:tcPr>
          <w:p w:rsidR="00937387" w:rsidRPr="004C4C9E" w:rsidRDefault="00937387" w:rsidP="004C4C9E">
            <w:pPr>
              <w:autoSpaceDE w:val="0"/>
              <w:autoSpaceDN w:val="0"/>
              <w:adjustRightInd w:val="0"/>
              <w:spacing w:line="276" w:lineRule="auto"/>
              <w:ind w:left="15"/>
              <w:jc w:val="left"/>
              <w:rPr>
                <w:color w:val="000000"/>
                <w:sz w:val="21"/>
              </w:rPr>
            </w:pPr>
            <w:r w:rsidRPr="004C4C9E">
              <w:rPr>
                <w:color w:val="000000"/>
                <w:sz w:val="21"/>
              </w:rPr>
              <w:t>合计</w:t>
            </w:r>
          </w:p>
        </w:tc>
        <w:tc>
          <w:tcPr>
            <w:tcW w:w="2976" w:type="dxa"/>
            <w:vAlign w:val="center"/>
          </w:tcPr>
          <w:p w:rsidR="00937387" w:rsidRPr="004C4C9E" w:rsidRDefault="00937387" w:rsidP="004C4C9E">
            <w:pPr>
              <w:autoSpaceDE w:val="0"/>
              <w:autoSpaceDN w:val="0"/>
              <w:adjustRightInd w:val="0"/>
              <w:spacing w:line="276" w:lineRule="auto"/>
              <w:ind w:left="15"/>
              <w:jc w:val="right"/>
              <w:rPr>
                <w:color w:val="000000"/>
                <w:sz w:val="21"/>
              </w:rPr>
            </w:pPr>
            <w:r w:rsidRPr="004C4C9E">
              <w:rPr>
                <w:color w:val="000000"/>
                <w:sz w:val="21"/>
              </w:rPr>
              <w:t>574,183,651.31</w:t>
            </w:r>
          </w:p>
        </w:tc>
        <w:tc>
          <w:tcPr>
            <w:tcW w:w="2367" w:type="dxa"/>
            <w:vAlign w:val="center"/>
          </w:tcPr>
          <w:p w:rsidR="00937387" w:rsidRPr="004C4C9E" w:rsidRDefault="00937387" w:rsidP="004C4C9E">
            <w:pPr>
              <w:autoSpaceDE w:val="0"/>
              <w:autoSpaceDN w:val="0"/>
              <w:adjustRightInd w:val="0"/>
              <w:spacing w:line="276" w:lineRule="auto"/>
              <w:ind w:left="15"/>
              <w:jc w:val="right"/>
              <w:rPr>
                <w:color w:val="000000"/>
                <w:sz w:val="21"/>
              </w:rPr>
            </w:pPr>
            <w:r w:rsidRPr="004C4C9E">
              <w:rPr>
                <w:color w:val="000000"/>
                <w:sz w:val="21"/>
              </w:rPr>
              <w:t>100.00</w:t>
            </w:r>
          </w:p>
        </w:tc>
      </w:tr>
    </w:tbl>
    <w:p w:rsidR="00937387" w:rsidRPr="004C4C9E" w:rsidRDefault="00322C8D"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 xml:space="preserve">2 </w:t>
      </w:r>
      <w:r w:rsidR="00937387" w:rsidRPr="004C4C9E">
        <w:rPr>
          <w:b/>
          <w:color w:val="000000"/>
          <w:kern w:val="0"/>
        </w:rPr>
        <w:t>报告期末按行业分类的股票投资组合</w:t>
      </w:r>
    </w:p>
    <w:p w:rsidR="007E1F08" w:rsidRPr="004C4C9E" w:rsidRDefault="00322C8D" w:rsidP="004C4C9E">
      <w:pPr>
        <w:autoSpaceDE w:val="0"/>
        <w:autoSpaceDN w:val="0"/>
        <w:adjustRightInd w:val="0"/>
        <w:spacing w:line="360" w:lineRule="auto"/>
        <w:ind w:left="17"/>
        <w:jc w:val="left"/>
        <w:rPr>
          <w:b/>
          <w:color w:val="000000"/>
          <w:kern w:val="0"/>
        </w:rPr>
      </w:pPr>
      <w:r>
        <w:rPr>
          <w:rFonts w:hint="eastAsia"/>
          <w:b/>
          <w:color w:val="000000"/>
          <w:kern w:val="0"/>
        </w:rPr>
        <w:t>5.2.</w:t>
      </w:r>
      <w:r>
        <w:rPr>
          <w:rFonts w:hint="eastAsia"/>
          <w:b/>
          <w:color w:val="000000"/>
          <w:kern w:val="0"/>
          <w:sz w:val="23"/>
        </w:rPr>
        <w:t>2.1</w:t>
      </w:r>
      <w:r w:rsidR="007E1F08" w:rsidRPr="004C4C9E">
        <w:rPr>
          <w:b/>
          <w:color w:val="000000"/>
          <w:kern w:val="0"/>
        </w:rPr>
        <w:t>报告期末按行业分类的境内股票投资组合</w:t>
      </w:r>
    </w:p>
    <w:p w:rsidR="00937387" w:rsidRPr="004C4C9E" w:rsidRDefault="00937387"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本基金本报告期末未持有股票。</w:t>
      </w:r>
    </w:p>
    <w:p w:rsidR="007E1F08" w:rsidRPr="004C4C9E" w:rsidRDefault="00C636B7"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2.2</w:t>
      </w:r>
      <w:r w:rsidR="007E1F08" w:rsidRPr="004C4C9E">
        <w:rPr>
          <w:b/>
          <w:color w:val="000000"/>
          <w:kern w:val="0"/>
        </w:rPr>
        <w:t>报告期末按行业分类的</w:t>
      </w:r>
      <w:r w:rsidR="00003D5B" w:rsidRPr="004C4C9E">
        <w:rPr>
          <w:rFonts w:eastAsiaTheme="minorEastAsia"/>
          <w:b/>
          <w:color w:val="000000" w:themeColor="text1"/>
          <w:kern w:val="0"/>
        </w:rPr>
        <w:t>港股通</w:t>
      </w:r>
      <w:r w:rsidR="007E1F08" w:rsidRPr="004C4C9E">
        <w:rPr>
          <w:b/>
          <w:color w:val="000000"/>
          <w:kern w:val="0"/>
        </w:rPr>
        <w:t>投资股票投资组合</w:t>
      </w:r>
    </w:p>
    <w:p w:rsidR="007E1F08" w:rsidRPr="004C4C9E" w:rsidRDefault="007E1F08" w:rsidP="004C4C9E">
      <w:pPr>
        <w:autoSpaceDE w:val="0"/>
        <w:autoSpaceDN w:val="0"/>
        <w:adjustRightInd w:val="0"/>
        <w:spacing w:line="360" w:lineRule="auto"/>
        <w:ind w:firstLineChars="150" w:firstLine="315"/>
        <w:jc w:val="left"/>
        <w:rPr>
          <w:color w:val="000000"/>
          <w:kern w:val="0"/>
        </w:rPr>
      </w:pPr>
      <w:r w:rsidRPr="004C4C9E">
        <w:rPr>
          <w:color w:val="000000"/>
          <w:kern w:val="0"/>
        </w:rPr>
        <w:t>本基金本报告期末未持有港股通投资股票。</w:t>
      </w:r>
    </w:p>
    <w:p w:rsidR="00937387" w:rsidRPr="004C4C9E" w:rsidRDefault="001B5496"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3</w:t>
      </w:r>
      <w:r w:rsidR="00937387" w:rsidRPr="004C4C9E">
        <w:rPr>
          <w:b/>
          <w:color w:val="000000"/>
          <w:kern w:val="0"/>
        </w:rPr>
        <w:t>报告期末按公允价值占基金资产净值比例大小排序的前十名股票投资明细</w:t>
      </w:r>
    </w:p>
    <w:p w:rsidR="00702CC5" w:rsidRPr="004C4C9E" w:rsidRDefault="00702CC5" w:rsidP="004C4C9E">
      <w:pPr>
        <w:autoSpaceDE w:val="0"/>
        <w:autoSpaceDN w:val="0"/>
        <w:adjustRightInd w:val="0"/>
        <w:spacing w:line="360" w:lineRule="auto"/>
        <w:ind w:firstLineChars="150" w:firstLine="315"/>
        <w:jc w:val="left"/>
        <w:rPr>
          <w:color w:val="000000"/>
          <w:kern w:val="0"/>
        </w:rPr>
      </w:pPr>
      <w:r w:rsidRPr="004C4C9E">
        <w:rPr>
          <w:color w:val="000000"/>
          <w:kern w:val="0"/>
        </w:rPr>
        <w:t>本基金本报告期末未持有股票。</w:t>
      </w:r>
    </w:p>
    <w:p w:rsidR="00937387" w:rsidRPr="004C4C9E" w:rsidRDefault="00D5666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4</w:t>
      </w:r>
      <w:r w:rsidR="00937387" w:rsidRPr="004C4C9E">
        <w:rPr>
          <w:b/>
          <w:color w:val="000000"/>
          <w:kern w:val="0"/>
        </w:rPr>
        <w:t>报告期末按债券品种分类的债券投资组合</w:t>
      </w:r>
    </w:p>
    <w:tbl>
      <w:tblPr>
        <w:tblStyle w:val="af7"/>
        <w:tblW w:w="0" w:type="auto"/>
        <w:tblLayout w:type="fixed"/>
        <w:tblLook w:val="04A0"/>
      </w:tblPr>
      <w:tblGrid>
        <w:gridCol w:w="817"/>
        <w:gridCol w:w="3260"/>
        <w:gridCol w:w="2949"/>
        <w:gridCol w:w="1729"/>
      </w:tblGrid>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326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债券品种</w:t>
            </w:r>
          </w:p>
        </w:tc>
        <w:tc>
          <w:tcPr>
            <w:tcW w:w="2949"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Pr="004C4C9E">
              <w:rPr>
                <w:color w:val="000000"/>
                <w:sz w:val="21"/>
              </w:rPr>
              <w:t>(</w:t>
            </w:r>
            <w:r w:rsidRPr="004C4C9E">
              <w:rPr>
                <w:color w:val="000000"/>
                <w:sz w:val="21"/>
              </w:rPr>
              <w:t>元</w:t>
            </w: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Pr="004C4C9E">
              <w:rPr>
                <w:color w:val="000000"/>
                <w:sz w:val="21"/>
              </w:rPr>
              <w:t>(</w:t>
            </w:r>
            <w:r w:rsidRPr="004C4C9E">
              <w:rPr>
                <w:color w:val="000000"/>
                <w:sz w:val="21"/>
              </w:rPr>
              <w:t>％</w:t>
            </w: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国家债券</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央行票据</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金融债券</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其中：政策性金融债</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企业债券</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428,192,820.00</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113.05</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企业短期融资券</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中期票据</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可转债</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32,113,310.25</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8.48</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其他</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7E711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9</w:t>
            </w:r>
          </w:p>
        </w:tc>
        <w:tc>
          <w:tcPr>
            <w:tcW w:w="3260" w:type="dxa"/>
            <w:vAlign w:val="center"/>
          </w:tcPr>
          <w:p w:rsidR="00937387" w:rsidRPr="004C4C9E" w:rsidRDefault="00937387" w:rsidP="004C4C9E">
            <w:pPr>
              <w:autoSpaceDE w:val="0"/>
              <w:autoSpaceDN w:val="0"/>
              <w:adjustRightInd w:val="0"/>
              <w:spacing w:before="29" w:line="276" w:lineRule="auto"/>
              <w:ind w:left="15"/>
              <w:jc w:val="left"/>
              <w:rPr>
                <w:color w:val="000000"/>
                <w:sz w:val="21"/>
              </w:rPr>
            </w:pPr>
            <w:r w:rsidRPr="004C4C9E">
              <w:rPr>
                <w:color w:val="000000"/>
                <w:sz w:val="21"/>
              </w:rPr>
              <w:t>合计</w:t>
            </w:r>
          </w:p>
        </w:tc>
        <w:tc>
          <w:tcPr>
            <w:tcW w:w="294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460,306,130.25</w:t>
            </w:r>
          </w:p>
        </w:tc>
        <w:tc>
          <w:tcPr>
            <w:tcW w:w="1729"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121.53</w:t>
            </w:r>
          </w:p>
        </w:tc>
      </w:tr>
    </w:tbl>
    <w:p w:rsidR="00937387" w:rsidRPr="004C4C9E" w:rsidRDefault="003E621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 xml:space="preserve">5 </w:t>
      </w:r>
      <w:r w:rsidR="00937387" w:rsidRPr="004C4C9E">
        <w:rPr>
          <w:b/>
          <w:color w:val="000000"/>
          <w:kern w:val="0"/>
        </w:rPr>
        <w:t>报告期末按公允价值占基金资产净值比例大小排序的前五名债券投资明细</w:t>
      </w:r>
    </w:p>
    <w:tbl>
      <w:tblPr>
        <w:tblStyle w:val="af7"/>
        <w:tblW w:w="0" w:type="auto"/>
        <w:tblLayout w:type="fixed"/>
        <w:tblLook w:val="04A0"/>
      </w:tblPr>
      <w:tblGrid>
        <w:gridCol w:w="817"/>
        <w:gridCol w:w="1276"/>
        <w:gridCol w:w="1559"/>
        <w:gridCol w:w="1418"/>
        <w:gridCol w:w="2268"/>
        <w:gridCol w:w="1190"/>
      </w:tblGrid>
      <w:tr w:rsidR="00937387" w:rsidRPr="004C4C9E" w:rsidTr="00C66C44">
        <w:tc>
          <w:tcPr>
            <w:tcW w:w="81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1276"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债券代码</w:t>
            </w:r>
          </w:p>
        </w:tc>
        <w:tc>
          <w:tcPr>
            <w:tcW w:w="1559"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债券名称</w:t>
            </w:r>
          </w:p>
        </w:tc>
        <w:tc>
          <w:tcPr>
            <w:tcW w:w="1418"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数量</w:t>
            </w:r>
            <w:r w:rsidRPr="004C4C9E">
              <w:rPr>
                <w:color w:val="000000"/>
                <w:sz w:val="21"/>
              </w:rPr>
              <w:t>(</w:t>
            </w:r>
            <w:r w:rsidRPr="004C4C9E">
              <w:rPr>
                <w:color w:val="000000"/>
                <w:sz w:val="21"/>
              </w:rPr>
              <w:t>张</w:t>
            </w:r>
            <w:r w:rsidRPr="004C4C9E">
              <w:rPr>
                <w:color w:val="000000"/>
                <w:sz w:val="21"/>
              </w:rPr>
              <w:t>)</w:t>
            </w:r>
          </w:p>
        </w:tc>
        <w:tc>
          <w:tcPr>
            <w:tcW w:w="2268"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Pr="004C4C9E">
              <w:rPr>
                <w:color w:val="000000"/>
                <w:sz w:val="21"/>
              </w:rPr>
              <w:t>(</w:t>
            </w:r>
            <w:r w:rsidRPr="004C4C9E">
              <w:rPr>
                <w:color w:val="000000"/>
                <w:sz w:val="21"/>
              </w:rPr>
              <w:t>元</w:t>
            </w:r>
            <w:r w:rsidRPr="004C4C9E">
              <w:rPr>
                <w:color w:val="000000"/>
                <w:sz w:val="21"/>
              </w:rPr>
              <w:t>)</w:t>
            </w:r>
          </w:p>
        </w:tc>
        <w:tc>
          <w:tcPr>
            <w:tcW w:w="119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Pr="004C4C9E">
              <w:rPr>
                <w:color w:val="000000"/>
                <w:sz w:val="21"/>
              </w:rPr>
              <w:t>(</w:t>
            </w:r>
            <w:r w:rsidRPr="004C4C9E">
              <w:rPr>
                <w:color w:val="000000"/>
                <w:sz w:val="21"/>
              </w:rPr>
              <w:t>％</w:t>
            </w:r>
            <w:r w:rsidRPr="004C4C9E">
              <w:rPr>
                <w:color w:val="000000"/>
                <w:sz w:val="21"/>
              </w:rPr>
              <w:t>)</w:t>
            </w:r>
          </w:p>
        </w:tc>
      </w:tr>
      <w:tr w:rsidR="0049111A">
        <w:tc>
          <w:tcPr>
            <w:tcW w:w="817" w:type="dxa"/>
            <w:vAlign w:val="center"/>
          </w:tcPr>
          <w:p w:rsidR="0049111A" w:rsidRDefault="00CE4D5E">
            <w:pPr>
              <w:jc w:val="center"/>
            </w:pPr>
            <w:r>
              <w:rPr>
                <w:color w:val="000000"/>
                <w:sz w:val="21"/>
              </w:rPr>
              <w:t>1</w:t>
            </w:r>
          </w:p>
        </w:tc>
        <w:tc>
          <w:tcPr>
            <w:tcW w:w="1276" w:type="dxa"/>
            <w:vAlign w:val="center"/>
          </w:tcPr>
          <w:p w:rsidR="0049111A" w:rsidRDefault="00CE4D5E">
            <w:pPr>
              <w:jc w:val="center"/>
            </w:pPr>
            <w:r>
              <w:rPr>
                <w:color w:val="000000"/>
                <w:sz w:val="21"/>
              </w:rPr>
              <w:t>136126</w:t>
            </w:r>
          </w:p>
        </w:tc>
        <w:tc>
          <w:tcPr>
            <w:tcW w:w="1559" w:type="dxa"/>
            <w:vAlign w:val="center"/>
          </w:tcPr>
          <w:p w:rsidR="0049111A" w:rsidRDefault="00CE4D5E">
            <w:pPr>
              <w:jc w:val="center"/>
            </w:pPr>
            <w:r>
              <w:rPr>
                <w:color w:val="000000"/>
                <w:sz w:val="21"/>
              </w:rPr>
              <w:t>15</w:t>
            </w:r>
            <w:r>
              <w:rPr>
                <w:color w:val="000000"/>
                <w:sz w:val="21"/>
              </w:rPr>
              <w:t>鑫苑</w:t>
            </w:r>
            <w:r>
              <w:rPr>
                <w:color w:val="000000"/>
                <w:sz w:val="21"/>
              </w:rPr>
              <w:t>01</w:t>
            </w:r>
          </w:p>
        </w:tc>
        <w:tc>
          <w:tcPr>
            <w:tcW w:w="1418" w:type="dxa"/>
            <w:vAlign w:val="center"/>
          </w:tcPr>
          <w:p w:rsidR="0049111A" w:rsidRDefault="00CE4D5E">
            <w:pPr>
              <w:jc w:val="right"/>
            </w:pPr>
            <w:r>
              <w:rPr>
                <w:color w:val="000000"/>
                <w:sz w:val="21"/>
              </w:rPr>
              <w:t>400,000</w:t>
            </w:r>
          </w:p>
        </w:tc>
        <w:tc>
          <w:tcPr>
            <w:tcW w:w="2268" w:type="dxa"/>
            <w:vAlign w:val="center"/>
          </w:tcPr>
          <w:p w:rsidR="0049111A" w:rsidRDefault="00CE4D5E">
            <w:pPr>
              <w:jc w:val="right"/>
            </w:pPr>
            <w:r>
              <w:rPr>
                <w:color w:val="000000"/>
                <w:sz w:val="21"/>
              </w:rPr>
              <w:t>39,348,000.00</w:t>
            </w:r>
          </w:p>
        </w:tc>
        <w:tc>
          <w:tcPr>
            <w:tcW w:w="1190" w:type="dxa"/>
            <w:vAlign w:val="center"/>
          </w:tcPr>
          <w:p w:rsidR="0049111A" w:rsidRDefault="00CE4D5E">
            <w:pPr>
              <w:jc w:val="right"/>
            </w:pPr>
            <w:r>
              <w:rPr>
                <w:color w:val="000000"/>
                <w:sz w:val="21"/>
              </w:rPr>
              <w:t>10.39</w:t>
            </w:r>
          </w:p>
        </w:tc>
      </w:tr>
      <w:tr w:rsidR="0049111A">
        <w:tc>
          <w:tcPr>
            <w:tcW w:w="817" w:type="dxa"/>
            <w:vAlign w:val="center"/>
          </w:tcPr>
          <w:p w:rsidR="0049111A" w:rsidRDefault="00CE4D5E">
            <w:pPr>
              <w:jc w:val="center"/>
            </w:pPr>
            <w:r>
              <w:rPr>
                <w:color w:val="000000"/>
                <w:sz w:val="21"/>
              </w:rPr>
              <w:t>2</w:t>
            </w:r>
          </w:p>
        </w:tc>
        <w:tc>
          <w:tcPr>
            <w:tcW w:w="1276" w:type="dxa"/>
            <w:vAlign w:val="center"/>
          </w:tcPr>
          <w:p w:rsidR="0049111A" w:rsidRDefault="00CE4D5E">
            <w:pPr>
              <w:jc w:val="center"/>
            </w:pPr>
            <w:r>
              <w:rPr>
                <w:color w:val="000000"/>
                <w:sz w:val="21"/>
              </w:rPr>
              <w:t>112315</w:t>
            </w:r>
          </w:p>
        </w:tc>
        <w:tc>
          <w:tcPr>
            <w:tcW w:w="1559" w:type="dxa"/>
            <w:vAlign w:val="center"/>
          </w:tcPr>
          <w:p w:rsidR="0049111A" w:rsidRDefault="00CE4D5E">
            <w:pPr>
              <w:jc w:val="center"/>
            </w:pPr>
            <w:r>
              <w:rPr>
                <w:color w:val="000000"/>
                <w:sz w:val="21"/>
              </w:rPr>
              <w:t>16</w:t>
            </w:r>
            <w:r>
              <w:rPr>
                <w:color w:val="000000"/>
                <w:sz w:val="21"/>
              </w:rPr>
              <w:t>宝龙债</w:t>
            </w:r>
          </w:p>
        </w:tc>
        <w:tc>
          <w:tcPr>
            <w:tcW w:w="1418" w:type="dxa"/>
            <w:vAlign w:val="center"/>
          </w:tcPr>
          <w:p w:rsidR="0049111A" w:rsidRDefault="00CE4D5E">
            <w:pPr>
              <w:jc w:val="right"/>
            </w:pPr>
            <w:r>
              <w:rPr>
                <w:color w:val="000000"/>
                <w:sz w:val="21"/>
              </w:rPr>
              <w:t>300,000</w:t>
            </w:r>
          </w:p>
        </w:tc>
        <w:tc>
          <w:tcPr>
            <w:tcW w:w="2268" w:type="dxa"/>
            <w:vAlign w:val="center"/>
          </w:tcPr>
          <w:p w:rsidR="0049111A" w:rsidRDefault="00CE4D5E">
            <w:pPr>
              <w:jc w:val="right"/>
            </w:pPr>
            <w:r>
              <w:rPr>
                <w:color w:val="000000"/>
                <w:sz w:val="21"/>
              </w:rPr>
              <w:t>29,943,000.00</w:t>
            </w:r>
          </w:p>
        </w:tc>
        <w:tc>
          <w:tcPr>
            <w:tcW w:w="1190" w:type="dxa"/>
            <w:vAlign w:val="center"/>
          </w:tcPr>
          <w:p w:rsidR="0049111A" w:rsidRDefault="00CE4D5E">
            <w:pPr>
              <w:jc w:val="right"/>
            </w:pPr>
            <w:r>
              <w:rPr>
                <w:color w:val="000000"/>
                <w:sz w:val="21"/>
              </w:rPr>
              <w:t>7.91</w:t>
            </w:r>
          </w:p>
        </w:tc>
      </w:tr>
      <w:tr w:rsidR="0049111A">
        <w:tc>
          <w:tcPr>
            <w:tcW w:w="817" w:type="dxa"/>
            <w:vAlign w:val="center"/>
          </w:tcPr>
          <w:p w:rsidR="0049111A" w:rsidRDefault="00CE4D5E">
            <w:pPr>
              <w:jc w:val="center"/>
            </w:pPr>
            <w:r>
              <w:rPr>
                <w:color w:val="000000"/>
                <w:sz w:val="21"/>
              </w:rPr>
              <w:t>3</w:t>
            </w:r>
          </w:p>
        </w:tc>
        <w:tc>
          <w:tcPr>
            <w:tcW w:w="1276" w:type="dxa"/>
            <w:vAlign w:val="center"/>
          </w:tcPr>
          <w:p w:rsidR="0049111A" w:rsidRDefault="00CE4D5E">
            <w:pPr>
              <w:jc w:val="center"/>
            </w:pPr>
            <w:r>
              <w:rPr>
                <w:color w:val="000000"/>
                <w:sz w:val="21"/>
              </w:rPr>
              <w:t>136317</w:t>
            </w:r>
          </w:p>
        </w:tc>
        <w:tc>
          <w:tcPr>
            <w:tcW w:w="1559" w:type="dxa"/>
            <w:vAlign w:val="center"/>
          </w:tcPr>
          <w:p w:rsidR="0049111A" w:rsidRDefault="00CE4D5E">
            <w:pPr>
              <w:jc w:val="center"/>
            </w:pPr>
            <w:r>
              <w:rPr>
                <w:color w:val="000000"/>
                <w:sz w:val="21"/>
              </w:rPr>
              <w:t>15</w:t>
            </w:r>
            <w:r>
              <w:rPr>
                <w:color w:val="000000"/>
                <w:sz w:val="21"/>
              </w:rPr>
              <w:t>智慧</w:t>
            </w:r>
            <w:r>
              <w:rPr>
                <w:color w:val="000000"/>
                <w:sz w:val="21"/>
              </w:rPr>
              <w:t>01</w:t>
            </w:r>
          </w:p>
        </w:tc>
        <w:tc>
          <w:tcPr>
            <w:tcW w:w="1418" w:type="dxa"/>
            <w:vAlign w:val="center"/>
          </w:tcPr>
          <w:p w:rsidR="0049111A" w:rsidRDefault="00CE4D5E">
            <w:pPr>
              <w:jc w:val="right"/>
            </w:pPr>
            <w:r>
              <w:rPr>
                <w:color w:val="000000"/>
                <w:sz w:val="21"/>
              </w:rPr>
              <w:t>300,000</w:t>
            </w:r>
          </w:p>
        </w:tc>
        <w:tc>
          <w:tcPr>
            <w:tcW w:w="2268" w:type="dxa"/>
            <w:vAlign w:val="center"/>
          </w:tcPr>
          <w:p w:rsidR="0049111A" w:rsidRDefault="00CE4D5E">
            <w:pPr>
              <w:jc w:val="right"/>
            </w:pPr>
            <w:r>
              <w:rPr>
                <w:color w:val="000000"/>
                <w:sz w:val="21"/>
              </w:rPr>
              <w:t>29,598,000.00</w:t>
            </w:r>
          </w:p>
        </w:tc>
        <w:tc>
          <w:tcPr>
            <w:tcW w:w="1190" w:type="dxa"/>
            <w:vAlign w:val="center"/>
          </w:tcPr>
          <w:p w:rsidR="0049111A" w:rsidRDefault="00CE4D5E">
            <w:pPr>
              <w:jc w:val="right"/>
            </w:pPr>
            <w:r>
              <w:rPr>
                <w:color w:val="000000"/>
                <w:sz w:val="21"/>
              </w:rPr>
              <w:t>7.81</w:t>
            </w:r>
          </w:p>
        </w:tc>
      </w:tr>
      <w:tr w:rsidR="0049111A">
        <w:tc>
          <w:tcPr>
            <w:tcW w:w="817" w:type="dxa"/>
            <w:vAlign w:val="center"/>
          </w:tcPr>
          <w:p w:rsidR="0049111A" w:rsidRDefault="00CE4D5E">
            <w:pPr>
              <w:jc w:val="center"/>
            </w:pPr>
            <w:r>
              <w:rPr>
                <w:color w:val="000000"/>
                <w:sz w:val="21"/>
              </w:rPr>
              <w:t>4</w:t>
            </w:r>
          </w:p>
        </w:tc>
        <w:tc>
          <w:tcPr>
            <w:tcW w:w="1276" w:type="dxa"/>
            <w:vAlign w:val="center"/>
          </w:tcPr>
          <w:p w:rsidR="0049111A" w:rsidRDefault="00CE4D5E">
            <w:pPr>
              <w:jc w:val="center"/>
            </w:pPr>
            <w:r>
              <w:rPr>
                <w:color w:val="000000"/>
                <w:sz w:val="21"/>
              </w:rPr>
              <w:t>112494</w:t>
            </w:r>
          </w:p>
        </w:tc>
        <w:tc>
          <w:tcPr>
            <w:tcW w:w="1559" w:type="dxa"/>
            <w:vAlign w:val="center"/>
          </w:tcPr>
          <w:p w:rsidR="0049111A" w:rsidRDefault="00CE4D5E">
            <w:pPr>
              <w:jc w:val="center"/>
            </w:pPr>
            <w:r>
              <w:rPr>
                <w:color w:val="000000"/>
                <w:sz w:val="21"/>
              </w:rPr>
              <w:t>16</w:t>
            </w:r>
            <w:r>
              <w:rPr>
                <w:color w:val="000000"/>
                <w:sz w:val="21"/>
              </w:rPr>
              <w:t>凯迪</w:t>
            </w:r>
            <w:r>
              <w:rPr>
                <w:color w:val="000000"/>
                <w:sz w:val="21"/>
              </w:rPr>
              <w:t>03</w:t>
            </w:r>
          </w:p>
        </w:tc>
        <w:tc>
          <w:tcPr>
            <w:tcW w:w="1418" w:type="dxa"/>
            <w:vAlign w:val="center"/>
          </w:tcPr>
          <w:p w:rsidR="0049111A" w:rsidRDefault="00CE4D5E">
            <w:pPr>
              <w:jc w:val="right"/>
            </w:pPr>
            <w:r>
              <w:rPr>
                <w:color w:val="000000"/>
                <w:sz w:val="21"/>
              </w:rPr>
              <w:t>300,000</w:t>
            </w:r>
          </w:p>
        </w:tc>
        <w:tc>
          <w:tcPr>
            <w:tcW w:w="2268" w:type="dxa"/>
            <w:vAlign w:val="center"/>
          </w:tcPr>
          <w:p w:rsidR="0049111A" w:rsidRDefault="00CE4D5E">
            <w:pPr>
              <w:jc w:val="right"/>
            </w:pPr>
            <w:r>
              <w:rPr>
                <w:color w:val="000000"/>
                <w:sz w:val="21"/>
              </w:rPr>
              <w:t>29,517,000.00</w:t>
            </w:r>
          </w:p>
        </w:tc>
        <w:tc>
          <w:tcPr>
            <w:tcW w:w="1190" w:type="dxa"/>
            <w:vAlign w:val="center"/>
          </w:tcPr>
          <w:p w:rsidR="0049111A" w:rsidRDefault="00CE4D5E">
            <w:pPr>
              <w:jc w:val="right"/>
            </w:pPr>
            <w:r>
              <w:rPr>
                <w:color w:val="000000"/>
                <w:sz w:val="21"/>
              </w:rPr>
              <w:t>7.79</w:t>
            </w:r>
          </w:p>
        </w:tc>
      </w:tr>
      <w:tr w:rsidR="0049111A">
        <w:tc>
          <w:tcPr>
            <w:tcW w:w="817" w:type="dxa"/>
            <w:vAlign w:val="center"/>
          </w:tcPr>
          <w:p w:rsidR="0049111A" w:rsidRDefault="00CE4D5E">
            <w:pPr>
              <w:jc w:val="center"/>
            </w:pPr>
            <w:r>
              <w:rPr>
                <w:color w:val="000000"/>
                <w:sz w:val="21"/>
              </w:rPr>
              <w:t>5</w:t>
            </w:r>
          </w:p>
        </w:tc>
        <w:tc>
          <w:tcPr>
            <w:tcW w:w="1276" w:type="dxa"/>
            <w:vAlign w:val="center"/>
          </w:tcPr>
          <w:p w:rsidR="0049111A" w:rsidRDefault="00CE4D5E">
            <w:pPr>
              <w:jc w:val="center"/>
            </w:pPr>
            <w:r>
              <w:rPr>
                <w:color w:val="000000"/>
                <w:sz w:val="21"/>
              </w:rPr>
              <w:t>136329</w:t>
            </w:r>
          </w:p>
        </w:tc>
        <w:tc>
          <w:tcPr>
            <w:tcW w:w="1559" w:type="dxa"/>
            <w:vAlign w:val="center"/>
          </w:tcPr>
          <w:p w:rsidR="0049111A" w:rsidRDefault="00CE4D5E">
            <w:pPr>
              <w:jc w:val="center"/>
            </w:pPr>
            <w:r>
              <w:rPr>
                <w:color w:val="000000"/>
                <w:sz w:val="21"/>
              </w:rPr>
              <w:t>16</w:t>
            </w:r>
            <w:r>
              <w:rPr>
                <w:color w:val="000000"/>
                <w:sz w:val="21"/>
              </w:rPr>
              <w:t>国美</w:t>
            </w:r>
            <w:r>
              <w:rPr>
                <w:color w:val="000000"/>
                <w:sz w:val="21"/>
              </w:rPr>
              <w:t>03</w:t>
            </w:r>
          </w:p>
        </w:tc>
        <w:tc>
          <w:tcPr>
            <w:tcW w:w="1418" w:type="dxa"/>
            <w:vAlign w:val="center"/>
          </w:tcPr>
          <w:p w:rsidR="0049111A" w:rsidRDefault="00CE4D5E">
            <w:pPr>
              <w:jc w:val="right"/>
            </w:pPr>
            <w:r>
              <w:rPr>
                <w:color w:val="000000"/>
                <w:sz w:val="21"/>
              </w:rPr>
              <w:t>300,000</w:t>
            </w:r>
          </w:p>
        </w:tc>
        <w:tc>
          <w:tcPr>
            <w:tcW w:w="2268" w:type="dxa"/>
            <w:vAlign w:val="center"/>
          </w:tcPr>
          <w:p w:rsidR="0049111A" w:rsidRDefault="00CE4D5E">
            <w:pPr>
              <w:jc w:val="right"/>
            </w:pPr>
            <w:r>
              <w:rPr>
                <w:color w:val="000000"/>
                <w:sz w:val="21"/>
              </w:rPr>
              <w:t>29,322,000.00</w:t>
            </w:r>
          </w:p>
        </w:tc>
        <w:tc>
          <w:tcPr>
            <w:tcW w:w="1190" w:type="dxa"/>
            <w:vAlign w:val="center"/>
          </w:tcPr>
          <w:p w:rsidR="0049111A" w:rsidRDefault="00CE4D5E">
            <w:pPr>
              <w:jc w:val="right"/>
            </w:pPr>
            <w:r>
              <w:rPr>
                <w:color w:val="000000"/>
                <w:sz w:val="21"/>
              </w:rPr>
              <w:t>7.74</w:t>
            </w:r>
          </w:p>
        </w:tc>
      </w:tr>
    </w:tbl>
    <w:p w:rsidR="00937387" w:rsidRPr="004C4C9E" w:rsidRDefault="003E621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6</w:t>
      </w:r>
      <w:r w:rsidR="00937387" w:rsidRPr="004C4C9E">
        <w:rPr>
          <w:b/>
          <w:color w:val="000000"/>
          <w:kern w:val="0"/>
        </w:rPr>
        <w:t>报告期末按公允价值占基金资产净值比例大小排序的前十名资产支持证券投资明细</w:t>
      </w:r>
    </w:p>
    <w:p w:rsidR="00937387" w:rsidRPr="004C4C9E" w:rsidRDefault="00937387"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本基金本报告期末未持有资产支持证券。</w:t>
      </w:r>
    </w:p>
    <w:p w:rsidR="00937387" w:rsidRPr="004C4C9E" w:rsidRDefault="003E621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7</w:t>
      </w:r>
      <w:r w:rsidR="00937387" w:rsidRPr="004C4C9E">
        <w:rPr>
          <w:b/>
          <w:color w:val="000000"/>
          <w:kern w:val="0"/>
        </w:rPr>
        <w:t>报告期末按公允价值占基金资产净值比例大小排序的前五名贵金属投资明细</w:t>
      </w:r>
    </w:p>
    <w:p w:rsidR="00937387" w:rsidRPr="004C4C9E" w:rsidRDefault="00937387" w:rsidP="004C4C9E">
      <w:pPr>
        <w:autoSpaceDE w:val="0"/>
        <w:autoSpaceDN w:val="0"/>
        <w:adjustRightInd w:val="0"/>
        <w:spacing w:line="360" w:lineRule="auto"/>
        <w:ind w:firstLineChars="100" w:firstLine="210"/>
        <w:jc w:val="left"/>
        <w:rPr>
          <w:color w:val="000000"/>
        </w:rPr>
      </w:pPr>
      <w:r w:rsidRPr="004C4C9E">
        <w:rPr>
          <w:color w:val="000000"/>
          <w:kern w:val="0"/>
        </w:rPr>
        <w:t>本基金本报告期末未持有贵金属。</w:t>
      </w:r>
    </w:p>
    <w:p w:rsidR="00937387" w:rsidRPr="004C4C9E" w:rsidRDefault="003E621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8</w:t>
      </w:r>
      <w:r w:rsidR="00937387" w:rsidRPr="004C4C9E">
        <w:rPr>
          <w:b/>
          <w:color w:val="000000"/>
          <w:kern w:val="0"/>
        </w:rPr>
        <w:t>报告期末按公允价值占基金资产净值比例大小排序的前五名权证投资明细</w:t>
      </w:r>
    </w:p>
    <w:p w:rsidR="00937387" w:rsidRPr="004C4C9E" w:rsidRDefault="00937387" w:rsidP="004C4C9E">
      <w:pPr>
        <w:autoSpaceDE w:val="0"/>
        <w:autoSpaceDN w:val="0"/>
        <w:adjustRightInd w:val="0"/>
        <w:spacing w:line="360" w:lineRule="auto"/>
        <w:ind w:firstLineChars="100" w:firstLine="210"/>
        <w:jc w:val="left"/>
        <w:rPr>
          <w:color w:val="000000"/>
          <w:kern w:val="0"/>
        </w:rPr>
      </w:pPr>
      <w:r w:rsidRPr="004C4C9E">
        <w:rPr>
          <w:color w:val="000000"/>
          <w:kern w:val="0"/>
        </w:rPr>
        <w:t>本基金本报告期末未持有权证。</w:t>
      </w:r>
    </w:p>
    <w:p w:rsidR="00937387" w:rsidRPr="004C4C9E" w:rsidRDefault="003E621F"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 xml:space="preserve">9 </w:t>
      </w:r>
      <w:r w:rsidR="00937387" w:rsidRPr="004C4C9E">
        <w:rPr>
          <w:b/>
          <w:color w:val="000000"/>
          <w:kern w:val="0"/>
        </w:rPr>
        <w:t>报告期末本基金投资的股指期货交易情况说明</w:t>
      </w:r>
    </w:p>
    <w:p w:rsidR="00937387" w:rsidRPr="004C4C9E" w:rsidRDefault="003E621F" w:rsidP="004C4C9E">
      <w:pPr>
        <w:autoSpaceDE w:val="0"/>
        <w:autoSpaceDN w:val="0"/>
        <w:adjustRightInd w:val="0"/>
        <w:spacing w:line="360" w:lineRule="auto"/>
        <w:ind w:left="17"/>
        <w:jc w:val="left"/>
        <w:rPr>
          <w:b/>
          <w:color w:val="000000"/>
          <w:kern w:val="0"/>
        </w:rPr>
      </w:pPr>
      <w:r>
        <w:rPr>
          <w:rFonts w:hint="eastAsia"/>
          <w:b/>
          <w:color w:val="000000"/>
          <w:kern w:val="0"/>
        </w:rPr>
        <w:t>5.2.</w:t>
      </w:r>
      <w:r>
        <w:rPr>
          <w:rFonts w:hint="eastAsia"/>
          <w:b/>
          <w:color w:val="000000"/>
          <w:kern w:val="0"/>
          <w:sz w:val="23"/>
        </w:rPr>
        <w:t>9.1</w:t>
      </w:r>
      <w:r w:rsidR="00937387" w:rsidRPr="004C4C9E">
        <w:rPr>
          <w:b/>
          <w:color w:val="000000"/>
          <w:kern w:val="0"/>
        </w:rPr>
        <w:t>报告期末本基金投资的股指期货持仓和损益明细</w:t>
      </w:r>
    </w:p>
    <w:p w:rsidR="00937387" w:rsidRPr="004C4C9E" w:rsidRDefault="00937387" w:rsidP="004C4C9E">
      <w:pPr>
        <w:autoSpaceDE w:val="0"/>
        <w:autoSpaceDN w:val="0"/>
        <w:adjustRightInd w:val="0"/>
        <w:spacing w:line="360" w:lineRule="auto"/>
        <w:ind w:firstLineChars="150" w:firstLine="315"/>
        <w:jc w:val="left"/>
        <w:rPr>
          <w:color w:val="000000"/>
          <w:kern w:val="0"/>
        </w:rPr>
      </w:pPr>
      <w:r w:rsidRPr="004C4C9E">
        <w:rPr>
          <w:color w:val="000000"/>
          <w:kern w:val="0"/>
        </w:rPr>
        <w:t>本基金报告期内未参与股指期货投资。</w:t>
      </w:r>
    </w:p>
    <w:p w:rsidR="00937387" w:rsidRPr="004C4C9E" w:rsidRDefault="001331F0"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9.2</w:t>
      </w:r>
      <w:r w:rsidR="00937387" w:rsidRPr="004C4C9E">
        <w:rPr>
          <w:b/>
          <w:color w:val="000000"/>
          <w:kern w:val="0"/>
        </w:rPr>
        <w:t>本基金投资股指期货的投资政策</w:t>
      </w:r>
    </w:p>
    <w:p w:rsidR="00937387" w:rsidRPr="004C4C9E" w:rsidRDefault="00937387" w:rsidP="004C4C9E">
      <w:pPr>
        <w:adjustRightInd w:val="0"/>
        <w:spacing w:before="29" w:line="360" w:lineRule="auto"/>
        <w:ind w:firstLineChars="150" w:firstLine="315"/>
        <w:rPr>
          <w:bCs/>
          <w:color w:val="000000"/>
        </w:rPr>
      </w:pPr>
      <w:r w:rsidRPr="004C4C9E">
        <w:rPr>
          <w:bCs/>
          <w:color w:val="000000"/>
        </w:rPr>
        <w:t>本基金投资范围未包括股指期货，无相关投资政策。</w:t>
      </w:r>
    </w:p>
    <w:p w:rsidR="00937387" w:rsidRPr="004C4C9E" w:rsidRDefault="001331F0"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10</w:t>
      </w:r>
      <w:r w:rsidR="00937387" w:rsidRPr="004C4C9E">
        <w:rPr>
          <w:b/>
          <w:color w:val="000000"/>
          <w:kern w:val="0"/>
        </w:rPr>
        <w:t>报告期末本基金投资的国债期货交易情况说明</w:t>
      </w:r>
    </w:p>
    <w:p w:rsidR="00937387" w:rsidRPr="004C4C9E" w:rsidRDefault="0042220B" w:rsidP="004C4C9E">
      <w:pPr>
        <w:autoSpaceDE w:val="0"/>
        <w:autoSpaceDN w:val="0"/>
        <w:adjustRightInd w:val="0"/>
        <w:spacing w:line="360" w:lineRule="auto"/>
        <w:ind w:left="17"/>
        <w:jc w:val="left"/>
        <w:rPr>
          <w:b/>
          <w:color w:val="000000"/>
          <w:kern w:val="0"/>
        </w:rPr>
      </w:pPr>
      <w:r>
        <w:rPr>
          <w:rFonts w:hint="eastAsia"/>
          <w:b/>
          <w:color w:val="000000"/>
          <w:kern w:val="0"/>
        </w:rPr>
        <w:t>5.2.</w:t>
      </w:r>
      <w:r>
        <w:rPr>
          <w:rFonts w:hint="eastAsia"/>
          <w:b/>
          <w:color w:val="000000"/>
          <w:kern w:val="0"/>
          <w:sz w:val="23"/>
        </w:rPr>
        <w:t>10.1</w:t>
      </w:r>
      <w:r w:rsidR="00937387" w:rsidRPr="004C4C9E">
        <w:rPr>
          <w:b/>
          <w:color w:val="000000"/>
          <w:kern w:val="0"/>
        </w:rPr>
        <w:t>本期国债期货投资政策</w:t>
      </w:r>
    </w:p>
    <w:p w:rsidR="00937387" w:rsidRPr="004C4C9E" w:rsidRDefault="00937387" w:rsidP="004C4C9E">
      <w:pPr>
        <w:adjustRightInd w:val="0"/>
        <w:spacing w:before="29" w:line="360" w:lineRule="auto"/>
        <w:ind w:firstLineChars="150" w:firstLine="315"/>
        <w:rPr>
          <w:bCs/>
          <w:color w:val="000000"/>
        </w:rPr>
      </w:pPr>
      <w:r w:rsidRPr="004C4C9E">
        <w:rPr>
          <w:bCs/>
          <w:color w:val="000000"/>
        </w:rPr>
        <w:t>本基金投资范围未包括国债期货，无相关投资政策。</w:t>
      </w:r>
    </w:p>
    <w:p w:rsidR="00937387" w:rsidRPr="004C4C9E" w:rsidRDefault="0042220B"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10.2</w:t>
      </w:r>
      <w:r w:rsidR="00937387" w:rsidRPr="004C4C9E">
        <w:rPr>
          <w:b/>
          <w:color w:val="000000"/>
          <w:kern w:val="0"/>
        </w:rPr>
        <w:t>报告期末本基金投资的国债期货持仓和损益明细</w:t>
      </w:r>
    </w:p>
    <w:p w:rsidR="00937387" w:rsidRPr="004C4C9E" w:rsidRDefault="00937387" w:rsidP="004C4C9E">
      <w:pPr>
        <w:autoSpaceDE w:val="0"/>
        <w:autoSpaceDN w:val="0"/>
        <w:adjustRightInd w:val="0"/>
        <w:spacing w:line="360" w:lineRule="auto"/>
        <w:ind w:firstLineChars="150" w:firstLine="315"/>
        <w:jc w:val="left"/>
        <w:rPr>
          <w:color w:val="000000"/>
          <w:kern w:val="0"/>
        </w:rPr>
      </w:pPr>
      <w:r w:rsidRPr="004C4C9E">
        <w:rPr>
          <w:color w:val="000000"/>
          <w:kern w:val="0"/>
        </w:rPr>
        <w:t>本基金报告期内未参与国债期货投资。</w:t>
      </w:r>
    </w:p>
    <w:p w:rsidR="00937387" w:rsidRPr="004C4C9E" w:rsidRDefault="0042220B"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10.3</w:t>
      </w:r>
      <w:r w:rsidR="00937387" w:rsidRPr="004C4C9E">
        <w:rPr>
          <w:b/>
          <w:color w:val="000000"/>
          <w:kern w:val="0"/>
        </w:rPr>
        <w:t>本期国债期货投资评价</w:t>
      </w:r>
    </w:p>
    <w:p w:rsidR="00937387" w:rsidRPr="004C4C9E" w:rsidRDefault="00937387" w:rsidP="004C4C9E">
      <w:pPr>
        <w:adjustRightInd w:val="0"/>
        <w:spacing w:before="29" w:line="360" w:lineRule="auto"/>
        <w:ind w:firstLineChars="150" w:firstLine="315"/>
        <w:rPr>
          <w:bCs/>
          <w:color w:val="000000"/>
        </w:rPr>
      </w:pPr>
      <w:r w:rsidRPr="004C4C9E">
        <w:rPr>
          <w:bCs/>
          <w:color w:val="000000"/>
        </w:rPr>
        <w:t>本基金报告期内未参与国债期货投资，无相关投资评价。</w:t>
      </w:r>
    </w:p>
    <w:p w:rsidR="00937387" w:rsidRPr="004C4C9E" w:rsidRDefault="0042220B"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11</w:t>
      </w:r>
      <w:r w:rsidR="00937387" w:rsidRPr="004C4C9E">
        <w:rPr>
          <w:b/>
          <w:color w:val="000000"/>
          <w:kern w:val="0"/>
        </w:rPr>
        <w:t>投资组合报告附注</w:t>
      </w:r>
    </w:p>
    <w:p w:rsidR="00937387" w:rsidRPr="004C4C9E" w:rsidRDefault="00D74BBD" w:rsidP="004C4C9E">
      <w:pPr>
        <w:autoSpaceDE w:val="0"/>
        <w:autoSpaceDN w:val="0"/>
        <w:adjustRightInd w:val="0"/>
        <w:spacing w:before="29" w:line="360" w:lineRule="auto"/>
        <w:ind w:left="15"/>
        <w:jc w:val="left"/>
        <w:rPr>
          <w:color w:val="000000"/>
          <w:kern w:val="0"/>
        </w:rPr>
      </w:pPr>
      <w:r w:rsidRPr="00D74BBD">
        <w:rPr>
          <w:rFonts w:hint="eastAsia"/>
          <w:color w:val="000000"/>
          <w:kern w:val="0"/>
        </w:rPr>
        <w:t>5.2.</w:t>
      </w:r>
      <w:r w:rsidRPr="00D74BBD">
        <w:rPr>
          <w:rFonts w:hint="eastAsia"/>
          <w:color w:val="000000"/>
          <w:kern w:val="0"/>
          <w:sz w:val="23"/>
        </w:rPr>
        <w:t>11.1</w:t>
      </w:r>
      <w:r w:rsidR="00937387" w:rsidRPr="004C4C9E">
        <w:rPr>
          <w:color w:val="000000"/>
          <w:kern w:val="0"/>
        </w:rPr>
        <w:t>本基金投资的前十名证券的发行主体本期没有出现被监管部门立案调查，或在报告编制日前一年内受到公开谴责、处罚的情形。</w:t>
      </w:r>
    </w:p>
    <w:p w:rsidR="00937387" w:rsidRPr="004C4C9E" w:rsidRDefault="00D74BBD" w:rsidP="004C4C9E">
      <w:pPr>
        <w:autoSpaceDE w:val="0"/>
        <w:autoSpaceDN w:val="0"/>
        <w:adjustRightInd w:val="0"/>
        <w:spacing w:before="29" w:line="360" w:lineRule="auto"/>
        <w:ind w:left="15"/>
        <w:jc w:val="left"/>
        <w:rPr>
          <w:color w:val="000000"/>
          <w:kern w:val="0"/>
        </w:rPr>
      </w:pPr>
      <w:r w:rsidRPr="00CD4211">
        <w:rPr>
          <w:rFonts w:hint="eastAsia"/>
          <w:color w:val="000000"/>
          <w:kern w:val="0"/>
        </w:rPr>
        <w:t>5.2.</w:t>
      </w:r>
      <w:r w:rsidRPr="00CD4211">
        <w:rPr>
          <w:rFonts w:hint="eastAsia"/>
          <w:color w:val="000000"/>
          <w:kern w:val="0"/>
          <w:sz w:val="23"/>
        </w:rPr>
        <w:t>11.2</w:t>
      </w:r>
      <w:r w:rsidR="00937387" w:rsidRPr="004C4C9E">
        <w:rPr>
          <w:color w:val="000000"/>
          <w:kern w:val="0"/>
        </w:rPr>
        <w:t>本基金投资的前十名股票没有超出基金合同规定的备选股票库。</w:t>
      </w:r>
    </w:p>
    <w:p w:rsidR="00937387" w:rsidRPr="004C4C9E" w:rsidRDefault="00346F8D" w:rsidP="0078114E">
      <w:pPr>
        <w:autoSpaceDE w:val="0"/>
        <w:autoSpaceDN w:val="0"/>
        <w:adjustRightInd w:val="0"/>
        <w:spacing w:line="360" w:lineRule="auto"/>
        <w:ind w:left="17"/>
        <w:jc w:val="left"/>
        <w:rPr>
          <w:b/>
          <w:color w:val="000000"/>
          <w:kern w:val="0"/>
        </w:rPr>
      </w:pPr>
      <w:r>
        <w:rPr>
          <w:rFonts w:hint="eastAsia"/>
          <w:b/>
          <w:color w:val="000000"/>
          <w:kern w:val="0"/>
        </w:rPr>
        <w:t>5.2.</w:t>
      </w:r>
      <w:r>
        <w:rPr>
          <w:rFonts w:hint="eastAsia"/>
          <w:b/>
          <w:color w:val="000000"/>
          <w:kern w:val="0"/>
          <w:sz w:val="23"/>
        </w:rPr>
        <w:t>11.3</w:t>
      </w:r>
      <w:r w:rsidR="00937387" w:rsidRPr="004C4C9E">
        <w:rPr>
          <w:b/>
          <w:color w:val="000000"/>
          <w:kern w:val="0"/>
        </w:rPr>
        <w:t>其他各项资产构成</w:t>
      </w:r>
    </w:p>
    <w:tbl>
      <w:tblPr>
        <w:tblStyle w:val="af7"/>
        <w:tblW w:w="0" w:type="auto"/>
        <w:tblInd w:w="15" w:type="dxa"/>
        <w:tblLook w:val="04A0"/>
      </w:tblPr>
      <w:tblGrid>
        <w:gridCol w:w="1235"/>
        <w:gridCol w:w="2470"/>
        <w:gridCol w:w="4808"/>
      </w:tblGrid>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2470"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名称</w:t>
            </w:r>
          </w:p>
        </w:tc>
        <w:tc>
          <w:tcPr>
            <w:tcW w:w="4808"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金额</w:t>
            </w:r>
            <w:r w:rsidRPr="004C4C9E">
              <w:rPr>
                <w:color w:val="000000"/>
                <w:sz w:val="21"/>
              </w:rPr>
              <w:t>(</w:t>
            </w:r>
            <w:r w:rsidRPr="004C4C9E">
              <w:rPr>
                <w:color w:val="000000"/>
                <w:sz w:val="21"/>
              </w:rPr>
              <w:t>元</w:t>
            </w:r>
            <w:r w:rsidRPr="004C4C9E">
              <w:rPr>
                <w:color w:val="000000"/>
                <w:sz w:val="21"/>
              </w:rPr>
              <w:t>)</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1</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存出保证金</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118,514.21</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2</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应收证券清算款</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58,680,544.30</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3</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应收股利</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4</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应收利息</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12,645,314.65</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5</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应收申购款</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6</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其他应收款</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7</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待摊费用</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11,616.28</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8</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其他</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w:t>
            </w:r>
          </w:p>
        </w:tc>
      </w:tr>
      <w:tr w:rsidR="00937387" w:rsidRPr="004C4C9E" w:rsidTr="00496743">
        <w:tc>
          <w:tcPr>
            <w:tcW w:w="1235"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9</w:t>
            </w:r>
          </w:p>
        </w:tc>
        <w:tc>
          <w:tcPr>
            <w:tcW w:w="2470" w:type="dxa"/>
            <w:vAlign w:val="center"/>
          </w:tcPr>
          <w:p w:rsidR="00937387" w:rsidRPr="004C4C9E" w:rsidRDefault="00937387" w:rsidP="004C4C9E">
            <w:pPr>
              <w:autoSpaceDE w:val="0"/>
              <w:autoSpaceDN w:val="0"/>
              <w:adjustRightInd w:val="0"/>
              <w:spacing w:before="29" w:line="276" w:lineRule="auto"/>
              <w:ind w:left="15"/>
              <w:rPr>
                <w:color w:val="000000"/>
                <w:sz w:val="21"/>
              </w:rPr>
            </w:pPr>
            <w:r w:rsidRPr="004C4C9E">
              <w:rPr>
                <w:color w:val="000000"/>
                <w:sz w:val="21"/>
              </w:rPr>
              <w:t>合计</w:t>
            </w:r>
          </w:p>
        </w:tc>
        <w:tc>
          <w:tcPr>
            <w:tcW w:w="4808" w:type="dxa"/>
            <w:vAlign w:val="center"/>
          </w:tcPr>
          <w:p w:rsidR="00937387" w:rsidRPr="004C4C9E" w:rsidRDefault="00937387" w:rsidP="004C4C9E">
            <w:pPr>
              <w:autoSpaceDE w:val="0"/>
              <w:autoSpaceDN w:val="0"/>
              <w:adjustRightInd w:val="0"/>
              <w:spacing w:before="29" w:line="276" w:lineRule="auto"/>
              <w:ind w:left="15"/>
              <w:jc w:val="right"/>
              <w:rPr>
                <w:color w:val="000000"/>
                <w:sz w:val="21"/>
              </w:rPr>
            </w:pPr>
            <w:r w:rsidRPr="004C4C9E">
              <w:rPr>
                <w:color w:val="000000"/>
                <w:sz w:val="21"/>
              </w:rPr>
              <w:t>71,455,989.44</w:t>
            </w:r>
          </w:p>
        </w:tc>
      </w:tr>
    </w:tbl>
    <w:p w:rsidR="00937387" w:rsidRPr="004C4C9E" w:rsidRDefault="005E7D52"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11.4</w:t>
      </w:r>
      <w:r w:rsidR="00937387" w:rsidRPr="004C4C9E">
        <w:rPr>
          <w:b/>
          <w:color w:val="000000"/>
          <w:kern w:val="0"/>
        </w:rPr>
        <w:t>报告期末持有的处于转股期的可转换债券明细</w:t>
      </w:r>
    </w:p>
    <w:tbl>
      <w:tblPr>
        <w:tblStyle w:val="af7"/>
        <w:tblW w:w="0" w:type="auto"/>
        <w:tblInd w:w="15" w:type="dxa"/>
        <w:tblLayout w:type="fixed"/>
        <w:tblLook w:val="04A0"/>
      </w:tblPr>
      <w:tblGrid>
        <w:gridCol w:w="1808"/>
        <w:gridCol w:w="1729"/>
        <w:gridCol w:w="1658"/>
        <w:gridCol w:w="1697"/>
        <w:gridCol w:w="1621"/>
      </w:tblGrid>
      <w:tr w:rsidR="00937387" w:rsidRPr="004C4C9E" w:rsidTr="00496743">
        <w:tc>
          <w:tcPr>
            <w:tcW w:w="1808"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序号</w:t>
            </w:r>
          </w:p>
        </w:tc>
        <w:tc>
          <w:tcPr>
            <w:tcW w:w="1729"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债券代码</w:t>
            </w:r>
          </w:p>
        </w:tc>
        <w:tc>
          <w:tcPr>
            <w:tcW w:w="1658"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债券名称</w:t>
            </w:r>
          </w:p>
        </w:tc>
        <w:tc>
          <w:tcPr>
            <w:tcW w:w="1697"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公允价值</w:t>
            </w:r>
            <w:r w:rsidRPr="004C4C9E">
              <w:rPr>
                <w:color w:val="000000"/>
                <w:sz w:val="21"/>
              </w:rPr>
              <w:t>(</w:t>
            </w:r>
            <w:r w:rsidRPr="004C4C9E">
              <w:rPr>
                <w:color w:val="000000"/>
                <w:sz w:val="21"/>
              </w:rPr>
              <w:t>元</w:t>
            </w:r>
            <w:r w:rsidRPr="004C4C9E">
              <w:rPr>
                <w:color w:val="000000"/>
                <w:sz w:val="21"/>
              </w:rPr>
              <w:t>)</w:t>
            </w:r>
          </w:p>
        </w:tc>
        <w:tc>
          <w:tcPr>
            <w:tcW w:w="1621" w:type="dxa"/>
            <w:vAlign w:val="center"/>
          </w:tcPr>
          <w:p w:rsidR="00937387" w:rsidRPr="004C4C9E" w:rsidRDefault="00937387" w:rsidP="004C4C9E">
            <w:pPr>
              <w:autoSpaceDE w:val="0"/>
              <w:autoSpaceDN w:val="0"/>
              <w:adjustRightInd w:val="0"/>
              <w:spacing w:before="29" w:line="276" w:lineRule="auto"/>
              <w:ind w:left="15"/>
              <w:jc w:val="center"/>
              <w:rPr>
                <w:color w:val="000000"/>
                <w:sz w:val="21"/>
              </w:rPr>
            </w:pPr>
            <w:r w:rsidRPr="004C4C9E">
              <w:rPr>
                <w:color w:val="000000"/>
                <w:sz w:val="21"/>
              </w:rPr>
              <w:t>占基金资产净值比例</w:t>
            </w:r>
            <w:r w:rsidRPr="004C4C9E">
              <w:rPr>
                <w:color w:val="000000"/>
                <w:sz w:val="21"/>
              </w:rPr>
              <w:t>(%)</w:t>
            </w:r>
          </w:p>
        </w:tc>
      </w:tr>
      <w:tr w:rsidR="0049111A">
        <w:tc>
          <w:tcPr>
            <w:tcW w:w="1808" w:type="dxa"/>
            <w:vAlign w:val="center"/>
          </w:tcPr>
          <w:p w:rsidR="0049111A" w:rsidRDefault="00CE4D5E">
            <w:pPr>
              <w:jc w:val="center"/>
            </w:pPr>
            <w:r>
              <w:rPr>
                <w:color w:val="000000"/>
                <w:sz w:val="21"/>
              </w:rPr>
              <w:t>1</w:t>
            </w:r>
          </w:p>
        </w:tc>
        <w:tc>
          <w:tcPr>
            <w:tcW w:w="1729" w:type="dxa"/>
            <w:vAlign w:val="center"/>
          </w:tcPr>
          <w:p w:rsidR="0049111A" w:rsidRDefault="00CE4D5E">
            <w:pPr>
              <w:jc w:val="center"/>
            </w:pPr>
            <w:r>
              <w:rPr>
                <w:color w:val="000000"/>
                <w:sz w:val="21"/>
              </w:rPr>
              <w:t>113008</w:t>
            </w:r>
          </w:p>
        </w:tc>
        <w:tc>
          <w:tcPr>
            <w:tcW w:w="1658" w:type="dxa"/>
            <w:vAlign w:val="center"/>
          </w:tcPr>
          <w:p w:rsidR="0049111A" w:rsidRDefault="00CE4D5E">
            <w:pPr>
              <w:jc w:val="center"/>
            </w:pPr>
            <w:r>
              <w:rPr>
                <w:color w:val="000000"/>
                <w:sz w:val="21"/>
              </w:rPr>
              <w:t>电气转债</w:t>
            </w:r>
          </w:p>
        </w:tc>
        <w:tc>
          <w:tcPr>
            <w:tcW w:w="1697" w:type="dxa"/>
            <w:vAlign w:val="center"/>
          </w:tcPr>
          <w:p w:rsidR="0049111A" w:rsidRDefault="00CE4D5E">
            <w:pPr>
              <w:jc w:val="right"/>
            </w:pPr>
            <w:r>
              <w:rPr>
                <w:color w:val="000000"/>
                <w:sz w:val="21"/>
              </w:rPr>
              <w:t>12,568,800.00</w:t>
            </w:r>
          </w:p>
        </w:tc>
        <w:tc>
          <w:tcPr>
            <w:tcW w:w="1621" w:type="dxa"/>
            <w:vAlign w:val="center"/>
          </w:tcPr>
          <w:p w:rsidR="0049111A" w:rsidRDefault="00CE4D5E">
            <w:pPr>
              <w:jc w:val="right"/>
            </w:pPr>
            <w:r>
              <w:rPr>
                <w:color w:val="000000"/>
                <w:sz w:val="21"/>
              </w:rPr>
              <w:t>3.32</w:t>
            </w:r>
          </w:p>
        </w:tc>
      </w:tr>
      <w:tr w:rsidR="0049111A">
        <w:tc>
          <w:tcPr>
            <w:tcW w:w="1808" w:type="dxa"/>
            <w:vAlign w:val="center"/>
          </w:tcPr>
          <w:p w:rsidR="0049111A" w:rsidRDefault="00CE4D5E">
            <w:pPr>
              <w:jc w:val="center"/>
            </w:pPr>
            <w:r>
              <w:rPr>
                <w:color w:val="000000"/>
                <w:sz w:val="21"/>
              </w:rPr>
              <w:t>2</w:t>
            </w:r>
          </w:p>
        </w:tc>
        <w:tc>
          <w:tcPr>
            <w:tcW w:w="1729" w:type="dxa"/>
            <w:vAlign w:val="center"/>
          </w:tcPr>
          <w:p w:rsidR="0049111A" w:rsidRDefault="00CE4D5E">
            <w:pPr>
              <w:jc w:val="center"/>
            </w:pPr>
            <w:r>
              <w:rPr>
                <w:color w:val="000000"/>
                <w:sz w:val="21"/>
              </w:rPr>
              <w:t>128013</w:t>
            </w:r>
          </w:p>
        </w:tc>
        <w:tc>
          <w:tcPr>
            <w:tcW w:w="1658" w:type="dxa"/>
            <w:vAlign w:val="center"/>
          </w:tcPr>
          <w:p w:rsidR="0049111A" w:rsidRDefault="00CE4D5E">
            <w:pPr>
              <w:jc w:val="center"/>
            </w:pPr>
            <w:r>
              <w:rPr>
                <w:color w:val="000000"/>
                <w:sz w:val="21"/>
              </w:rPr>
              <w:t>洪涛转债</w:t>
            </w:r>
          </w:p>
        </w:tc>
        <w:tc>
          <w:tcPr>
            <w:tcW w:w="1697" w:type="dxa"/>
            <w:vAlign w:val="center"/>
          </w:tcPr>
          <w:p w:rsidR="0049111A" w:rsidRDefault="00CE4D5E">
            <w:pPr>
              <w:jc w:val="right"/>
            </w:pPr>
            <w:r>
              <w:rPr>
                <w:color w:val="000000"/>
                <w:sz w:val="21"/>
              </w:rPr>
              <w:t>10,924,330.35</w:t>
            </w:r>
          </w:p>
        </w:tc>
        <w:tc>
          <w:tcPr>
            <w:tcW w:w="1621" w:type="dxa"/>
            <w:vAlign w:val="center"/>
          </w:tcPr>
          <w:p w:rsidR="0049111A" w:rsidRDefault="00CE4D5E">
            <w:pPr>
              <w:jc w:val="right"/>
            </w:pPr>
            <w:r>
              <w:rPr>
                <w:color w:val="000000"/>
                <w:sz w:val="21"/>
              </w:rPr>
              <w:t>2.88</w:t>
            </w:r>
          </w:p>
        </w:tc>
      </w:tr>
      <w:tr w:rsidR="0049111A">
        <w:tc>
          <w:tcPr>
            <w:tcW w:w="1808" w:type="dxa"/>
            <w:vAlign w:val="center"/>
          </w:tcPr>
          <w:p w:rsidR="0049111A" w:rsidRDefault="00CE4D5E">
            <w:pPr>
              <w:jc w:val="center"/>
            </w:pPr>
            <w:r>
              <w:rPr>
                <w:color w:val="000000"/>
                <w:sz w:val="21"/>
              </w:rPr>
              <w:t>3</w:t>
            </w:r>
          </w:p>
        </w:tc>
        <w:tc>
          <w:tcPr>
            <w:tcW w:w="1729" w:type="dxa"/>
            <w:vAlign w:val="center"/>
          </w:tcPr>
          <w:p w:rsidR="0049111A" w:rsidRDefault="00CE4D5E">
            <w:pPr>
              <w:jc w:val="center"/>
            </w:pPr>
            <w:r>
              <w:rPr>
                <w:color w:val="000000"/>
                <w:sz w:val="21"/>
              </w:rPr>
              <w:t>123001</w:t>
            </w:r>
          </w:p>
        </w:tc>
        <w:tc>
          <w:tcPr>
            <w:tcW w:w="1658" w:type="dxa"/>
            <w:vAlign w:val="center"/>
          </w:tcPr>
          <w:p w:rsidR="0049111A" w:rsidRDefault="00CE4D5E">
            <w:pPr>
              <w:jc w:val="center"/>
            </w:pPr>
            <w:r>
              <w:rPr>
                <w:color w:val="000000"/>
                <w:sz w:val="21"/>
              </w:rPr>
              <w:t>蓝标转债</w:t>
            </w:r>
          </w:p>
        </w:tc>
        <w:tc>
          <w:tcPr>
            <w:tcW w:w="1697" w:type="dxa"/>
            <w:vAlign w:val="center"/>
          </w:tcPr>
          <w:p w:rsidR="0049111A" w:rsidRDefault="00CE4D5E">
            <w:pPr>
              <w:jc w:val="right"/>
            </w:pPr>
            <w:r>
              <w:rPr>
                <w:color w:val="000000"/>
                <w:sz w:val="21"/>
              </w:rPr>
              <w:t>8,144,101.80</w:t>
            </w:r>
          </w:p>
        </w:tc>
        <w:tc>
          <w:tcPr>
            <w:tcW w:w="1621" w:type="dxa"/>
            <w:vAlign w:val="center"/>
          </w:tcPr>
          <w:p w:rsidR="0049111A" w:rsidRDefault="00CE4D5E">
            <w:pPr>
              <w:jc w:val="right"/>
            </w:pPr>
            <w:r>
              <w:rPr>
                <w:color w:val="000000"/>
                <w:sz w:val="21"/>
              </w:rPr>
              <w:t>2.15</w:t>
            </w:r>
          </w:p>
        </w:tc>
      </w:tr>
      <w:tr w:rsidR="0049111A">
        <w:tc>
          <w:tcPr>
            <w:tcW w:w="1808" w:type="dxa"/>
            <w:vAlign w:val="center"/>
          </w:tcPr>
          <w:p w:rsidR="0049111A" w:rsidRDefault="00CE4D5E">
            <w:pPr>
              <w:jc w:val="center"/>
            </w:pPr>
            <w:r>
              <w:rPr>
                <w:color w:val="000000"/>
                <w:sz w:val="21"/>
              </w:rPr>
              <w:t>4</w:t>
            </w:r>
          </w:p>
        </w:tc>
        <w:tc>
          <w:tcPr>
            <w:tcW w:w="1729" w:type="dxa"/>
            <w:vAlign w:val="center"/>
          </w:tcPr>
          <w:p w:rsidR="0049111A" w:rsidRDefault="00CE4D5E">
            <w:pPr>
              <w:jc w:val="center"/>
            </w:pPr>
            <w:r>
              <w:rPr>
                <w:color w:val="000000"/>
                <w:sz w:val="21"/>
              </w:rPr>
              <w:t>127003</w:t>
            </w:r>
          </w:p>
        </w:tc>
        <w:tc>
          <w:tcPr>
            <w:tcW w:w="1658" w:type="dxa"/>
            <w:vAlign w:val="center"/>
          </w:tcPr>
          <w:p w:rsidR="0049111A" w:rsidRDefault="00CE4D5E">
            <w:pPr>
              <w:jc w:val="center"/>
            </w:pPr>
            <w:r>
              <w:rPr>
                <w:color w:val="000000"/>
                <w:sz w:val="21"/>
              </w:rPr>
              <w:t>海印转债</w:t>
            </w:r>
          </w:p>
        </w:tc>
        <w:tc>
          <w:tcPr>
            <w:tcW w:w="1697" w:type="dxa"/>
            <w:vAlign w:val="center"/>
          </w:tcPr>
          <w:p w:rsidR="0049111A" w:rsidRDefault="00CE4D5E">
            <w:pPr>
              <w:jc w:val="right"/>
            </w:pPr>
            <w:r>
              <w:rPr>
                <w:color w:val="000000"/>
                <w:sz w:val="21"/>
              </w:rPr>
              <w:t>476,078.10</w:t>
            </w:r>
          </w:p>
        </w:tc>
        <w:tc>
          <w:tcPr>
            <w:tcW w:w="1621" w:type="dxa"/>
            <w:vAlign w:val="center"/>
          </w:tcPr>
          <w:p w:rsidR="0049111A" w:rsidRDefault="00CE4D5E">
            <w:pPr>
              <w:jc w:val="right"/>
            </w:pPr>
            <w:r>
              <w:rPr>
                <w:color w:val="000000"/>
                <w:sz w:val="21"/>
              </w:rPr>
              <w:t>0.13</w:t>
            </w:r>
          </w:p>
        </w:tc>
      </w:tr>
    </w:tbl>
    <w:p w:rsidR="00937387" w:rsidRPr="004C4C9E" w:rsidRDefault="005E7D52"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11.5</w:t>
      </w:r>
      <w:r w:rsidR="00937387" w:rsidRPr="004C4C9E">
        <w:rPr>
          <w:b/>
          <w:color w:val="000000"/>
          <w:kern w:val="0"/>
        </w:rPr>
        <w:t>报告期末前十名股票中存在流通受限情况的说明</w:t>
      </w:r>
    </w:p>
    <w:p w:rsidR="00937387" w:rsidRPr="004C4C9E" w:rsidRDefault="00937387" w:rsidP="004C4C9E">
      <w:pPr>
        <w:autoSpaceDE w:val="0"/>
        <w:autoSpaceDN w:val="0"/>
        <w:adjustRightInd w:val="0"/>
        <w:spacing w:line="360" w:lineRule="auto"/>
        <w:ind w:firstLineChars="150" w:firstLine="315"/>
        <w:jc w:val="left"/>
        <w:rPr>
          <w:color w:val="000000"/>
          <w:kern w:val="0"/>
        </w:rPr>
      </w:pPr>
      <w:r w:rsidRPr="004C4C9E">
        <w:rPr>
          <w:color w:val="000000"/>
          <w:kern w:val="0"/>
        </w:rPr>
        <w:t>本基金本报告期末未持有股票。</w:t>
      </w:r>
    </w:p>
    <w:p w:rsidR="00937387" w:rsidRPr="004C4C9E" w:rsidRDefault="005E7D52" w:rsidP="00CE4D5E">
      <w:pPr>
        <w:autoSpaceDE w:val="0"/>
        <w:autoSpaceDN w:val="0"/>
        <w:adjustRightInd w:val="0"/>
        <w:spacing w:beforeLines="50" w:line="360" w:lineRule="auto"/>
        <w:ind w:left="17"/>
        <w:jc w:val="left"/>
        <w:rPr>
          <w:b/>
          <w:color w:val="000000"/>
          <w:kern w:val="0"/>
        </w:rPr>
      </w:pPr>
      <w:r>
        <w:rPr>
          <w:rFonts w:hint="eastAsia"/>
          <w:b/>
          <w:color w:val="000000"/>
          <w:kern w:val="0"/>
        </w:rPr>
        <w:t>5.2.</w:t>
      </w:r>
      <w:r>
        <w:rPr>
          <w:rFonts w:hint="eastAsia"/>
          <w:b/>
          <w:color w:val="000000"/>
          <w:kern w:val="0"/>
          <w:sz w:val="23"/>
        </w:rPr>
        <w:t>11.6</w:t>
      </w:r>
      <w:r w:rsidR="00937387" w:rsidRPr="004C4C9E">
        <w:rPr>
          <w:b/>
          <w:color w:val="000000"/>
          <w:kern w:val="0"/>
        </w:rPr>
        <w:t>投资组合报告附注的其他文字描述部分</w:t>
      </w:r>
    </w:p>
    <w:p w:rsidR="00937387" w:rsidRPr="004C4C9E" w:rsidRDefault="00937387" w:rsidP="004C4C9E">
      <w:pPr>
        <w:adjustRightInd w:val="0"/>
        <w:spacing w:line="360" w:lineRule="auto"/>
        <w:ind w:firstLineChars="150" w:firstLine="315"/>
        <w:rPr>
          <w:bCs/>
          <w:color w:val="000000"/>
        </w:rPr>
      </w:pPr>
      <w:r w:rsidRPr="004C4C9E">
        <w:rPr>
          <w:bCs/>
          <w:color w:val="000000"/>
        </w:rPr>
        <w:t>由于计算中四舍五入的原因，本报告分项之和与合计项之间可能存在尾差。</w:t>
      </w:r>
    </w:p>
    <w:p w:rsidR="004061AC"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§6  </w:t>
      </w:r>
      <w:r w:rsidRPr="004C4C9E">
        <w:rPr>
          <w:color w:val="000000"/>
          <w:kern w:val="0"/>
          <w:sz w:val="21"/>
          <w:szCs w:val="21"/>
        </w:rPr>
        <w:t>开放式基金份额变动</w:t>
      </w:r>
    </w:p>
    <w:p w:rsidR="00ED461C" w:rsidRPr="004C4C9E" w:rsidRDefault="002E4333" w:rsidP="00CE4D5E">
      <w:pPr>
        <w:autoSpaceDE w:val="0"/>
        <w:autoSpaceDN w:val="0"/>
        <w:adjustRightInd w:val="0"/>
        <w:spacing w:beforeLines="50" w:line="360" w:lineRule="auto"/>
        <w:ind w:left="17"/>
        <w:jc w:val="left"/>
        <w:rPr>
          <w:b/>
          <w:color w:val="000000"/>
          <w:kern w:val="0"/>
        </w:rPr>
      </w:pPr>
      <w:r w:rsidRPr="004C4C9E">
        <w:rPr>
          <w:b/>
          <w:color w:val="000000"/>
          <w:kern w:val="0"/>
        </w:rPr>
        <w:t xml:space="preserve">6.1 </w:t>
      </w:r>
      <w:r w:rsidR="00ED461C" w:rsidRPr="004C4C9E">
        <w:rPr>
          <w:b/>
          <w:color w:val="000000"/>
          <w:kern w:val="0"/>
        </w:rPr>
        <w:t>中银互利半年定期开放债券型证券投资基金</w:t>
      </w:r>
    </w:p>
    <w:p w:rsidR="00ED461C" w:rsidRPr="004C4C9E" w:rsidRDefault="00ED461C" w:rsidP="007E2D0B">
      <w:pPr>
        <w:autoSpaceDE w:val="0"/>
        <w:autoSpaceDN w:val="0"/>
        <w:adjustRightInd w:val="0"/>
        <w:ind w:left="17"/>
        <w:jc w:val="right"/>
        <w:rPr>
          <w:color w:val="000000"/>
        </w:rPr>
      </w:pPr>
      <w:r w:rsidRPr="004C4C9E">
        <w:rPr>
          <w:color w:val="000000"/>
        </w:rPr>
        <w:t>单位：份</w:t>
      </w:r>
    </w:p>
    <w:tbl>
      <w:tblPr>
        <w:tblW w:w="0" w:type="auto"/>
        <w:tblInd w:w="-106" w:type="dxa"/>
        <w:tblLayout w:type="fixed"/>
        <w:tblLook w:val="0000"/>
      </w:tblPr>
      <w:tblGrid>
        <w:gridCol w:w="4609"/>
        <w:gridCol w:w="4025"/>
      </w:tblGrid>
      <w:tr w:rsidR="00692E3C" w:rsidRPr="004C4C9E" w:rsidTr="00AB3C3F">
        <w:tc>
          <w:tcPr>
            <w:tcW w:w="4609"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2E4333" w:rsidP="007E2D0B">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基金转型起始日</w:t>
            </w:r>
            <w:r w:rsidR="00692E3C" w:rsidRPr="004C4C9E">
              <w:rPr>
                <w:rFonts w:eastAsiaTheme="minorEastAsia"/>
                <w:color w:val="000000" w:themeColor="text1"/>
                <w:kern w:val="0"/>
              </w:rPr>
              <w:t>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378,041,748.37</w:t>
            </w:r>
          </w:p>
        </w:tc>
      </w:tr>
      <w:tr w:rsidR="00692E3C" w:rsidRPr="004C4C9E" w:rsidTr="00AB3C3F">
        <w:tc>
          <w:tcPr>
            <w:tcW w:w="4609"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基金合同生效日起至报告期期末基金总申购份额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151,643,977.98</w:t>
            </w:r>
          </w:p>
        </w:tc>
      </w:tr>
      <w:tr w:rsidR="00692E3C" w:rsidRPr="004C4C9E" w:rsidTr="00AB3C3F">
        <w:tc>
          <w:tcPr>
            <w:tcW w:w="4609"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减：基金合同生效日起至报告期期末基金总赎回份额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127,318,396.43</w:t>
            </w:r>
          </w:p>
        </w:tc>
      </w:tr>
      <w:tr w:rsidR="00692E3C" w:rsidRPr="004C4C9E" w:rsidTr="00AB3C3F">
        <w:tc>
          <w:tcPr>
            <w:tcW w:w="4609"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基金合同生效日起至报告期期末基金拆分变动份额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w:t>
            </w:r>
          </w:p>
        </w:tc>
      </w:tr>
      <w:tr w:rsidR="00692E3C" w:rsidRPr="004C4C9E" w:rsidTr="00AB3C3F">
        <w:tc>
          <w:tcPr>
            <w:tcW w:w="4609"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92E3C" w:rsidRPr="004C4C9E" w:rsidRDefault="00692E3C"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402,367,329.92</w:t>
            </w:r>
          </w:p>
        </w:tc>
      </w:tr>
    </w:tbl>
    <w:p w:rsidR="00ED461C" w:rsidRPr="004C4C9E" w:rsidRDefault="00ED461C" w:rsidP="004C4C9E">
      <w:pPr>
        <w:autoSpaceDE w:val="0"/>
        <w:autoSpaceDN w:val="0"/>
        <w:adjustRightInd w:val="0"/>
        <w:spacing w:line="360" w:lineRule="auto"/>
        <w:ind w:firstLineChars="100" w:firstLine="210"/>
        <w:jc w:val="left"/>
        <w:rPr>
          <w:color w:val="000000"/>
          <w:kern w:val="0"/>
        </w:rPr>
      </w:pPr>
      <w:r w:rsidRPr="004C4C9E">
        <w:rPr>
          <w:color w:val="000000"/>
          <w:kern w:val="0"/>
        </w:rPr>
        <w:t>注：中银互利半年定期开放债券型证券投资基金自</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9</w:t>
      </w:r>
      <w:r w:rsidRPr="004C4C9E">
        <w:rPr>
          <w:color w:val="000000"/>
          <w:kern w:val="0"/>
        </w:rPr>
        <w:t>日起生效。</w:t>
      </w:r>
    </w:p>
    <w:p w:rsidR="00ED461C" w:rsidRPr="004C4C9E" w:rsidRDefault="00ED461C" w:rsidP="00CE4D5E">
      <w:pPr>
        <w:autoSpaceDE w:val="0"/>
        <w:autoSpaceDN w:val="0"/>
        <w:adjustRightInd w:val="0"/>
        <w:spacing w:beforeLines="50" w:line="360" w:lineRule="auto"/>
        <w:ind w:left="17"/>
        <w:jc w:val="left"/>
        <w:rPr>
          <w:b/>
          <w:color w:val="000000"/>
          <w:kern w:val="0"/>
        </w:rPr>
      </w:pPr>
      <w:r w:rsidRPr="004C4C9E">
        <w:rPr>
          <w:b/>
          <w:color w:val="000000"/>
          <w:kern w:val="0"/>
        </w:rPr>
        <w:t>6.2</w:t>
      </w:r>
      <w:r w:rsidRPr="004C4C9E">
        <w:rPr>
          <w:b/>
          <w:color w:val="000000"/>
          <w:kern w:val="0"/>
        </w:rPr>
        <w:t>中银互利分级债券型证券投资基金</w:t>
      </w:r>
    </w:p>
    <w:p w:rsidR="00ED461C" w:rsidRPr="004C4C9E" w:rsidRDefault="00ED461C" w:rsidP="007E2D0B">
      <w:pPr>
        <w:autoSpaceDE w:val="0"/>
        <w:autoSpaceDN w:val="0"/>
        <w:adjustRightInd w:val="0"/>
        <w:ind w:left="17"/>
        <w:jc w:val="right"/>
        <w:rPr>
          <w:color w:val="000000"/>
        </w:rPr>
      </w:pPr>
      <w:r w:rsidRPr="004C4C9E">
        <w:rPr>
          <w:color w:val="000000"/>
        </w:rPr>
        <w:t>单位：份</w:t>
      </w:r>
    </w:p>
    <w:tbl>
      <w:tblPr>
        <w:tblW w:w="8634" w:type="dxa"/>
        <w:tblInd w:w="-106" w:type="dxa"/>
        <w:tblLayout w:type="fixed"/>
        <w:tblLook w:val="0000"/>
      </w:tblPr>
      <w:tblGrid>
        <w:gridCol w:w="3616"/>
        <w:gridCol w:w="2651"/>
        <w:gridCol w:w="2367"/>
      </w:tblGrid>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center"/>
              <w:rPr>
                <w:rFonts w:eastAsiaTheme="minorEastAsia"/>
                <w:color w:val="000000" w:themeColor="text1"/>
                <w:kern w:val="0"/>
              </w:rPr>
            </w:pPr>
            <w:r w:rsidRPr="004C4C9E">
              <w:rPr>
                <w:rFonts w:eastAsiaTheme="minorEastAsia"/>
                <w:color w:val="000000" w:themeColor="text1"/>
                <w:kern w:val="0"/>
              </w:rPr>
              <w:t>项目</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center"/>
              <w:rPr>
                <w:rFonts w:eastAsiaTheme="minorEastAsia"/>
                <w:color w:val="000000" w:themeColor="text1"/>
                <w:kern w:val="0"/>
              </w:rPr>
            </w:pPr>
            <w:r w:rsidRPr="004C4C9E">
              <w:rPr>
                <w:rFonts w:eastAsiaTheme="minorEastAsia"/>
                <w:color w:val="000000" w:themeColor="text1"/>
                <w:kern w:val="0"/>
              </w:rPr>
              <w:t>中银互利分级债券</w:t>
            </w:r>
            <w:r w:rsidRPr="004C4C9E">
              <w:rPr>
                <w:rFonts w:eastAsiaTheme="minorEastAsia"/>
                <w:color w:val="000000" w:themeColor="text1"/>
                <w:kern w:val="0"/>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center"/>
              <w:rPr>
                <w:rFonts w:eastAsiaTheme="minorEastAsia"/>
                <w:color w:val="000000" w:themeColor="text1"/>
                <w:kern w:val="0"/>
              </w:rPr>
            </w:pPr>
            <w:r w:rsidRPr="004C4C9E">
              <w:rPr>
                <w:rFonts w:eastAsiaTheme="minorEastAsia"/>
                <w:color w:val="000000" w:themeColor="text1"/>
                <w:kern w:val="0"/>
              </w:rPr>
              <w:t>中银互利分级债券</w:t>
            </w:r>
            <w:r w:rsidRPr="004C4C9E">
              <w:rPr>
                <w:rFonts w:eastAsiaTheme="minorEastAsia"/>
                <w:color w:val="000000" w:themeColor="text1"/>
                <w:kern w:val="0"/>
              </w:rPr>
              <w:t>B</w:t>
            </w:r>
          </w:p>
        </w:tc>
      </w:tr>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本报告期期初基金份额总额</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44,495,039.07</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1,336,292,328.39</w:t>
            </w:r>
          </w:p>
        </w:tc>
      </w:tr>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8C70E3" w:rsidP="004C4C9E">
            <w:pPr>
              <w:autoSpaceDE w:val="0"/>
              <w:autoSpaceDN w:val="0"/>
              <w:adjustRightInd w:val="0"/>
              <w:spacing w:before="29" w:line="276" w:lineRule="auto"/>
              <w:ind w:left="17"/>
              <w:rPr>
                <w:rFonts w:eastAsiaTheme="minorEastAsia"/>
                <w:color w:val="000000" w:themeColor="text1"/>
                <w:kern w:val="0"/>
              </w:rPr>
            </w:pPr>
            <w:r>
              <w:rPr>
                <w:rFonts w:eastAsiaTheme="minorEastAsia" w:hint="eastAsia"/>
                <w:color w:val="000000" w:themeColor="text1"/>
                <w:kern w:val="0"/>
              </w:rPr>
              <w:t>报告期期间</w:t>
            </w:r>
            <w:r w:rsidR="00B57D67" w:rsidRPr="004C4C9E">
              <w:rPr>
                <w:rFonts w:eastAsiaTheme="minorEastAsia"/>
                <w:color w:val="000000" w:themeColor="text1"/>
                <w:kern w:val="0"/>
              </w:rPr>
              <w:t>基金总申购份额</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w:t>
            </w:r>
          </w:p>
        </w:tc>
      </w:tr>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8C70E3">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减：</w:t>
            </w:r>
            <w:r w:rsidR="008C70E3">
              <w:rPr>
                <w:rFonts w:eastAsiaTheme="minorEastAsia" w:hint="eastAsia"/>
                <w:color w:val="000000" w:themeColor="text1"/>
                <w:kern w:val="0"/>
              </w:rPr>
              <w:t>报告期间</w:t>
            </w:r>
            <w:r w:rsidRPr="004C4C9E">
              <w:rPr>
                <w:rFonts w:eastAsiaTheme="minorEastAsia"/>
                <w:color w:val="000000" w:themeColor="text1"/>
                <w:kern w:val="0"/>
              </w:rPr>
              <w:t>基金总赎回份额</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26,292,180.31</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987,869,506.47</w:t>
            </w:r>
          </w:p>
        </w:tc>
      </w:tr>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8C70E3" w:rsidP="004C4C9E">
            <w:pPr>
              <w:autoSpaceDE w:val="0"/>
              <w:autoSpaceDN w:val="0"/>
              <w:adjustRightInd w:val="0"/>
              <w:spacing w:before="29" w:line="276" w:lineRule="auto"/>
              <w:ind w:left="17"/>
              <w:rPr>
                <w:rFonts w:eastAsiaTheme="minorEastAsia"/>
                <w:color w:val="000000" w:themeColor="text1"/>
                <w:kern w:val="0"/>
              </w:rPr>
            </w:pPr>
            <w:r>
              <w:rPr>
                <w:rFonts w:eastAsiaTheme="minorEastAsia" w:hint="eastAsia"/>
                <w:color w:val="000000" w:themeColor="text1"/>
                <w:kern w:val="0"/>
              </w:rPr>
              <w:t>报告期期间</w:t>
            </w:r>
            <w:r w:rsidR="00B57D67" w:rsidRPr="004C4C9E">
              <w:rPr>
                <w:rFonts w:eastAsiaTheme="minorEastAsia"/>
                <w:color w:val="000000" w:themeColor="text1"/>
                <w:kern w:val="0"/>
              </w:rPr>
              <w:t>基金拆分变动份额（份额减少以</w:t>
            </w:r>
            <w:r w:rsidR="00B57D67" w:rsidRPr="004C4C9E">
              <w:rPr>
                <w:rFonts w:eastAsiaTheme="minorEastAsia"/>
                <w:color w:val="000000" w:themeColor="text1"/>
                <w:kern w:val="0"/>
              </w:rPr>
              <w:t>“-”</w:t>
            </w:r>
            <w:r w:rsidR="00B57D67" w:rsidRPr="004C4C9E">
              <w:rPr>
                <w:rFonts w:eastAsiaTheme="minorEastAsia"/>
                <w:color w:val="000000" w:themeColor="text1"/>
                <w:kern w:val="0"/>
              </w:rPr>
              <w:t>填列）</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427,545.85</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10,988,521.84</w:t>
            </w:r>
          </w:p>
        </w:tc>
      </w:tr>
      <w:tr w:rsidR="00B57D67" w:rsidRPr="004C4C9E" w:rsidTr="002E4333">
        <w:tc>
          <w:tcPr>
            <w:tcW w:w="3616"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rPr>
                <w:rFonts w:eastAsiaTheme="minorEastAsia"/>
                <w:color w:val="000000" w:themeColor="text1"/>
                <w:kern w:val="0"/>
              </w:rPr>
            </w:pPr>
            <w:r w:rsidRPr="004C4C9E">
              <w:rPr>
                <w:rFonts w:eastAsiaTheme="minorEastAsia"/>
                <w:color w:val="000000" w:themeColor="text1"/>
                <w:kern w:val="0"/>
              </w:rPr>
              <w:t>报告期期末基金份额总额</w:t>
            </w:r>
          </w:p>
        </w:tc>
        <w:tc>
          <w:tcPr>
            <w:tcW w:w="2651"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4C4C9E">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18,630,404.61</w:t>
            </w:r>
          </w:p>
        </w:tc>
        <w:tc>
          <w:tcPr>
            <w:tcW w:w="2367" w:type="dxa"/>
            <w:tcBorders>
              <w:top w:val="single" w:sz="8" w:space="0" w:color="000000"/>
              <w:left w:val="single" w:sz="8" w:space="0" w:color="000000"/>
              <w:bottom w:val="single" w:sz="8" w:space="0" w:color="000000"/>
              <w:right w:val="single" w:sz="8" w:space="0" w:color="000000"/>
            </w:tcBorders>
            <w:vAlign w:val="center"/>
          </w:tcPr>
          <w:p w:rsidR="00B57D67" w:rsidRPr="004C4C9E" w:rsidRDefault="00B57D67" w:rsidP="007E2D0B">
            <w:pPr>
              <w:autoSpaceDE w:val="0"/>
              <w:autoSpaceDN w:val="0"/>
              <w:adjustRightInd w:val="0"/>
              <w:spacing w:before="29" w:line="276" w:lineRule="auto"/>
              <w:ind w:left="17"/>
              <w:jc w:val="right"/>
              <w:rPr>
                <w:rFonts w:eastAsiaTheme="minorEastAsia"/>
                <w:color w:val="000000" w:themeColor="text1"/>
                <w:kern w:val="0"/>
              </w:rPr>
            </w:pPr>
            <w:r w:rsidRPr="004C4C9E">
              <w:rPr>
                <w:rFonts w:eastAsiaTheme="minorEastAsia"/>
                <w:color w:val="000000" w:themeColor="text1"/>
                <w:kern w:val="0"/>
              </w:rPr>
              <w:t>359,411,343.76</w:t>
            </w:r>
          </w:p>
        </w:tc>
      </w:tr>
    </w:tbl>
    <w:p w:rsidR="004061AC" w:rsidRPr="004C4C9E" w:rsidRDefault="00ED461C" w:rsidP="004C4C9E">
      <w:pPr>
        <w:autoSpaceDE w:val="0"/>
        <w:autoSpaceDN w:val="0"/>
        <w:adjustRightInd w:val="0"/>
        <w:spacing w:line="360" w:lineRule="auto"/>
        <w:ind w:firstLineChars="100" w:firstLine="210"/>
        <w:jc w:val="left"/>
        <w:rPr>
          <w:color w:val="000000"/>
          <w:kern w:val="0"/>
        </w:rPr>
      </w:pPr>
      <w:r w:rsidRPr="004C4C9E">
        <w:rPr>
          <w:color w:val="000000"/>
          <w:kern w:val="0"/>
        </w:rPr>
        <w:t>注：原中银互利分级债券型证券投资基金报告期末为</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8</w:t>
      </w:r>
      <w:r w:rsidRPr="004C4C9E">
        <w:rPr>
          <w:color w:val="000000"/>
          <w:kern w:val="0"/>
        </w:rPr>
        <w:t>日，并于</w:t>
      </w:r>
      <w:r w:rsidRPr="004C4C9E">
        <w:rPr>
          <w:color w:val="000000"/>
          <w:kern w:val="0"/>
        </w:rPr>
        <w:t>2017</w:t>
      </w:r>
      <w:r w:rsidRPr="004C4C9E">
        <w:rPr>
          <w:color w:val="000000"/>
          <w:kern w:val="0"/>
        </w:rPr>
        <w:t>年</w:t>
      </w:r>
      <w:r w:rsidRPr="004C4C9E">
        <w:rPr>
          <w:color w:val="000000"/>
          <w:kern w:val="0"/>
        </w:rPr>
        <w:t>11</w:t>
      </w:r>
      <w:r w:rsidRPr="004C4C9E">
        <w:rPr>
          <w:color w:val="000000"/>
          <w:kern w:val="0"/>
        </w:rPr>
        <w:t>月</w:t>
      </w:r>
      <w:r w:rsidRPr="004C4C9E">
        <w:rPr>
          <w:color w:val="000000"/>
          <w:kern w:val="0"/>
        </w:rPr>
        <w:t>8</w:t>
      </w:r>
      <w:r w:rsidRPr="004C4C9E">
        <w:rPr>
          <w:color w:val="000000"/>
          <w:kern w:val="0"/>
        </w:rPr>
        <w:t>日前完成了互利</w:t>
      </w:r>
      <w:r w:rsidRPr="004C4C9E">
        <w:rPr>
          <w:color w:val="000000"/>
          <w:kern w:val="0"/>
        </w:rPr>
        <w:t>A</w:t>
      </w:r>
      <w:r w:rsidRPr="004C4C9E">
        <w:rPr>
          <w:color w:val="000000"/>
          <w:kern w:val="0"/>
        </w:rPr>
        <w:t>、互利</w:t>
      </w:r>
      <w:r w:rsidRPr="004C4C9E">
        <w:rPr>
          <w:color w:val="000000"/>
          <w:kern w:val="0"/>
        </w:rPr>
        <w:t>B</w:t>
      </w:r>
      <w:r w:rsidRPr="004C4C9E">
        <w:rPr>
          <w:color w:val="000000"/>
          <w:kern w:val="0"/>
        </w:rPr>
        <w:t>的份额折算以及互利</w:t>
      </w:r>
      <w:r w:rsidRPr="004C4C9E">
        <w:rPr>
          <w:color w:val="000000"/>
          <w:kern w:val="0"/>
        </w:rPr>
        <w:t>A</w:t>
      </w:r>
      <w:r w:rsidRPr="004C4C9E">
        <w:rPr>
          <w:color w:val="000000"/>
          <w:kern w:val="0"/>
        </w:rPr>
        <w:t>和互利</w:t>
      </w:r>
      <w:r w:rsidRPr="004C4C9E">
        <w:rPr>
          <w:color w:val="000000"/>
          <w:kern w:val="0"/>
        </w:rPr>
        <w:t>B</w:t>
      </w:r>
      <w:r w:rsidRPr="004C4C9E">
        <w:rPr>
          <w:color w:val="000000"/>
          <w:kern w:val="0"/>
        </w:rPr>
        <w:t>份额统一结转为中银互利半年定期开放债券型证券投资基金的基金份额。</w:t>
      </w:r>
    </w:p>
    <w:p w:rsidR="00EB374A" w:rsidRPr="004C4C9E" w:rsidRDefault="00EB374A"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§7  </w:t>
      </w:r>
      <w:r w:rsidRPr="004C4C9E">
        <w:rPr>
          <w:color w:val="000000"/>
          <w:kern w:val="0"/>
          <w:sz w:val="21"/>
          <w:szCs w:val="21"/>
        </w:rPr>
        <w:t>基金管理人运用固有资金投资本基金情况</w:t>
      </w:r>
    </w:p>
    <w:p w:rsidR="00D26653" w:rsidRPr="00B318FA" w:rsidRDefault="00FA53C7" w:rsidP="00CE4D5E">
      <w:pPr>
        <w:autoSpaceDE w:val="0"/>
        <w:autoSpaceDN w:val="0"/>
        <w:adjustRightInd w:val="0"/>
        <w:spacing w:beforeLines="50" w:line="360" w:lineRule="auto"/>
        <w:ind w:left="17"/>
        <w:jc w:val="left"/>
        <w:rPr>
          <w:b/>
          <w:color w:val="000000"/>
          <w:kern w:val="0"/>
        </w:rPr>
      </w:pPr>
      <w:r>
        <w:rPr>
          <w:rFonts w:hint="eastAsia"/>
          <w:b/>
          <w:color w:val="000000"/>
          <w:kern w:val="0"/>
        </w:rPr>
        <w:t>7</w:t>
      </w:r>
      <w:r w:rsidR="00D26653" w:rsidRPr="00B318FA">
        <w:rPr>
          <w:b/>
          <w:color w:val="000000"/>
          <w:kern w:val="0"/>
        </w:rPr>
        <w:t xml:space="preserve">.1 </w:t>
      </w:r>
      <w:r w:rsidR="00D26653" w:rsidRPr="00B318FA">
        <w:rPr>
          <w:b/>
          <w:color w:val="000000"/>
          <w:kern w:val="0"/>
        </w:rPr>
        <w:t>中银互利半年定期开放债券型证券投资基金</w:t>
      </w:r>
    </w:p>
    <w:p w:rsidR="00DA2AF2" w:rsidRPr="004C4C9E" w:rsidRDefault="00DA2AF2" w:rsidP="004C4C9E">
      <w:pPr>
        <w:pStyle w:val="a0"/>
        <w:spacing w:line="360" w:lineRule="auto"/>
        <w:ind w:firstLineChars="0" w:firstLine="0"/>
        <w:rPr>
          <w:b/>
        </w:rPr>
      </w:pPr>
      <w:r w:rsidRPr="004C4C9E">
        <w:rPr>
          <w:b/>
          <w:color w:val="000000"/>
          <w:kern w:val="0"/>
        </w:rPr>
        <w:t>7.1</w:t>
      </w:r>
      <w:r w:rsidR="001F0C25" w:rsidRPr="004C4C9E">
        <w:rPr>
          <w:b/>
          <w:color w:val="000000"/>
          <w:kern w:val="0"/>
        </w:rPr>
        <w:t>.1</w:t>
      </w:r>
      <w:r w:rsidRPr="004C4C9E">
        <w:rPr>
          <w:b/>
          <w:color w:val="000000"/>
          <w:kern w:val="0"/>
        </w:rPr>
        <w:t>基金管理人持有本基金份额变动情况</w:t>
      </w:r>
    </w:p>
    <w:p w:rsidR="00D26653" w:rsidRPr="004C4C9E" w:rsidRDefault="00D26653" w:rsidP="004C4C9E">
      <w:pPr>
        <w:autoSpaceDE w:val="0"/>
        <w:autoSpaceDN w:val="0"/>
        <w:adjustRightInd w:val="0"/>
        <w:spacing w:line="360" w:lineRule="auto"/>
        <w:ind w:firstLineChars="150" w:firstLine="315"/>
        <w:jc w:val="left"/>
        <w:rPr>
          <w:color w:val="000000"/>
          <w:kern w:val="0"/>
        </w:rPr>
      </w:pPr>
      <w:r w:rsidRPr="004C4C9E">
        <w:rPr>
          <w:color w:val="000000"/>
          <w:kern w:val="0"/>
        </w:rPr>
        <w:t>本报告期内基金管理人未持有本基金份额。</w:t>
      </w:r>
    </w:p>
    <w:p w:rsidR="00DA2AF2" w:rsidRPr="004C4C9E" w:rsidRDefault="001F0C25" w:rsidP="00CE4D5E">
      <w:pPr>
        <w:autoSpaceDE w:val="0"/>
        <w:autoSpaceDN w:val="0"/>
        <w:adjustRightInd w:val="0"/>
        <w:spacing w:beforeLines="50" w:line="360" w:lineRule="auto"/>
        <w:ind w:left="17"/>
        <w:jc w:val="left"/>
        <w:rPr>
          <w:b/>
          <w:color w:val="000000"/>
          <w:kern w:val="0"/>
        </w:rPr>
      </w:pPr>
      <w:r w:rsidRPr="004C4C9E">
        <w:rPr>
          <w:b/>
          <w:color w:val="000000"/>
          <w:kern w:val="0"/>
        </w:rPr>
        <w:t>7.</w:t>
      </w:r>
      <w:r w:rsidR="00DA2AF2" w:rsidRPr="004C4C9E">
        <w:rPr>
          <w:b/>
          <w:color w:val="000000"/>
          <w:kern w:val="0"/>
        </w:rPr>
        <w:t>1</w:t>
      </w:r>
      <w:r w:rsidRPr="004C4C9E">
        <w:rPr>
          <w:b/>
          <w:color w:val="000000"/>
          <w:kern w:val="0"/>
        </w:rPr>
        <w:t>.2</w:t>
      </w:r>
      <w:r w:rsidR="00DA2AF2" w:rsidRPr="004C4C9E">
        <w:rPr>
          <w:b/>
          <w:color w:val="000000"/>
          <w:kern w:val="0"/>
        </w:rPr>
        <w:t>基金管理人运用固有资金投资本基金交易明细</w:t>
      </w:r>
    </w:p>
    <w:p w:rsidR="00DA2AF2" w:rsidRPr="004C4C9E" w:rsidRDefault="00DA2AF2" w:rsidP="004C4C9E">
      <w:pPr>
        <w:autoSpaceDE w:val="0"/>
        <w:autoSpaceDN w:val="0"/>
        <w:adjustRightInd w:val="0"/>
        <w:spacing w:line="360" w:lineRule="auto"/>
        <w:ind w:firstLineChars="50" w:firstLine="105"/>
        <w:jc w:val="left"/>
        <w:rPr>
          <w:color w:val="000000"/>
          <w:kern w:val="0"/>
        </w:rPr>
      </w:pPr>
      <w:r w:rsidRPr="004C4C9E">
        <w:rPr>
          <w:color w:val="000000"/>
          <w:kern w:val="0"/>
        </w:rPr>
        <w:t>本报告期内，基金管理人未运用固有资金申购、赎回或买卖本基金。</w:t>
      </w:r>
    </w:p>
    <w:p w:rsidR="00D26653" w:rsidRPr="004C4C9E" w:rsidRDefault="001D6CE0" w:rsidP="00CE4D5E">
      <w:pPr>
        <w:autoSpaceDE w:val="0"/>
        <w:autoSpaceDN w:val="0"/>
        <w:adjustRightInd w:val="0"/>
        <w:spacing w:beforeLines="50" w:line="360" w:lineRule="auto"/>
        <w:ind w:left="17"/>
        <w:jc w:val="left"/>
        <w:rPr>
          <w:b/>
          <w:color w:val="000000"/>
          <w:kern w:val="0"/>
        </w:rPr>
      </w:pPr>
      <w:r>
        <w:rPr>
          <w:rFonts w:hint="eastAsia"/>
          <w:b/>
          <w:color w:val="000000"/>
          <w:kern w:val="0"/>
        </w:rPr>
        <w:t>7</w:t>
      </w:r>
      <w:r w:rsidR="00D26653" w:rsidRPr="00B318FA">
        <w:rPr>
          <w:b/>
          <w:color w:val="000000"/>
          <w:kern w:val="0"/>
        </w:rPr>
        <w:t xml:space="preserve">.2 </w:t>
      </w:r>
      <w:r w:rsidR="00D26653" w:rsidRPr="004C4C9E">
        <w:rPr>
          <w:b/>
          <w:color w:val="000000"/>
          <w:kern w:val="0"/>
        </w:rPr>
        <w:t>中银互利分级债券型证券投资基金</w:t>
      </w:r>
    </w:p>
    <w:p w:rsidR="00DA2AF2" w:rsidRPr="004C4C9E" w:rsidRDefault="00DA2AF2" w:rsidP="004C4C9E">
      <w:pPr>
        <w:pStyle w:val="a0"/>
        <w:spacing w:line="360" w:lineRule="auto"/>
        <w:ind w:firstLineChars="0" w:firstLine="0"/>
        <w:rPr>
          <w:b/>
        </w:rPr>
      </w:pPr>
      <w:r w:rsidRPr="004C4C9E">
        <w:rPr>
          <w:b/>
          <w:color w:val="000000"/>
          <w:kern w:val="0"/>
        </w:rPr>
        <w:t>7.2</w:t>
      </w:r>
      <w:r w:rsidR="001F0C25" w:rsidRPr="004C4C9E">
        <w:rPr>
          <w:b/>
          <w:color w:val="000000"/>
          <w:kern w:val="0"/>
        </w:rPr>
        <w:t>.1</w:t>
      </w:r>
      <w:r w:rsidRPr="004C4C9E">
        <w:rPr>
          <w:b/>
          <w:color w:val="000000"/>
          <w:kern w:val="0"/>
        </w:rPr>
        <w:t>基金管理人持有本基金份额变动情况</w:t>
      </w:r>
    </w:p>
    <w:p w:rsidR="00EB374A" w:rsidRPr="004C4C9E" w:rsidRDefault="00D26653" w:rsidP="004C4C9E">
      <w:pPr>
        <w:autoSpaceDE w:val="0"/>
        <w:autoSpaceDN w:val="0"/>
        <w:adjustRightInd w:val="0"/>
        <w:spacing w:line="360" w:lineRule="auto"/>
        <w:ind w:firstLineChars="150" w:firstLine="315"/>
        <w:jc w:val="left"/>
        <w:rPr>
          <w:color w:val="000000"/>
          <w:kern w:val="0"/>
        </w:rPr>
      </w:pPr>
      <w:r w:rsidRPr="004C4C9E">
        <w:rPr>
          <w:color w:val="000000"/>
          <w:kern w:val="0"/>
        </w:rPr>
        <w:t>本报告期内基金管理人未持有本基金份额。</w:t>
      </w:r>
    </w:p>
    <w:p w:rsidR="00EB374A" w:rsidRPr="004C4C9E" w:rsidRDefault="001F0C25" w:rsidP="00CE4D5E">
      <w:pPr>
        <w:autoSpaceDE w:val="0"/>
        <w:autoSpaceDN w:val="0"/>
        <w:adjustRightInd w:val="0"/>
        <w:spacing w:beforeLines="50" w:line="360" w:lineRule="auto"/>
        <w:ind w:left="17"/>
        <w:jc w:val="left"/>
        <w:rPr>
          <w:b/>
          <w:color w:val="000000"/>
          <w:kern w:val="0"/>
        </w:rPr>
      </w:pPr>
      <w:r w:rsidRPr="004C4C9E">
        <w:rPr>
          <w:b/>
          <w:color w:val="000000"/>
          <w:kern w:val="0"/>
        </w:rPr>
        <w:t>7.</w:t>
      </w:r>
      <w:r w:rsidR="00EB374A" w:rsidRPr="004C4C9E">
        <w:rPr>
          <w:b/>
          <w:color w:val="000000"/>
          <w:kern w:val="0"/>
        </w:rPr>
        <w:t>2</w:t>
      </w:r>
      <w:r w:rsidRPr="004C4C9E">
        <w:rPr>
          <w:b/>
          <w:color w:val="000000"/>
          <w:kern w:val="0"/>
        </w:rPr>
        <w:t>.2</w:t>
      </w:r>
      <w:r w:rsidR="00EB374A" w:rsidRPr="004C4C9E">
        <w:rPr>
          <w:b/>
          <w:color w:val="000000"/>
          <w:kern w:val="0"/>
        </w:rPr>
        <w:t>基金管理人运用固有资金投资本基金交易明细</w:t>
      </w:r>
    </w:p>
    <w:p w:rsidR="00D36C1E" w:rsidRPr="004C4C9E" w:rsidRDefault="00D36C1E" w:rsidP="004C4C9E">
      <w:pPr>
        <w:autoSpaceDE w:val="0"/>
        <w:autoSpaceDN w:val="0"/>
        <w:adjustRightInd w:val="0"/>
        <w:spacing w:line="360" w:lineRule="auto"/>
        <w:jc w:val="left"/>
        <w:rPr>
          <w:color w:val="000000"/>
          <w:kern w:val="0"/>
        </w:rPr>
      </w:pPr>
      <w:r w:rsidRPr="004C4C9E">
        <w:rPr>
          <w:color w:val="000000"/>
          <w:kern w:val="0"/>
        </w:rPr>
        <w:t>本报告期内，基金管理人未运用固有资金申购、赎回或买卖本基金。</w:t>
      </w:r>
    </w:p>
    <w:p w:rsidR="00456C22" w:rsidRPr="004C4C9E" w:rsidRDefault="00456C22" w:rsidP="00CE4D5E">
      <w:pPr>
        <w:pStyle w:val="1"/>
        <w:spacing w:beforeLines="50" w:afterLines="50" w:line="360" w:lineRule="auto"/>
        <w:jc w:val="center"/>
        <w:rPr>
          <w:color w:val="000000"/>
          <w:kern w:val="0"/>
          <w:sz w:val="21"/>
          <w:szCs w:val="21"/>
        </w:rPr>
      </w:pPr>
      <w:r w:rsidRPr="004C4C9E">
        <w:rPr>
          <w:color w:val="000000"/>
          <w:kern w:val="0"/>
          <w:sz w:val="21"/>
          <w:szCs w:val="21"/>
        </w:rPr>
        <w:t xml:space="preserve">§8 </w:t>
      </w:r>
      <w:r w:rsidRPr="004C4C9E">
        <w:rPr>
          <w:color w:val="000000"/>
          <w:kern w:val="0"/>
          <w:sz w:val="21"/>
          <w:szCs w:val="21"/>
        </w:rPr>
        <w:t>影响投资者决策的其他重要信息</w:t>
      </w:r>
    </w:p>
    <w:p w:rsidR="00456C22" w:rsidRPr="004C4C9E" w:rsidRDefault="00456C22" w:rsidP="004C4C9E">
      <w:pPr>
        <w:autoSpaceDE w:val="0"/>
        <w:autoSpaceDN w:val="0"/>
        <w:adjustRightInd w:val="0"/>
        <w:spacing w:line="360" w:lineRule="auto"/>
        <w:jc w:val="left"/>
        <w:rPr>
          <w:rFonts w:eastAsiaTheme="minorEastAsia"/>
          <w:b/>
          <w:bCs/>
          <w:color w:val="000000" w:themeColor="text1"/>
          <w:kern w:val="0"/>
        </w:rPr>
      </w:pPr>
      <w:r w:rsidRPr="004C4C9E">
        <w:rPr>
          <w:b/>
          <w:color w:val="000000"/>
          <w:kern w:val="0"/>
        </w:rPr>
        <w:t>8.1</w:t>
      </w:r>
      <w:r w:rsidRPr="004C4C9E">
        <w:rPr>
          <w:b/>
          <w:color w:val="000000"/>
          <w:kern w:val="0"/>
        </w:rPr>
        <w:t>中银互利半年定期开放债券型证券投资基金</w:t>
      </w:r>
    </w:p>
    <w:p w:rsidR="00456C22" w:rsidRPr="004C4C9E" w:rsidRDefault="00456C22" w:rsidP="004C4C9E">
      <w:pPr>
        <w:autoSpaceDE w:val="0"/>
        <w:autoSpaceDN w:val="0"/>
        <w:adjustRightInd w:val="0"/>
        <w:spacing w:line="360" w:lineRule="auto"/>
        <w:jc w:val="left"/>
        <w:rPr>
          <w:b/>
          <w:bCs/>
          <w:color w:val="000000" w:themeColor="text1"/>
          <w:kern w:val="0"/>
        </w:rPr>
      </w:pPr>
      <w:r w:rsidRPr="004C4C9E">
        <w:rPr>
          <w:b/>
          <w:color w:val="000000"/>
          <w:kern w:val="0"/>
        </w:rPr>
        <w:t>8.1.1</w:t>
      </w:r>
      <w:r w:rsidRPr="004C4C9E">
        <w:rPr>
          <w:rFonts w:eastAsiaTheme="minorEastAsia"/>
          <w:b/>
          <w:bCs/>
          <w:color w:val="000000" w:themeColor="text1"/>
          <w:kern w:val="0"/>
        </w:rPr>
        <w:t>报告期内单一投资者持有基金份额比例达到或超过</w:t>
      </w:r>
      <w:r w:rsidRPr="004C4C9E">
        <w:rPr>
          <w:rFonts w:eastAsiaTheme="minorEastAsia"/>
          <w:b/>
          <w:bCs/>
          <w:color w:val="000000" w:themeColor="text1"/>
          <w:kern w:val="0"/>
        </w:rPr>
        <w:t>20%</w:t>
      </w:r>
      <w:r w:rsidRPr="004C4C9E">
        <w:rPr>
          <w:rFonts w:eastAsiaTheme="minorEastAsia"/>
          <w:b/>
          <w:bCs/>
          <w:color w:val="000000" w:themeColor="text1"/>
          <w:kern w:val="0"/>
        </w:rPr>
        <w:t>的情况</w:t>
      </w:r>
    </w:p>
    <w:tbl>
      <w:tblPr>
        <w:tblStyle w:val="af7"/>
        <w:tblW w:w="9210" w:type="dxa"/>
        <w:tblInd w:w="-176" w:type="dxa"/>
        <w:tblLayout w:type="fixed"/>
        <w:tblLook w:val="04A0"/>
      </w:tblPr>
      <w:tblGrid>
        <w:gridCol w:w="992"/>
        <w:gridCol w:w="991"/>
        <w:gridCol w:w="1843"/>
        <w:gridCol w:w="851"/>
        <w:gridCol w:w="850"/>
        <w:gridCol w:w="1134"/>
        <w:gridCol w:w="1419"/>
        <w:gridCol w:w="1130"/>
      </w:tblGrid>
      <w:tr w:rsidR="00456C22" w:rsidRPr="004C4C9E" w:rsidTr="00456C2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投资者类别</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报告期末持有基金情况</w:t>
            </w:r>
          </w:p>
        </w:tc>
      </w:tr>
      <w:tr w:rsidR="00456C22" w:rsidRPr="004C4C9E" w:rsidTr="00456C22">
        <w:tc>
          <w:tcPr>
            <w:tcW w:w="993" w:type="dxa"/>
            <w:vMerge/>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left"/>
              <w:rPr>
                <w:b/>
                <w:bCs/>
                <w:color w:val="000000" w:themeColor="text1"/>
                <w:sz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持有基金份额比例达到或者超过</w:t>
            </w:r>
            <w:r w:rsidRPr="004C4C9E">
              <w:rPr>
                <w:color w:val="000000"/>
                <w:sz w:val="21"/>
              </w:rPr>
              <w:t>20%</w:t>
            </w:r>
            <w:r w:rsidRPr="004C4C9E">
              <w:rPr>
                <w:color w:val="000000"/>
                <w:sz w:val="21"/>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份额占比</w:t>
            </w:r>
          </w:p>
        </w:tc>
      </w:tr>
      <w:tr w:rsidR="0049111A">
        <w:tc>
          <w:tcPr>
            <w:tcW w:w="992" w:type="dxa"/>
            <w:vMerge w:val="restart"/>
          </w:tcPr>
          <w:p w:rsidR="0049111A" w:rsidRDefault="0049111A"/>
          <w:p w:rsidR="0049111A" w:rsidRDefault="00CE4D5E">
            <w:r>
              <w:rPr>
                <w:bCs/>
                <w:color w:val="000000" w:themeColor="text1"/>
                <w:sz w:val="21"/>
              </w:rPr>
              <w:t>机构</w:t>
            </w:r>
          </w:p>
        </w:tc>
        <w:tc>
          <w:tcPr>
            <w:tcW w:w="991" w:type="dxa"/>
            <w:vAlign w:val="center"/>
          </w:tcPr>
          <w:p w:rsidR="0049111A" w:rsidRDefault="00CE4D5E">
            <w:pPr>
              <w:jc w:val="center"/>
            </w:pPr>
            <w:r>
              <w:rPr>
                <w:color w:val="000000"/>
                <w:sz w:val="21"/>
              </w:rPr>
              <w:t>1</w:t>
            </w:r>
          </w:p>
        </w:tc>
        <w:tc>
          <w:tcPr>
            <w:tcW w:w="1843" w:type="dxa"/>
            <w:vAlign w:val="center"/>
          </w:tcPr>
          <w:p w:rsidR="0049111A" w:rsidRDefault="00CE4D5E">
            <w:pPr>
              <w:jc w:val="center"/>
            </w:pPr>
            <w:r>
              <w:rPr>
                <w:color w:val="000000"/>
                <w:sz w:val="21"/>
              </w:rPr>
              <w:t>2017-11-09</w:t>
            </w:r>
            <w:r>
              <w:rPr>
                <w:color w:val="000000"/>
                <w:sz w:val="21"/>
              </w:rPr>
              <w:t>至</w:t>
            </w:r>
            <w:r>
              <w:rPr>
                <w:color w:val="000000"/>
                <w:sz w:val="21"/>
              </w:rPr>
              <w:t>2017-12-31</w:t>
            </w:r>
          </w:p>
        </w:tc>
        <w:tc>
          <w:tcPr>
            <w:tcW w:w="851" w:type="dxa"/>
            <w:vAlign w:val="center"/>
          </w:tcPr>
          <w:p w:rsidR="0049111A" w:rsidRDefault="00CE4D5E">
            <w:pPr>
              <w:jc w:val="center"/>
            </w:pPr>
            <w:r>
              <w:rPr>
                <w:color w:val="000000"/>
                <w:sz w:val="21"/>
              </w:rPr>
              <w:t>103,153,789.40</w:t>
            </w:r>
          </w:p>
        </w:tc>
        <w:tc>
          <w:tcPr>
            <w:tcW w:w="850" w:type="dxa"/>
            <w:vAlign w:val="center"/>
          </w:tcPr>
          <w:p w:rsidR="0049111A" w:rsidRDefault="00CE4D5E">
            <w:pPr>
              <w:jc w:val="center"/>
            </w:pPr>
            <w:r>
              <w:rPr>
                <w:color w:val="000000"/>
                <w:sz w:val="21"/>
              </w:rPr>
              <w:t>-</w:t>
            </w:r>
          </w:p>
        </w:tc>
        <w:tc>
          <w:tcPr>
            <w:tcW w:w="1134" w:type="dxa"/>
            <w:vAlign w:val="center"/>
          </w:tcPr>
          <w:p w:rsidR="0049111A" w:rsidRDefault="00CE4D5E">
            <w:pPr>
              <w:jc w:val="center"/>
            </w:pPr>
            <w:r>
              <w:rPr>
                <w:color w:val="000000"/>
                <w:sz w:val="21"/>
              </w:rPr>
              <w:t>-</w:t>
            </w:r>
          </w:p>
        </w:tc>
        <w:tc>
          <w:tcPr>
            <w:tcW w:w="1419" w:type="dxa"/>
            <w:vAlign w:val="center"/>
          </w:tcPr>
          <w:p w:rsidR="0049111A" w:rsidRDefault="00CE4D5E">
            <w:pPr>
              <w:jc w:val="center"/>
            </w:pPr>
            <w:r>
              <w:rPr>
                <w:color w:val="000000"/>
                <w:sz w:val="21"/>
              </w:rPr>
              <w:t>103,153,789.40</w:t>
            </w:r>
          </w:p>
        </w:tc>
        <w:tc>
          <w:tcPr>
            <w:tcW w:w="1130" w:type="dxa"/>
            <w:vAlign w:val="center"/>
          </w:tcPr>
          <w:p w:rsidR="0049111A" w:rsidRDefault="00CE4D5E">
            <w:pPr>
              <w:jc w:val="center"/>
            </w:pPr>
            <w:r>
              <w:rPr>
                <w:color w:val="000000"/>
                <w:sz w:val="21"/>
              </w:rPr>
              <w:t>25.6367%</w:t>
            </w:r>
          </w:p>
        </w:tc>
      </w:tr>
      <w:tr w:rsidR="0049111A">
        <w:tc>
          <w:tcPr>
            <w:tcW w:w="992" w:type="dxa"/>
            <w:vMerge/>
          </w:tcPr>
          <w:p w:rsidR="0049111A" w:rsidRDefault="0049111A"/>
        </w:tc>
        <w:tc>
          <w:tcPr>
            <w:tcW w:w="991" w:type="dxa"/>
            <w:vAlign w:val="center"/>
          </w:tcPr>
          <w:p w:rsidR="0049111A" w:rsidRDefault="00CE4D5E">
            <w:pPr>
              <w:jc w:val="center"/>
            </w:pPr>
            <w:r>
              <w:rPr>
                <w:color w:val="000000"/>
                <w:sz w:val="21"/>
              </w:rPr>
              <w:t>2</w:t>
            </w:r>
          </w:p>
        </w:tc>
        <w:tc>
          <w:tcPr>
            <w:tcW w:w="1843" w:type="dxa"/>
            <w:vAlign w:val="center"/>
          </w:tcPr>
          <w:p w:rsidR="0049111A" w:rsidRDefault="00CE4D5E">
            <w:pPr>
              <w:jc w:val="center"/>
            </w:pPr>
            <w:r>
              <w:rPr>
                <w:color w:val="000000"/>
                <w:sz w:val="21"/>
              </w:rPr>
              <w:t>2017-11-10</w:t>
            </w:r>
            <w:r>
              <w:rPr>
                <w:color w:val="000000"/>
                <w:sz w:val="21"/>
              </w:rPr>
              <w:t>至</w:t>
            </w:r>
            <w:r>
              <w:rPr>
                <w:color w:val="000000"/>
                <w:sz w:val="21"/>
              </w:rPr>
              <w:t>2017-12-31</w:t>
            </w:r>
          </w:p>
        </w:tc>
        <w:tc>
          <w:tcPr>
            <w:tcW w:w="851" w:type="dxa"/>
            <w:vAlign w:val="center"/>
          </w:tcPr>
          <w:p w:rsidR="0049111A" w:rsidRDefault="00CE4D5E">
            <w:pPr>
              <w:jc w:val="center"/>
            </w:pPr>
            <w:r>
              <w:rPr>
                <w:color w:val="000000"/>
                <w:sz w:val="21"/>
              </w:rPr>
              <w:t>-</w:t>
            </w:r>
          </w:p>
        </w:tc>
        <w:tc>
          <w:tcPr>
            <w:tcW w:w="850" w:type="dxa"/>
            <w:vAlign w:val="center"/>
          </w:tcPr>
          <w:p w:rsidR="0049111A" w:rsidRDefault="00CE4D5E">
            <w:pPr>
              <w:jc w:val="center"/>
            </w:pPr>
            <w:r>
              <w:rPr>
                <w:color w:val="000000"/>
                <w:sz w:val="21"/>
              </w:rPr>
              <w:t>149,773,581.22</w:t>
            </w:r>
          </w:p>
        </w:tc>
        <w:tc>
          <w:tcPr>
            <w:tcW w:w="1134" w:type="dxa"/>
            <w:vAlign w:val="center"/>
          </w:tcPr>
          <w:p w:rsidR="0049111A" w:rsidRDefault="00CE4D5E">
            <w:pPr>
              <w:jc w:val="center"/>
            </w:pPr>
            <w:r>
              <w:rPr>
                <w:color w:val="000000"/>
                <w:sz w:val="21"/>
              </w:rPr>
              <w:t>-</w:t>
            </w:r>
          </w:p>
        </w:tc>
        <w:tc>
          <w:tcPr>
            <w:tcW w:w="1419" w:type="dxa"/>
            <w:vAlign w:val="center"/>
          </w:tcPr>
          <w:p w:rsidR="0049111A" w:rsidRDefault="00CE4D5E">
            <w:pPr>
              <w:jc w:val="center"/>
            </w:pPr>
            <w:r>
              <w:rPr>
                <w:color w:val="000000"/>
                <w:sz w:val="21"/>
              </w:rPr>
              <w:t>149,773,581.22</w:t>
            </w:r>
          </w:p>
        </w:tc>
        <w:tc>
          <w:tcPr>
            <w:tcW w:w="1130" w:type="dxa"/>
            <w:vAlign w:val="center"/>
          </w:tcPr>
          <w:p w:rsidR="0049111A" w:rsidRDefault="00CE4D5E">
            <w:pPr>
              <w:jc w:val="center"/>
            </w:pPr>
            <w:r>
              <w:rPr>
                <w:color w:val="000000"/>
                <w:sz w:val="21"/>
              </w:rPr>
              <w:t>37.2231%</w:t>
            </w:r>
          </w:p>
        </w:tc>
      </w:tr>
      <w:tr w:rsidR="00456C22" w:rsidRPr="004C4C9E" w:rsidTr="00456C22">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sz w:val="21"/>
              </w:rPr>
            </w:pPr>
            <w:r w:rsidRPr="004C4C9E">
              <w:rPr>
                <w:color w:val="000000"/>
                <w:sz w:val="21"/>
              </w:rPr>
              <w:t>产品特有风险</w:t>
            </w:r>
          </w:p>
        </w:tc>
      </w:tr>
      <w:tr w:rsidR="00456C22" w:rsidRPr="004C4C9E" w:rsidTr="00456C22">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651ADB">
            <w:pPr>
              <w:autoSpaceDE w:val="0"/>
              <w:autoSpaceDN w:val="0"/>
              <w:adjustRightInd w:val="0"/>
              <w:spacing w:line="276" w:lineRule="auto"/>
              <w:jc w:val="left"/>
              <w:rPr>
                <w:sz w:val="21"/>
              </w:rPr>
            </w:pPr>
            <w:r w:rsidRPr="004C4C9E">
              <w:rPr>
                <w:sz w:val="21"/>
              </w:rPr>
              <w:t>本基金由于存在上述单一投资者持有基金份额比例达到或超过</w:t>
            </w:r>
            <w:r w:rsidRPr="004C4C9E">
              <w:rPr>
                <w:sz w:val="21"/>
              </w:rPr>
              <w:t>20%</w:t>
            </w:r>
            <w:r w:rsidRPr="004C4C9E">
              <w:rPr>
                <w:sz w:val="21"/>
              </w:rPr>
              <w:t>的情况，存在以下特有风险：（</w:t>
            </w:r>
            <w:r w:rsidRPr="004C4C9E">
              <w:rPr>
                <w:sz w:val="21"/>
              </w:rPr>
              <w:t>1</w:t>
            </w:r>
            <w:r w:rsidRPr="004C4C9E">
              <w:rPr>
                <w:sz w:val="21"/>
              </w:rPr>
              <w:t>）持有基金份额比例达到或超过</w:t>
            </w:r>
            <w:r w:rsidRPr="004C4C9E">
              <w:rPr>
                <w:sz w:val="21"/>
              </w:rPr>
              <w:t>20%</w:t>
            </w:r>
            <w:r w:rsidRPr="004C4C9E">
              <w:rPr>
                <w:sz w:val="21"/>
              </w:rPr>
              <w:t>的投资者大额赎回导致的基金份额净值波动风险；（</w:t>
            </w:r>
            <w:r w:rsidRPr="004C4C9E">
              <w:rPr>
                <w:sz w:val="21"/>
              </w:rPr>
              <w:t>2</w:t>
            </w:r>
            <w:r w:rsidRPr="004C4C9E">
              <w:rPr>
                <w:sz w:val="21"/>
              </w:rPr>
              <w:t>）持有基金份额比例达到或超过</w:t>
            </w:r>
            <w:r w:rsidRPr="004C4C9E">
              <w:rPr>
                <w:sz w:val="21"/>
              </w:rPr>
              <w:t>20%</w:t>
            </w:r>
            <w:r w:rsidRPr="004C4C9E">
              <w:rPr>
                <w:sz w:val="21"/>
              </w:rPr>
              <w:t>的投资者大额赎回导致的流动性风险；（</w:t>
            </w:r>
            <w:r w:rsidRPr="004C4C9E">
              <w:rPr>
                <w:sz w:val="21"/>
              </w:rPr>
              <w:t>3</w:t>
            </w:r>
            <w:r w:rsidRPr="004C4C9E">
              <w:rPr>
                <w:sz w:val="21"/>
              </w:rPr>
              <w:t>）持有基金份额比例达到或超过</w:t>
            </w:r>
            <w:r w:rsidRPr="004C4C9E">
              <w:rPr>
                <w:sz w:val="21"/>
              </w:rPr>
              <w:t>20%</w:t>
            </w:r>
            <w:r w:rsidRPr="004C4C9E">
              <w:rPr>
                <w:sz w:val="21"/>
              </w:rPr>
              <w:t>的投资者大额赎回导致的巨额赎回风险；（</w:t>
            </w:r>
            <w:r w:rsidRPr="004C4C9E">
              <w:rPr>
                <w:sz w:val="21"/>
              </w:rPr>
              <w:t>4</w:t>
            </w:r>
            <w:r w:rsidRPr="004C4C9E">
              <w:rPr>
                <w:sz w:val="21"/>
              </w:rPr>
              <w:t>）持有基金份额比例达到或超过</w:t>
            </w:r>
            <w:r w:rsidRPr="004C4C9E">
              <w:rPr>
                <w:sz w:val="21"/>
              </w:rPr>
              <w:t>20%</w:t>
            </w:r>
            <w:r w:rsidRPr="004C4C9E">
              <w:rPr>
                <w:sz w:val="21"/>
              </w:rPr>
              <w:t>的投资者大额赎回导致的基金资产净值持续低于</w:t>
            </w:r>
            <w:r w:rsidRPr="004C4C9E">
              <w:rPr>
                <w:sz w:val="21"/>
              </w:rPr>
              <w:t>5000</w:t>
            </w:r>
            <w:r w:rsidRPr="004C4C9E">
              <w:rPr>
                <w:sz w:val="21"/>
              </w:rPr>
              <w:t>万元的风险。</w:t>
            </w:r>
          </w:p>
        </w:tc>
      </w:tr>
    </w:tbl>
    <w:p w:rsidR="00456C22" w:rsidRPr="00B318FA" w:rsidRDefault="00456C22" w:rsidP="00CE4D5E">
      <w:pPr>
        <w:autoSpaceDE w:val="0"/>
        <w:autoSpaceDN w:val="0"/>
        <w:adjustRightInd w:val="0"/>
        <w:spacing w:beforeLines="50" w:line="360" w:lineRule="auto"/>
        <w:ind w:left="17"/>
        <w:jc w:val="left"/>
        <w:rPr>
          <w:b/>
          <w:color w:val="000000"/>
          <w:kern w:val="0"/>
        </w:rPr>
      </w:pPr>
      <w:r w:rsidRPr="004C4C9E">
        <w:rPr>
          <w:b/>
          <w:color w:val="000000"/>
          <w:kern w:val="0"/>
        </w:rPr>
        <w:t>8.2</w:t>
      </w:r>
      <w:r w:rsidRPr="004C4C9E">
        <w:rPr>
          <w:b/>
          <w:color w:val="000000"/>
          <w:kern w:val="0"/>
        </w:rPr>
        <w:t>中银互利分级债券型证券投资基金</w:t>
      </w:r>
    </w:p>
    <w:p w:rsidR="00456C22" w:rsidRPr="004C4C9E" w:rsidRDefault="00456C22" w:rsidP="004C4C9E">
      <w:pPr>
        <w:autoSpaceDE w:val="0"/>
        <w:autoSpaceDN w:val="0"/>
        <w:adjustRightInd w:val="0"/>
        <w:spacing w:line="360" w:lineRule="auto"/>
        <w:jc w:val="left"/>
        <w:rPr>
          <w:b/>
          <w:bCs/>
          <w:color w:val="000000" w:themeColor="text1"/>
          <w:kern w:val="0"/>
        </w:rPr>
      </w:pPr>
      <w:r w:rsidRPr="004C4C9E">
        <w:rPr>
          <w:b/>
          <w:color w:val="000000"/>
          <w:kern w:val="0"/>
        </w:rPr>
        <w:t>8.2.1</w:t>
      </w:r>
      <w:r w:rsidRPr="004C4C9E">
        <w:rPr>
          <w:rFonts w:eastAsiaTheme="minorEastAsia"/>
          <w:b/>
          <w:bCs/>
          <w:color w:val="000000" w:themeColor="text1"/>
          <w:kern w:val="0"/>
        </w:rPr>
        <w:t>报告期内单一投资者持有基金份额比例达到或超过</w:t>
      </w:r>
      <w:r w:rsidRPr="004C4C9E">
        <w:rPr>
          <w:rFonts w:eastAsiaTheme="minorEastAsia"/>
          <w:b/>
          <w:bCs/>
          <w:color w:val="000000" w:themeColor="text1"/>
          <w:kern w:val="0"/>
        </w:rPr>
        <w:t>20%</w:t>
      </w:r>
      <w:r w:rsidRPr="004C4C9E">
        <w:rPr>
          <w:rFonts w:eastAsiaTheme="minorEastAsia"/>
          <w:b/>
          <w:bCs/>
          <w:color w:val="000000" w:themeColor="text1"/>
          <w:kern w:val="0"/>
        </w:rPr>
        <w:t>的情况</w:t>
      </w:r>
    </w:p>
    <w:tbl>
      <w:tblPr>
        <w:tblStyle w:val="af7"/>
        <w:tblW w:w="9210" w:type="dxa"/>
        <w:tblInd w:w="-176" w:type="dxa"/>
        <w:tblLayout w:type="fixed"/>
        <w:tblLook w:val="04A0"/>
      </w:tblPr>
      <w:tblGrid>
        <w:gridCol w:w="992"/>
        <w:gridCol w:w="991"/>
        <w:gridCol w:w="1843"/>
        <w:gridCol w:w="851"/>
        <w:gridCol w:w="850"/>
        <w:gridCol w:w="1134"/>
        <w:gridCol w:w="1419"/>
        <w:gridCol w:w="1130"/>
      </w:tblGrid>
      <w:tr w:rsidR="00456C22" w:rsidRPr="004C4C9E" w:rsidTr="00456C2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投资者类别</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报告期末持有基金情况</w:t>
            </w:r>
          </w:p>
        </w:tc>
      </w:tr>
      <w:tr w:rsidR="00456C22" w:rsidRPr="004C4C9E" w:rsidTr="00456C22">
        <w:tc>
          <w:tcPr>
            <w:tcW w:w="993" w:type="dxa"/>
            <w:vMerge/>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left"/>
              <w:rPr>
                <w:b/>
                <w:bCs/>
                <w:color w:val="000000" w:themeColor="text1"/>
                <w:sz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持有基金份额比例达到或者超过</w:t>
            </w:r>
            <w:r w:rsidRPr="004C4C9E">
              <w:rPr>
                <w:color w:val="000000"/>
                <w:sz w:val="21"/>
              </w:rPr>
              <w:t>20%</w:t>
            </w:r>
            <w:r w:rsidRPr="004C4C9E">
              <w:rPr>
                <w:color w:val="000000"/>
                <w:sz w:val="21"/>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widowControl/>
              <w:spacing w:line="276" w:lineRule="auto"/>
              <w:jc w:val="center"/>
              <w:rPr>
                <w:b/>
                <w:bCs/>
                <w:color w:val="000000" w:themeColor="text1"/>
                <w:sz w:val="21"/>
              </w:rPr>
            </w:pPr>
            <w:r w:rsidRPr="004C4C9E">
              <w:rPr>
                <w:color w:val="000000"/>
                <w:sz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b/>
                <w:bCs/>
                <w:color w:val="000000" w:themeColor="text1"/>
                <w:sz w:val="21"/>
              </w:rPr>
            </w:pPr>
            <w:r w:rsidRPr="004C4C9E">
              <w:rPr>
                <w:color w:val="000000"/>
                <w:sz w:val="21"/>
              </w:rPr>
              <w:t>份额占比</w:t>
            </w:r>
          </w:p>
        </w:tc>
      </w:tr>
      <w:tr w:rsidR="0049111A">
        <w:tc>
          <w:tcPr>
            <w:tcW w:w="992" w:type="dxa"/>
            <w:vMerge w:val="restart"/>
          </w:tcPr>
          <w:p w:rsidR="0049111A" w:rsidRDefault="0049111A"/>
          <w:p w:rsidR="0049111A" w:rsidRDefault="00CE4D5E">
            <w:r>
              <w:rPr>
                <w:bCs/>
                <w:color w:val="000000" w:themeColor="text1"/>
                <w:sz w:val="21"/>
              </w:rPr>
              <w:t>机构</w:t>
            </w:r>
          </w:p>
        </w:tc>
        <w:tc>
          <w:tcPr>
            <w:tcW w:w="991" w:type="dxa"/>
            <w:vAlign w:val="center"/>
          </w:tcPr>
          <w:p w:rsidR="0049111A" w:rsidRDefault="00CE4D5E">
            <w:pPr>
              <w:jc w:val="center"/>
            </w:pPr>
            <w:r>
              <w:rPr>
                <w:color w:val="000000"/>
                <w:sz w:val="21"/>
              </w:rPr>
              <w:t>1</w:t>
            </w:r>
          </w:p>
        </w:tc>
        <w:tc>
          <w:tcPr>
            <w:tcW w:w="1843" w:type="dxa"/>
            <w:vAlign w:val="center"/>
          </w:tcPr>
          <w:p w:rsidR="0049111A" w:rsidRDefault="00CE4D5E">
            <w:pPr>
              <w:jc w:val="center"/>
            </w:pPr>
            <w:r>
              <w:rPr>
                <w:color w:val="000000"/>
                <w:sz w:val="21"/>
              </w:rPr>
              <w:t>2017-10-13</w:t>
            </w:r>
            <w:r>
              <w:rPr>
                <w:color w:val="000000"/>
                <w:sz w:val="21"/>
              </w:rPr>
              <w:t>至</w:t>
            </w:r>
            <w:r>
              <w:rPr>
                <w:color w:val="000000"/>
                <w:sz w:val="21"/>
              </w:rPr>
              <w:t>2017-11-08</w:t>
            </w:r>
          </w:p>
        </w:tc>
        <w:tc>
          <w:tcPr>
            <w:tcW w:w="851" w:type="dxa"/>
            <w:vAlign w:val="center"/>
          </w:tcPr>
          <w:p w:rsidR="0049111A" w:rsidRDefault="00CE4D5E">
            <w:pPr>
              <w:jc w:val="center"/>
            </w:pPr>
            <w:r>
              <w:rPr>
                <w:color w:val="000000"/>
                <w:sz w:val="21"/>
              </w:rPr>
              <w:t>153,448,390.35</w:t>
            </w:r>
          </w:p>
        </w:tc>
        <w:tc>
          <w:tcPr>
            <w:tcW w:w="850" w:type="dxa"/>
            <w:vAlign w:val="center"/>
          </w:tcPr>
          <w:p w:rsidR="0049111A" w:rsidRDefault="00CE4D5E">
            <w:pPr>
              <w:jc w:val="center"/>
            </w:pPr>
            <w:r>
              <w:rPr>
                <w:color w:val="000000"/>
                <w:sz w:val="21"/>
              </w:rPr>
              <w:t>156,602,179.75</w:t>
            </w:r>
          </w:p>
        </w:tc>
        <w:tc>
          <w:tcPr>
            <w:tcW w:w="1134" w:type="dxa"/>
            <w:vAlign w:val="center"/>
          </w:tcPr>
          <w:p w:rsidR="0049111A" w:rsidRDefault="00CE4D5E">
            <w:pPr>
              <w:jc w:val="center"/>
            </w:pPr>
            <w:r>
              <w:rPr>
                <w:color w:val="000000"/>
                <w:sz w:val="21"/>
              </w:rPr>
              <w:t>206,896,780.70</w:t>
            </w:r>
          </w:p>
        </w:tc>
        <w:tc>
          <w:tcPr>
            <w:tcW w:w="1419" w:type="dxa"/>
            <w:vAlign w:val="center"/>
          </w:tcPr>
          <w:p w:rsidR="0049111A" w:rsidRDefault="00CE4D5E">
            <w:pPr>
              <w:jc w:val="center"/>
            </w:pPr>
            <w:r>
              <w:rPr>
                <w:color w:val="000000"/>
                <w:sz w:val="21"/>
              </w:rPr>
              <w:t>103,153,789.40</w:t>
            </w:r>
          </w:p>
        </w:tc>
        <w:tc>
          <w:tcPr>
            <w:tcW w:w="1130" w:type="dxa"/>
            <w:vAlign w:val="center"/>
          </w:tcPr>
          <w:p w:rsidR="0049111A" w:rsidRDefault="00CE4D5E">
            <w:pPr>
              <w:jc w:val="center"/>
            </w:pPr>
            <w:r>
              <w:rPr>
                <w:color w:val="000000"/>
                <w:sz w:val="21"/>
              </w:rPr>
              <w:t>25.6367%</w:t>
            </w:r>
          </w:p>
        </w:tc>
      </w:tr>
      <w:tr w:rsidR="0049111A">
        <w:tc>
          <w:tcPr>
            <w:tcW w:w="992" w:type="dxa"/>
            <w:vMerge/>
          </w:tcPr>
          <w:p w:rsidR="0049111A" w:rsidRDefault="0049111A"/>
        </w:tc>
        <w:tc>
          <w:tcPr>
            <w:tcW w:w="991" w:type="dxa"/>
            <w:vAlign w:val="center"/>
          </w:tcPr>
          <w:p w:rsidR="0049111A" w:rsidRDefault="00CE4D5E">
            <w:pPr>
              <w:jc w:val="center"/>
            </w:pPr>
            <w:r>
              <w:rPr>
                <w:color w:val="000000"/>
                <w:sz w:val="21"/>
              </w:rPr>
              <w:t>2</w:t>
            </w:r>
          </w:p>
        </w:tc>
        <w:tc>
          <w:tcPr>
            <w:tcW w:w="1843" w:type="dxa"/>
            <w:vAlign w:val="center"/>
          </w:tcPr>
          <w:p w:rsidR="0049111A" w:rsidRDefault="00CE4D5E">
            <w:pPr>
              <w:jc w:val="center"/>
            </w:pPr>
            <w:r>
              <w:rPr>
                <w:color w:val="000000"/>
                <w:sz w:val="21"/>
              </w:rPr>
              <w:t>2017-10-24</w:t>
            </w:r>
            <w:r>
              <w:rPr>
                <w:color w:val="000000"/>
                <w:sz w:val="21"/>
              </w:rPr>
              <w:t>至</w:t>
            </w:r>
            <w:r>
              <w:rPr>
                <w:color w:val="000000"/>
                <w:sz w:val="21"/>
              </w:rPr>
              <w:t>2017-11-01</w:t>
            </w:r>
          </w:p>
        </w:tc>
        <w:tc>
          <w:tcPr>
            <w:tcW w:w="851" w:type="dxa"/>
            <w:vAlign w:val="center"/>
          </w:tcPr>
          <w:p w:rsidR="0049111A" w:rsidRDefault="00CE4D5E">
            <w:pPr>
              <w:jc w:val="center"/>
            </w:pPr>
            <w:r>
              <w:rPr>
                <w:color w:val="000000"/>
                <w:sz w:val="21"/>
              </w:rPr>
              <w:t>112,196,734.00</w:t>
            </w:r>
          </w:p>
        </w:tc>
        <w:tc>
          <w:tcPr>
            <w:tcW w:w="850" w:type="dxa"/>
            <w:vAlign w:val="center"/>
          </w:tcPr>
          <w:p w:rsidR="0049111A" w:rsidRDefault="00CE4D5E">
            <w:pPr>
              <w:jc w:val="center"/>
            </w:pPr>
            <w:r>
              <w:rPr>
                <w:color w:val="000000"/>
                <w:sz w:val="21"/>
              </w:rPr>
              <w:t>112,196,734.00</w:t>
            </w:r>
          </w:p>
        </w:tc>
        <w:tc>
          <w:tcPr>
            <w:tcW w:w="1134" w:type="dxa"/>
            <w:vAlign w:val="center"/>
          </w:tcPr>
          <w:p w:rsidR="0049111A" w:rsidRDefault="00CE4D5E">
            <w:pPr>
              <w:jc w:val="center"/>
            </w:pPr>
            <w:r>
              <w:rPr>
                <w:color w:val="000000"/>
                <w:sz w:val="21"/>
              </w:rPr>
              <w:t>188,855,594.83</w:t>
            </w:r>
          </w:p>
        </w:tc>
        <w:tc>
          <w:tcPr>
            <w:tcW w:w="1419" w:type="dxa"/>
            <w:vAlign w:val="center"/>
          </w:tcPr>
          <w:p w:rsidR="0049111A" w:rsidRDefault="00CE4D5E">
            <w:pPr>
              <w:jc w:val="center"/>
            </w:pPr>
            <w:r>
              <w:rPr>
                <w:color w:val="000000"/>
                <w:sz w:val="21"/>
              </w:rPr>
              <w:t>35,537,873.17</w:t>
            </w:r>
          </w:p>
        </w:tc>
        <w:tc>
          <w:tcPr>
            <w:tcW w:w="1130" w:type="dxa"/>
            <w:vAlign w:val="center"/>
          </w:tcPr>
          <w:p w:rsidR="0049111A" w:rsidRDefault="00CE4D5E">
            <w:pPr>
              <w:jc w:val="center"/>
            </w:pPr>
            <w:r>
              <w:rPr>
                <w:color w:val="000000"/>
                <w:sz w:val="21"/>
              </w:rPr>
              <w:t>8.8322%</w:t>
            </w:r>
          </w:p>
        </w:tc>
      </w:tr>
      <w:tr w:rsidR="00456C22" w:rsidRPr="004C4C9E" w:rsidTr="00456C22">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4C4C9E">
            <w:pPr>
              <w:autoSpaceDE w:val="0"/>
              <w:autoSpaceDN w:val="0"/>
              <w:adjustRightInd w:val="0"/>
              <w:spacing w:line="276" w:lineRule="auto"/>
              <w:jc w:val="center"/>
              <w:rPr>
                <w:sz w:val="21"/>
              </w:rPr>
            </w:pPr>
            <w:r w:rsidRPr="004C4C9E">
              <w:rPr>
                <w:color w:val="000000"/>
                <w:sz w:val="21"/>
              </w:rPr>
              <w:t>产品特有风险</w:t>
            </w:r>
          </w:p>
        </w:tc>
      </w:tr>
      <w:tr w:rsidR="00456C22" w:rsidRPr="004C4C9E" w:rsidTr="00456C22">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456C22" w:rsidRPr="004C4C9E" w:rsidRDefault="00456C22" w:rsidP="00A67441">
            <w:pPr>
              <w:autoSpaceDE w:val="0"/>
              <w:autoSpaceDN w:val="0"/>
              <w:adjustRightInd w:val="0"/>
              <w:spacing w:line="276" w:lineRule="auto"/>
              <w:jc w:val="left"/>
              <w:rPr>
                <w:sz w:val="21"/>
              </w:rPr>
            </w:pPr>
            <w:r w:rsidRPr="004C4C9E">
              <w:rPr>
                <w:sz w:val="21"/>
              </w:rPr>
              <w:t>本基金由于存在上述单一投资者持有基金份额比例达到或超过</w:t>
            </w:r>
            <w:r w:rsidRPr="004C4C9E">
              <w:rPr>
                <w:sz w:val="21"/>
              </w:rPr>
              <w:t>20%</w:t>
            </w:r>
            <w:r w:rsidRPr="004C4C9E">
              <w:rPr>
                <w:sz w:val="21"/>
              </w:rPr>
              <w:t>的情况，存在以下特有风险：（</w:t>
            </w:r>
            <w:r w:rsidRPr="004C4C9E">
              <w:rPr>
                <w:sz w:val="21"/>
              </w:rPr>
              <w:t>1</w:t>
            </w:r>
            <w:r w:rsidRPr="004C4C9E">
              <w:rPr>
                <w:sz w:val="21"/>
              </w:rPr>
              <w:t>）持有基金份额比例达到或超过</w:t>
            </w:r>
            <w:r w:rsidRPr="004C4C9E">
              <w:rPr>
                <w:sz w:val="21"/>
              </w:rPr>
              <w:t>20%</w:t>
            </w:r>
            <w:r w:rsidRPr="004C4C9E">
              <w:rPr>
                <w:sz w:val="21"/>
              </w:rPr>
              <w:t>的投资者大额赎回导致的基金份额净值波动风险；（</w:t>
            </w:r>
            <w:r w:rsidRPr="004C4C9E">
              <w:rPr>
                <w:sz w:val="21"/>
              </w:rPr>
              <w:t>2</w:t>
            </w:r>
            <w:r w:rsidRPr="004C4C9E">
              <w:rPr>
                <w:sz w:val="21"/>
              </w:rPr>
              <w:t>）持有基金份额比例达到或超过</w:t>
            </w:r>
            <w:r w:rsidRPr="004C4C9E">
              <w:rPr>
                <w:sz w:val="21"/>
              </w:rPr>
              <w:t>20%</w:t>
            </w:r>
            <w:r w:rsidRPr="004C4C9E">
              <w:rPr>
                <w:sz w:val="21"/>
              </w:rPr>
              <w:t>的投资者大额赎回导致的流动性风险；（</w:t>
            </w:r>
            <w:r w:rsidRPr="004C4C9E">
              <w:rPr>
                <w:sz w:val="21"/>
              </w:rPr>
              <w:t>3</w:t>
            </w:r>
            <w:r w:rsidRPr="004C4C9E">
              <w:rPr>
                <w:sz w:val="21"/>
              </w:rPr>
              <w:t>）持有基金份额比例达到或超过</w:t>
            </w:r>
            <w:r w:rsidRPr="004C4C9E">
              <w:rPr>
                <w:sz w:val="21"/>
              </w:rPr>
              <w:t>20%</w:t>
            </w:r>
            <w:r w:rsidRPr="004C4C9E">
              <w:rPr>
                <w:sz w:val="21"/>
              </w:rPr>
              <w:t>的投资者大额赎回导致的巨额赎回风险；（</w:t>
            </w:r>
            <w:r w:rsidRPr="004C4C9E">
              <w:rPr>
                <w:sz w:val="21"/>
              </w:rPr>
              <w:t>4</w:t>
            </w:r>
            <w:r w:rsidRPr="004C4C9E">
              <w:rPr>
                <w:sz w:val="21"/>
              </w:rPr>
              <w:t>）持有基金份额比例达到或超过</w:t>
            </w:r>
            <w:r w:rsidRPr="004C4C9E">
              <w:rPr>
                <w:sz w:val="21"/>
              </w:rPr>
              <w:t>20%</w:t>
            </w:r>
            <w:r w:rsidRPr="004C4C9E">
              <w:rPr>
                <w:sz w:val="21"/>
              </w:rPr>
              <w:t>的投资者大额赎回导致的基金资产净值持续低于</w:t>
            </w:r>
            <w:r w:rsidRPr="004C4C9E">
              <w:rPr>
                <w:sz w:val="21"/>
              </w:rPr>
              <w:t>5000</w:t>
            </w:r>
            <w:r w:rsidRPr="004C4C9E">
              <w:rPr>
                <w:sz w:val="21"/>
              </w:rPr>
              <w:t>万元的风险。</w:t>
            </w:r>
          </w:p>
        </w:tc>
      </w:tr>
    </w:tbl>
    <w:p w:rsidR="00456C22" w:rsidRPr="004C4C9E" w:rsidRDefault="00CF2714" w:rsidP="00CE4D5E">
      <w:pPr>
        <w:autoSpaceDE w:val="0"/>
        <w:autoSpaceDN w:val="0"/>
        <w:adjustRightInd w:val="0"/>
        <w:spacing w:beforeLines="50" w:line="360" w:lineRule="auto"/>
        <w:ind w:left="17"/>
        <w:jc w:val="left"/>
        <w:rPr>
          <w:b/>
          <w:color w:val="000000"/>
          <w:kern w:val="0"/>
        </w:rPr>
      </w:pPr>
      <w:r w:rsidRPr="004C4C9E">
        <w:rPr>
          <w:b/>
          <w:color w:val="000000"/>
          <w:kern w:val="0"/>
        </w:rPr>
        <w:t>8.3</w:t>
      </w:r>
      <w:r w:rsidR="00456C22" w:rsidRPr="004C4C9E">
        <w:rPr>
          <w:b/>
          <w:color w:val="000000"/>
          <w:kern w:val="0"/>
        </w:rPr>
        <w:t>影响投资者决策的其他重要信息</w:t>
      </w:r>
    </w:p>
    <w:p w:rsidR="00456C22" w:rsidRPr="004C4C9E" w:rsidRDefault="00456C22" w:rsidP="004C4C9E">
      <w:pPr>
        <w:adjustRightInd w:val="0"/>
        <w:spacing w:line="360" w:lineRule="auto"/>
        <w:ind w:firstLineChars="200" w:firstLine="420"/>
        <w:rPr>
          <w:color w:val="000000"/>
        </w:rPr>
      </w:pPr>
      <w:r w:rsidRPr="004C4C9E">
        <w:rPr>
          <w:color w:val="000000"/>
        </w:rPr>
        <w:t>2017</w:t>
      </w:r>
      <w:r w:rsidRPr="004C4C9E">
        <w:rPr>
          <w:color w:val="000000"/>
        </w:rPr>
        <w:t>年</w:t>
      </w:r>
      <w:r w:rsidRPr="004C4C9E">
        <w:rPr>
          <w:color w:val="000000"/>
        </w:rPr>
        <w:t>8</w:t>
      </w:r>
      <w:r w:rsidRPr="004C4C9E">
        <w:rPr>
          <w:color w:val="000000"/>
        </w:rPr>
        <w:t>月至</w:t>
      </w:r>
      <w:r w:rsidRPr="004C4C9E">
        <w:rPr>
          <w:color w:val="000000"/>
        </w:rPr>
        <w:t>9</w:t>
      </w:r>
      <w:r w:rsidRPr="004C4C9E">
        <w:rPr>
          <w:color w:val="000000"/>
        </w:rPr>
        <w:t>月，本基金以通讯方式召开了基金持有人大会，审议了《关于中银互利分级债券型证券投资基金转型的议案》，权益登记日为</w:t>
      </w:r>
      <w:r w:rsidRPr="004C4C9E">
        <w:rPr>
          <w:color w:val="000000"/>
        </w:rPr>
        <w:t xml:space="preserve"> 2017</w:t>
      </w:r>
      <w:r w:rsidRPr="004C4C9E">
        <w:rPr>
          <w:color w:val="000000"/>
        </w:rPr>
        <w:t>年</w:t>
      </w:r>
      <w:r w:rsidRPr="004C4C9E">
        <w:rPr>
          <w:color w:val="000000"/>
        </w:rPr>
        <w:t>8</w:t>
      </w:r>
      <w:r w:rsidRPr="004C4C9E">
        <w:rPr>
          <w:color w:val="000000"/>
        </w:rPr>
        <w:t>月</w:t>
      </w:r>
      <w:r w:rsidRPr="004C4C9E">
        <w:rPr>
          <w:color w:val="000000"/>
        </w:rPr>
        <w:t>3</w:t>
      </w:r>
      <w:r w:rsidRPr="004C4C9E">
        <w:rPr>
          <w:color w:val="000000"/>
        </w:rPr>
        <w:t>日，投票时间为</w:t>
      </w:r>
      <w:r w:rsidRPr="004C4C9E">
        <w:rPr>
          <w:color w:val="000000"/>
        </w:rPr>
        <w:t>2017</w:t>
      </w:r>
      <w:r w:rsidRPr="004C4C9E">
        <w:rPr>
          <w:color w:val="000000"/>
        </w:rPr>
        <w:t>年</w:t>
      </w:r>
      <w:r w:rsidRPr="004C4C9E">
        <w:rPr>
          <w:color w:val="000000"/>
        </w:rPr>
        <w:t>8</w:t>
      </w:r>
      <w:r w:rsidRPr="004C4C9E">
        <w:rPr>
          <w:color w:val="000000"/>
        </w:rPr>
        <w:t>月</w:t>
      </w:r>
      <w:r w:rsidRPr="004C4C9E">
        <w:rPr>
          <w:color w:val="000000"/>
        </w:rPr>
        <w:t xml:space="preserve"> 4</w:t>
      </w:r>
      <w:r w:rsidRPr="004C4C9E">
        <w:rPr>
          <w:color w:val="000000"/>
        </w:rPr>
        <w:t>日</w:t>
      </w:r>
      <w:r w:rsidRPr="004C4C9E">
        <w:rPr>
          <w:color w:val="000000"/>
        </w:rPr>
        <w:t>00:00</w:t>
      </w:r>
      <w:r w:rsidRPr="004C4C9E">
        <w:rPr>
          <w:color w:val="000000"/>
        </w:rPr>
        <w:t>至</w:t>
      </w:r>
      <w:r w:rsidRPr="004C4C9E">
        <w:rPr>
          <w:color w:val="000000"/>
        </w:rPr>
        <w:t>2017</w:t>
      </w:r>
      <w:r w:rsidRPr="004C4C9E">
        <w:rPr>
          <w:color w:val="000000"/>
        </w:rPr>
        <w:t>年</w:t>
      </w:r>
      <w:r w:rsidRPr="004C4C9E">
        <w:rPr>
          <w:color w:val="000000"/>
        </w:rPr>
        <w:t>9</w:t>
      </w:r>
      <w:r w:rsidRPr="004C4C9E">
        <w:rPr>
          <w:color w:val="000000"/>
        </w:rPr>
        <w:t>月</w:t>
      </w:r>
      <w:r w:rsidRPr="004C4C9E">
        <w:rPr>
          <w:color w:val="000000"/>
        </w:rPr>
        <w:t>21</w:t>
      </w:r>
      <w:r w:rsidRPr="004C4C9E">
        <w:rPr>
          <w:color w:val="000000"/>
        </w:rPr>
        <w:t>日</w:t>
      </w:r>
      <w:r w:rsidRPr="004C4C9E">
        <w:rPr>
          <w:color w:val="000000"/>
        </w:rPr>
        <w:t>17:00</w:t>
      </w:r>
      <w:r w:rsidRPr="004C4C9E">
        <w:rPr>
          <w:color w:val="000000"/>
        </w:rPr>
        <w:t>止。</w:t>
      </w:r>
      <w:r w:rsidRPr="004C4C9E">
        <w:rPr>
          <w:color w:val="000000"/>
        </w:rPr>
        <w:t>2017</w:t>
      </w:r>
      <w:r w:rsidRPr="004C4C9E">
        <w:rPr>
          <w:color w:val="000000"/>
        </w:rPr>
        <w:t>年</w:t>
      </w:r>
      <w:r w:rsidRPr="004C4C9E">
        <w:rPr>
          <w:color w:val="000000"/>
        </w:rPr>
        <w:t>9</w:t>
      </w:r>
      <w:r w:rsidRPr="004C4C9E">
        <w:rPr>
          <w:color w:val="000000"/>
        </w:rPr>
        <w:t>月</w:t>
      </w:r>
      <w:r w:rsidRPr="004C4C9E">
        <w:rPr>
          <w:color w:val="000000"/>
        </w:rPr>
        <w:t>22</w:t>
      </w:r>
      <w:r w:rsidRPr="004C4C9E">
        <w:rPr>
          <w:color w:val="000000"/>
        </w:rPr>
        <w:t>日，在本基金的基金托管人中国民生银行股份有限公司授权代表的监督下，本基金管理人授权的两名监票人对本次大会的表决进行了计票，上海市通力律师事务所对计票结果进行了见证，上海市东方公证处对计票过程进行了公证。大会出席投票情况达到法定开会条件，表决结果满足法定生效条件，本次会议议案获得通过并生效。根据生效决议，自原中银互利分级债券型证券投资基金的基金份额结转为中银互利半年定期开放债券型证券投资基金的基金份额的下一工作日（即</w:t>
      </w:r>
      <w:r w:rsidRPr="004C4C9E">
        <w:rPr>
          <w:color w:val="000000"/>
        </w:rPr>
        <w:t xml:space="preserve"> 2017</w:t>
      </w:r>
      <w:r w:rsidRPr="004C4C9E">
        <w:rPr>
          <w:color w:val="000000"/>
        </w:rPr>
        <w:t>年</w:t>
      </w:r>
      <w:r w:rsidRPr="004C4C9E">
        <w:rPr>
          <w:color w:val="000000"/>
        </w:rPr>
        <w:t>11</w:t>
      </w:r>
      <w:r w:rsidRPr="004C4C9E">
        <w:rPr>
          <w:color w:val="000000"/>
        </w:rPr>
        <w:t>月</w:t>
      </w:r>
      <w:r w:rsidRPr="004C4C9E">
        <w:rPr>
          <w:color w:val="000000"/>
        </w:rPr>
        <w:t>9</w:t>
      </w:r>
      <w:r w:rsidRPr="004C4C9E">
        <w:rPr>
          <w:color w:val="000000"/>
        </w:rPr>
        <w:t>日）起（含该日）生效，《中银互利分级债券型证券投资基金基金合同》同时失效，中银互利分级债券型证券投资基金正式变更为中银互利半年定期开放债券型证券投资基金，本基金的基金合同当事人将按照《中银互利半年定期开放债券型证券投资基金基金合同》享有权利并承担义务。具体情况请参考基金管理人于公司网站及指定报刊发布的相关公告。</w:t>
      </w:r>
    </w:p>
    <w:p w:rsidR="004061AC" w:rsidRPr="004C4C9E" w:rsidRDefault="004061AC" w:rsidP="00CE4D5E">
      <w:pPr>
        <w:pStyle w:val="1"/>
        <w:spacing w:beforeLines="50" w:afterLines="50" w:line="360" w:lineRule="auto"/>
        <w:jc w:val="center"/>
        <w:rPr>
          <w:color w:val="000000"/>
          <w:kern w:val="0"/>
          <w:sz w:val="21"/>
          <w:szCs w:val="21"/>
        </w:rPr>
      </w:pPr>
      <w:r w:rsidRPr="004C4C9E">
        <w:rPr>
          <w:color w:val="000000"/>
          <w:kern w:val="0"/>
          <w:sz w:val="21"/>
          <w:szCs w:val="21"/>
        </w:rPr>
        <w:t>§</w:t>
      </w:r>
      <w:r w:rsidR="00D02347" w:rsidRPr="004C4C9E">
        <w:rPr>
          <w:color w:val="000000"/>
          <w:kern w:val="0"/>
          <w:sz w:val="21"/>
          <w:szCs w:val="21"/>
        </w:rPr>
        <w:t>9</w:t>
      </w:r>
      <w:r w:rsidRPr="004C4C9E">
        <w:rPr>
          <w:color w:val="000000"/>
          <w:kern w:val="0"/>
          <w:sz w:val="21"/>
          <w:szCs w:val="21"/>
        </w:rPr>
        <w:t>备查文件目录</w:t>
      </w:r>
    </w:p>
    <w:p w:rsidR="004061AC" w:rsidRPr="004C4C9E" w:rsidRDefault="00D02347" w:rsidP="004C4C9E">
      <w:pPr>
        <w:autoSpaceDE w:val="0"/>
        <w:autoSpaceDN w:val="0"/>
        <w:adjustRightInd w:val="0"/>
        <w:spacing w:line="360" w:lineRule="auto"/>
        <w:ind w:left="15"/>
        <w:jc w:val="left"/>
        <w:rPr>
          <w:b/>
          <w:color w:val="000000"/>
          <w:kern w:val="0"/>
        </w:rPr>
      </w:pPr>
      <w:r w:rsidRPr="004C4C9E">
        <w:rPr>
          <w:b/>
          <w:color w:val="000000"/>
          <w:kern w:val="0"/>
        </w:rPr>
        <w:t>9</w:t>
      </w:r>
      <w:r w:rsidR="004061AC" w:rsidRPr="004C4C9E">
        <w:rPr>
          <w:b/>
          <w:color w:val="000000"/>
          <w:kern w:val="0"/>
        </w:rPr>
        <w:t>.</w:t>
      </w:r>
      <w:r w:rsidR="00676095" w:rsidRPr="004C4C9E">
        <w:rPr>
          <w:b/>
          <w:color w:val="000000"/>
          <w:kern w:val="0"/>
        </w:rPr>
        <w:t>1</w:t>
      </w:r>
      <w:r w:rsidR="004061AC" w:rsidRPr="004C4C9E">
        <w:rPr>
          <w:b/>
          <w:color w:val="000000"/>
          <w:kern w:val="0"/>
        </w:rPr>
        <w:t>备查文件目录</w:t>
      </w:r>
    </w:p>
    <w:p w:rsidR="0049111A" w:rsidRDefault="00CE4D5E">
      <w:pPr>
        <w:adjustRightInd w:val="0"/>
        <w:spacing w:line="360" w:lineRule="auto"/>
        <w:ind w:firstLineChars="200" w:firstLine="420"/>
        <w:rPr>
          <w:color w:val="000000"/>
        </w:rPr>
      </w:pPr>
      <w:r>
        <w:rPr>
          <w:color w:val="000000"/>
        </w:rPr>
        <w:t>1</w:t>
      </w:r>
      <w:r>
        <w:rPr>
          <w:color w:val="000000"/>
        </w:rPr>
        <w:t>、中国证监会准予中银互利分级债券型证券投资基金变更注册的文件；</w:t>
      </w:r>
      <w:r>
        <w:rPr>
          <w:color w:val="000000"/>
        </w:rPr>
        <w:t xml:space="preserve"> </w:t>
      </w:r>
    </w:p>
    <w:p w:rsidR="0049111A" w:rsidRDefault="00CE4D5E">
      <w:pPr>
        <w:adjustRightInd w:val="0"/>
        <w:spacing w:line="360" w:lineRule="auto"/>
        <w:ind w:firstLineChars="200" w:firstLine="420"/>
        <w:rPr>
          <w:color w:val="000000"/>
        </w:rPr>
      </w:pPr>
      <w:r>
        <w:rPr>
          <w:color w:val="000000"/>
        </w:rPr>
        <w:t>2</w:t>
      </w:r>
      <w:r>
        <w:rPr>
          <w:color w:val="000000"/>
        </w:rPr>
        <w:t>、《中银互利半年定期开放债券型证券投资基金基金合同》；</w:t>
      </w:r>
      <w:r>
        <w:rPr>
          <w:color w:val="000000"/>
        </w:rPr>
        <w:t xml:space="preserve"> </w:t>
      </w:r>
    </w:p>
    <w:p w:rsidR="0049111A" w:rsidRDefault="00CE4D5E">
      <w:pPr>
        <w:adjustRightInd w:val="0"/>
        <w:spacing w:line="360" w:lineRule="auto"/>
        <w:ind w:firstLineChars="200" w:firstLine="420"/>
        <w:rPr>
          <w:color w:val="000000"/>
        </w:rPr>
      </w:pPr>
      <w:r>
        <w:rPr>
          <w:color w:val="000000"/>
        </w:rPr>
        <w:t>3</w:t>
      </w:r>
      <w:r>
        <w:rPr>
          <w:color w:val="000000"/>
        </w:rPr>
        <w:t>、《中银互利半年定期开放债券型证券投资基金托管协议》；</w:t>
      </w:r>
      <w:r>
        <w:rPr>
          <w:color w:val="000000"/>
        </w:rPr>
        <w:t xml:space="preserve"> </w:t>
      </w:r>
    </w:p>
    <w:p w:rsidR="0049111A" w:rsidRDefault="00CE4D5E">
      <w:pPr>
        <w:adjustRightInd w:val="0"/>
        <w:spacing w:line="360" w:lineRule="auto"/>
        <w:ind w:firstLineChars="200" w:firstLine="420"/>
        <w:rPr>
          <w:color w:val="000000"/>
        </w:rPr>
      </w:pPr>
      <w:r>
        <w:rPr>
          <w:color w:val="000000"/>
        </w:rPr>
        <w:t>4</w:t>
      </w:r>
      <w:r>
        <w:rPr>
          <w:color w:val="000000"/>
        </w:rPr>
        <w:t>、关于申请中银互利分级债券型证券投资基金变更注册为中银互利半年定期开放债券</w:t>
      </w:r>
    </w:p>
    <w:p w:rsidR="0049111A" w:rsidRDefault="00CE4D5E">
      <w:pPr>
        <w:adjustRightInd w:val="0"/>
        <w:spacing w:line="360" w:lineRule="auto"/>
        <w:ind w:firstLineChars="200" w:firstLine="420"/>
        <w:rPr>
          <w:color w:val="000000"/>
        </w:rPr>
      </w:pPr>
      <w:r>
        <w:rPr>
          <w:color w:val="000000"/>
        </w:rPr>
        <w:t>型证券投资基金的法律意见书；</w:t>
      </w:r>
      <w:r>
        <w:rPr>
          <w:color w:val="000000"/>
        </w:rPr>
        <w:t xml:space="preserve"> </w:t>
      </w:r>
    </w:p>
    <w:p w:rsidR="0049111A" w:rsidRDefault="00CE4D5E">
      <w:pPr>
        <w:adjustRightInd w:val="0"/>
        <w:spacing w:line="360" w:lineRule="auto"/>
        <w:ind w:firstLineChars="200" w:firstLine="420"/>
        <w:rPr>
          <w:color w:val="000000"/>
        </w:rPr>
      </w:pPr>
      <w:r>
        <w:rPr>
          <w:color w:val="000000"/>
        </w:rPr>
        <w:t>5</w:t>
      </w:r>
      <w:r>
        <w:rPr>
          <w:color w:val="000000"/>
        </w:rPr>
        <w:t>、基金管理人业务资格批件、营业执照；</w:t>
      </w:r>
      <w:r>
        <w:rPr>
          <w:color w:val="000000"/>
        </w:rPr>
        <w:t xml:space="preserve"> </w:t>
      </w:r>
    </w:p>
    <w:p w:rsidR="0049111A" w:rsidRDefault="00CE4D5E">
      <w:pPr>
        <w:adjustRightInd w:val="0"/>
        <w:spacing w:line="360" w:lineRule="auto"/>
        <w:ind w:firstLineChars="200" w:firstLine="420"/>
        <w:rPr>
          <w:color w:val="000000"/>
        </w:rPr>
      </w:pPr>
      <w:r>
        <w:rPr>
          <w:color w:val="000000"/>
        </w:rPr>
        <w:t>6</w:t>
      </w:r>
      <w:r>
        <w:rPr>
          <w:color w:val="000000"/>
        </w:rPr>
        <w:t>、基金托管人业务资格批件、营业执照；</w:t>
      </w:r>
      <w:r>
        <w:rPr>
          <w:color w:val="000000"/>
        </w:rPr>
        <w:t xml:space="preserve"> </w:t>
      </w:r>
    </w:p>
    <w:p w:rsidR="004061AC" w:rsidRPr="004C4C9E" w:rsidRDefault="006D7FF8" w:rsidP="004C4C9E">
      <w:pPr>
        <w:adjustRightInd w:val="0"/>
        <w:spacing w:line="360" w:lineRule="auto"/>
        <w:ind w:firstLineChars="200" w:firstLine="420"/>
        <w:rPr>
          <w:color w:val="000000"/>
        </w:rPr>
      </w:pPr>
      <w:r w:rsidRPr="004C4C9E">
        <w:rPr>
          <w:color w:val="000000"/>
        </w:rPr>
        <w:t>7</w:t>
      </w:r>
      <w:r w:rsidRPr="004C4C9E">
        <w:rPr>
          <w:color w:val="000000"/>
        </w:rPr>
        <w:t>、中国证监会要求的其他文件。</w:t>
      </w:r>
      <w:r w:rsidRPr="004C4C9E">
        <w:rPr>
          <w:color w:val="000000"/>
        </w:rPr>
        <w:t xml:space="preserve"> </w:t>
      </w:r>
    </w:p>
    <w:p w:rsidR="004061AC" w:rsidRPr="004C4C9E" w:rsidRDefault="00D02347" w:rsidP="00CE4D5E">
      <w:pPr>
        <w:autoSpaceDE w:val="0"/>
        <w:autoSpaceDN w:val="0"/>
        <w:adjustRightInd w:val="0"/>
        <w:spacing w:beforeLines="50" w:line="360" w:lineRule="auto"/>
        <w:ind w:left="17"/>
        <w:jc w:val="left"/>
        <w:rPr>
          <w:b/>
          <w:color w:val="000000"/>
          <w:kern w:val="0"/>
        </w:rPr>
      </w:pPr>
      <w:r w:rsidRPr="004C4C9E">
        <w:rPr>
          <w:b/>
          <w:color w:val="000000"/>
          <w:kern w:val="0"/>
        </w:rPr>
        <w:t>9</w:t>
      </w:r>
      <w:r w:rsidR="004061AC" w:rsidRPr="004C4C9E">
        <w:rPr>
          <w:b/>
          <w:color w:val="000000"/>
          <w:kern w:val="0"/>
        </w:rPr>
        <w:t>.</w:t>
      </w:r>
      <w:r w:rsidR="00676095" w:rsidRPr="004C4C9E">
        <w:rPr>
          <w:b/>
          <w:color w:val="000000"/>
          <w:kern w:val="0"/>
        </w:rPr>
        <w:t>2</w:t>
      </w:r>
      <w:r w:rsidR="004061AC" w:rsidRPr="004C4C9E">
        <w:rPr>
          <w:b/>
          <w:color w:val="000000"/>
          <w:kern w:val="0"/>
        </w:rPr>
        <w:t>存放地点</w:t>
      </w:r>
    </w:p>
    <w:p w:rsidR="004061AC" w:rsidRPr="004C4C9E" w:rsidRDefault="006D7FF8" w:rsidP="004C4C9E">
      <w:pPr>
        <w:adjustRightInd w:val="0"/>
        <w:spacing w:line="360" w:lineRule="auto"/>
        <w:ind w:firstLineChars="200" w:firstLine="420"/>
        <w:rPr>
          <w:color w:val="000000"/>
        </w:rPr>
      </w:pPr>
      <w:r w:rsidRPr="004C4C9E">
        <w:rPr>
          <w:color w:val="000000"/>
        </w:rPr>
        <w:t>以上备查文件存放在基金管理人、基金托管人所在地，供公众查阅。</w:t>
      </w:r>
    </w:p>
    <w:p w:rsidR="004061AC" w:rsidRPr="004C4C9E" w:rsidRDefault="00D02347" w:rsidP="00CE4D5E">
      <w:pPr>
        <w:autoSpaceDE w:val="0"/>
        <w:autoSpaceDN w:val="0"/>
        <w:adjustRightInd w:val="0"/>
        <w:spacing w:beforeLines="50" w:line="360" w:lineRule="auto"/>
        <w:ind w:left="17"/>
        <w:jc w:val="left"/>
        <w:rPr>
          <w:b/>
          <w:color w:val="000000"/>
          <w:kern w:val="0"/>
        </w:rPr>
      </w:pPr>
      <w:r w:rsidRPr="004C4C9E">
        <w:rPr>
          <w:b/>
          <w:color w:val="000000"/>
          <w:kern w:val="0"/>
        </w:rPr>
        <w:t>9</w:t>
      </w:r>
      <w:r w:rsidR="004061AC" w:rsidRPr="004C4C9E">
        <w:rPr>
          <w:b/>
          <w:color w:val="000000"/>
          <w:kern w:val="0"/>
        </w:rPr>
        <w:t>.</w:t>
      </w:r>
      <w:r w:rsidR="00676095" w:rsidRPr="004C4C9E">
        <w:rPr>
          <w:b/>
          <w:color w:val="000000"/>
          <w:kern w:val="0"/>
        </w:rPr>
        <w:t>3</w:t>
      </w:r>
      <w:r w:rsidR="004061AC" w:rsidRPr="004C4C9E">
        <w:rPr>
          <w:b/>
          <w:color w:val="000000"/>
          <w:kern w:val="0"/>
        </w:rPr>
        <w:t>查阅方式</w:t>
      </w:r>
    </w:p>
    <w:p w:rsidR="00636DB7" w:rsidRPr="004C4C9E" w:rsidRDefault="006D7FF8" w:rsidP="004C4C9E">
      <w:pPr>
        <w:adjustRightInd w:val="0"/>
        <w:spacing w:line="360" w:lineRule="auto"/>
        <w:ind w:firstLineChars="200" w:firstLine="420"/>
        <w:rPr>
          <w:color w:val="000000"/>
        </w:rPr>
      </w:pPr>
      <w:r w:rsidRPr="004C4C9E">
        <w:rPr>
          <w:color w:val="000000"/>
        </w:rPr>
        <w:t>投资人在支付工本费后，可在合理时间内取得上述文件复制件或复印件。</w:t>
      </w:r>
      <w:r w:rsidRPr="004C4C9E">
        <w:rPr>
          <w:color w:val="000000"/>
        </w:rPr>
        <w:t xml:space="preserve"> </w:t>
      </w:r>
    </w:p>
    <w:p w:rsidR="004061AC" w:rsidRPr="004C4C9E" w:rsidRDefault="004061AC" w:rsidP="004C4C9E">
      <w:pPr>
        <w:spacing w:line="360" w:lineRule="auto"/>
        <w:ind w:left="840"/>
        <w:jc w:val="right"/>
        <w:rPr>
          <w:rFonts w:eastAsiaTheme="minorEastAsia"/>
          <w:color w:val="000000" w:themeColor="text1"/>
        </w:rPr>
      </w:pPr>
    </w:p>
    <w:p w:rsidR="00C71497" w:rsidRPr="004C4C9E" w:rsidRDefault="00C71497" w:rsidP="004C4C9E">
      <w:pPr>
        <w:spacing w:line="360" w:lineRule="auto"/>
        <w:ind w:left="840"/>
        <w:jc w:val="right"/>
        <w:rPr>
          <w:rFonts w:eastAsiaTheme="minorEastAsia"/>
          <w:color w:val="000000" w:themeColor="text1"/>
        </w:rPr>
      </w:pPr>
    </w:p>
    <w:p w:rsidR="00C71497" w:rsidRPr="004C4C9E" w:rsidRDefault="00C71497" w:rsidP="004C4C9E">
      <w:pPr>
        <w:spacing w:line="360" w:lineRule="auto"/>
        <w:ind w:left="840"/>
        <w:jc w:val="right"/>
        <w:rPr>
          <w:rFonts w:eastAsiaTheme="minorEastAsia"/>
          <w:color w:val="000000" w:themeColor="text1"/>
        </w:rPr>
      </w:pPr>
    </w:p>
    <w:p w:rsidR="00C71497" w:rsidRPr="004C4C9E" w:rsidRDefault="00C71497" w:rsidP="004C4C9E">
      <w:pPr>
        <w:spacing w:line="360" w:lineRule="auto"/>
        <w:ind w:left="840"/>
        <w:jc w:val="right"/>
        <w:rPr>
          <w:rFonts w:eastAsiaTheme="minorEastAsia"/>
          <w:color w:val="000000" w:themeColor="text1"/>
        </w:rPr>
      </w:pPr>
    </w:p>
    <w:p w:rsidR="00C71497" w:rsidRPr="004C4C9E" w:rsidRDefault="00C71497" w:rsidP="004C4C9E">
      <w:pPr>
        <w:spacing w:line="360" w:lineRule="auto"/>
        <w:ind w:left="840"/>
        <w:jc w:val="right"/>
        <w:rPr>
          <w:rFonts w:eastAsiaTheme="minorEastAsia"/>
          <w:color w:val="000000" w:themeColor="text1"/>
        </w:rPr>
      </w:pPr>
    </w:p>
    <w:p w:rsidR="00C71497" w:rsidRPr="004C4C9E" w:rsidRDefault="00C71497" w:rsidP="004C4C9E">
      <w:pPr>
        <w:spacing w:line="360" w:lineRule="auto"/>
        <w:ind w:left="840"/>
        <w:jc w:val="right"/>
        <w:rPr>
          <w:rFonts w:eastAsiaTheme="minorEastAsia"/>
          <w:color w:val="000000" w:themeColor="text1"/>
        </w:rPr>
      </w:pPr>
    </w:p>
    <w:p w:rsidR="004061AC" w:rsidRPr="004C4C9E" w:rsidRDefault="004061AC" w:rsidP="004C4C9E">
      <w:pPr>
        <w:spacing w:line="360" w:lineRule="auto"/>
        <w:ind w:left="840"/>
        <w:jc w:val="right"/>
        <w:rPr>
          <w:rFonts w:eastAsiaTheme="minorEastAsia"/>
          <w:color w:val="000000" w:themeColor="text1"/>
        </w:rPr>
      </w:pPr>
    </w:p>
    <w:p w:rsidR="004061AC" w:rsidRPr="004C4C9E" w:rsidRDefault="004061AC" w:rsidP="004C4C9E">
      <w:pPr>
        <w:spacing w:line="360" w:lineRule="auto"/>
        <w:ind w:left="840"/>
        <w:jc w:val="right"/>
        <w:rPr>
          <w:rFonts w:eastAsiaTheme="minorEastAsia"/>
          <w:color w:val="000000" w:themeColor="text1"/>
        </w:rPr>
      </w:pPr>
    </w:p>
    <w:p w:rsidR="004061AC" w:rsidRPr="004C4C9E" w:rsidRDefault="00832A00" w:rsidP="004C4C9E">
      <w:pPr>
        <w:spacing w:line="360" w:lineRule="auto"/>
        <w:jc w:val="right"/>
        <w:rPr>
          <w:rFonts w:eastAsiaTheme="minorEastAsia"/>
          <w:b/>
          <w:bCs/>
          <w:color w:val="000000" w:themeColor="text1"/>
        </w:rPr>
      </w:pPr>
      <w:r w:rsidRPr="004C4C9E">
        <w:rPr>
          <w:rFonts w:eastAsiaTheme="minorEastAsia"/>
          <w:b/>
          <w:bCs/>
          <w:color w:val="000000" w:themeColor="text1"/>
        </w:rPr>
        <w:t>中银基金管理有限公司</w:t>
      </w:r>
    </w:p>
    <w:p w:rsidR="004061AC" w:rsidRPr="004C4C9E" w:rsidRDefault="00945AF6" w:rsidP="004C4C9E">
      <w:pPr>
        <w:spacing w:line="360" w:lineRule="auto"/>
        <w:jc w:val="right"/>
        <w:rPr>
          <w:rFonts w:eastAsiaTheme="minorEastAsia"/>
          <w:b/>
          <w:bCs/>
          <w:color w:val="000000" w:themeColor="text1"/>
        </w:rPr>
      </w:pPr>
      <w:r w:rsidRPr="004C4C9E">
        <w:rPr>
          <w:rFonts w:eastAsiaTheme="minorEastAsia"/>
          <w:b/>
          <w:bCs/>
          <w:color w:val="000000" w:themeColor="text1"/>
        </w:rPr>
        <w:t>二〇一八年一月十九日</w:t>
      </w:r>
    </w:p>
    <w:p w:rsidR="00304A12" w:rsidRPr="004C4C9E" w:rsidRDefault="00304A12" w:rsidP="004C4C9E">
      <w:pPr>
        <w:spacing w:line="360" w:lineRule="auto"/>
        <w:ind w:left="840"/>
        <w:jc w:val="right"/>
        <w:rPr>
          <w:rFonts w:eastAsiaTheme="minorEastAsia"/>
          <w:b/>
          <w:bCs/>
          <w:color w:val="000000" w:themeColor="text1"/>
        </w:rPr>
      </w:pPr>
    </w:p>
    <w:p w:rsidR="00A90049" w:rsidRPr="004C4C9E" w:rsidRDefault="00A90049" w:rsidP="004C4C9E">
      <w:pPr>
        <w:spacing w:line="360" w:lineRule="auto"/>
        <w:rPr>
          <w:rFonts w:eastAsiaTheme="minorEastAsia"/>
          <w:color w:val="000000" w:themeColor="text1"/>
        </w:rPr>
      </w:pPr>
    </w:p>
    <w:sectPr w:rsidR="00A90049" w:rsidRPr="004C4C9E" w:rsidSect="00304A12">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A6D" w:rsidRDefault="00484A6D" w:rsidP="00876D65">
      <w:r>
        <w:separator/>
      </w:r>
    </w:p>
  </w:endnote>
  <w:endnote w:type="continuationSeparator" w:id="1">
    <w:p w:rsidR="00484A6D" w:rsidRDefault="00484A6D" w:rsidP="0087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angSong">
    <w:altName w:val="Arial"/>
    <w:charset w:val="00"/>
    <w:family w:val="auto"/>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3D" w:rsidRDefault="00BE29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7B" w:rsidRPr="001D0DB0" w:rsidRDefault="00756F7B" w:rsidP="00F11104">
    <w:pPr>
      <w:pStyle w:val="a6"/>
      <w:tabs>
        <w:tab w:val="left" w:pos="4215"/>
        <w:tab w:val="center" w:pos="4545"/>
      </w:tabs>
    </w:pPr>
    <w:r>
      <w:ptab w:relativeTo="margin" w:alignment="center" w:leader="none"/>
    </w:r>
    <w:r>
      <w:ptab w:relativeTo="margin" w:alignment="center" w:leader="none"/>
    </w:r>
    <w:r w:rsidR="0049111A" w:rsidRPr="0049111A">
      <w:fldChar w:fldCharType="begin"/>
    </w:r>
    <w:r>
      <w:instrText xml:space="preserve"> PAGE   \* MERGEFORMAT </w:instrText>
    </w:r>
    <w:r w:rsidR="0049111A" w:rsidRPr="0049111A">
      <w:fldChar w:fldCharType="separate"/>
    </w:r>
    <w:r w:rsidRPr="00B1315F">
      <w:rPr>
        <w:noProof/>
        <w:lang w:val="zh-CN"/>
      </w:rPr>
      <w:t>1</w:t>
    </w:r>
    <w:r w:rsidR="0049111A">
      <w:rPr>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3D" w:rsidRDefault="00BE293D">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7B" w:rsidRDefault="0049111A">
    <w:pPr>
      <w:pStyle w:val="a6"/>
      <w:framePr w:wrap="auto" w:vAnchor="text" w:hAnchor="margin" w:xAlign="center" w:y="1"/>
      <w:rPr>
        <w:rStyle w:val="a7"/>
      </w:rPr>
    </w:pPr>
    <w:r>
      <w:rPr>
        <w:rStyle w:val="a7"/>
      </w:rPr>
      <w:fldChar w:fldCharType="begin"/>
    </w:r>
    <w:r w:rsidR="00756F7B">
      <w:rPr>
        <w:rStyle w:val="a7"/>
      </w:rPr>
      <w:instrText xml:space="preserve">PAGE  </w:instrText>
    </w:r>
    <w:r>
      <w:rPr>
        <w:rStyle w:val="a7"/>
      </w:rPr>
      <w:fldChar w:fldCharType="separate"/>
    </w:r>
    <w:r w:rsidR="00CE4D5E">
      <w:rPr>
        <w:rStyle w:val="a7"/>
        <w:noProof/>
      </w:rPr>
      <w:t>2</w:t>
    </w:r>
    <w:r>
      <w:rPr>
        <w:rStyle w:val="a7"/>
      </w:rPr>
      <w:fldChar w:fldCharType="end"/>
    </w:r>
  </w:p>
  <w:p w:rsidR="00756F7B" w:rsidRDefault="00756F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A6D" w:rsidRDefault="00484A6D" w:rsidP="00876D65">
      <w:r>
        <w:separator/>
      </w:r>
    </w:p>
  </w:footnote>
  <w:footnote w:type="continuationSeparator" w:id="1">
    <w:p w:rsidR="00484A6D" w:rsidRDefault="00484A6D" w:rsidP="0087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3D" w:rsidRDefault="00BE293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7B" w:rsidRPr="00307D5B" w:rsidRDefault="00756F7B" w:rsidP="00307D5B">
    <w:pPr>
      <w:pStyle w:val="a9"/>
      <w:pBdr>
        <w:bottom w:val="single" w:sz="6" w:space="0" w:color="auto"/>
      </w:pBdr>
      <w:jc w:val="right"/>
    </w:pPr>
    <w:r w:rsidRPr="0023640E">
      <w:rPr>
        <w:rFonts w:hint="eastAsia"/>
      </w:rPr>
      <w:t>中银互利半年定期开放债券型证券投资基金</w:t>
    </w:r>
    <w:r w:rsidRPr="0023640E">
      <w:rPr>
        <w:rFonts w:hint="eastAsia"/>
      </w:rPr>
      <w:t>(</w:t>
    </w:r>
    <w:r w:rsidRPr="0023640E">
      <w:rPr>
        <w:rFonts w:hint="eastAsia"/>
      </w:rPr>
      <w:t>原中银互利分级债券型证券投资基金</w:t>
    </w:r>
    <w:r w:rsidRPr="0023640E">
      <w:rPr>
        <w:rFonts w:hint="eastAsia"/>
      </w:rPr>
      <w:t>)</w:t>
    </w:r>
    <w:r w:rsidRPr="008152AE">
      <w:t>2017</w:t>
    </w:r>
    <w:r w:rsidRPr="008152AE">
      <w:t>年第</w:t>
    </w:r>
    <w:r w:rsidRPr="008152AE">
      <w:t>4</w:t>
    </w:r>
    <w:r w:rsidRPr="008152AE">
      <w:t>季度报告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93D" w:rsidRDefault="00BE293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03D5B"/>
    <w:rsid w:val="00014099"/>
    <w:rsid w:val="000160C5"/>
    <w:rsid w:val="000210E7"/>
    <w:rsid w:val="00031EBB"/>
    <w:rsid w:val="00033B8D"/>
    <w:rsid w:val="0004028B"/>
    <w:rsid w:val="00043852"/>
    <w:rsid w:val="000450DD"/>
    <w:rsid w:val="000463DE"/>
    <w:rsid w:val="000523AC"/>
    <w:rsid w:val="000554C5"/>
    <w:rsid w:val="000576C2"/>
    <w:rsid w:val="00063EC0"/>
    <w:rsid w:val="00080F17"/>
    <w:rsid w:val="00082F4E"/>
    <w:rsid w:val="0008313A"/>
    <w:rsid w:val="00083FBA"/>
    <w:rsid w:val="000907D2"/>
    <w:rsid w:val="00090A26"/>
    <w:rsid w:val="00097E74"/>
    <w:rsid w:val="000A1203"/>
    <w:rsid w:val="000A2B53"/>
    <w:rsid w:val="000B0987"/>
    <w:rsid w:val="000B624F"/>
    <w:rsid w:val="000B62F6"/>
    <w:rsid w:val="000B73C6"/>
    <w:rsid w:val="000C190B"/>
    <w:rsid w:val="000C19AF"/>
    <w:rsid w:val="000C1E17"/>
    <w:rsid w:val="000C3A61"/>
    <w:rsid w:val="000C5216"/>
    <w:rsid w:val="000D0E6C"/>
    <w:rsid w:val="000D2282"/>
    <w:rsid w:val="000D3ED4"/>
    <w:rsid w:val="000D4AE7"/>
    <w:rsid w:val="000F1065"/>
    <w:rsid w:val="000F3948"/>
    <w:rsid w:val="000F6CC8"/>
    <w:rsid w:val="0010032F"/>
    <w:rsid w:val="001053C9"/>
    <w:rsid w:val="00107825"/>
    <w:rsid w:val="0011093E"/>
    <w:rsid w:val="00111261"/>
    <w:rsid w:val="00125587"/>
    <w:rsid w:val="001331F0"/>
    <w:rsid w:val="00136761"/>
    <w:rsid w:val="00137452"/>
    <w:rsid w:val="001439E9"/>
    <w:rsid w:val="00143C29"/>
    <w:rsid w:val="00144D17"/>
    <w:rsid w:val="00144F93"/>
    <w:rsid w:val="00147376"/>
    <w:rsid w:val="00150752"/>
    <w:rsid w:val="00150E7E"/>
    <w:rsid w:val="001514A2"/>
    <w:rsid w:val="00151955"/>
    <w:rsid w:val="001539D3"/>
    <w:rsid w:val="00154BE1"/>
    <w:rsid w:val="00160EDC"/>
    <w:rsid w:val="001631C7"/>
    <w:rsid w:val="00163F7C"/>
    <w:rsid w:val="001675CD"/>
    <w:rsid w:val="00171EF0"/>
    <w:rsid w:val="0017403F"/>
    <w:rsid w:val="00175D4F"/>
    <w:rsid w:val="001761D2"/>
    <w:rsid w:val="001830D7"/>
    <w:rsid w:val="00185A34"/>
    <w:rsid w:val="00196E6C"/>
    <w:rsid w:val="001A73E8"/>
    <w:rsid w:val="001A7961"/>
    <w:rsid w:val="001B0A62"/>
    <w:rsid w:val="001B2F35"/>
    <w:rsid w:val="001B3D9C"/>
    <w:rsid w:val="001B3F33"/>
    <w:rsid w:val="001B5496"/>
    <w:rsid w:val="001C0182"/>
    <w:rsid w:val="001C0993"/>
    <w:rsid w:val="001C2189"/>
    <w:rsid w:val="001C71E4"/>
    <w:rsid w:val="001C78B2"/>
    <w:rsid w:val="001C79F2"/>
    <w:rsid w:val="001D025B"/>
    <w:rsid w:val="001D63BB"/>
    <w:rsid w:val="001D6A4B"/>
    <w:rsid w:val="001D6CE0"/>
    <w:rsid w:val="001E4630"/>
    <w:rsid w:val="001F0964"/>
    <w:rsid w:val="001F0C25"/>
    <w:rsid w:val="001F30DA"/>
    <w:rsid w:val="001F5DC5"/>
    <w:rsid w:val="001F605E"/>
    <w:rsid w:val="00200FAB"/>
    <w:rsid w:val="00211B46"/>
    <w:rsid w:val="00213821"/>
    <w:rsid w:val="00217B92"/>
    <w:rsid w:val="00220C32"/>
    <w:rsid w:val="002279D3"/>
    <w:rsid w:val="00237F09"/>
    <w:rsid w:val="00240248"/>
    <w:rsid w:val="0024363B"/>
    <w:rsid w:val="00251012"/>
    <w:rsid w:val="0025478A"/>
    <w:rsid w:val="00261111"/>
    <w:rsid w:val="00264E55"/>
    <w:rsid w:val="00275745"/>
    <w:rsid w:val="0027688F"/>
    <w:rsid w:val="00276E44"/>
    <w:rsid w:val="00277001"/>
    <w:rsid w:val="00277F48"/>
    <w:rsid w:val="002830AA"/>
    <w:rsid w:val="002835C9"/>
    <w:rsid w:val="00284221"/>
    <w:rsid w:val="00286BEF"/>
    <w:rsid w:val="00286FA2"/>
    <w:rsid w:val="002918E3"/>
    <w:rsid w:val="00296604"/>
    <w:rsid w:val="002973A9"/>
    <w:rsid w:val="002B0951"/>
    <w:rsid w:val="002B1D1A"/>
    <w:rsid w:val="002B2314"/>
    <w:rsid w:val="002B2BF3"/>
    <w:rsid w:val="002B7BAF"/>
    <w:rsid w:val="002C2910"/>
    <w:rsid w:val="002C4B83"/>
    <w:rsid w:val="002C7A80"/>
    <w:rsid w:val="002D0E1C"/>
    <w:rsid w:val="002D6FB6"/>
    <w:rsid w:val="002E1B9F"/>
    <w:rsid w:val="002E3B09"/>
    <w:rsid w:val="002E4333"/>
    <w:rsid w:val="002E52B3"/>
    <w:rsid w:val="002E594D"/>
    <w:rsid w:val="00304A12"/>
    <w:rsid w:val="00305636"/>
    <w:rsid w:val="00307023"/>
    <w:rsid w:val="00307D5B"/>
    <w:rsid w:val="00311662"/>
    <w:rsid w:val="00312A9F"/>
    <w:rsid w:val="00315D5D"/>
    <w:rsid w:val="00316484"/>
    <w:rsid w:val="00316E01"/>
    <w:rsid w:val="00320300"/>
    <w:rsid w:val="00322C8D"/>
    <w:rsid w:val="00324508"/>
    <w:rsid w:val="003259C8"/>
    <w:rsid w:val="00326B51"/>
    <w:rsid w:val="003271EB"/>
    <w:rsid w:val="003307FE"/>
    <w:rsid w:val="00346F8D"/>
    <w:rsid w:val="003470E2"/>
    <w:rsid w:val="0035040C"/>
    <w:rsid w:val="0035148B"/>
    <w:rsid w:val="00351939"/>
    <w:rsid w:val="00352719"/>
    <w:rsid w:val="00355364"/>
    <w:rsid w:val="003559BE"/>
    <w:rsid w:val="0035611C"/>
    <w:rsid w:val="003649E6"/>
    <w:rsid w:val="00364CCB"/>
    <w:rsid w:val="00370F24"/>
    <w:rsid w:val="00371CF9"/>
    <w:rsid w:val="003741ED"/>
    <w:rsid w:val="00374B3A"/>
    <w:rsid w:val="00375DB3"/>
    <w:rsid w:val="0039085F"/>
    <w:rsid w:val="00391E57"/>
    <w:rsid w:val="00394007"/>
    <w:rsid w:val="00394069"/>
    <w:rsid w:val="00397ACF"/>
    <w:rsid w:val="003A6061"/>
    <w:rsid w:val="003B5357"/>
    <w:rsid w:val="003B6FBC"/>
    <w:rsid w:val="003C0F32"/>
    <w:rsid w:val="003C41E2"/>
    <w:rsid w:val="003E2240"/>
    <w:rsid w:val="003E621F"/>
    <w:rsid w:val="003E62FB"/>
    <w:rsid w:val="003F0AA2"/>
    <w:rsid w:val="003F39DF"/>
    <w:rsid w:val="003F63BE"/>
    <w:rsid w:val="004061AC"/>
    <w:rsid w:val="004066D4"/>
    <w:rsid w:val="00406C52"/>
    <w:rsid w:val="00412748"/>
    <w:rsid w:val="004149AC"/>
    <w:rsid w:val="0042009D"/>
    <w:rsid w:val="0042220B"/>
    <w:rsid w:val="00426106"/>
    <w:rsid w:val="00427F58"/>
    <w:rsid w:val="004324AA"/>
    <w:rsid w:val="00433805"/>
    <w:rsid w:val="00440D4D"/>
    <w:rsid w:val="00442CA9"/>
    <w:rsid w:val="004444B0"/>
    <w:rsid w:val="00456C22"/>
    <w:rsid w:val="00471408"/>
    <w:rsid w:val="00484A6D"/>
    <w:rsid w:val="00484E03"/>
    <w:rsid w:val="004858E0"/>
    <w:rsid w:val="00486338"/>
    <w:rsid w:val="00487A2B"/>
    <w:rsid w:val="0049111A"/>
    <w:rsid w:val="00492B74"/>
    <w:rsid w:val="004934E9"/>
    <w:rsid w:val="004943C2"/>
    <w:rsid w:val="00496743"/>
    <w:rsid w:val="004A11A7"/>
    <w:rsid w:val="004A686C"/>
    <w:rsid w:val="004B0989"/>
    <w:rsid w:val="004B1932"/>
    <w:rsid w:val="004C0B31"/>
    <w:rsid w:val="004C4C9E"/>
    <w:rsid w:val="004C702F"/>
    <w:rsid w:val="004C7371"/>
    <w:rsid w:val="004D493E"/>
    <w:rsid w:val="004D495A"/>
    <w:rsid w:val="004D5722"/>
    <w:rsid w:val="004D770C"/>
    <w:rsid w:val="004E5975"/>
    <w:rsid w:val="004E790A"/>
    <w:rsid w:val="004F50FD"/>
    <w:rsid w:val="004F5911"/>
    <w:rsid w:val="00500059"/>
    <w:rsid w:val="00500A03"/>
    <w:rsid w:val="00512200"/>
    <w:rsid w:val="005143CD"/>
    <w:rsid w:val="005144F2"/>
    <w:rsid w:val="005242A5"/>
    <w:rsid w:val="005249DD"/>
    <w:rsid w:val="005273EA"/>
    <w:rsid w:val="00531BA5"/>
    <w:rsid w:val="00531F10"/>
    <w:rsid w:val="00532E86"/>
    <w:rsid w:val="00542434"/>
    <w:rsid w:val="00542470"/>
    <w:rsid w:val="00542546"/>
    <w:rsid w:val="005454FB"/>
    <w:rsid w:val="00556084"/>
    <w:rsid w:val="00564AF1"/>
    <w:rsid w:val="005659E4"/>
    <w:rsid w:val="00574FD1"/>
    <w:rsid w:val="005761EE"/>
    <w:rsid w:val="0057659F"/>
    <w:rsid w:val="00582D99"/>
    <w:rsid w:val="0058551C"/>
    <w:rsid w:val="00585F9C"/>
    <w:rsid w:val="0059076B"/>
    <w:rsid w:val="0059367B"/>
    <w:rsid w:val="005A0F1F"/>
    <w:rsid w:val="005A20C7"/>
    <w:rsid w:val="005A6675"/>
    <w:rsid w:val="005A69A1"/>
    <w:rsid w:val="005B2E9C"/>
    <w:rsid w:val="005B4F93"/>
    <w:rsid w:val="005B6186"/>
    <w:rsid w:val="005B73D2"/>
    <w:rsid w:val="005C5E5B"/>
    <w:rsid w:val="005D2729"/>
    <w:rsid w:val="005D2B36"/>
    <w:rsid w:val="005E1093"/>
    <w:rsid w:val="005E1117"/>
    <w:rsid w:val="005E3677"/>
    <w:rsid w:val="005E475E"/>
    <w:rsid w:val="005E7D52"/>
    <w:rsid w:val="005F3996"/>
    <w:rsid w:val="005F6AF6"/>
    <w:rsid w:val="005F70E2"/>
    <w:rsid w:val="0060084E"/>
    <w:rsid w:val="00603C90"/>
    <w:rsid w:val="006066D2"/>
    <w:rsid w:val="0061286A"/>
    <w:rsid w:val="00614CC4"/>
    <w:rsid w:val="0062025E"/>
    <w:rsid w:val="006222F8"/>
    <w:rsid w:val="00624CAE"/>
    <w:rsid w:val="00626998"/>
    <w:rsid w:val="006269FB"/>
    <w:rsid w:val="00627A9C"/>
    <w:rsid w:val="00627ADC"/>
    <w:rsid w:val="00631ED8"/>
    <w:rsid w:val="006360DC"/>
    <w:rsid w:val="00636DB7"/>
    <w:rsid w:val="0063783A"/>
    <w:rsid w:val="006423B9"/>
    <w:rsid w:val="00651ADB"/>
    <w:rsid w:val="00654B0D"/>
    <w:rsid w:val="00655C50"/>
    <w:rsid w:val="00655CD8"/>
    <w:rsid w:val="006571DC"/>
    <w:rsid w:val="00660D4B"/>
    <w:rsid w:val="00664ECC"/>
    <w:rsid w:val="006652C3"/>
    <w:rsid w:val="00670989"/>
    <w:rsid w:val="006757DC"/>
    <w:rsid w:val="00676095"/>
    <w:rsid w:val="00692336"/>
    <w:rsid w:val="00692E3C"/>
    <w:rsid w:val="00693843"/>
    <w:rsid w:val="0069426C"/>
    <w:rsid w:val="0069491B"/>
    <w:rsid w:val="00694DFB"/>
    <w:rsid w:val="006A1C62"/>
    <w:rsid w:val="006A48FD"/>
    <w:rsid w:val="006A67F8"/>
    <w:rsid w:val="006A7AF1"/>
    <w:rsid w:val="006B11BB"/>
    <w:rsid w:val="006C12B8"/>
    <w:rsid w:val="006C27C9"/>
    <w:rsid w:val="006C37FC"/>
    <w:rsid w:val="006C60D0"/>
    <w:rsid w:val="006C7EA3"/>
    <w:rsid w:val="006D39E9"/>
    <w:rsid w:val="006D3BE3"/>
    <w:rsid w:val="006D4252"/>
    <w:rsid w:val="006D7004"/>
    <w:rsid w:val="006D789D"/>
    <w:rsid w:val="006D7FF8"/>
    <w:rsid w:val="006E042A"/>
    <w:rsid w:val="006E764F"/>
    <w:rsid w:val="006F0FE0"/>
    <w:rsid w:val="006F2F95"/>
    <w:rsid w:val="006F4C41"/>
    <w:rsid w:val="006F5E68"/>
    <w:rsid w:val="00702CC5"/>
    <w:rsid w:val="0070315B"/>
    <w:rsid w:val="00706D60"/>
    <w:rsid w:val="007072DE"/>
    <w:rsid w:val="007075E3"/>
    <w:rsid w:val="00707F66"/>
    <w:rsid w:val="0071166E"/>
    <w:rsid w:val="007120CC"/>
    <w:rsid w:val="00720D28"/>
    <w:rsid w:val="00722509"/>
    <w:rsid w:val="00727FCD"/>
    <w:rsid w:val="00733268"/>
    <w:rsid w:val="00733DDD"/>
    <w:rsid w:val="00736FD2"/>
    <w:rsid w:val="00742F47"/>
    <w:rsid w:val="007467C2"/>
    <w:rsid w:val="00746D42"/>
    <w:rsid w:val="00750CDF"/>
    <w:rsid w:val="00752BA5"/>
    <w:rsid w:val="00752F3B"/>
    <w:rsid w:val="00753A7D"/>
    <w:rsid w:val="00755D86"/>
    <w:rsid w:val="00756F7B"/>
    <w:rsid w:val="00767C98"/>
    <w:rsid w:val="00770971"/>
    <w:rsid w:val="0078114E"/>
    <w:rsid w:val="00792E11"/>
    <w:rsid w:val="00796CA8"/>
    <w:rsid w:val="00797305"/>
    <w:rsid w:val="007A5438"/>
    <w:rsid w:val="007B035B"/>
    <w:rsid w:val="007B4C04"/>
    <w:rsid w:val="007B4D7A"/>
    <w:rsid w:val="007B5AFB"/>
    <w:rsid w:val="007B5EB7"/>
    <w:rsid w:val="007C093A"/>
    <w:rsid w:val="007C5862"/>
    <w:rsid w:val="007E1F08"/>
    <w:rsid w:val="007E2D0B"/>
    <w:rsid w:val="007E33BC"/>
    <w:rsid w:val="007E7114"/>
    <w:rsid w:val="007F230E"/>
    <w:rsid w:val="007F25DC"/>
    <w:rsid w:val="007F40BB"/>
    <w:rsid w:val="008014F9"/>
    <w:rsid w:val="0080358B"/>
    <w:rsid w:val="0080404B"/>
    <w:rsid w:val="008059BD"/>
    <w:rsid w:val="0081091B"/>
    <w:rsid w:val="00812D46"/>
    <w:rsid w:val="0081501C"/>
    <w:rsid w:val="008153E5"/>
    <w:rsid w:val="00815A38"/>
    <w:rsid w:val="0082103F"/>
    <w:rsid w:val="008279FE"/>
    <w:rsid w:val="00831259"/>
    <w:rsid w:val="0083208A"/>
    <w:rsid w:val="0083218A"/>
    <w:rsid w:val="00832964"/>
    <w:rsid w:val="00832A00"/>
    <w:rsid w:val="008330ED"/>
    <w:rsid w:val="00837845"/>
    <w:rsid w:val="008420B8"/>
    <w:rsid w:val="00842CDF"/>
    <w:rsid w:val="008442C4"/>
    <w:rsid w:val="00846739"/>
    <w:rsid w:val="00853140"/>
    <w:rsid w:val="00854537"/>
    <w:rsid w:val="00855786"/>
    <w:rsid w:val="008575C6"/>
    <w:rsid w:val="008606B6"/>
    <w:rsid w:val="00860761"/>
    <w:rsid w:val="00861D72"/>
    <w:rsid w:val="00866CF2"/>
    <w:rsid w:val="008700EC"/>
    <w:rsid w:val="008731AE"/>
    <w:rsid w:val="00876D65"/>
    <w:rsid w:val="00887B80"/>
    <w:rsid w:val="00891261"/>
    <w:rsid w:val="00896492"/>
    <w:rsid w:val="008A08C3"/>
    <w:rsid w:val="008A21B2"/>
    <w:rsid w:val="008A3D46"/>
    <w:rsid w:val="008A7341"/>
    <w:rsid w:val="008B18D4"/>
    <w:rsid w:val="008B2FDD"/>
    <w:rsid w:val="008C70E3"/>
    <w:rsid w:val="008C75E7"/>
    <w:rsid w:val="008C7CA8"/>
    <w:rsid w:val="008D09EC"/>
    <w:rsid w:val="008D2B5B"/>
    <w:rsid w:val="008D3C75"/>
    <w:rsid w:val="008D566C"/>
    <w:rsid w:val="008E07EB"/>
    <w:rsid w:val="008E2DCB"/>
    <w:rsid w:val="008E326D"/>
    <w:rsid w:val="008F2DEA"/>
    <w:rsid w:val="008F5F67"/>
    <w:rsid w:val="008F60F2"/>
    <w:rsid w:val="0090198C"/>
    <w:rsid w:val="00901B4D"/>
    <w:rsid w:val="0090217D"/>
    <w:rsid w:val="00905C5E"/>
    <w:rsid w:val="009078DC"/>
    <w:rsid w:val="009146C1"/>
    <w:rsid w:val="00921AC7"/>
    <w:rsid w:val="00924582"/>
    <w:rsid w:val="00931291"/>
    <w:rsid w:val="0093367D"/>
    <w:rsid w:val="00937387"/>
    <w:rsid w:val="0094026A"/>
    <w:rsid w:val="00942E09"/>
    <w:rsid w:val="009431FA"/>
    <w:rsid w:val="00944B4D"/>
    <w:rsid w:val="00945AF6"/>
    <w:rsid w:val="009550BE"/>
    <w:rsid w:val="00955531"/>
    <w:rsid w:val="00955BE8"/>
    <w:rsid w:val="00957594"/>
    <w:rsid w:val="00961BF5"/>
    <w:rsid w:val="00963F40"/>
    <w:rsid w:val="0096478A"/>
    <w:rsid w:val="0098122D"/>
    <w:rsid w:val="00986596"/>
    <w:rsid w:val="00990685"/>
    <w:rsid w:val="0099405D"/>
    <w:rsid w:val="009A0ABE"/>
    <w:rsid w:val="009B2D4B"/>
    <w:rsid w:val="009C0430"/>
    <w:rsid w:val="009C4E99"/>
    <w:rsid w:val="009C5186"/>
    <w:rsid w:val="009C60F7"/>
    <w:rsid w:val="009D0952"/>
    <w:rsid w:val="009D261A"/>
    <w:rsid w:val="009E31DA"/>
    <w:rsid w:val="009E402C"/>
    <w:rsid w:val="009E5DAB"/>
    <w:rsid w:val="009E7C6A"/>
    <w:rsid w:val="009F7ED4"/>
    <w:rsid w:val="00A03AAC"/>
    <w:rsid w:val="00A04786"/>
    <w:rsid w:val="00A047D1"/>
    <w:rsid w:val="00A04F76"/>
    <w:rsid w:val="00A16949"/>
    <w:rsid w:val="00A22AD0"/>
    <w:rsid w:val="00A22DA8"/>
    <w:rsid w:val="00A31671"/>
    <w:rsid w:val="00A45320"/>
    <w:rsid w:val="00A51799"/>
    <w:rsid w:val="00A52F8F"/>
    <w:rsid w:val="00A5612C"/>
    <w:rsid w:val="00A5689C"/>
    <w:rsid w:val="00A57AE4"/>
    <w:rsid w:val="00A63F19"/>
    <w:rsid w:val="00A652D0"/>
    <w:rsid w:val="00A66F42"/>
    <w:rsid w:val="00A67441"/>
    <w:rsid w:val="00A71954"/>
    <w:rsid w:val="00A76625"/>
    <w:rsid w:val="00A83500"/>
    <w:rsid w:val="00A873A9"/>
    <w:rsid w:val="00A90049"/>
    <w:rsid w:val="00A917BF"/>
    <w:rsid w:val="00A94C69"/>
    <w:rsid w:val="00A96A94"/>
    <w:rsid w:val="00A973C2"/>
    <w:rsid w:val="00A97688"/>
    <w:rsid w:val="00AA3A38"/>
    <w:rsid w:val="00AA4F94"/>
    <w:rsid w:val="00AB047E"/>
    <w:rsid w:val="00AB223D"/>
    <w:rsid w:val="00AB3C3F"/>
    <w:rsid w:val="00AC592E"/>
    <w:rsid w:val="00AC6C10"/>
    <w:rsid w:val="00AC7BC6"/>
    <w:rsid w:val="00AD0D27"/>
    <w:rsid w:val="00AD24AA"/>
    <w:rsid w:val="00AD6A1F"/>
    <w:rsid w:val="00AE7962"/>
    <w:rsid w:val="00B02D74"/>
    <w:rsid w:val="00B12B7D"/>
    <w:rsid w:val="00B1315F"/>
    <w:rsid w:val="00B16985"/>
    <w:rsid w:val="00B221B8"/>
    <w:rsid w:val="00B270A4"/>
    <w:rsid w:val="00B27206"/>
    <w:rsid w:val="00B3052E"/>
    <w:rsid w:val="00B30F2C"/>
    <w:rsid w:val="00B318FA"/>
    <w:rsid w:val="00B32AA7"/>
    <w:rsid w:val="00B4012D"/>
    <w:rsid w:val="00B40F64"/>
    <w:rsid w:val="00B42A76"/>
    <w:rsid w:val="00B46334"/>
    <w:rsid w:val="00B57D67"/>
    <w:rsid w:val="00B66A69"/>
    <w:rsid w:val="00B7378D"/>
    <w:rsid w:val="00B775EF"/>
    <w:rsid w:val="00B82413"/>
    <w:rsid w:val="00B8435D"/>
    <w:rsid w:val="00B85352"/>
    <w:rsid w:val="00B87214"/>
    <w:rsid w:val="00B91911"/>
    <w:rsid w:val="00B92FF5"/>
    <w:rsid w:val="00B946BD"/>
    <w:rsid w:val="00B959E6"/>
    <w:rsid w:val="00BA2CD3"/>
    <w:rsid w:val="00BA604D"/>
    <w:rsid w:val="00BC4585"/>
    <w:rsid w:val="00BC50F1"/>
    <w:rsid w:val="00BC73E5"/>
    <w:rsid w:val="00BD217A"/>
    <w:rsid w:val="00BD7473"/>
    <w:rsid w:val="00BD7703"/>
    <w:rsid w:val="00BE293D"/>
    <w:rsid w:val="00BE420D"/>
    <w:rsid w:val="00BE475D"/>
    <w:rsid w:val="00BE555D"/>
    <w:rsid w:val="00BE6A00"/>
    <w:rsid w:val="00BF6314"/>
    <w:rsid w:val="00C1689A"/>
    <w:rsid w:val="00C21520"/>
    <w:rsid w:val="00C222B2"/>
    <w:rsid w:val="00C225FB"/>
    <w:rsid w:val="00C2643F"/>
    <w:rsid w:val="00C3299F"/>
    <w:rsid w:val="00C36A9B"/>
    <w:rsid w:val="00C37530"/>
    <w:rsid w:val="00C37947"/>
    <w:rsid w:val="00C46B88"/>
    <w:rsid w:val="00C51456"/>
    <w:rsid w:val="00C5218C"/>
    <w:rsid w:val="00C52191"/>
    <w:rsid w:val="00C5639B"/>
    <w:rsid w:val="00C5642F"/>
    <w:rsid w:val="00C63554"/>
    <w:rsid w:val="00C636B7"/>
    <w:rsid w:val="00C66C44"/>
    <w:rsid w:val="00C71497"/>
    <w:rsid w:val="00C718EF"/>
    <w:rsid w:val="00C72F5B"/>
    <w:rsid w:val="00C73BCD"/>
    <w:rsid w:val="00C7411D"/>
    <w:rsid w:val="00C74802"/>
    <w:rsid w:val="00C77AEF"/>
    <w:rsid w:val="00C85EE6"/>
    <w:rsid w:val="00C87129"/>
    <w:rsid w:val="00C91E1B"/>
    <w:rsid w:val="00C9778A"/>
    <w:rsid w:val="00C97D5D"/>
    <w:rsid w:val="00CA5FD5"/>
    <w:rsid w:val="00CA7703"/>
    <w:rsid w:val="00CB0F92"/>
    <w:rsid w:val="00CC1779"/>
    <w:rsid w:val="00CD1283"/>
    <w:rsid w:val="00CD4211"/>
    <w:rsid w:val="00CD4E6D"/>
    <w:rsid w:val="00CD5707"/>
    <w:rsid w:val="00CD7702"/>
    <w:rsid w:val="00CD7A8F"/>
    <w:rsid w:val="00CE29EA"/>
    <w:rsid w:val="00CE4D5E"/>
    <w:rsid w:val="00CF2714"/>
    <w:rsid w:val="00CF4FA0"/>
    <w:rsid w:val="00CF526D"/>
    <w:rsid w:val="00CF6572"/>
    <w:rsid w:val="00D00D70"/>
    <w:rsid w:val="00D02347"/>
    <w:rsid w:val="00D04755"/>
    <w:rsid w:val="00D12433"/>
    <w:rsid w:val="00D13737"/>
    <w:rsid w:val="00D1638E"/>
    <w:rsid w:val="00D21FFF"/>
    <w:rsid w:val="00D26653"/>
    <w:rsid w:val="00D26C58"/>
    <w:rsid w:val="00D272A5"/>
    <w:rsid w:val="00D36C1E"/>
    <w:rsid w:val="00D43AFB"/>
    <w:rsid w:val="00D5666F"/>
    <w:rsid w:val="00D570F5"/>
    <w:rsid w:val="00D57B7C"/>
    <w:rsid w:val="00D65B44"/>
    <w:rsid w:val="00D66F23"/>
    <w:rsid w:val="00D67413"/>
    <w:rsid w:val="00D675DB"/>
    <w:rsid w:val="00D71360"/>
    <w:rsid w:val="00D71739"/>
    <w:rsid w:val="00D74BBD"/>
    <w:rsid w:val="00D8099B"/>
    <w:rsid w:val="00D866A8"/>
    <w:rsid w:val="00D92F47"/>
    <w:rsid w:val="00D94B8D"/>
    <w:rsid w:val="00D95640"/>
    <w:rsid w:val="00D96C8D"/>
    <w:rsid w:val="00D96DAE"/>
    <w:rsid w:val="00DA1F8E"/>
    <w:rsid w:val="00DA2876"/>
    <w:rsid w:val="00DA2AF2"/>
    <w:rsid w:val="00DC0B51"/>
    <w:rsid w:val="00DD01F1"/>
    <w:rsid w:val="00DD2ACC"/>
    <w:rsid w:val="00DD5357"/>
    <w:rsid w:val="00DE27F7"/>
    <w:rsid w:val="00DE31FB"/>
    <w:rsid w:val="00DE3914"/>
    <w:rsid w:val="00DE72B6"/>
    <w:rsid w:val="00DF07DA"/>
    <w:rsid w:val="00E265A8"/>
    <w:rsid w:val="00E35EC4"/>
    <w:rsid w:val="00E433DF"/>
    <w:rsid w:val="00E44E18"/>
    <w:rsid w:val="00E54301"/>
    <w:rsid w:val="00E548D0"/>
    <w:rsid w:val="00E55ABD"/>
    <w:rsid w:val="00E60817"/>
    <w:rsid w:val="00E614F0"/>
    <w:rsid w:val="00E67FC4"/>
    <w:rsid w:val="00E8554F"/>
    <w:rsid w:val="00E90C35"/>
    <w:rsid w:val="00E935FA"/>
    <w:rsid w:val="00EA63F3"/>
    <w:rsid w:val="00EA70F1"/>
    <w:rsid w:val="00EB2516"/>
    <w:rsid w:val="00EB2C07"/>
    <w:rsid w:val="00EB374A"/>
    <w:rsid w:val="00EC0DCC"/>
    <w:rsid w:val="00EC668A"/>
    <w:rsid w:val="00EC6E88"/>
    <w:rsid w:val="00ED033D"/>
    <w:rsid w:val="00ED461C"/>
    <w:rsid w:val="00ED62BE"/>
    <w:rsid w:val="00EE31B0"/>
    <w:rsid w:val="00EF17AB"/>
    <w:rsid w:val="00EF6FA5"/>
    <w:rsid w:val="00F0013A"/>
    <w:rsid w:val="00F11104"/>
    <w:rsid w:val="00F13122"/>
    <w:rsid w:val="00F16E3F"/>
    <w:rsid w:val="00F22499"/>
    <w:rsid w:val="00F22B0F"/>
    <w:rsid w:val="00F246CB"/>
    <w:rsid w:val="00F24B42"/>
    <w:rsid w:val="00F24F6F"/>
    <w:rsid w:val="00F24F73"/>
    <w:rsid w:val="00F26152"/>
    <w:rsid w:val="00F27299"/>
    <w:rsid w:val="00F31F6E"/>
    <w:rsid w:val="00F3389C"/>
    <w:rsid w:val="00F33E81"/>
    <w:rsid w:val="00F375F2"/>
    <w:rsid w:val="00F47C08"/>
    <w:rsid w:val="00F54EAE"/>
    <w:rsid w:val="00F66A51"/>
    <w:rsid w:val="00F71057"/>
    <w:rsid w:val="00F71A4B"/>
    <w:rsid w:val="00F728CF"/>
    <w:rsid w:val="00F743D4"/>
    <w:rsid w:val="00F80E95"/>
    <w:rsid w:val="00F83B17"/>
    <w:rsid w:val="00F87EBB"/>
    <w:rsid w:val="00F87EDA"/>
    <w:rsid w:val="00F90BCB"/>
    <w:rsid w:val="00F970EE"/>
    <w:rsid w:val="00F97256"/>
    <w:rsid w:val="00FA53C7"/>
    <w:rsid w:val="00FB0BC9"/>
    <w:rsid w:val="00FB41D3"/>
    <w:rsid w:val="00FB4F70"/>
    <w:rsid w:val="00FB5EFC"/>
    <w:rsid w:val="00FB77BB"/>
    <w:rsid w:val="00FC15AA"/>
    <w:rsid w:val="00FC50EB"/>
    <w:rsid w:val="00FC6C4C"/>
    <w:rsid w:val="00FD1375"/>
    <w:rsid w:val="00FD359E"/>
    <w:rsid w:val="00FD5F37"/>
    <w:rsid w:val="00FE0A17"/>
    <w:rsid w:val="00FE179F"/>
    <w:rsid w:val="00FF213A"/>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rsid w:val="004061AC"/>
    <w:rPr>
      <w:rFonts w:ascii="宋体" w:hAnsi="Courier New" w:cs="宋体"/>
    </w:rPr>
  </w:style>
  <w:style w:type="character" w:customStyle="1" w:styleId="Char0">
    <w:name w:val="纯文本 Char"/>
    <w:basedOn w:val="a1"/>
    <w:link w:val="a5"/>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7B4D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685476901">
      <w:bodyDiv w:val="1"/>
      <w:marLeft w:val="0"/>
      <w:marRight w:val="0"/>
      <w:marTop w:val="0"/>
      <w:marBottom w:val="0"/>
      <w:divBdr>
        <w:top w:val="none" w:sz="0" w:space="0" w:color="auto"/>
        <w:left w:val="none" w:sz="0" w:space="0" w:color="auto"/>
        <w:bottom w:val="none" w:sz="0" w:space="0" w:color="auto"/>
        <w:right w:val="none" w:sz="0" w:space="0" w:color="auto"/>
      </w:divBdr>
    </w:div>
    <w:div w:id="20251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D6A2-FD48-4DD6-8268-0BE4052B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2202</Words>
  <Characters>12552</Characters>
  <Application>Microsoft Office Word</Application>
  <DocSecurity>4</DocSecurity>
  <Lines>104</Lines>
  <Paragraphs>29</Paragraphs>
  <ScaleCrop>false</ScaleCrop>
  <Company/>
  <LinksUpToDate>false</LinksUpToDate>
  <CharactersWithSpaces>14725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2018-01-18T17:06:00Z</dcterms:created>
  <dcterms:modified xsi:type="dcterms:W3CDTF">2018-01-18T17:06:00Z</dcterms:modified>
</cp:coreProperties>
</file>