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83" w:rsidRDefault="00583F83">
      <w:pPr>
        <w:spacing w:after="0" w:line="358" w:lineRule="auto"/>
        <w:ind w:left="4526" w:right="4446" w:firstLine="0"/>
        <w:jc w:val="center"/>
      </w:pPr>
    </w:p>
    <w:p w:rsidR="00583F83" w:rsidRDefault="00583F83">
      <w:pPr>
        <w:spacing w:after="0" w:line="358" w:lineRule="auto"/>
        <w:ind w:left="4526" w:right="4446" w:firstLine="0"/>
        <w:jc w:val="center"/>
      </w:pPr>
    </w:p>
    <w:p w:rsidR="00583F83" w:rsidRDefault="00583F83">
      <w:pPr>
        <w:spacing w:after="246"/>
        <w:ind w:left="80" w:firstLine="0"/>
        <w:jc w:val="center"/>
      </w:pPr>
    </w:p>
    <w:p w:rsidR="00583F83" w:rsidRDefault="002201AA" w:rsidP="002201AA">
      <w:pPr>
        <w:spacing w:after="0" w:line="420" w:lineRule="auto"/>
        <w:ind w:left="510" w:right="493" w:firstLine="0"/>
        <w:jc w:val="center"/>
      </w:pPr>
      <w:r>
        <w:rPr>
          <w:rFonts w:hint="eastAsia"/>
          <w:sz w:val="32"/>
        </w:rPr>
        <w:t>泰达宏利</w:t>
      </w:r>
      <w:r>
        <w:rPr>
          <w:sz w:val="32"/>
        </w:rPr>
        <w:t>收益增强债券型</w:t>
      </w:r>
      <w:r w:rsidR="00E22DB5">
        <w:rPr>
          <w:sz w:val="32"/>
        </w:rPr>
        <w:t>证券投资基金清算报告</w:t>
      </w: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Pr="003645EB"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9E2C1E">
      <w:pPr>
        <w:spacing w:after="13"/>
        <w:ind w:left="0" w:firstLine="0"/>
      </w:pPr>
    </w:p>
    <w:p w:rsidR="009E2C1E" w:rsidRDefault="00E22DB5">
      <w:pPr>
        <w:spacing w:after="0" w:line="378" w:lineRule="auto"/>
        <w:ind w:left="1987" w:firstLine="0"/>
        <w:rPr>
          <w:sz w:val="28"/>
        </w:rPr>
      </w:pPr>
      <w:r>
        <w:rPr>
          <w:sz w:val="28"/>
        </w:rPr>
        <w:t>基金管理人：</w:t>
      </w:r>
      <w:r w:rsidR="002201AA">
        <w:rPr>
          <w:rFonts w:hint="eastAsia"/>
          <w:sz w:val="28"/>
        </w:rPr>
        <w:t>泰达宏利</w:t>
      </w:r>
      <w:r>
        <w:rPr>
          <w:sz w:val="28"/>
        </w:rPr>
        <w:t>基金管理有限公司</w:t>
      </w:r>
    </w:p>
    <w:p w:rsidR="009E2C1E" w:rsidRDefault="00E22DB5">
      <w:pPr>
        <w:spacing w:after="0" w:line="378" w:lineRule="auto"/>
        <w:ind w:left="1987" w:firstLine="0"/>
        <w:rPr>
          <w:sz w:val="28"/>
        </w:rPr>
      </w:pPr>
      <w:r>
        <w:rPr>
          <w:sz w:val="28"/>
        </w:rPr>
        <w:t>基金托管人：中国银行股份有限公司</w:t>
      </w:r>
    </w:p>
    <w:p w:rsidR="000468B4" w:rsidRDefault="00E22DB5">
      <w:pPr>
        <w:spacing w:after="0" w:line="378" w:lineRule="auto"/>
        <w:ind w:left="1987" w:firstLine="0"/>
        <w:rPr>
          <w:sz w:val="28"/>
        </w:rPr>
      </w:pPr>
      <w:r>
        <w:rPr>
          <w:sz w:val="28"/>
        </w:rPr>
        <w:t>清算报告出具日：</w:t>
      </w:r>
      <w:r w:rsidR="00407EBF">
        <w:rPr>
          <w:rFonts w:ascii="Times New Roman" w:eastAsia="Times New Roman" w:hAnsi="Times New Roman" w:cs="Times New Roman"/>
          <w:sz w:val="28"/>
        </w:rPr>
        <w:t>2017</w:t>
      </w:r>
      <w:r w:rsidR="00407EBF">
        <w:rPr>
          <w:rFonts w:hint="eastAsia"/>
          <w:sz w:val="28"/>
        </w:rPr>
        <w:t>年</w:t>
      </w:r>
      <w:r w:rsidR="00407EBF">
        <w:rPr>
          <w:rFonts w:ascii="Times New Roman" w:eastAsia="Times New Roman" w:hAnsi="Times New Roman" w:cs="Times New Roman"/>
          <w:sz w:val="28"/>
        </w:rPr>
        <w:t>11</w:t>
      </w:r>
      <w:r w:rsidR="00407EBF">
        <w:rPr>
          <w:rFonts w:hint="eastAsia"/>
          <w:sz w:val="28"/>
        </w:rPr>
        <w:t>月</w:t>
      </w:r>
      <w:r w:rsidR="00407EBF">
        <w:rPr>
          <w:rFonts w:ascii="Times New Roman" w:eastAsia="Times New Roman" w:hAnsi="Times New Roman" w:cs="Times New Roman"/>
          <w:sz w:val="28"/>
        </w:rPr>
        <w:t>08</w:t>
      </w:r>
    </w:p>
    <w:p w:rsidR="00583F83" w:rsidRDefault="00E22DB5">
      <w:pPr>
        <w:spacing w:after="0" w:line="378" w:lineRule="auto"/>
        <w:ind w:left="1987" w:firstLine="0"/>
      </w:pPr>
      <w:r>
        <w:rPr>
          <w:sz w:val="28"/>
        </w:rPr>
        <w:t>清算报告公告日：</w:t>
      </w:r>
      <w:r w:rsidR="006E4466" w:rsidRPr="003645EB">
        <w:rPr>
          <w:rFonts w:ascii="Times New Roman" w:eastAsia="Times New Roman" w:hAnsi="Times New Roman" w:cs="Times New Roman" w:hint="eastAsia"/>
          <w:sz w:val="28"/>
        </w:rPr>
        <w:t>201</w:t>
      </w:r>
      <w:r w:rsidR="003645EB" w:rsidRPr="003645EB">
        <w:rPr>
          <w:rFonts w:ascii="Times New Roman" w:eastAsia="Times New Roman" w:hAnsi="Times New Roman" w:cs="Times New Roman" w:hint="eastAsia"/>
          <w:sz w:val="28"/>
        </w:rPr>
        <w:t>8</w:t>
      </w:r>
      <w:r w:rsidRPr="003645EB">
        <w:rPr>
          <w:rFonts w:hint="eastAsia"/>
          <w:sz w:val="28"/>
        </w:rPr>
        <w:t>年</w:t>
      </w:r>
      <w:r w:rsidR="006E4466" w:rsidRPr="003645EB">
        <w:rPr>
          <w:rFonts w:ascii="Times New Roman" w:eastAsia="Times New Roman" w:hAnsi="Times New Roman" w:cs="Times New Roman" w:hint="eastAsia"/>
          <w:sz w:val="28"/>
        </w:rPr>
        <w:t>1</w:t>
      </w:r>
      <w:bookmarkStart w:id="0" w:name="_GoBack"/>
      <w:bookmarkEnd w:id="0"/>
      <w:r w:rsidRPr="003645EB">
        <w:rPr>
          <w:rFonts w:hint="eastAsia"/>
          <w:sz w:val="28"/>
        </w:rPr>
        <w:t>月</w:t>
      </w:r>
      <w:r w:rsidR="006E4466" w:rsidRPr="003645EB">
        <w:rPr>
          <w:rFonts w:ascii="Times New Roman" w:eastAsia="Times New Roman" w:hAnsi="Times New Roman" w:cs="Times New Roman" w:hint="eastAsia"/>
          <w:sz w:val="28"/>
        </w:rPr>
        <w:t>3</w:t>
      </w:r>
      <w:r w:rsidRPr="003645EB">
        <w:rPr>
          <w:rFonts w:hint="eastAsia"/>
          <w:sz w:val="28"/>
        </w:rPr>
        <w:t>日</w:t>
      </w:r>
    </w:p>
    <w:p w:rsidR="009E2C1E" w:rsidRPr="000D2498" w:rsidRDefault="009E2C1E">
      <w:pPr>
        <w:pStyle w:val="2"/>
        <w:spacing w:after="364"/>
        <w:ind w:left="10" w:right="60"/>
      </w:pPr>
    </w:p>
    <w:p w:rsidR="00583F83" w:rsidRDefault="00E22DB5">
      <w:pPr>
        <w:pStyle w:val="2"/>
        <w:spacing w:after="364"/>
        <w:ind w:left="10" w:right="60"/>
      </w:pPr>
      <w:r>
        <w:t xml:space="preserve">目录 </w:t>
      </w:r>
    </w:p>
    <w:sdt>
      <w:sdtPr>
        <w:rPr>
          <w:rFonts w:ascii="宋体" w:eastAsia="宋体" w:hAnsi="宋体" w:cs="宋体"/>
          <w:sz w:val="24"/>
        </w:rPr>
        <w:id w:val="-635868030"/>
        <w:docPartObj>
          <w:docPartGallery w:val="Table of Contents"/>
        </w:docPartObj>
      </w:sdtPr>
      <w:sdtContent>
        <w:p w:rsidR="00583F83" w:rsidRDefault="007B7842">
          <w:pPr>
            <w:pStyle w:val="10"/>
            <w:tabs>
              <w:tab w:val="right" w:leader="dot" w:pos="9113"/>
            </w:tabs>
            <w:rPr>
              <w:noProof/>
            </w:rPr>
          </w:pPr>
          <w:r w:rsidRPr="007B7842">
            <w:fldChar w:fldCharType="begin"/>
          </w:r>
          <w:r w:rsidR="00E22DB5">
            <w:instrText xml:space="preserve"> TOC \o "1-1" \h \z \u </w:instrText>
          </w:r>
          <w:r w:rsidRPr="007B7842">
            <w:fldChar w:fldCharType="separate"/>
          </w:r>
          <w:hyperlink w:anchor="_Toc12455">
            <w:r w:rsidR="00E22DB5">
              <w:rPr>
                <w:rFonts w:ascii="宋体" w:eastAsia="宋体" w:hAnsi="宋体" w:cs="宋体"/>
                <w:noProof/>
              </w:rPr>
              <w:t>重要提示</w:t>
            </w:r>
            <w:r w:rsidR="00E22DB5">
              <w:rPr>
                <w:noProof/>
              </w:rPr>
              <w:tab/>
            </w:r>
            <w:r>
              <w:rPr>
                <w:noProof/>
              </w:rPr>
              <w:fldChar w:fldCharType="begin"/>
            </w:r>
            <w:r w:rsidR="00E22DB5">
              <w:rPr>
                <w:noProof/>
              </w:rPr>
              <w:instrText>PAGEREF _Toc12455 \h</w:instrText>
            </w:r>
            <w:r>
              <w:rPr>
                <w:noProof/>
              </w:rPr>
            </w:r>
            <w:r>
              <w:rPr>
                <w:noProof/>
              </w:rPr>
              <w:fldChar w:fldCharType="separate"/>
            </w:r>
            <w:r w:rsidR="003645EB">
              <w:rPr>
                <w:noProof/>
              </w:rPr>
              <w:t>3</w:t>
            </w:r>
            <w:r>
              <w:rPr>
                <w:noProof/>
              </w:rPr>
              <w:fldChar w:fldCharType="end"/>
            </w:r>
          </w:hyperlink>
        </w:p>
        <w:p w:rsidR="00583F83" w:rsidRDefault="007B7842">
          <w:pPr>
            <w:pStyle w:val="10"/>
            <w:tabs>
              <w:tab w:val="right" w:leader="dot" w:pos="9113"/>
            </w:tabs>
            <w:rPr>
              <w:noProof/>
            </w:rPr>
          </w:pPr>
          <w:hyperlink w:anchor="_Toc12456">
            <w:r w:rsidR="00E22DB5">
              <w:rPr>
                <w:rFonts w:ascii="宋体" w:eastAsia="宋体" w:hAnsi="宋体" w:cs="宋体"/>
                <w:noProof/>
              </w:rPr>
              <w:t>一、基金概况</w:t>
            </w:r>
            <w:r w:rsidR="00E22DB5">
              <w:rPr>
                <w:noProof/>
              </w:rPr>
              <w:tab/>
            </w:r>
            <w:r w:rsidR="001E02D9">
              <w:rPr>
                <w:noProof/>
              </w:rPr>
              <w:t>4</w:t>
            </w:r>
          </w:hyperlink>
        </w:p>
        <w:p w:rsidR="00583F83" w:rsidRDefault="007B7842">
          <w:pPr>
            <w:pStyle w:val="10"/>
            <w:tabs>
              <w:tab w:val="right" w:leader="dot" w:pos="9113"/>
            </w:tabs>
            <w:rPr>
              <w:noProof/>
            </w:rPr>
          </w:pPr>
          <w:hyperlink w:anchor="_Toc12457">
            <w:r w:rsidR="00E22DB5">
              <w:rPr>
                <w:rFonts w:ascii="宋体" w:eastAsia="宋体" w:hAnsi="宋体" w:cs="宋体"/>
                <w:noProof/>
              </w:rPr>
              <w:t>二、基金运作情况</w:t>
            </w:r>
            <w:r w:rsidR="00E22DB5">
              <w:rPr>
                <w:noProof/>
              </w:rPr>
              <w:tab/>
            </w:r>
            <w:r>
              <w:rPr>
                <w:noProof/>
              </w:rPr>
              <w:fldChar w:fldCharType="begin"/>
            </w:r>
            <w:r w:rsidR="00E22DB5">
              <w:rPr>
                <w:noProof/>
              </w:rPr>
              <w:instrText>PAGEREF _Toc12457 \h</w:instrText>
            </w:r>
            <w:r>
              <w:rPr>
                <w:noProof/>
              </w:rPr>
            </w:r>
            <w:r>
              <w:rPr>
                <w:noProof/>
              </w:rPr>
              <w:fldChar w:fldCharType="separate"/>
            </w:r>
            <w:r w:rsidR="003645EB">
              <w:rPr>
                <w:noProof/>
              </w:rPr>
              <w:t>5</w:t>
            </w:r>
            <w:r>
              <w:rPr>
                <w:noProof/>
              </w:rPr>
              <w:fldChar w:fldCharType="end"/>
            </w:r>
          </w:hyperlink>
        </w:p>
        <w:p w:rsidR="00583F83" w:rsidRDefault="007B7842">
          <w:pPr>
            <w:pStyle w:val="10"/>
            <w:tabs>
              <w:tab w:val="right" w:leader="dot" w:pos="9113"/>
            </w:tabs>
            <w:rPr>
              <w:noProof/>
            </w:rPr>
          </w:pPr>
          <w:hyperlink w:anchor="_Toc12458">
            <w:r w:rsidR="00E22DB5">
              <w:rPr>
                <w:rFonts w:ascii="宋体" w:eastAsia="宋体" w:hAnsi="宋体" w:cs="宋体"/>
                <w:noProof/>
              </w:rPr>
              <w:t>三、财务会计报告</w:t>
            </w:r>
            <w:r w:rsidR="00E22DB5">
              <w:rPr>
                <w:noProof/>
              </w:rPr>
              <w:tab/>
            </w:r>
            <w:r w:rsidR="001E02D9">
              <w:rPr>
                <w:noProof/>
              </w:rPr>
              <w:t>5</w:t>
            </w:r>
          </w:hyperlink>
        </w:p>
        <w:p w:rsidR="00583F83" w:rsidRDefault="007B7842">
          <w:pPr>
            <w:pStyle w:val="10"/>
            <w:tabs>
              <w:tab w:val="right" w:leader="dot" w:pos="9113"/>
            </w:tabs>
            <w:rPr>
              <w:noProof/>
            </w:rPr>
          </w:pPr>
          <w:hyperlink w:anchor="_Toc12459">
            <w:r w:rsidR="00E22DB5">
              <w:rPr>
                <w:rFonts w:ascii="宋体" w:eastAsia="宋体" w:hAnsi="宋体" w:cs="宋体"/>
                <w:noProof/>
              </w:rPr>
              <w:t>四、清算情况</w:t>
            </w:r>
            <w:r w:rsidR="00E22DB5">
              <w:rPr>
                <w:noProof/>
              </w:rPr>
              <w:tab/>
            </w:r>
            <w:r>
              <w:rPr>
                <w:noProof/>
              </w:rPr>
              <w:fldChar w:fldCharType="begin"/>
            </w:r>
            <w:r w:rsidR="00E22DB5">
              <w:rPr>
                <w:noProof/>
              </w:rPr>
              <w:instrText>PAGEREF _Toc12459 \h</w:instrText>
            </w:r>
            <w:r>
              <w:rPr>
                <w:noProof/>
              </w:rPr>
            </w:r>
            <w:r>
              <w:rPr>
                <w:noProof/>
              </w:rPr>
              <w:fldChar w:fldCharType="separate"/>
            </w:r>
            <w:r w:rsidR="003645EB">
              <w:rPr>
                <w:noProof/>
              </w:rPr>
              <w:t>7</w:t>
            </w:r>
            <w:r>
              <w:rPr>
                <w:noProof/>
              </w:rPr>
              <w:fldChar w:fldCharType="end"/>
            </w:r>
          </w:hyperlink>
        </w:p>
        <w:p w:rsidR="00583F83" w:rsidRDefault="007B7842">
          <w:pPr>
            <w:pStyle w:val="10"/>
            <w:tabs>
              <w:tab w:val="right" w:leader="dot" w:pos="9113"/>
            </w:tabs>
            <w:rPr>
              <w:noProof/>
            </w:rPr>
          </w:pPr>
          <w:hyperlink w:anchor="_Toc12460">
            <w:r w:rsidR="00E22DB5">
              <w:rPr>
                <w:rFonts w:ascii="宋体" w:eastAsia="宋体" w:hAnsi="宋体" w:cs="宋体"/>
                <w:noProof/>
              </w:rPr>
              <w:t>五、备查文件</w:t>
            </w:r>
            <w:r w:rsidR="00E22DB5">
              <w:rPr>
                <w:noProof/>
              </w:rPr>
              <w:tab/>
            </w:r>
            <w:r>
              <w:rPr>
                <w:noProof/>
              </w:rPr>
              <w:fldChar w:fldCharType="begin"/>
            </w:r>
            <w:r w:rsidR="00E22DB5">
              <w:rPr>
                <w:noProof/>
              </w:rPr>
              <w:instrText>PAGEREF _Toc12460 \h</w:instrText>
            </w:r>
            <w:r>
              <w:rPr>
                <w:noProof/>
              </w:rPr>
            </w:r>
            <w:r>
              <w:rPr>
                <w:noProof/>
              </w:rPr>
              <w:fldChar w:fldCharType="separate"/>
            </w:r>
            <w:r w:rsidR="003645EB">
              <w:rPr>
                <w:noProof/>
              </w:rPr>
              <w:t>10</w:t>
            </w:r>
            <w:r>
              <w:rPr>
                <w:noProof/>
              </w:rPr>
              <w:fldChar w:fldCharType="end"/>
            </w:r>
          </w:hyperlink>
        </w:p>
        <w:p w:rsidR="00583F83" w:rsidRDefault="007B7842">
          <w:r>
            <w:fldChar w:fldCharType="end"/>
          </w:r>
        </w:p>
      </w:sdtContent>
    </w:sdt>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583F83">
      <w:pPr>
        <w:spacing w:after="0"/>
        <w:ind w:left="0" w:firstLine="0"/>
      </w:pPr>
    </w:p>
    <w:p w:rsidR="00583F83" w:rsidRDefault="00E22DB5">
      <w:pPr>
        <w:spacing w:after="0"/>
        <w:ind w:left="0" w:firstLine="0"/>
      </w:pPr>
      <w:r>
        <w:br w:type="page"/>
      </w:r>
    </w:p>
    <w:p w:rsidR="002F7911" w:rsidRDefault="00E22DB5" w:rsidP="002F7911">
      <w:pPr>
        <w:pStyle w:val="1"/>
        <w:spacing w:after="434"/>
        <w:ind w:left="10" w:right="62"/>
        <w:rPr>
          <w:rFonts w:ascii="Times New Roman" w:eastAsiaTheme="minorEastAsia" w:hAnsi="Times New Roman" w:cs="Times New Roman"/>
          <w:b/>
        </w:rPr>
      </w:pPr>
      <w:bookmarkStart w:id="1" w:name="_Toc12455"/>
      <w:r>
        <w:lastRenderedPageBreak/>
        <w:t>重要提示</w:t>
      </w:r>
      <w:bookmarkEnd w:id="1"/>
    </w:p>
    <w:p w:rsidR="00FB01D6" w:rsidRDefault="00FB01D6" w:rsidP="00B5454B">
      <w:pPr>
        <w:spacing w:after="131" w:line="360" w:lineRule="auto"/>
        <w:ind w:left="0" w:firstLineChars="200" w:firstLine="480"/>
      </w:pPr>
      <w:r w:rsidRPr="00FB01D6">
        <w:rPr>
          <w:rFonts w:hint="eastAsia"/>
        </w:rPr>
        <w:t>泰达宏利收益增强债券型证券投资基金（以下简称</w:t>
      </w:r>
      <w:r>
        <w:rPr>
          <w:rFonts w:hint="eastAsia"/>
        </w:rPr>
        <w:t>“</w:t>
      </w:r>
      <w:r w:rsidRPr="00FB01D6">
        <w:rPr>
          <w:rFonts w:hint="eastAsia"/>
        </w:rPr>
        <w:t>本基金</w:t>
      </w:r>
      <w:r>
        <w:rPr>
          <w:rFonts w:hint="eastAsia"/>
        </w:rPr>
        <w:t>”</w:t>
      </w:r>
      <w:r w:rsidRPr="00FB01D6">
        <w:rPr>
          <w:rFonts w:hint="eastAsia"/>
        </w:rPr>
        <w:t>）转型自泰达宏利高票息定期开放债券型证券投资基金（以下简称</w:t>
      </w:r>
      <w:r>
        <w:rPr>
          <w:rFonts w:hint="eastAsia"/>
        </w:rPr>
        <w:t>“</w:t>
      </w:r>
      <w:r w:rsidRPr="00FB01D6">
        <w:rPr>
          <w:rFonts w:hint="eastAsia"/>
        </w:rPr>
        <w:t>原基金</w:t>
      </w:r>
      <w:r>
        <w:rPr>
          <w:rFonts w:hint="eastAsia"/>
        </w:rPr>
        <w:t>”</w:t>
      </w:r>
      <w:r w:rsidRPr="00FB01D6">
        <w:rPr>
          <w:rFonts w:hint="eastAsia"/>
        </w:rPr>
        <w:t>），原基金于</w:t>
      </w:r>
      <w:r w:rsidRPr="00FB01D6">
        <w:t>2013</w:t>
      </w:r>
      <w:r w:rsidRPr="00FB01D6">
        <w:rPr>
          <w:rFonts w:hint="eastAsia"/>
        </w:rPr>
        <w:t>年</w:t>
      </w:r>
      <w:r w:rsidRPr="00FB01D6">
        <w:t>4</w:t>
      </w:r>
      <w:r w:rsidRPr="00FB01D6">
        <w:rPr>
          <w:rFonts w:hint="eastAsia"/>
        </w:rPr>
        <w:t>月</w:t>
      </w:r>
      <w:r w:rsidRPr="00FB01D6">
        <w:t xml:space="preserve">26 </w:t>
      </w:r>
      <w:r w:rsidRPr="00FB01D6">
        <w:rPr>
          <w:rFonts w:hint="eastAsia"/>
        </w:rPr>
        <w:t>日经中国证监会证监许可</w:t>
      </w:r>
      <w:r w:rsidRPr="00FB01D6">
        <w:t>[2013]608</w:t>
      </w:r>
      <w:r w:rsidRPr="00FB01D6">
        <w:rPr>
          <w:rFonts w:hint="eastAsia"/>
        </w:rPr>
        <w:t>号文注册；原基金以通讯方式召开基金份额持有人大会，大会于</w:t>
      </w:r>
      <w:r w:rsidRPr="00FB01D6">
        <w:t>2015</w:t>
      </w:r>
      <w:r w:rsidRPr="00FB01D6">
        <w:rPr>
          <w:rFonts w:hint="eastAsia"/>
        </w:rPr>
        <w:t>年</w:t>
      </w:r>
      <w:r w:rsidRPr="00FB01D6">
        <w:t>8</w:t>
      </w:r>
      <w:r w:rsidRPr="00FB01D6">
        <w:rPr>
          <w:rFonts w:hint="eastAsia"/>
        </w:rPr>
        <w:t>月</w:t>
      </w:r>
      <w:r w:rsidRPr="00FB01D6">
        <w:t>6</w:t>
      </w:r>
      <w:r w:rsidRPr="00FB01D6">
        <w:rPr>
          <w:rFonts w:hint="eastAsia"/>
        </w:rPr>
        <w:t>日表决通过了《关于泰达宏利高票息定期开放债券型证券投资基金转型及基金合同修改有关事项的议案》。基金份额持有人大会决议自表决通过之日起生效，基金管理人根据基金份额持有人大会的授权，于</w:t>
      </w:r>
      <w:r w:rsidRPr="00FB01D6">
        <w:t>2015</w:t>
      </w:r>
      <w:r w:rsidRPr="00FB01D6">
        <w:rPr>
          <w:rFonts w:hint="eastAsia"/>
        </w:rPr>
        <w:t>年</w:t>
      </w:r>
      <w:r w:rsidRPr="00FB01D6">
        <w:t>9</w:t>
      </w:r>
      <w:r w:rsidRPr="00FB01D6">
        <w:rPr>
          <w:rFonts w:hint="eastAsia"/>
        </w:rPr>
        <w:t>月</w:t>
      </w:r>
      <w:r w:rsidRPr="00FB01D6">
        <w:t>9</w:t>
      </w:r>
      <w:r w:rsidRPr="00FB01D6">
        <w:rPr>
          <w:rFonts w:hint="eastAsia"/>
        </w:rPr>
        <w:t>日实施基金转型，自基金转型实施日起，由《泰达宏利高票息定期开放债券型证券投资基金基金合同》修订而成的《泰达宏利收益增强债券型证券投资基金基金合同》生效，原《泰达宏利高票息定期开放债券型证券投资基金基金合同》同日起失效。</w:t>
      </w:r>
    </w:p>
    <w:p w:rsidR="000272CC" w:rsidRDefault="00FB01D6" w:rsidP="00B5454B">
      <w:pPr>
        <w:spacing w:after="131" w:line="360" w:lineRule="auto"/>
        <w:ind w:left="0" w:firstLineChars="200" w:firstLine="480"/>
      </w:pPr>
      <w:r>
        <w:rPr>
          <w:rFonts w:hint="eastAsia"/>
        </w:rPr>
        <w:t>本基金</w:t>
      </w:r>
      <w:r w:rsidR="00BB27AF">
        <w:rPr>
          <w:rFonts w:hint="eastAsia"/>
        </w:rPr>
        <w:t>基金资产净值自</w:t>
      </w:r>
      <w:r w:rsidR="00BB27AF" w:rsidRPr="0041385C">
        <w:rPr>
          <w:szCs w:val="24"/>
        </w:rPr>
        <w:t>2017</w:t>
      </w:r>
      <w:r w:rsidR="00BB27AF" w:rsidRPr="0041385C">
        <w:rPr>
          <w:rFonts w:hint="eastAsia"/>
          <w:szCs w:val="24"/>
        </w:rPr>
        <w:t>年</w:t>
      </w:r>
      <w:r w:rsidR="00BB27AF" w:rsidRPr="0041385C">
        <w:rPr>
          <w:szCs w:val="24"/>
        </w:rPr>
        <w:t>6</w:t>
      </w:r>
      <w:r w:rsidR="00BB27AF" w:rsidRPr="0041385C">
        <w:rPr>
          <w:rFonts w:hint="eastAsia"/>
          <w:szCs w:val="24"/>
        </w:rPr>
        <w:t>月</w:t>
      </w:r>
      <w:r w:rsidR="00BB27AF" w:rsidRPr="0041385C">
        <w:rPr>
          <w:szCs w:val="24"/>
        </w:rPr>
        <w:t>29</w:t>
      </w:r>
      <w:r w:rsidR="00BB27AF" w:rsidRPr="00BB27AF">
        <w:rPr>
          <w:rFonts w:hint="eastAsia"/>
        </w:rPr>
        <w:t>日起低于</w:t>
      </w:r>
      <w:r w:rsidR="00BB27AF" w:rsidRPr="00BB27AF">
        <w:t>5000</w:t>
      </w:r>
      <w:r w:rsidR="00BB27AF" w:rsidRPr="00BB27AF">
        <w:rPr>
          <w:rFonts w:hint="eastAsia"/>
        </w:rPr>
        <w:t>万元，截至2017年9月20日，已出现连续</w:t>
      </w:r>
      <w:r w:rsidR="00BB27AF">
        <w:t>60</w:t>
      </w:r>
      <w:r w:rsidR="00BB27AF">
        <w:rPr>
          <w:rFonts w:hint="eastAsia"/>
        </w:rPr>
        <w:t>个工作日基金资产净值低于</w:t>
      </w:r>
      <w:r w:rsidR="00BB27AF">
        <w:t>5000</w:t>
      </w:r>
      <w:r w:rsidR="00BB27AF">
        <w:rPr>
          <w:rFonts w:hint="eastAsia"/>
        </w:rPr>
        <w:t>万元的</w:t>
      </w:r>
      <w:r w:rsidR="00BB27AF">
        <w:t>情形</w:t>
      </w:r>
      <w:r w:rsidR="00BB27AF">
        <w:rPr>
          <w:rFonts w:hint="eastAsia"/>
        </w:rPr>
        <w:t>。为维护基金份额持有人的利益，本基金按照</w:t>
      </w:r>
      <w:r w:rsidR="00BB27AF" w:rsidRPr="002A0899">
        <w:rPr>
          <w:rFonts w:hint="eastAsia"/>
          <w:szCs w:val="24"/>
        </w:rPr>
        <w:t>《中华人民共和国证券投资基金法》、《公开募集证券投资基金运作管理办法》和《泰达宏利收益增强债券</w:t>
      </w:r>
      <w:r w:rsidR="00BB27AF" w:rsidRPr="002A0899">
        <w:rPr>
          <w:szCs w:val="24"/>
        </w:rPr>
        <w:t>型</w:t>
      </w:r>
      <w:r w:rsidR="00BB27AF" w:rsidRPr="002A0899">
        <w:rPr>
          <w:rFonts w:hint="eastAsia"/>
          <w:szCs w:val="24"/>
        </w:rPr>
        <w:t>证券投资基金基金合同》（以下简称“《基金合同》</w:t>
      </w:r>
      <w:r w:rsidR="00BB27AF" w:rsidRPr="00BB27AF">
        <w:rPr>
          <w:rFonts w:hint="eastAsia"/>
        </w:rPr>
        <w:t>”）的有关规定</w:t>
      </w:r>
      <w:r w:rsidR="00BB27AF" w:rsidRPr="00BB27AF">
        <w:t>终止</w:t>
      </w:r>
      <w:r w:rsidR="00BB27AF" w:rsidRPr="00BB27AF">
        <w:rPr>
          <w:rFonts w:hint="eastAsia"/>
        </w:rPr>
        <w:t>《</w:t>
      </w:r>
      <w:r w:rsidR="00BB27AF" w:rsidRPr="00BB27AF">
        <w:t>基金合同</w:t>
      </w:r>
      <w:r w:rsidR="00BB27AF" w:rsidRPr="00BB27AF">
        <w:rPr>
          <w:rFonts w:hint="eastAsia"/>
        </w:rPr>
        <w:t>》并</w:t>
      </w:r>
      <w:r w:rsidR="00BB27AF" w:rsidRPr="00BB27AF">
        <w:t>进行基金财产清算，而无需召开基金份额持有人大会</w:t>
      </w:r>
      <w:r w:rsidR="00BB27AF" w:rsidRPr="00BB27AF">
        <w:rPr>
          <w:rFonts w:hint="eastAsia"/>
        </w:rPr>
        <w:t>。</w:t>
      </w:r>
      <w:r w:rsidR="00BB27AF">
        <w:rPr>
          <w:rFonts w:hint="eastAsia"/>
        </w:rPr>
        <w:t>本</w:t>
      </w:r>
      <w:r>
        <w:t>基金</w:t>
      </w:r>
      <w:r w:rsidR="00BB27AF">
        <w:rPr>
          <w:rFonts w:hint="eastAsia"/>
        </w:rPr>
        <w:t>已于</w:t>
      </w:r>
      <w:r>
        <w:t xml:space="preserve">2017 年 </w:t>
      </w:r>
      <w:r w:rsidR="00BB27AF">
        <w:rPr>
          <w:rFonts w:hint="eastAsia"/>
        </w:rPr>
        <w:t>9</w:t>
      </w:r>
      <w:r>
        <w:t xml:space="preserve">月 </w:t>
      </w:r>
      <w:r w:rsidR="00BB27AF">
        <w:rPr>
          <w:rFonts w:hint="eastAsia"/>
        </w:rPr>
        <w:t>21</w:t>
      </w:r>
      <w:r>
        <w:t xml:space="preserve"> 日</w:t>
      </w:r>
      <w:r w:rsidR="00E62A83">
        <w:rPr>
          <w:rFonts w:hint="eastAsia"/>
        </w:rPr>
        <w:t>、</w:t>
      </w:r>
      <w:r w:rsidR="000272CC" w:rsidRPr="000D2D8B">
        <w:rPr>
          <w:rFonts w:hint="eastAsia"/>
          <w:color w:val="auto"/>
          <w:szCs w:val="24"/>
        </w:rPr>
        <w:t>9月22日</w:t>
      </w:r>
      <w:r w:rsidR="00E62A83">
        <w:rPr>
          <w:rFonts w:hint="eastAsia"/>
          <w:color w:val="auto"/>
          <w:szCs w:val="24"/>
        </w:rPr>
        <w:t>、</w:t>
      </w:r>
      <w:r w:rsidR="000272CC">
        <w:rPr>
          <w:rFonts w:hint="eastAsia"/>
          <w:szCs w:val="24"/>
        </w:rPr>
        <w:t>10月10日</w:t>
      </w:r>
      <w:r w:rsidR="00E62A83">
        <w:rPr>
          <w:rFonts w:hint="eastAsia"/>
          <w:szCs w:val="24"/>
        </w:rPr>
        <w:t>、</w:t>
      </w:r>
      <w:r w:rsidR="000272CC">
        <w:rPr>
          <w:rFonts w:hint="eastAsia"/>
          <w:szCs w:val="24"/>
        </w:rPr>
        <w:t>10月12日在</w:t>
      </w:r>
      <w:r w:rsidR="00E62A83">
        <w:t>《中国证券报》、《上海证券报》、《证券时报》</w:t>
      </w:r>
      <w:r w:rsidR="000272CC">
        <w:t>及本公司网站就</w:t>
      </w:r>
      <w:r w:rsidR="000272CC">
        <w:rPr>
          <w:rFonts w:hint="eastAsia"/>
        </w:rPr>
        <w:t>本基金基金合同终止及基金财产清算事宜进行了相关公告。详情见</w:t>
      </w:r>
      <w:r w:rsidR="000272CC">
        <w:rPr>
          <w:rFonts w:hint="eastAsia"/>
          <w:color w:val="auto"/>
          <w:szCs w:val="24"/>
        </w:rPr>
        <w:t>《</w:t>
      </w:r>
      <w:r w:rsidR="00BB27AF" w:rsidRPr="000D2D8B">
        <w:rPr>
          <w:szCs w:val="24"/>
        </w:rPr>
        <w:t>关于泰达宏利收益增强债券型证券投资基金基金合同终止的风险提示公告</w:t>
      </w:r>
      <w:r w:rsidR="000272CC">
        <w:rPr>
          <w:rFonts w:hint="eastAsia"/>
          <w:szCs w:val="24"/>
        </w:rPr>
        <w:t>》、《</w:t>
      </w:r>
      <w:r w:rsidR="00BB27AF" w:rsidRPr="000D2D8B">
        <w:rPr>
          <w:rFonts w:hint="eastAsia"/>
          <w:szCs w:val="24"/>
        </w:rPr>
        <w:t>关于泰达宏利收益增强债券型证券投资基金暂停申购、转换转入及定期定额申购业务的公告</w:t>
      </w:r>
      <w:r w:rsidR="000272CC">
        <w:rPr>
          <w:rFonts w:hint="eastAsia"/>
          <w:szCs w:val="24"/>
        </w:rPr>
        <w:t>》、</w:t>
      </w:r>
      <w:r w:rsidR="000272CC">
        <w:rPr>
          <w:rFonts w:hint="eastAsia"/>
        </w:rPr>
        <w:t>《</w:t>
      </w:r>
      <w:r w:rsidR="00BB27AF" w:rsidRPr="000D2D8B">
        <w:rPr>
          <w:szCs w:val="24"/>
        </w:rPr>
        <w:t>关于泰达宏利收益增强债券型</w:t>
      </w:r>
      <w:r w:rsidR="00BB27AF" w:rsidRPr="00AD3F1C">
        <w:rPr>
          <w:szCs w:val="24"/>
        </w:rPr>
        <w:t>证券投资基金基金合同终止的</w:t>
      </w:r>
      <w:r w:rsidR="00BB27AF">
        <w:rPr>
          <w:rFonts w:hint="eastAsia"/>
          <w:szCs w:val="24"/>
        </w:rPr>
        <w:t>第二次</w:t>
      </w:r>
      <w:r w:rsidR="00BB27AF" w:rsidRPr="00AD3F1C">
        <w:rPr>
          <w:szCs w:val="24"/>
        </w:rPr>
        <w:t>风险提示公告</w:t>
      </w:r>
      <w:r w:rsidR="000272CC">
        <w:rPr>
          <w:rFonts w:hint="eastAsia"/>
          <w:szCs w:val="24"/>
        </w:rPr>
        <w:t>》、</w:t>
      </w:r>
      <w:r w:rsidR="00D722E4">
        <w:rPr>
          <w:rFonts w:hint="eastAsia"/>
          <w:szCs w:val="24"/>
        </w:rPr>
        <w:t>《</w:t>
      </w:r>
      <w:r w:rsidR="00D722E4" w:rsidRPr="000D2D8B">
        <w:rPr>
          <w:rFonts w:hint="eastAsia"/>
          <w:szCs w:val="24"/>
        </w:rPr>
        <w:t>关于泰达宏利收益增强债券型证券投资基金暂停</w:t>
      </w:r>
      <w:r w:rsidR="00D722E4">
        <w:rPr>
          <w:rFonts w:hint="eastAsia"/>
          <w:szCs w:val="24"/>
        </w:rPr>
        <w:t>赎回、</w:t>
      </w:r>
      <w:r w:rsidR="00D722E4" w:rsidRPr="000D2D8B">
        <w:rPr>
          <w:rFonts w:hint="eastAsia"/>
          <w:szCs w:val="24"/>
        </w:rPr>
        <w:t>转换转</w:t>
      </w:r>
      <w:r w:rsidR="00D722E4">
        <w:rPr>
          <w:rFonts w:hint="eastAsia"/>
          <w:szCs w:val="24"/>
        </w:rPr>
        <w:t>出</w:t>
      </w:r>
      <w:r w:rsidR="00D722E4" w:rsidRPr="000D2D8B">
        <w:rPr>
          <w:rFonts w:hint="eastAsia"/>
          <w:szCs w:val="24"/>
        </w:rPr>
        <w:t>业务的公告</w:t>
      </w:r>
      <w:r w:rsidR="00D722E4">
        <w:rPr>
          <w:rFonts w:hint="eastAsia"/>
          <w:szCs w:val="24"/>
        </w:rPr>
        <w:t>》、</w:t>
      </w:r>
      <w:r w:rsidR="000272CC">
        <w:rPr>
          <w:rFonts w:hint="eastAsia"/>
          <w:szCs w:val="24"/>
        </w:rPr>
        <w:t>《</w:t>
      </w:r>
      <w:r w:rsidR="00BB27AF" w:rsidRPr="002A0899">
        <w:rPr>
          <w:rFonts w:hint="eastAsia"/>
          <w:szCs w:val="24"/>
        </w:rPr>
        <w:t>关于泰达宏利收益增强债券型证券投资基金基金合同终止及财产清算的公告</w:t>
      </w:r>
      <w:r w:rsidR="000272CC">
        <w:rPr>
          <w:rFonts w:hint="eastAsia"/>
          <w:szCs w:val="24"/>
        </w:rPr>
        <w:t>》</w:t>
      </w:r>
      <w:r>
        <w:t xml:space="preserve">。 </w:t>
      </w:r>
    </w:p>
    <w:p w:rsidR="00FB01D6" w:rsidRPr="00FB01D6" w:rsidRDefault="00FB01D6" w:rsidP="00B5454B">
      <w:pPr>
        <w:spacing w:after="131" w:line="360" w:lineRule="auto"/>
        <w:ind w:left="0" w:firstLineChars="200" w:firstLine="480"/>
      </w:pPr>
      <w:r>
        <w:t xml:space="preserve">本基金于 2017 年 </w:t>
      </w:r>
      <w:r w:rsidR="00BB27AF">
        <w:rPr>
          <w:rFonts w:hint="eastAsia"/>
        </w:rPr>
        <w:t>10</w:t>
      </w:r>
      <w:r>
        <w:t xml:space="preserve"> 月 1</w:t>
      </w:r>
      <w:r w:rsidR="00BB27AF">
        <w:rPr>
          <w:rFonts w:hint="eastAsia"/>
        </w:rPr>
        <w:t>2</w:t>
      </w:r>
      <w:r>
        <w:t xml:space="preserve"> 日起进入清算期，由基金管理人</w:t>
      </w:r>
      <w:r w:rsidR="00BB27AF">
        <w:rPr>
          <w:rFonts w:hint="eastAsia"/>
        </w:rPr>
        <w:t>泰达宏利</w:t>
      </w:r>
      <w:r>
        <w:t>基金管理有限公司、基金托管人</w:t>
      </w:r>
      <w:r w:rsidR="00BB27AF">
        <w:rPr>
          <w:rFonts w:hint="eastAsia"/>
        </w:rPr>
        <w:t>中国</w:t>
      </w:r>
      <w:r>
        <w:t xml:space="preserve">银行股份有限公司、普华永道中天会计师事务所（特殊普通合伙）和上海市通力律师事务所于 2017 年 </w:t>
      </w:r>
      <w:r w:rsidR="00BB27AF">
        <w:rPr>
          <w:rFonts w:hint="eastAsia"/>
        </w:rPr>
        <w:t>10</w:t>
      </w:r>
      <w:r>
        <w:t xml:space="preserve"> 月 1</w:t>
      </w:r>
      <w:r w:rsidR="00BB27AF">
        <w:rPr>
          <w:rFonts w:hint="eastAsia"/>
        </w:rPr>
        <w:t>2</w:t>
      </w:r>
      <w:r>
        <w:t xml:space="preserve"> 日组成基金财产清算小组履行基金财产清算程序，并由普华永道中天会计师事务所（特殊普通合伙）对清算报告进行审计，上海市通力律师事务所对清算报告出具法律意见。</w:t>
      </w:r>
    </w:p>
    <w:p w:rsidR="002F7911" w:rsidRPr="002F7911" w:rsidRDefault="002F7911" w:rsidP="004D43FF">
      <w:pPr>
        <w:ind w:left="0" w:firstLine="0"/>
      </w:pPr>
    </w:p>
    <w:p w:rsidR="00583F83" w:rsidRDefault="00E22DB5" w:rsidP="00B5454B">
      <w:pPr>
        <w:pStyle w:val="1"/>
        <w:numPr>
          <w:ilvl w:val="0"/>
          <w:numId w:val="9"/>
        </w:numPr>
        <w:spacing w:after="360"/>
        <w:ind w:right="62"/>
        <w:rPr>
          <w:rFonts w:ascii="Times New Roman" w:eastAsia="Times New Roman" w:hAnsi="Times New Roman" w:cs="Times New Roman"/>
          <w:b/>
        </w:rPr>
      </w:pPr>
      <w:bookmarkStart w:id="2" w:name="_Toc12456"/>
      <w:r>
        <w:lastRenderedPageBreak/>
        <w:t>基金概况</w:t>
      </w:r>
      <w:bookmarkEnd w:id="2"/>
    </w:p>
    <w:p w:rsidR="00C067CB" w:rsidRDefault="00C067CB" w:rsidP="00C067CB"/>
    <w:tbl>
      <w:tblPr>
        <w:tblStyle w:val="a5"/>
        <w:tblW w:w="9454" w:type="dxa"/>
        <w:tblInd w:w="10" w:type="dxa"/>
        <w:tblLook w:val="04A0"/>
      </w:tblPr>
      <w:tblGrid>
        <w:gridCol w:w="3075"/>
        <w:gridCol w:w="6379"/>
      </w:tblGrid>
      <w:tr w:rsidR="00BB27AF" w:rsidTr="007174A8">
        <w:tc>
          <w:tcPr>
            <w:tcW w:w="3075" w:type="dxa"/>
            <w:vAlign w:val="center"/>
          </w:tcPr>
          <w:p w:rsidR="00BB27AF" w:rsidRPr="008F5F32" w:rsidRDefault="00BB27AF"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基金名称</w:t>
            </w:r>
          </w:p>
        </w:tc>
        <w:tc>
          <w:tcPr>
            <w:tcW w:w="6379" w:type="dxa"/>
            <w:vAlign w:val="center"/>
          </w:tcPr>
          <w:p w:rsidR="00BB27AF" w:rsidRPr="008F5F32" w:rsidRDefault="007174A8" w:rsidP="00A720E3">
            <w:pPr>
              <w:ind w:left="0" w:firstLine="0"/>
              <w:jc w:val="both"/>
              <w:rPr>
                <w:rFonts w:hAnsi="Times New Roman"/>
                <w:color w:val="auto"/>
                <w:kern w:val="0"/>
                <w:sz w:val="23"/>
                <w:szCs w:val="23"/>
              </w:rPr>
            </w:pPr>
            <w:r w:rsidRPr="008F5F32">
              <w:rPr>
                <w:rFonts w:hAnsi="Times New Roman" w:hint="eastAsia"/>
                <w:color w:val="auto"/>
                <w:kern w:val="0"/>
                <w:sz w:val="23"/>
                <w:szCs w:val="23"/>
              </w:rPr>
              <w:t>泰达宏利</w:t>
            </w:r>
            <w:r w:rsidRPr="008F5F32">
              <w:rPr>
                <w:rFonts w:hAnsi="Times New Roman"/>
                <w:color w:val="auto"/>
                <w:kern w:val="0"/>
                <w:sz w:val="23"/>
                <w:szCs w:val="23"/>
              </w:rPr>
              <w:t>收益增强债券型证券投资基金</w:t>
            </w:r>
          </w:p>
        </w:tc>
      </w:tr>
      <w:tr w:rsidR="00BB27AF" w:rsidTr="007174A8">
        <w:tc>
          <w:tcPr>
            <w:tcW w:w="3075" w:type="dxa"/>
            <w:vAlign w:val="center"/>
          </w:tcPr>
          <w:p w:rsidR="00BB27AF" w:rsidRPr="008F5F32" w:rsidRDefault="00BB27AF"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基金简称</w:t>
            </w:r>
          </w:p>
        </w:tc>
        <w:tc>
          <w:tcPr>
            <w:tcW w:w="6379" w:type="dxa"/>
            <w:vAlign w:val="center"/>
          </w:tcPr>
          <w:p w:rsidR="00BB27AF" w:rsidRPr="008F5F32" w:rsidRDefault="007174A8" w:rsidP="00A720E3">
            <w:pPr>
              <w:ind w:left="0" w:firstLine="0"/>
              <w:jc w:val="both"/>
              <w:rPr>
                <w:rFonts w:hAnsi="Times New Roman"/>
                <w:color w:val="auto"/>
                <w:kern w:val="0"/>
                <w:sz w:val="23"/>
                <w:szCs w:val="23"/>
              </w:rPr>
            </w:pPr>
            <w:r w:rsidRPr="008F5F32">
              <w:rPr>
                <w:rFonts w:hAnsi="Times New Roman" w:hint="eastAsia"/>
                <w:color w:val="auto"/>
                <w:kern w:val="0"/>
                <w:sz w:val="23"/>
                <w:szCs w:val="23"/>
              </w:rPr>
              <w:t>泰达宏利收益债券</w:t>
            </w:r>
          </w:p>
        </w:tc>
      </w:tr>
      <w:tr w:rsidR="00BB27AF" w:rsidTr="007174A8">
        <w:tc>
          <w:tcPr>
            <w:tcW w:w="3075" w:type="dxa"/>
            <w:vAlign w:val="center"/>
          </w:tcPr>
          <w:p w:rsidR="00BB27AF" w:rsidRPr="008F5F32" w:rsidRDefault="00BB27AF"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基金</w:t>
            </w:r>
            <w:r w:rsidR="007174A8" w:rsidRPr="008F5F32">
              <w:rPr>
                <w:rFonts w:hAnsi="Times New Roman" w:hint="eastAsia"/>
                <w:color w:val="auto"/>
                <w:kern w:val="0"/>
                <w:sz w:val="23"/>
                <w:szCs w:val="23"/>
              </w:rPr>
              <w:t>主</w:t>
            </w:r>
            <w:r w:rsidRPr="008F5F32">
              <w:rPr>
                <w:rFonts w:hAnsi="Times New Roman" w:hint="eastAsia"/>
                <w:color w:val="auto"/>
                <w:kern w:val="0"/>
                <w:sz w:val="23"/>
                <w:szCs w:val="23"/>
              </w:rPr>
              <w:t>代码</w:t>
            </w:r>
          </w:p>
        </w:tc>
        <w:tc>
          <w:tcPr>
            <w:tcW w:w="6379" w:type="dxa"/>
            <w:vAlign w:val="center"/>
          </w:tcPr>
          <w:p w:rsidR="00BB27AF" w:rsidRPr="008F5F32" w:rsidRDefault="007174A8" w:rsidP="00A720E3">
            <w:pPr>
              <w:ind w:left="0" w:firstLine="0"/>
              <w:jc w:val="both"/>
              <w:rPr>
                <w:rFonts w:hAnsi="Times New Roman"/>
                <w:color w:val="auto"/>
                <w:kern w:val="0"/>
                <w:sz w:val="23"/>
                <w:szCs w:val="23"/>
              </w:rPr>
            </w:pPr>
            <w:r w:rsidRPr="008F5F32">
              <w:rPr>
                <w:rFonts w:hAnsi="Times New Roman" w:hint="eastAsia"/>
                <w:color w:val="auto"/>
                <w:kern w:val="0"/>
                <w:sz w:val="23"/>
                <w:szCs w:val="23"/>
              </w:rPr>
              <w:t>000169</w:t>
            </w:r>
          </w:p>
        </w:tc>
      </w:tr>
      <w:tr w:rsidR="00BB27AF" w:rsidTr="007174A8">
        <w:tc>
          <w:tcPr>
            <w:tcW w:w="3075" w:type="dxa"/>
            <w:vAlign w:val="center"/>
          </w:tcPr>
          <w:p w:rsidR="00BB27AF" w:rsidRPr="008F5F32" w:rsidRDefault="007174A8"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基金运作方式</w:t>
            </w:r>
          </w:p>
        </w:tc>
        <w:tc>
          <w:tcPr>
            <w:tcW w:w="6379" w:type="dxa"/>
            <w:vAlign w:val="center"/>
          </w:tcPr>
          <w:p w:rsidR="00BB27AF" w:rsidRPr="008F5F32" w:rsidRDefault="007174A8" w:rsidP="00A720E3">
            <w:pPr>
              <w:ind w:left="0" w:firstLine="0"/>
              <w:jc w:val="both"/>
              <w:rPr>
                <w:rFonts w:hAnsi="Times New Roman"/>
                <w:color w:val="auto"/>
                <w:kern w:val="0"/>
                <w:sz w:val="23"/>
                <w:szCs w:val="23"/>
              </w:rPr>
            </w:pPr>
            <w:r w:rsidRPr="008F5F32">
              <w:rPr>
                <w:rFonts w:hAnsi="Times New Roman"/>
                <w:color w:val="auto"/>
                <w:kern w:val="0"/>
                <w:sz w:val="23"/>
                <w:szCs w:val="23"/>
              </w:rPr>
              <w:t>契约型开放式</w:t>
            </w:r>
          </w:p>
        </w:tc>
      </w:tr>
      <w:tr w:rsidR="00BB27AF" w:rsidTr="007174A8">
        <w:tc>
          <w:tcPr>
            <w:tcW w:w="3075" w:type="dxa"/>
            <w:vAlign w:val="center"/>
          </w:tcPr>
          <w:p w:rsidR="00BB27AF" w:rsidRPr="008F5F32" w:rsidRDefault="007174A8"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基金合同生效日</w:t>
            </w:r>
          </w:p>
        </w:tc>
        <w:tc>
          <w:tcPr>
            <w:tcW w:w="6379" w:type="dxa"/>
            <w:vAlign w:val="center"/>
          </w:tcPr>
          <w:p w:rsidR="00BB27AF" w:rsidRPr="008F5F32" w:rsidRDefault="007174A8" w:rsidP="00A720E3">
            <w:pPr>
              <w:ind w:left="0" w:firstLine="0"/>
              <w:jc w:val="both"/>
              <w:rPr>
                <w:rFonts w:hAnsi="Times New Roman"/>
                <w:color w:val="auto"/>
                <w:kern w:val="0"/>
                <w:sz w:val="23"/>
                <w:szCs w:val="23"/>
              </w:rPr>
            </w:pPr>
            <w:r w:rsidRPr="008F5F32">
              <w:rPr>
                <w:rFonts w:hAnsi="Times New Roman" w:hint="eastAsia"/>
                <w:color w:val="auto"/>
                <w:kern w:val="0"/>
                <w:sz w:val="23"/>
                <w:szCs w:val="23"/>
              </w:rPr>
              <w:t>2015年9月9日</w:t>
            </w:r>
          </w:p>
        </w:tc>
      </w:tr>
      <w:tr w:rsidR="007174A8" w:rsidTr="007174A8">
        <w:tc>
          <w:tcPr>
            <w:tcW w:w="3075" w:type="dxa"/>
            <w:vAlign w:val="center"/>
          </w:tcPr>
          <w:p w:rsidR="007174A8" w:rsidRPr="008F5F32" w:rsidRDefault="007174A8"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基金管理人</w:t>
            </w:r>
          </w:p>
        </w:tc>
        <w:tc>
          <w:tcPr>
            <w:tcW w:w="6379" w:type="dxa"/>
            <w:vAlign w:val="center"/>
          </w:tcPr>
          <w:p w:rsidR="007174A8" w:rsidRPr="008F5F32" w:rsidRDefault="007174A8" w:rsidP="00A720E3">
            <w:pPr>
              <w:ind w:left="0" w:firstLine="0"/>
              <w:jc w:val="both"/>
              <w:rPr>
                <w:rFonts w:hAnsi="Times New Roman"/>
                <w:color w:val="auto"/>
                <w:kern w:val="0"/>
                <w:sz w:val="23"/>
                <w:szCs w:val="23"/>
              </w:rPr>
            </w:pPr>
            <w:r w:rsidRPr="008F5F32">
              <w:rPr>
                <w:rFonts w:hAnsi="Times New Roman" w:hint="eastAsia"/>
                <w:color w:val="auto"/>
                <w:kern w:val="0"/>
                <w:sz w:val="23"/>
                <w:szCs w:val="23"/>
              </w:rPr>
              <w:t>泰达宏利基金管理有限公司</w:t>
            </w:r>
          </w:p>
        </w:tc>
      </w:tr>
      <w:tr w:rsidR="007174A8" w:rsidTr="007174A8">
        <w:tc>
          <w:tcPr>
            <w:tcW w:w="3075" w:type="dxa"/>
            <w:vAlign w:val="center"/>
          </w:tcPr>
          <w:p w:rsidR="007174A8" w:rsidRPr="008F5F32" w:rsidRDefault="007174A8"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基金托管人</w:t>
            </w:r>
          </w:p>
        </w:tc>
        <w:tc>
          <w:tcPr>
            <w:tcW w:w="6379" w:type="dxa"/>
            <w:vAlign w:val="center"/>
          </w:tcPr>
          <w:p w:rsidR="007174A8" w:rsidRPr="008F5F32" w:rsidRDefault="007174A8" w:rsidP="00A720E3">
            <w:pPr>
              <w:ind w:left="0" w:firstLine="0"/>
              <w:jc w:val="both"/>
              <w:rPr>
                <w:rFonts w:hAnsi="Times New Roman"/>
                <w:color w:val="auto"/>
                <w:kern w:val="0"/>
                <w:sz w:val="23"/>
                <w:szCs w:val="23"/>
              </w:rPr>
            </w:pPr>
            <w:r w:rsidRPr="008F5F32">
              <w:rPr>
                <w:rFonts w:hAnsi="Times New Roman" w:hint="eastAsia"/>
                <w:color w:val="auto"/>
                <w:kern w:val="0"/>
                <w:sz w:val="23"/>
                <w:szCs w:val="23"/>
              </w:rPr>
              <w:t>中国银行股份有限公司</w:t>
            </w:r>
          </w:p>
        </w:tc>
      </w:tr>
      <w:tr w:rsidR="007174A8" w:rsidTr="007174A8">
        <w:tc>
          <w:tcPr>
            <w:tcW w:w="3075" w:type="dxa"/>
            <w:vAlign w:val="center"/>
          </w:tcPr>
          <w:p w:rsidR="007174A8" w:rsidRPr="008F5F32" w:rsidRDefault="007174A8"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最后运作日</w:t>
            </w:r>
          </w:p>
        </w:tc>
        <w:tc>
          <w:tcPr>
            <w:tcW w:w="6379" w:type="dxa"/>
            <w:vAlign w:val="center"/>
          </w:tcPr>
          <w:p w:rsidR="007174A8" w:rsidRPr="008F5F32" w:rsidRDefault="007174A8" w:rsidP="00A720E3">
            <w:pPr>
              <w:ind w:left="0" w:firstLine="0"/>
              <w:jc w:val="both"/>
              <w:rPr>
                <w:rFonts w:hAnsi="Times New Roman"/>
                <w:color w:val="auto"/>
                <w:kern w:val="0"/>
                <w:sz w:val="23"/>
                <w:szCs w:val="23"/>
              </w:rPr>
            </w:pPr>
            <w:r w:rsidRPr="008F5F32">
              <w:rPr>
                <w:rFonts w:hAnsi="Times New Roman" w:hint="eastAsia"/>
                <w:color w:val="auto"/>
                <w:kern w:val="0"/>
                <w:sz w:val="23"/>
                <w:szCs w:val="23"/>
              </w:rPr>
              <w:t>2017年10月11日</w:t>
            </w:r>
          </w:p>
        </w:tc>
      </w:tr>
      <w:tr w:rsidR="00BB27AF" w:rsidTr="007174A8">
        <w:tc>
          <w:tcPr>
            <w:tcW w:w="3075" w:type="dxa"/>
            <w:vAlign w:val="center"/>
          </w:tcPr>
          <w:p w:rsidR="00BB27AF" w:rsidRPr="009638E0" w:rsidRDefault="007174A8" w:rsidP="00A720E3">
            <w:pPr>
              <w:ind w:left="0" w:firstLine="0"/>
              <w:jc w:val="both"/>
              <w:rPr>
                <w:rFonts w:hAnsi="Times New Roman"/>
                <w:color w:val="auto"/>
                <w:kern w:val="0"/>
                <w:sz w:val="23"/>
                <w:szCs w:val="23"/>
              </w:rPr>
            </w:pPr>
            <w:r w:rsidRPr="009638E0">
              <w:rPr>
                <w:rFonts w:hAnsi="Times New Roman" w:hint="eastAsia"/>
                <w:color w:val="auto"/>
                <w:kern w:val="0"/>
                <w:sz w:val="23"/>
                <w:szCs w:val="23"/>
              </w:rPr>
              <w:t>最后运作日基金份额总额</w:t>
            </w:r>
          </w:p>
        </w:tc>
        <w:tc>
          <w:tcPr>
            <w:tcW w:w="6379" w:type="dxa"/>
            <w:vAlign w:val="center"/>
          </w:tcPr>
          <w:p w:rsidR="00BB27AF" w:rsidRPr="00655ECC" w:rsidRDefault="009638E0" w:rsidP="00A720E3">
            <w:pPr>
              <w:ind w:left="0" w:firstLine="0"/>
              <w:jc w:val="both"/>
              <w:rPr>
                <w:rFonts w:hAnsi="Times New Roman"/>
                <w:color w:val="auto"/>
                <w:kern w:val="0"/>
                <w:sz w:val="23"/>
                <w:szCs w:val="23"/>
                <w:highlight w:val="yellow"/>
              </w:rPr>
            </w:pPr>
            <w:r w:rsidRPr="009638E0">
              <w:rPr>
                <w:rFonts w:hAnsi="Times New Roman"/>
                <w:color w:val="auto"/>
                <w:kern w:val="0"/>
                <w:sz w:val="23"/>
                <w:szCs w:val="23"/>
              </w:rPr>
              <w:t>9,323,596.29</w:t>
            </w:r>
          </w:p>
        </w:tc>
      </w:tr>
      <w:tr w:rsidR="007174A8" w:rsidTr="007174A8">
        <w:tc>
          <w:tcPr>
            <w:tcW w:w="3075" w:type="dxa"/>
            <w:vAlign w:val="center"/>
          </w:tcPr>
          <w:p w:rsidR="007174A8" w:rsidRPr="008F5F32" w:rsidRDefault="007174A8"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投资目标</w:t>
            </w:r>
          </w:p>
        </w:tc>
        <w:tc>
          <w:tcPr>
            <w:tcW w:w="6379" w:type="dxa"/>
            <w:vAlign w:val="center"/>
          </w:tcPr>
          <w:p w:rsidR="007174A8" w:rsidRPr="008F5F32" w:rsidRDefault="007174A8" w:rsidP="008F5F32">
            <w:pPr>
              <w:ind w:left="0" w:firstLine="0"/>
              <w:jc w:val="both"/>
              <w:rPr>
                <w:rFonts w:hAnsi="Times New Roman"/>
                <w:color w:val="auto"/>
                <w:kern w:val="0"/>
                <w:sz w:val="23"/>
                <w:szCs w:val="23"/>
              </w:rPr>
            </w:pPr>
            <w:r w:rsidRPr="008F5F32">
              <w:rPr>
                <w:rFonts w:hAnsi="Times New Roman"/>
                <w:color w:val="auto"/>
                <w:kern w:val="0"/>
                <w:sz w:val="23"/>
                <w:szCs w:val="23"/>
              </w:rPr>
              <w:t>紧跟新常态下我国经济发展过程中的经济调控政策，灵活配置各类投资工具，力争为投资者创造显著超越业绩比较基准的投资收益。</w:t>
            </w:r>
          </w:p>
        </w:tc>
      </w:tr>
      <w:tr w:rsidR="00C51B87" w:rsidTr="007174A8">
        <w:tc>
          <w:tcPr>
            <w:tcW w:w="3075" w:type="dxa"/>
            <w:vAlign w:val="center"/>
          </w:tcPr>
          <w:p w:rsidR="00C51B87" w:rsidRPr="008F5F32" w:rsidRDefault="00C51B87" w:rsidP="00C51B87">
            <w:pPr>
              <w:ind w:left="0" w:firstLine="0"/>
              <w:jc w:val="both"/>
              <w:rPr>
                <w:rFonts w:hAnsi="Times New Roman"/>
                <w:color w:val="auto"/>
                <w:kern w:val="0"/>
                <w:sz w:val="23"/>
                <w:szCs w:val="23"/>
              </w:rPr>
            </w:pPr>
            <w:r w:rsidRPr="008F5F32">
              <w:rPr>
                <w:rFonts w:hAnsi="Times New Roman" w:hint="eastAsia"/>
                <w:color w:val="auto"/>
                <w:kern w:val="0"/>
                <w:sz w:val="23"/>
                <w:szCs w:val="23"/>
              </w:rPr>
              <w:t>投资策略</w:t>
            </w:r>
          </w:p>
        </w:tc>
        <w:tc>
          <w:tcPr>
            <w:tcW w:w="6379" w:type="dxa"/>
            <w:vAlign w:val="center"/>
          </w:tcPr>
          <w:p w:rsidR="00C51B87" w:rsidRPr="00B5454B" w:rsidRDefault="00C51B87" w:rsidP="00C51B87">
            <w:pPr>
              <w:ind w:left="0" w:firstLine="0"/>
              <w:jc w:val="both"/>
              <w:rPr>
                <w:rFonts w:hAnsi="Times New Roman"/>
                <w:color w:val="auto"/>
                <w:kern w:val="0"/>
                <w:sz w:val="23"/>
                <w:szCs w:val="23"/>
              </w:rPr>
            </w:pPr>
            <w:r w:rsidRPr="003F771C">
              <w:rPr>
                <w:rFonts w:hAnsi="Times New Roman" w:hint="eastAsia"/>
                <w:color w:val="auto"/>
                <w:kern w:val="0"/>
                <w:sz w:val="23"/>
                <w:szCs w:val="23"/>
              </w:rPr>
              <w:t>本基金在分析和判断国内外宏观经济形势的基础上，并在基金合同约定的资产配置范围内以投资时钟理论为指导，通过对经济周期所处的发展阶段及其趋势的分析和判断以及不同资产类别的预期表现，对基金资产配置进行动态调整，在有效控制投资组合风险的基础上，提高基金资产风险调整后收益。</w:t>
            </w:r>
          </w:p>
        </w:tc>
      </w:tr>
      <w:tr w:rsidR="007174A8" w:rsidTr="007174A8">
        <w:tc>
          <w:tcPr>
            <w:tcW w:w="3075" w:type="dxa"/>
            <w:vAlign w:val="center"/>
          </w:tcPr>
          <w:p w:rsidR="007174A8" w:rsidRPr="008F5F32" w:rsidRDefault="007174A8"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业绩比较基准</w:t>
            </w:r>
          </w:p>
        </w:tc>
        <w:tc>
          <w:tcPr>
            <w:tcW w:w="6379" w:type="dxa"/>
            <w:vAlign w:val="center"/>
          </w:tcPr>
          <w:p w:rsidR="007174A8" w:rsidRPr="008F5F32" w:rsidRDefault="007174A8" w:rsidP="00A720E3">
            <w:pPr>
              <w:ind w:left="0" w:firstLine="0"/>
              <w:jc w:val="both"/>
              <w:rPr>
                <w:rFonts w:hAnsi="Times New Roman"/>
                <w:color w:val="auto"/>
                <w:kern w:val="0"/>
                <w:sz w:val="23"/>
                <w:szCs w:val="23"/>
              </w:rPr>
            </w:pPr>
            <w:r w:rsidRPr="008F5F32">
              <w:rPr>
                <w:rFonts w:hAnsi="Times New Roman"/>
                <w:color w:val="auto"/>
                <w:kern w:val="0"/>
                <w:sz w:val="23"/>
                <w:szCs w:val="23"/>
              </w:rPr>
              <w:t>人民银行一年期银行定期存款基准利率税后收益率*1.25</w:t>
            </w:r>
          </w:p>
        </w:tc>
      </w:tr>
      <w:tr w:rsidR="007174A8" w:rsidTr="007174A8">
        <w:tc>
          <w:tcPr>
            <w:tcW w:w="3075" w:type="dxa"/>
            <w:vAlign w:val="center"/>
          </w:tcPr>
          <w:p w:rsidR="007174A8" w:rsidRPr="008F5F32" w:rsidRDefault="007174A8" w:rsidP="007174A8">
            <w:pPr>
              <w:ind w:left="0" w:firstLine="0"/>
              <w:jc w:val="both"/>
              <w:rPr>
                <w:rFonts w:hAnsi="Times New Roman"/>
                <w:color w:val="auto"/>
                <w:kern w:val="0"/>
                <w:sz w:val="23"/>
                <w:szCs w:val="23"/>
              </w:rPr>
            </w:pPr>
            <w:r w:rsidRPr="008F5F32">
              <w:rPr>
                <w:rFonts w:hAnsi="Times New Roman" w:hint="eastAsia"/>
                <w:color w:val="auto"/>
                <w:kern w:val="0"/>
                <w:sz w:val="23"/>
                <w:szCs w:val="23"/>
              </w:rPr>
              <w:t>风险收益特征</w:t>
            </w:r>
          </w:p>
        </w:tc>
        <w:tc>
          <w:tcPr>
            <w:tcW w:w="6379" w:type="dxa"/>
            <w:vAlign w:val="center"/>
          </w:tcPr>
          <w:p w:rsidR="007174A8" w:rsidRPr="008F5F32" w:rsidRDefault="007174A8" w:rsidP="008F5F32">
            <w:pPr>
              <w:ind w:left="0" w:firstLine="0"/>
              <w:jc w:val="both"/>
              <w:rPr>
                <w:rFonts w:hAnsi="Times New Roman"/>
                <w:color w:val="auto"/>
                <w:kern w:val="0"/>
                <w:sz w:val="23"/>
                <w:szCs w:val="23"/>
              </w:rPr>
            </w:pPr>
            <w:r w:rsidRPr="008F5F32">
              <w:rPr>
                <w:rFonts w:hAnsi="Times New Roman"/>
                <w:color w:val="auto"/>
                <w:kern w:val="0"/>
                <w:sz w:val="23"/>
                <w:szCs w:val="23"/>
              </w:rPr>
              <w:t>本基金为债券型基金，属于证券市场中的较低风险品种，预期收益和预期风险高于货币市场基金，低于混合型基金和股票型基金。</w:t>
            </w:r>
          </w:p>
        </w:tc>
      </w:tr>
    </w:tbl>
    <w:p w:rsidR="00C067CB" w:rsidRPr="00C067CB" w:rsidRDefault="00C067CB" w:rsidP="004D43FF">
      <w:pPr>
        <w:ind w:left="0" w:firstLine="0"/>
      </w:pPr>
    </w:p>
    <w:p w:rsidR="004D43FF" w:rsidRDefault="004D43FF" w:rsidP="00B5454B">
      <w:pPr>
        <w:pStyle w:val="1"/>
        <w:spacing w:after="360"/>
        <w:ind w:left="10" w:right="62"/>
      </w:pPr>
      <w:bookmarkStart w:id="3" w:name="_Toc12457"/>
      <w:r>
        <w:br w:type="page"/>
      </w:r>
    </w:p>
    <w:p w:rsidR="00583F83" w:rsidRDefault="00E22DB5" w:rsidP="00B5454B">
      <w:pPr>
        <w:pStyle w:val="1"/>
        <w:spacing w:after="360"/>
        <w:ind w:left="10" w:right="62"/>
      </w:pPr>
      <w:r>
        <w:t>二、基金运作情况</w:t>
      </w:r>
      <w:bookmarkEnd w:id="3"/>
    </w:p>
    <w:p w:rsidR="008F5F32" w:rsidRDefault="00081CD4" w:rsidP="008F5F32">
      <w:pPr>
        <w:spacing w:after="131" w:line="360" w:lineRule="auto"/>
        <w:ind w:left="-5" w:firstLineChars="200" w:firstLine="480"/>
        <w:rPr>
          <w:szCs w:val="24"/>
        </w:rPr>
      </w:pPr>
      <w:bookmarkStart w:id="4" w:name="_Toc12458"/>
      <w:r>
        <w:rPr>
          <w:rFonts w:hint="eastAsia"/>
        </w:rPr>
        <w:t>本基金</w:t>
      </w:r>
      <w:r w:rsidRPr="002A0899">
        <w:rPr>
          <w:rFonts w:hint="eastAsia"/>
          <w:szCs w:val="24"/>
        </w:rPr>
        <w:t>由</w:t>
      </w:r>
      <w:r w:rsidR="008F5F32">
        <w:rPr>
          <w:rFonts w:hint="eastAsia"/>
          <w:szCs w:val="24"/>
        </w:rPr>
        <w:t>“</w:t>
      </w:r>
      <w:r w:rsidRPr="002A0899">
        <w:rPr>
          <w:rFonts w:hint="eastAsia"/>
          <w:szCs w:val="24"/>
        </w:rPr>
        <w:t>泰达宏利高票息定期开放债券型证券投资基金</w:t>
      </w:r>
      <w:r w:rsidR="008F5F32">
        <w:rPr>
          <w:rFonts w:hint="eastAsia"/>
          <w:szCs w:val="24"/>
        </w:rPr>
        <w:t>”</w:t>
      </w:r>
      <w:r w:rsidRPr="002A0899">
        <w:rPr>
          <w:rFonts w:hint="eastAsia"/>
          <w:szCs w:val="24"/>
        </w:rPr>
        <w:t>转型而来，</w:t>
      </w:r>
      <w:r w:rsidR="008F5F32">
        <w:rPr>
          <w:rFonts w:hint="eastAsia"/>
          <w:szCs w:val="24"/>
        </w:rPr>
        <w:t>于</w:t>
      </w:r>
      <w:r w:rsidRPr="002A0899">
        <w:rPr>
          <w:szCs w:val="24"/>
        </w:rPr>
        <w:t>2015</w:t>
      </w:r>
      <w:r w:rsidRPr="002A0899">
        <w:rPr>
          <w:rFonts w:hint="eastAsia"/>
          <w:szCs w:val="24"/>
        </w:rPr>
        <w:t>年</w:t>
      </w:r>
      <w:r w:rsidRPr="002A0899">
        <w:rPr>
          <w:szCs w:val="24"/>
        </w:rPr>
        <w:t>8</w:t>
      </w:r>
      <w:r w:rsidRPr="002A0899">
        <w:rPr>
          <w:rFonts w:hint="eastAsia"/>
          <w:szCs w:val="24"/>
        </w:rPr>
        <w:t>月</w:t>
      </w:r>
      <w:r w:rsidRPr="002A0899">
        <w:rPr>
          <w:szCs w:val="24"/>
        </w:rPr>
        <w:t>6</w:t>
      </w:r>
      <w:r w:rsidR="008F5F32">
        <w:rPr>
          <w:rFonts w:hint="eastAsia"/>
          <w:szCs w:val="24"/>
        </w:rPr>
        <w:t>日经原</w:t>
      </w:r>
      <w:r>
        <w:rPr>
          <w:rFonts w:hint="eastAsia"/>
          <w:szCs w:val="24"/>
        </w:rPr>
        <w:t>基金基金份额持有人大会表决通过</w:t>
      </w:r>
      <w:r w:rsidRPr="002A0899">
        <w:rPr>
          <w:rFonts w:hint="eastAsia"/>
          <w:szCs w:val="24"/>
        </w:rPr>
        <w:t>《关于泰达宏利高票息定期开放债券型证券投资基金转型及基金合同修改有关事项的议案》</w:t>
      </w:r>
      <w:r>
        <w:rPr>
          <w:rFonts w:hint="eastAsia"/>
          <w:szCs w:val="24"/>
        </w:rPr>
        <w:t>，</w:t>
      </w:r>
      <w:r w:rsidR="008F5F32">
        <w:rPr>
          <w:rFonts w:hint="eastAsia"/>
          <w:szCs w:val="24"/>
        </w:rPr>
        <w:t>根据基金份额持有人大会表决</w:t>
      </w:r>
      <w:r w:rsidRPr="002A0899">
        <w:rPr>
          <w:rFonts w:hint="eastAsia"/>
          <w:szCs w:val="24"/>
        </w:rPr>
        <w:t>，于</w:t>
      </w:r>
      <w:r w:rsidRPr="002A0899">
        <w:rPr>
          <w:szCs w:val="24"/>
        </w:rPr>
        <w:t>2015</w:t>
      </w:r>
      <w:r w:rsidRPr="002A0899">
        <w:rPr>
          <w:rFonts w:hint="eastAsia"/>
          <w:szCs w:val="24"/>
        </w:rPr>
        <w:t>年</w:t>
      </w:r>
      <w:r w:rsidRPr="002A0899">
        <w:rPr>
          <w:szCs w:val="24"/>
        </w:rPr>
        <w:t>9</w:t>
      </w:r>
      <w:r w:rsidRPr="002A0899">
        <w:rPr>
          <w:rFonts w:hint="eastAsia"/>
          <w:szCs w:val="24"/>
        </w:rPr>
        <w:t>月</w:t>
      </w:r>
      <w:r w:rsidRPr="002A0899">
        <w:rPr>
          <w:szCs w:val="24"/>
        </w:rPr>
        <w:t>9</w:t>
      </w:r>
      <w:r w:rsidRPr="002A0899">
        <w:rPr>
          <w:rFonts w:hint="eastAsia"/>
          <w:szCs w:val="24"/>
        </w:rPr>
        <w:t>日实施基金转型，《泰达宏利收益增强债券型证券投资基金基金合同》同日生效。</w:t>
      </w:r>
    </w:p>
    <w:p w:rsidR="00081CD4" w:rsidRDefault="008F5F32" w:rsidP="00B5454B">
      <w:pPr>
        <w:spacing w:after="131" w:line="360" w:lineRule="auto"/>
        <w:ind w:left="-5" w:firstLineChars="200" w:firstLine="480"/>
      </w:pPr>
      <w:r>
        <w:rPr>
          <w:rFonts w:hint="eastAsia"/>
          <w:szCs w:val="24"/>
        </w:rPr>
        <w:t>截至2017年9月20日，本基金基金资产净值已连续60个工作日低于5000万元。</w:t>
      </w:r>
      <w:r>
        <w:rPr>
          <w:rFonts w:hint="eastAsia"/>
        </w:rPr>
        <w:t>为维护基金份额持有人的利益，按照</w:t>
      </w:r>
      <w:r w:rsidRPr="002A0899">
        <w:rPr>
          <w:rFonts w:hint="eastAsia"/>
          <w:szCs w:val="24"/>
        </w:rPr>
        <w:t>《中华人民共和国证券投资基金法》、《公开募集证券投资基金运作管理办法》和《泰达宏利收益增强债券</w:t>
      </w:r>
      <w:r w:rsidRPr="002A0899">
        <w:rPr>
          <w:szCs w:val="24"/>
        </w:rPr>
        <w:t>型</w:t>
      </w:r>
      <w:r>
        <w:rPr>
          <w:rFonts w:hint="eastAsia"/>
          <w:szCs w:val="24"/>
        </w:rPr>
        <w:t>证券投资基金基金合同》</w:t>
      </w:r>
      <w:r w:rsidRPr="00BB27AF">
        <w:rPr>
          <w:rFonts w:hint="eastAsia"/>
        </w:rPr>
        <w:t>的有关规定</w:t>
      </w:r>
      <w:r w:rsidRPr="00BB27AF">
        <w:t>终止</w:t>
      </w:r>
      <w:r>
        <w:rPr>
          <w:rFonts w:hint="eastAsia"/>
        </w:rPr>
        <w:t>本基金</w:t>
      </w:r>
      <w:r w:rsidRPr="00BB27AF">
        <w:rPr>
          <w:rFonts w:hint="eastAsia"/>
        </w:rPr>
        <w:t>《</w:t>
      </w:r>
      <w:r w:rsidRPr="00BB27AF">
        <w:t>基金合同</w:t>
      </w:r>
      <w:r w:rsidRPr="00BB27AF">
        <w:rPr>
          <w:rFonts w:hint="eastAsia"/>
        </w:rPr>
        <w:t>》并</w:t>
      </w:r>
      <w:r w:rsidRPr="00BB27AF">
        <w:t>进行基金财产清算，无需召开基金份额持有人大会</w:t>
      </w:r>
      <w:r w:rsidRPr="00BB27AF">
        <w:rPr>
          <w:rFonts w:hint="eastAsia"/>
        </w:rPr>
        <w:t>。</w:t>
      </w:r>
      <w:r>
        <w:rPr>
          <w:rFonts w:hint="eastAsia"/>
        </w:rPr>
        <w:t>本基金自2017年10月12日起进入清算期。</w:t>
      </w:r>
    </w:p>
    <w:p w:rsidR="00081CD4" w:rsidRDefault="00081CD4" w:rsidP="00081CD4">
      <w:pPr>
        <w:spacing w:after="131"/>
        <w:ind w:left="-5"/>
      </w:pPr>
    </w:p>
    <w:p w:rsidR="00B5454B" w:rsidRDefault="00B5454B" w:rsidP="00B5454B">
      <w:pPr>
        <w:pStyle w:val="1"/>
        <w:spacing w:after="360"/>
        <w:ind w:left="10" w:right="62"/>
      </w:pPr>
      <w:r>
        <w:br w:type="page"/>
      </w:r>
    </w:p>
    <w:p w:rsidR="00583F83" w:rsidRDefault="00E22DB5" w:rsidP="00B5454B">
      <w:pPr>
        <w:pStyle w:val="1"/>
        <w:spacing w:after="360"/>
        <w:ind w:left="10" w:right="62"/>
      </w:pPr>
      <w:r>
        <w:t>三、财务会计报告</w:t>
      </w:r>
      <w:bookmarkEnd w:id="4"/>
    </w:p>
    <w:p w:rsidR="00583F83" w:rsidRDefault="00E22DB5" w:rsidP="00205EB2">
      <w:pPr>
        <w:spacing w:beforeLines="50" w:afterLines="50" w:line="360" w:lineRule="auto"/>
        <w:ind w:left="-5" w:firstLineChars="150" w:firstLine="360"/>
      </w:pPr>
      <w:r>
        <w:t xml:space="preserve">（一）基金最后运作日资产负债表（已经审计） </w:t>
      </w:r>
    </w:p>
    <w:p w:rsidR="003756AC" w:rsidRDefault="00E22DB5" w:rsidP="001145ED">
      <w:pPr>
        <w:spacing w:after="0" w:line="360" w:lineRule="auto"/>
        <w:ind w:right="945" w:firstLineChars="150" w:firstLine="360"/>
      </w:pPr>
      <w:r>
        <w:t>会计主体：</w:t>
      </w:r>
      <w:r w:rsidR="00C067CB">
        <w:rPr>
          <w:rFonts w:hint="eastAsia"/>
        </w:rPr>
        <w:t>泰达宏利收益</w:t>
      </w:r>
      <w:r w:rsidR="00C067CB">
        <w:t>增强债券型</w:t>
      </w:r>
      <w:r>
        <w:t>证券投资</w:t>
      </w:r>
      <w:r w:rsidR="003756AC">
        <w:rPr>
          <w:rFonts w:hint="eastAsia"/>
        </w:rPr>
        <w:t>基金</w:t>
      </w:r>
    </w:p>
    <w:p w:rsidR="00C067CB" w:rsidRDefault="00E22DB5" w:rsidP="001145ED">
      <w:pPr>
        <w:spacing w:after="0" w:line="360" w:lineRule="auto"/>
        <w:ind w:right="945" w:firstLineChars="150" w:firstLine="360"/>
      </w:pPr>
      <w:r>
        <w:t>报告截止日：</w:t>
      </w:r>
      <w:r w:rsidR="009638E0">
        <w:rPr>
          <w:rFonts w:asciiTheme="minorEastAsia" w:eastAsiaTheme="minorEastAsia" w:hAnsiTheme="minorEastAsia" w:cs="Times New Roman" w:hint="eastAsia"/>
        </w:rPr>
        <w:t>2017</w:t>
      </w:r>
      <w:r>
        <w:t>年</w:t>
      </w:r>
      <w:r w:rsidR="009638E0">
        <w:rPr>
          <w:rFonts w:asciiTheme="minorEastAsia" w:eastAsiaTheme="minorEastAsia" w:hAnsiTheme="minorEastAsia" w:cs="Times New Roman" w:hint="eastAsia"/>
        </w:rPr>
        <w:t>10</w:t>
      </w:r>
      <w:r>
        <w:t>月</w:t>
      </w:r>
      <w:r w:rsidR="009638E0">
        <w:rPr>
          <w:rFonts w:asciiTheme="minorEastAsia" w:eastAsiaTheme="minorEastAsia" w:hAnsiTheme="minorEastAsia" w:cs="Times New Roman" w:hint="eastAsia"/>
        </w:rPr>
        <w:t>11</w:t>
      </w:r>
      <w:r>
        <w:t>日</w:t>
      </w:r>
    </w:p>
    <w:p w:rsidR="00583F83" w:rsidRDefault="00E22DB5" w:rsidP="003756AC">
      <w:pPr>
        <w:ind w:right="205"/>
        <w:jc w:val="right"/>
      </w:pPr>
      <w:r>
        <w:rPr>
          <w:sz w:val="22"/>
        </w:rPr>
        <w:t>单位：人民币元</w:t>
      </w:r>
    </w:p>
    <w:tbl>
      <w:tblPr>
        <w:tblStyle w:val="TableGrid"/>
        <w:tblW w:w="9072" w:type="dxa"/>
        <w:tblInd w:w="0" w:type="dxa"/>
        <w:tblCellMar>
          <w:top w:w="13" w:type="dxa"/>
          <w:left w:w="108" w:type="dxa"/>
          <w:right w:w="53" w:type="dxa"/>
        </w:tblCellMar>
        <w:tblLook w:val="04A0"/>
      </w:tblPr>
      <w:tblGrid>
        <w:gridCol w:w="5244"/>
        <w:gridCol w:w="3828"/>
      </w:tblGrid>
      <w:tr w:rsidR="00583F83">
        <w:trPr>
          <w:trHeight w:val="581"/>
        </w:trPr>
        <w:tc>
          <w:tcPr>
            <w:tcW w:w="5244" w:type="dxa"/>
            <w:tcBorders>
              <w:top w:val="single" w:sz="4" w:space="0" w:color="000000"/>
              <w:left w:val="single" w:sz="4" w:space="0" w:color="000000"/>
              <w:bottom w:val="single" w:sz="4" w:space="0" w:color="000000"/>
              <w:right w:val="single" w:sz="4" w:space="0" w:color="000000"/>
            </w:tcBorders>
            <w:vAlign w:val="center"/>
          </w:tcPr>
          <w:p w:rsidR="00583F83" w:rsidRDefault="00583F83">
            <w:pPr>
              <w:spacing w:after="0"/>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6D0F9A" w:rsidRPr="006D0F9A" w:rsidRDefault="00E22DB5" w:rsidP="006D0F9A">
            <w:pPr>
              <w:pStyle w:val="a3"/>
              <w:spacing w:before="0" w:beforeAutospacing="0" w:after="0" w:afterAutospacing="0"/>
              <w:ind w:left="-110" w:right="231"/>
              <w:jc w:val="right"/>
              <w:rPr>
                <w:rFonts w:ascii="Times New Roman" w:eastAsia="宋体" w:hAnsi="Times New Roman" w:cs="Times New Roman"/>
                <w:sz w:val="21"/>
                <w:szCs w:val="21"/>
                <w:lang w:eastAsia="zh-CN"/>
              </w:rPr>
            </w:pPr>
            <w:r w:rsidRPr="006D0F9A">
              <w:rPr>
                <w:rFonts w:ascii="Times New Roman" w:eastAsia="宋体" w:hAnsi="Times New Roman" w:cs="Times New Roman"/>
                <w:sz w:val="21"/>
                <w:szCs w:val="21"/>
                <w:lang w:eastAsia="zh-CN"/>
              </w:rPr>
              <w:t>最后运作日</w:t>
            </w:r>
          </w:p>
          <w:p w:rsidR="00583F83" w:rsidRPr="006D0F9A" w:rsidRDefault="00C067CB" w:rsidP="006D0F9A">
            <w:pPr>
              <w:pStyle w:val="a3"/>
              <w:spacing w:before="0" w:beforeAutospacing="0" w:after="0" w:afterAutospacing="0"/>
              <w:ind w:left="-110" w:right="21"/>
              <w:jc w:val="right"/>
              <w:rPr>
                <w:rFonts w:ascii="Times New Roman" w:eastAsia="宋体" w:hAnsi="Times New Roman" w:cs="Times New Roman"/>
                <w:sz w:val="21"/>
                <w:szCs w:val="21"/>
                <w:lang w:eastAsia="zh-CN"/>
              </w:rPr>
            </w:pPr>
            <w:r w:rsidRPr="006D0F9A">
              <w:rPr>
                <w:rFonts w:ascii="Times New Roman" w:eastAsia="宋体" w:hAnsi="Times New Roman" w:cs="Times New Roman"/>
                <w:sz w:val="21"/>
                <w:szCs w:val="21"/>
                <w:lang w:eastAsia="zh-CN"/>
              </w:rPr>
              <w:t>2017</w:t>
            </w:r>
            <w:r w:rsidR="00E22DB5" w:rsidRPr="006D0F9A">
              <w:rPr>
                <w:rFonts w:ascii="Times New Roman" w:eastAsia="宋体" w:hAnsi="Times New Roman" w:cs="Times New Roman"/>
                <w:sz w:val="21"/>
                <w:szCs w:val="21"/>
                <w:lang w:eastAsia="zh-CN"/>
              </w:rPr>
              <w:t>年</w:t>
            </w:r>
            <w:r w:rsidRPr="006D0F9A">
              <w:rPr>
                <w:rFonts w:ascii="Times New Roman" w:eastAsia="宋体" w:hAnsi="Times New Roman" w:cs="Times New Roman"/>
                <w:sz w:val="21"/>
                <w:szCs w:val="21"/>
                <w:lang w:eastAsia="zh-CN"/>
              </w:rPr>
              <w:t>10</w:t>
            </w:r>
            <w:r w:rsidR="00E22DB5" w:rsidRPr="006D0F9A">
              <w:rPr>
                <w:rFonts w:ascii="Times New Roman" w:eastAsia="宋体" w:hAnsi="Times New Roman" w:cs="Times New Roman"/>
                <w:sz w:val="21"/>
                <w:szCs w:val="21"/>
                <w:lang w:eastAsia="zh-CN"/>
              </w:rPr>
              <w:t>月</w:t>
            </w:r>
            <w:r w:rsidRPr="006D0F9A">
              <w:rPr>
                <w:rFonts w:ascii="Times New Roman" w:eastAsia="宋体" w:hAnsi="Times New Roman" w:cs="Times New Roman"/>
                <w:sz w:val="21"/>
                <w:szCs w:val="21"/>
                <w:lang w:eastAsia="zh-CN"/>
              </w:rPr>
              <w:t>11</w:t>
            </w:r>
            <w:r w:rsidR="00E22DB5" w:rsidRPr="006D0F9A">
              <w:rPr>
                <w:rFonts w:ascii="Times New Roman" w:eastAsia="宋体" w:hAnsi="Times New Roman" w:cs="Times New Roman"/>
                <w:sz w:val="21"/>
                <w:szCs w:val="21"/>
                <w:lang w:eastAsia="zh-CN"/>
              </w:rPr>
              <w:t>日</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资产：</w:t>
            </w:r>
          </w:p>
        </w:tc>
        <w:tc>
          <w:tcPr>
            <w:tcW w:w="3828" w:type="dxa"/>
            <w:tcBorders>
              <w:top w:val="single" w:sz="4" w:space="0" w:color="000000"/>
              <w:left w:val="single" w:sz="4" w:space="0" w:color="000000"/>
              <w:bottom w:val="single" w:sz="4" w:space="0" w:color="000000"/>
              <w:right w:val="single" w:sz="4" w:space="0" w:color="000000"/>
            </w:tcBorders>
          </w:tcPr>
          <w:p w:rsidR="00583F83" w:rsidRDefault="00583F83">
            <w:pPr>
              <w:spacing w:after="0"/>
              <w:ind w:left="0" w:firstLine="0"/>
              <w:jc w:val="right"/>
            </w:pP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银行存款</w:t>
            </w:r>
          </w:p>
        </w:tc>
        <w:tc>
          <w:tcPr>
            <w:tcW w:w="3828" w:type="dxa"/>
            <w:tcBorders>
              <w:top w:val="single" w:sz="4" w:space="0" w:color="000000"/>
              <w:left w:val="single" w:sz="4" w:space="0" w:color="000000"/>
              <w:bottom w:val="single" w:sz="4" w:space="0" w:color="000000"/>
              <w:right w:val="single" w:sz="4" w:space="0" w:color="000000"/>
            </w:tcBorders>
          </w:tcPr>
          <w:p w:rsidR="00583F83" w:rsidRPr="009638E0" w:rsidRDefault="009638E0" w:rsidP="009638E0">
            <w:pPr>
              <w:jc w:val="right"/>
              <w:rPr>
                <w:sz w:val="22"/>
              </w:rPr>
            </w:pPr>
            <w:r>
              <w:rPr>
                <w:rFonts w:hint="eastAsia"/>
                <w:sz w:val="22"/>
              </w:rPr>
              <w:t xml:space="preserve">  10,402,627.92 </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存出保证金</w:t>
            </w:r>
          </w:p>
        </w:tc>
        <w:tc>
          <w:tcPr>
            <w:tcW w:w="3828" w:type="dxa"/>
            <w:tcBorders>
              <w:top w:val="single" w:sz="4" w:space="0" w:color="000000"/>
              <w:left w:val="single" w:sz="4" w:space="0" w:color="000000"/>
              <w:bottom w:val="single" w:sz="4" w:space="0" w:color="000000"/>
              <w:right w:val="single" w:sz="4" w:space="0" w:color="000000"/>
            </w:tcBorders>
          </w:tcPr>
          <w:p w:rsidR="00583F83" w:rsidRPr="009638E0" w:rsidRDefault="009638E0" w:rsidP="009638E0">
            <w:pPr>
              <w:jc w:val="right"/>
              <w:rPr>
                <w:sz w:val="22"/>
              </w:rPr>
            </w:pPr>
            <w:r>
              <w:rPr>
                <w:rFonts w:hint="eastAsia"/>
                <w:sz w:val="22"/>
              </w:rPr>
              <w:t xml:space="preserve">      76,245.13 </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交易性金融资产</w:t>
            </w:r>
          </w:p>
        </w:tc>
        <w:tc>
          <w:tcPr>
            <w:tcW w:w="3828" w:type="dxa"/>
            <w:tcBorders>
              <w:top w:val="single" w:sz="4" w:space="0" w:color="000000"/>
              <w:left w:val="single" w:sz="4" w:space="0" w:color="000000"/>
              <w:bottom w:val="single" w:sz="4" w:space="0" w:color="000000"/>
              <w:right w:val="single" w:sz="4" w:space="0" w:color="000000"/>
            </w:tcBorders>
          </w:tcPr>
          <w:p w:rsidR="00583F83" w:rsidRPr="009638E0" w:rsidRDefault="009638E0" w:rsidP="009638E0">
            <w:pPr>
              <w:jc w:val="right"/>
              <w:rPr>
                <w:sz w:val="22"/>
              </w:rPr>
            </w:pPr>
            <w:r>
              <w:rPr>
                <w:rFonts w:hint="eastAsia"/>
                <w:sz w:val="22"/>
              </w:rPr>
              <w:t xml:space="preserve">     410,184.00 </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应收利息</w:t>
            </w:r>
          </w:p>
        </w:tc>
        <w:tc>
          <w:tcPr>
            <w:tcW w:w="3828" w:type="dxa"/>
            <w:tcBorders>
              <w:top w:val="single" w:sz="4" w:space="0" w:color="000000"/>
              <w:left w:val="single" w:sz="4" w:space="0" w:color="000000"/>
              <w:bottom w:val="single" w:sz="4" w:space="0" w:color="000000"/>
              <w:right w:val="single" w:sz="4" w:space="0" w:color="000000"/>
            </w:tcBorders>
          </w:tcPr>
          <w:p w:rsidR="00583F83" w:rsidRPr="009638E0" w:rsidRDefault="009638E0" w:rsidP="009638E0">
            <w:pPr>
              <w:jc w:val="right"/>
              <w:rPr>
                <w:sz w:val="22"/>
              </w:rPr>
            </w:pPr>
            <w:r>
              <w:rPr>
                <w:rFonts w:hint="eastAsia"/>
                <w:sz w:val="22"/>
              </w:rPr>
              <w:t xml:space="preserve">       4,301.50 </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资产总计</w:t>
            </w:r>
          </w:p>
        </w:tc>
        <w:tc>
          <w:tcPr>
            <w:tcW w:w="3828" w:type="dxa"/>
            <w:tcBorders>
              <w:top w:val="single" w:sz="4" w:space="0" w:color="000000"/>
              <w:left w:val="single" w:sz="4" w:space="0" w:color="000000"/>
              <w:bottom w:val="single" w:sz="4" w:space="0" w:color="000000"/>
              <w:right w:val="single" w:sz="4" w:space="0" w:color="000000"/>
            </w:tcBorders>
          </w:tcPr>
          <w:p w:rsidR="00583F83" w:rsidRPr="009638E0" w:rsidRDefault="009638E0" w:rsidP="009638E0">
            <w:pPr>
              <w:jc w:val="right"/>
              <w:rPr>
                <w:sz w:val="22"/>
              </w:rPr>
            </w:pPr>
            <w:r>
              <w:rPr>
                <w:rFonts w:hint="eastAsia"/>
                <w:sz w:val="22"/>
              </w:rPr>
              <w:t xml:space="preserve">  10,893,358.55 </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负债：</w:t>
            </w:r>
          </w:p>
        </w:tc>
        <w:tc>
          <w:tcPr>
            <w:tcW w:w="3828" w:type="dxa"/>
            <w:tcBorders>
              <w:top w:val="single" w:sz="4" w:space="0" w:color="000000"/>
              <w:left w:val="single" w:sz="4" w:space="0" w:color="000000"/>
              <w:bottom w:val="single" w:sz="4" w:space="0" w:color="000000"/>
              <w:right w:val="single" w:sz="4" w:space="0" w:color="000000"/>
            </w:tcBorders>
          </w:tcPr>
          <w:p w:rsidR="00583F83" w:rsidRDefault="00583F83">
            <w:pPr>
              <w:spacing w:after="0"/>
              <w:ind w:left="0" w:firstLine="0"/>
              <w:jc w:val="right"/>
            </w:pPr>
          </w:p>
        </w:tc>
      </w:tr>
      <w:tr w:rsidR="009638E0">
        <w:trPr>
          <w:trHeight w:val="295"/>
        </w:trPr>
        <w:tc>
          <w:tcPr>
            <w:tcW w:w="5244" w:type="dxa"/>
            <w:tcBorders>
              <w:top w:val="single" w:sz="4" w:space="0" w:color="000000"/>
              <w:left w:val="single" w:sz="4" w:space="0" w:color="000000"/>
              <w:bottom w:val="single" w:sz="4" w:space="0" w:color="000000"/>
              <w:right w:val="single" w:sz="4" w:space="0" w:color="000000"/>
            </w:tcBorders>
          </w:tcPr>
          <w:p w:rsidR="009638E0" w:rsidRDefault="009638E0" w:rsidP="009638E0">
            <w:pPr>
              <w:rPr>
                <w:sz w:val="22"/>
              </w:rPr>
            </w:pPr>
            <w:r>
              <w:rPr>
                <w:rFonts w:hint="eastAsia"/>
                <w:sz w:val="22"/>
              </w:rPr>
              <w:t>应付赎回款</w:t>
            </w:r>
          </w:p>
        </w:tc>
        <w:tc>
          <w:tcPr>
            <w:tcW w:w="3828" w:type="dxa"/>
            <w:tcBorders>
              <w:top w:val="single" w:sz="4" w:space="0" w:color="000000"/>
              <w:left w:val="single" w:sz="4" w:space="0" w:color="000000"/>
              <w:bottom w:val="single" w:sz="4" w:space="0" w:color="000000"/>
              <w:right w:val="single" w:sz="4" w:space="0" w:color="000000"/>
            </w:tcBorders>
          </w:tcPr>
          <w:p w:rsidR="009638E0" w:rsidRPr="009638E0" w:rsidRDefault="009638E0" w:rsidP="009638E0">
            <w:pPr>
              <w:jc w:val="right"/>
              <w:rPr>
                <w:sz w:val="22"/>
              </w:rPr>
            </w:pPr>
            <w:r>
              <w:rPr>
                <w:rFonts w:hint="eastAsia"/>
                <w:sz w:val="22"/>
              </w:rPr>
              <w:t xml:space="preserve">     790,178.90 </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应付管理人报酬</w:t>
            </w:r>
          </w:p>
        </w:tc>
        <w:tc>
          <w:tcPr>
            <w:tcW w:w="3828" w:type="dxa"/>
            <w:tcBorders>
              <w:top w:val="single" w:sz="4" w:space="0" w:color="000000"/>
              <w:left w:val="single" w:sz="4" w:space="0" w:color="000000"/>
              <w:bottom w:val="single" w:sz="4" w:space="0" w:color="000000"/>
              <w:right w:val="single" w:sz="4" w:space="0" w:color="000000"/>
            </w:tcBorders>
          </w:tcPr>
          <w:p w:rsidR="00583F83" w:rsidRPr="009638E0" w:rsidRDefault="009638E0" w:rsidP="009638E0">
            <w:pPr>
              <w:jc w:val="right"/>
              <w:rPr>
                <w:sz w:val="22"/>
              </w:rPr>
            </w:pPr>
            <w:r>
              <w:rPr>
                <w:rFonts w:hint="eastAsia"/>
                <w:sz w:val="22"/>
              </w:rPr>
              <w:t xml:space="preserve">       2,196.84 </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应付托管费</w:t>
            </w:r>
          </w:p>
        </w:tc>
        <w:tc>
          <w:tcPr>
            <w:tcW w:w="3828" w:type="dxa"/>
            <w:tcBorders>
              <w:top w:val="single" w:sz="4" w:space="0" w:color="000000"/>
              <w:left w:val="single" w:sz="4" w:space="0" w:color="000000"/>
              <w:bottom w:val="single" w:sz="4" w:space="0" w:color="000000"/>
              <w:right w:val="single" w:sz="4" w:space="0" w:color="000000"/>
            </w:tcBorders>
          </w:tcPr>
          <w:p w:rsidR="00583F83" w:rsidRPr="009638E0" w:rsidRDefault="009638E0" w:rsidP="009638E0">
            <w:pPr>
              <w:jc w:val="right"/>
              <w:rPr>
                <w:sz w:val="22"/>
              </w:rPr>
            </w:pPr>
            <w:r>
              <w:rPr>
                <w:rFonts w:hint="eastAsia"/>
                <w:sz w:val="22"/>
              </w:rPr>
              <w:t xml:space="preserve">         627.66 </w:t>
            </w:r>
          </w:p>
        </w:tc>
      </w:tr>
      <w:tr w:rsidR="009638E0">
        <w:trPr>
          <w:trHeight w:val="295"/>
        </w:trPr>
        <w:tc>
          <w:tcPr>
            <w:tcW w:w="5244" w:type="dxa"/>
            <w:tcBorders>
              <w:top w:val="single" w:sz="4" w:space="0" w:color="000000"/>
              <w:left w:val="single" w:sz="4" w:space="0" w:color="000000"/>
              <w:bottom w:val="single" w:sz="4" w:space="0" w:color="000000"/>
              <w:right w:val="single" w:sz="4" w:space="0" w:color="000000"/>
            </w:tcBorders>
          </w:tcPr>
          <w:p w:rsidR="009638E0" w:rsidRDefault="009638E0" w:rsidP="009638E0">
            <w:pPr>
              <w:rPr>
                <w:sz w:val="22"/>
              </w:rPr>
            </w:pPr>
            <w:r>
              <w:rPr>
                <w:rFonts w:hint="eastAsia"/>
                <w:sz w:val="22"/>
              </w:rPr>
              <w:t>应付销售服务费</w:t>
            </w:r>
          </w:p>
        </w:tc>
        <w:tc>
          <w:tcPr>
            <w:tcW w:w="3828" w:type="dxa"/>
            <w:tcBorders>
              <w:top w:val="single" w:sz="4" w:space="0" w:color="000000"/>
              <w:left w:val="single" w:sz="4" w:space="0" w:color="000000"/>
              <w:bottom w:val="single" w:sz="4" w:space="0" w:color="000000"/>
              <w:right w:val="single" w:sz="4" w:space="0" w:color="000000"/>
            </w:tcBorders>
          </w:tcPr>
          <w:p w:rsidR="009638E0" w:rsidRPr="009638E0" w:rsidRDefault="009638E0" w:rsidP="009638E0">
            <w:pPr>
              <w:jc w:val="right"/>
              <w:rPr>
                <w:sz w:val="22"/>
              </w:rPr>
            </w:pPr>
            <w:r>
              <w:rPr>
                <w:rFonts w:hint="eastAsia"/>
                <w:sz w:val="22"/>
              </w:rPr>
              <w:t xml:space="preserve">         206.60 </w:t>
            </w:r>
          </w:p>
        </w:tc>
      </w:tr>
      <w:tr w:rsidR="009638E0">
        <w:trPr>
          <w:trHeight w:val="295"/>
        </w:trPr>
        <w:tc>
          <w:tcPr>
            <w:tcW w:w="5244" w:type="dxa"/>
            <w:tcBorders>
              <w:top w:val="single" w:sz="4" w:space="0" w:color="000000"/>
              <w:left w:val="single" w:sz="4" w:space="0" w:color="000000"/>
              <w:bottom w:val="single" w:sz="4" w:space="0" w:color="000000"/>
              <w:right w:val="single" w:sz="4" w:space="0" w:color="000000"/>
            </w:tcBorders>
          </w:tcPr>
          <w:p w:rsidR="009638E0" w:rsidRDefault="009638E0" w:rsidP="009638E0">
            <w:pPr>
              <w:rPr>
                <w:sz w:val="22"/>
              </w:rPr>
            </w:pPr>
            <w:r>
              <w:rPr>
                <w:rFonts w:hint="eastAsia"/>
                <w:sz w:val="22"/>
              </w:rPr>
              <w:t>应付税费</w:t>
            </w:r>
          </w:p>
        </w:tc>
        <w:tc>
          <w:tcPr>
            <w:tcW w:w="3828" w:type="dxa"/>
            <w:tcBorders>
              <w:top w:val="single" w:sz="4" w:space="0" w:color="000000"/>
              <w:left w:val="single" w:sz="4" w:space="0" w:color="000000"/>
              <w:bottom w:val="single" w:sz="4" w:space="0" w:color="000000"/>
              <w:right w:val="single" w:sz="4" w:space="0" w:color="000000"/>
            </w:tcBorders>
          </w:tcPr>
          <w:p w:rsidR="009638E0" w:rsidRPr="009638E0" w:rsidRDefault="009638E0" w:rsidP="009638E0">
            <w:pPr>
              <w:jc w:val="right"/>
              <w:rPr>
                <w:sz w:val="22"/>
              </w:rPr>
            </w:pPr>
            <w:r>
              <w:rPr>
                <w:rFonts w:hint="eastAsia"/>
                <w:sz w:val="22"/>
              </w:rPr>
              <w:t xml:space="preserve">     568,448.76 </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其他负债</w:t>
            </w:r>
          </w:p>
        </w:tc>
        <w:tc>
          <w:tcPr>
            <w:tcW w:w="3828" w:type="dxa"/>
            <w:tcBorders>
              <w:top w:val="single" w:sz="4" w:space="0" w:color="000000"/>
              <w:left w:val="single" w:sz="4" w:space="0" w:color="000000"/>
              <w:bottom w:val="single" w:sz="4" w:space="0" w:color="000000"/>
              <w:right w:val="single" w:sz="4" w:space="0" w:color="000000"/>
            </w:tcBorders>
          </w:tcPr>
          <w:p w:rsidR="00583F83" w:rsidRPr="009638E0" w:rsidRDefault="009638E0" w:rsidP="009638E0">
            <w:pPr>
              <w:jc w:val="right"/>
              <w:rPr>
                <w:sz w:val="22"/>
              </w:rPr>
            </w:pPr>
            <w:r>
              <w:rPr>
                <w:rFonts w:hint="eastAsia"/>
                <w:sz w:val="22"/>
              </w:rPr>
              <w:t xml:space="preserve">      50,006.02 </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负债合计</w:t>
            </w:r>
          </w:p>
        </w:tc>
        <w:tc>
          <w:tcPr>
            <w:tcW w:w="3828" w:type="dxa"/>
            <w:tcBorders>
              <w:top w:val="single" w:sz="4" w:space="0" w:color="000000"/>
              <w:left w:val="single" w:sz="4" w:space="0" w:color="000000"/>
              <w:bottom w:val="single" w:sz="4" w:space="0" w:color="000000"/>
              <w:right w:val="single" w:sz="4" w:space="0" w:color="000000"/>
            </w:tcBorders>
          </w:tcPr>
          <w:p w:rsidR="00583F83" w:rsidRPr="009638E0" w:rsidRDefault="009638E0" w:rsidP="009638E0">
            <w:pPr>
              <w:jc w:val="right"/>
              <w:rPr>
                <w:sz w:val="22"/>
              </w:rPr>
            </w:pPr>
            <w:r>
              <w:rPr>
                <w:rFonts w:hint="eastAsia"/>
                <w:sz w:val="22"/>
              </w:rPr>
              <w:t xml:space="preserve">   1,411,664.78 </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所有者权益：</w:t>
            </w:r>
          </w:p>
        </w:tc>
        <w:tc>
          <w:tcPr>
            <w:tcW w:w="3828" w:type="dxa"/>
            <w:tcBorders>
              <w:top w:val="single" w:sz="4" w:space="0" w:color="000000"/>
              <w:left w:val="single" w:sz="4" w:space="0" w:color="000000"/>
              <w:bottom w:val="single" w:sz="4" w:space="0" w:color="000000"/>
              <w:right w:val="single" w:sz="4" w:space="0" w:color="000000"/>
            </w:tcBorders>
          </w:tcPr>
          <w:p w:rsidR="00583F83" w:rsidRDefault="00583F83">
            <w:pPr>
              <w:spacing w:after="0"/>
              <w:ind w:left="0" w:firstLine="0"/>
              <w:jc w:val="right"/>
            </w:pP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实收基金</w:t>
            </w:r>
          </w:p>
        </w:tc>
        <w:tc>
          <w:tcPr>
            <w:tcW w:w="3828" w:type="dxa"/>
            <w:tcBorders>
              <w:top w:val="single" w:sz="4" w:space="0" w:color="000000"/>
              <w:left w:val="single" w:sz="4" w:space="0" w:color="000000"/>
              <w:bottom w:val="single" w:sz="4" w:space="0" w:color="000000"/>
              <w:right w:val="single" w:sz="4" w:space="0" w:color="000000"/>
            </w:tcBorders>
          </w:tcPr>
          <w:p w:rsidR="00583F83" w:rsidRPr="009638E0" w:rsidRDefault="009638E0" w:rsidP="009638E0">
            <w:pPr>
              <w:jc w:val="right"/>
              <w:rPr>
                <w:sz w:val="22"/>
              </w:rPr>
            </w:pPr>
            <w:r>
              <w:rPr>
                <w:rFonts w:hint="eastAsia"/>
                <w:sz w:val="22"/>
              </w:rPr>
              <w:t xml:space="preserve">   9,323,596.29 </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未分配利润</w:t>
            </w:r>
          </w:p>
        </w:tc>
        <w:tc>
          <w:tcPr>
            <w:tcW w:w="3828" w:type="dxa"/>
            <w:tcBorders>
              <w:top w:val="single" w:sz="4" w:space="0" w:color="000000"/>
              <w:left w:val="single" w:sz="4" w:space="0" w:color="000000"/>
              <w:bottom w:val="single" w:sz="4" w:space="0" w:color="000000"/>
              <w:right w:val="single" w:sz="4" w:space="0" w:color="000000"/>
            </w:tcBorders>
          </w:tcPr>
          <w:p w:rsidR="00583F83" w:rsidRPr="009638E0" w:rsidRDefault="009638E0" w:rsidP="009638E0">
            <w:pPr>
              <w:jc w:val="right"/>
              <w:rPr>
                <w:sz w:val="22"/>
              </w:rPr>
            </w:pPr>
            <w:r>
              <w:rPr>
                <w:rFonts w:hint="eastAsia"/>
                <w:sz w:val="22"/>
              </w:rPr>
              <w:t xml:space="preserve">     158,097.48 </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所有者权益合计</w:t>
            </w:r>
          </w:p>
        </w:tc>
        <w:tc>
          <w:tcPr>
            <w:tcW w:w="3828" w:type="dxa"/>
            <w:tcBorders>
              <w:top w:val="single" w:sz="4" w:space="0" w:color="000000"/>
              <w:left w:val="single" w:sz="4" w:space="0" w:color="000000"/>
              <w:bottom w:val="single" w:sz="4" w:space="0" w:color="000000"/>
              <w:right w:val="single" w:sz="4" w:space="0" w:color="000000"/>
            </w:tcBorders>
          </w:tcPr>
          <w:p w:rsidR="00583F83" w:rsidRPr="009638E0" w:rsidRDefault="009638E0" w:rsidP="009638E0">
            <w:pPr>
              <w:jc w:val="right"/>
              <w:rPr>
                <w:sz w:val="22"/>
              </w:rPr>
            </w:pPr>
            <w:r>
              <w:rPr>
                <w:rFonts w:hint="eastAsia"/>
                <w:sz w:val="22"/>
              </w:rPr>
              <w:t xml:space="preserve">   9,481,693.77 </w:t>
            </w:r>
          </w:p>
        </w:tc>
      </w:tr>
      <w:tr w:rsidR="00583F83">
        <w:trPr>
          <w:trHeight w:val="295"/>
        </w:trPr>
        <w:tc>
          <w:tcPr>
            <w:tcW w:w="5244"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2"/>
              </w:rPr>
              <w:t>负债和所有者权益总计</w:t>
            </w:r>
          </w:p>
        </w:tc>
        <w:tc>
          <w:tcPr>
            <w:tcW w:w="3828" w:type="dxa"/>
            <w:tcBorders>
              <w:top w:val="single" w:sz="4" w:space="0" w:color="000000"/>
              <w:left w:val="single" w:sz="4" w:space="0" w:color="000000"/>
              <w:bottom w:val="single" w:sz="4" w:space="0" w:color="000000"/>
              <w:right w:val="single" w:sz="4" w:space="0" w:color="000000"/>
            </w:tcBorders>
          </w:tcPr>
          <w:p w:rsidR="00583F83" w:rsidRPr="009638E0" w:rsidRDefault="009638E0" w:rsidP="009638E0">
            <w:pPr>
              <w:jc w:val="right"/>
              <w:rPr>
                <w:sz w:val="22"/>
              </w:rPr>
            </w:pPr>
            <w:r>
              <w:rPr>
                <w:rFonts w:hint="eastAsia"/>
                <w:sz w:val="22"/>
              </w:rPr>
              <w:t xml:space="preserve">  10,893,358.55 </w:t>
            </w:r>
          </w:p>
        </w:tc>
      </w:tr>
    </w:tbl>
    <w:p w:rsidR="003756AC" w:rsidRDefault="003756AC">
      <w:pPr>
        <w:pStyle w:val="1"/>
        <w:ind w:left="10" w:right="62"/>
      </w:pPr>
      <w:bookmarkStart w:id="5" w:name="_Toc12459"/>
    </w:p>
    <w:p w:rsidR="00B5454B" w:rsidRDefault="00B5454B" w:rsidP="00B5454B">
      <w:pPr>
        <w:pStyle w:val="1"/>
        <w:spacing w:after="360"/>
        <w:ind w:left="10" w:right="62"/>
      </w:pPr>
      <w:r>
        <w:br w:type="page"/>
      </w:r>
    </w:p>
    <w:p w:rsidR="00583F83" w:rsidRDefault="00E22DB5" w:rsidP="00B5454B">
      <w:pPr>
        <w:pStyle w:val="1"/>
        <w:spacing w:after="360"/>
        <w:ind w:left="10" w:right="62"/>
      </w:pPr>
      <w:r>
        <w:t>四、清算情况</w:t>
      </w:r>
      <w:bookmarkEnd w:id="5"/>
    </w:p>
    <w:p w:rsidR="00583F83" w:rsidRDefault="00E22DB5" w:rsidP="00472CC3">
      <w:pPr>
        <w:spacing w:after="0" w:line="360" w:lineRule="auto"/>
        <w:ind w:left="-15" w:right="233" w:firstLine="480"/>
        <w:jc w:val="both"/>
      </w:pPr>
      <w:r>
        <w:t>自</w:t>
      </w:r>
      <w:r w:rsidR="009638E0">
        <w:rPr>
          <w:rFonts w:asciiTheme="minorEastAsia" w:eastAsiaTheme="minorEastAsia" w:hAnsiTheme="minorEastAsia" w:cs="Times New Roman" w:hint="eastAsia"/>
        </w:rPr>
        <w:t>2017</w:t>
      </w:r>
      <w:r>
        <w:t>年</w:t>
      </w:r>
      <w:r w:rsidR="009638E0">
        <w:rPr>
          <w:rFonts w:asciiTheme="minorEastAsia" w:eastAsiaTheme="minorEastAsia" w:hAnsiTheme="minorEastAsia" w:cs="Times New Roman" w:hint="eastAsia"/>
        </w:rPr>
        <w:t>10</w:t>
      </w:r>
      <w:r>
        <w:t>月</w:t>
      </w:r>
      <w:r w:rsidR="009638E0">
        <w:rPr>
          <w:rFonts w:asciiTheme="minorEastAsia" w:eastAsiaTheme="minorEastAsia" w:hAnsiTheme="minorEastAsia" w:cs="Times New Roman" w:hint="eastAsia"/>
        </w:rPr>
        <w:t>12</w:t>
      </w:r>
      <w:r>
        <w:t>日至</w:t>
      </w:r>
      <w:r w:rsidR="001E1541">
        <w:rPr>
          <w:rFonts w:ascii="Times New Roman" w:eastAsia="Times New Roman" w:hAnsi="Times New Roman" w:cs="Times New Roman"/>
        </w:rPr>
        <w:t>2017</w:t>
      </w:r>
      <w:r>
        <w:t>年</w:t>
      </w:r>
      <w:r w:rsidR="001E1541">
        <w:rPr>
          <w:rFonts w:ascii="Times New Roman" w:eastAsia="Times New Roman" w:hAnsi="Times New Roman" w:cs="Times New Roman"/>
        </w:rPr>
        <w:t>11</w:t>
      </w:r>
      <w:r>
        <w:t>月</w:t>
      </w:r>
      <w:r w:rsidR="00237A05">
        <w:rPr>
          <w:rFonts w:ascii="Times New Roman" w:eastAsia="Times New Roman" w:hAnsi="Times New Roman" w:cs="Times New Roman"/>
        </w:rPr>
        <w:t>0</w:t>
      </w:r>
      <w:r w:rsidR="00407EBF">
        <w:rPr>
          <w:rFonts w:ascii="Times New Roman" w:eastAsia="Times New Roman" w:hAnsi="Times New Roman" w:cs="Times New Roman"/>
        </w:rPr>
        <w:t>8</w:t>
      </w:r>
      <w:r>
        <w:t>日止为本次清算期间，基金财产清算组对本基金的基金财产进行清算，全部清算工作按清算原则和清算手续进行。具体清算情况如下：</w:t>
      </w:r>
    </w:p>
    <w:p w:rsidR="00583F83" w:rsidRDefault="00E22DB5" w:rsidP="00205EB2">
      <w:pPr>
        <w:numPr>
          <w:ilvl w:val="0"/>
          <w:numId w:val="1"/>
        </w:numPr>
        <w:spacing w:beforeLines="50" w:afterLines="50" w:line="360" w:lineRule="auto"/>
        <w:ind w:hanging="720"/>
      </w:pPr>
      <w:r>
        <w:t>清算费用</w:t>
      </w:r>
    </w:p>
    <w:p w:rsidR="00583F83" w:rsidRDefault="00E22DB5" w:rsidP="00472CC3">
      <w:pPr>
        <w:spacing w:after="0" w:line="360" w:lineRule="auto"/>
        <w:ind w:left="-15" w:firstLine="480"/>
      </w:pPr>
      <w:r>
        <w:t>清算费用是指基金财产清算组在进行基金财产清算过程中发生的所有合理费用，</w:t>
      </w:r>
      <w:r w:rsidR="00A0264D">
        <w:t>分配基金剩余财产的手续费</w:t>
      </w:r>
      <w:r>
        <w:t>等，根据基金合同的规定，清算费用由基金财产清算组优先从基金财产中支付。考虑到基金清算的实际情况，从保护基金份额持有人利益的角度出发，</w:t>
      </w:r>
      <w:r w:rsidRPr="00B5454B">
        <w:t>本基金</w:t>
      </w:r>
      <w:r w:rsidR="006E4466">
        <w:rPr>
          <w:rFonts w:hint="eastAsia"/>
        </w:rPr>
        <w:t>清算期间涉及的银行划款</w:t>
      </w:r>
      <w:r w:rsidR="00634ADB">
        <w:t>手续费</w:t>
      </w:r>
      <w:r w:rsidRPr="00B5454B">
        <w:t>由基金管理人代为支付。</w:t>
      </w:r>
    </w:p>
    <w:p w:rsidR="00583F83" w:rsidRDefault="00E22DB5" w:rsidP="00205EB2">
      <w:pPr>
        <w:numPr>
          <w:ilvl w:val="0"/>
          <w:numId w:val="1"/>
        </w:numPr>
        <w:spacing w:beforeLines="50" w:afterLines="50" w:line="360" w:lineRule="auto"/>
        <w:ind w:hanging="720"/>
      </w:pPr>
      <w:r>
        <w:t>资产清算情况</w:t>
      </w:r>
    </w:p>
    <w:p w:rsidR="00583F83" w:rsidRDefault="00E22DB5" w:rsidP="00472CC3">
      <w:pPr>
        <w:spacing w:after="0" w:line="360" w:lineRule="auto"/>
        <w:ind w:left="-15" w:firstLine="480"/>
      </w:pPr>
      <w:r>
        <w:t>截至本次清算期结束日（</w:t>
      </w:r>
      <w:r w:rsidR="00634ADB">
        <w:rPr>
          <w:rFonts w:ascii="Times New Roman" w:eastAsia="Times New Roman" w:hAnsi="Times New Roman" w:cs="Times New Roman"/>
        </w:rPr>
        <w:t>2017</w:t>
      </w:r>
      <w:r>
        <w:t>年</w:t>
      </w:r>
      <w:r w:rsidR="00634ADB">
        <w:rPr>
          <w:rFonts w:ascii="Times New Roman" w:eastAsia="Times New Roman" w:hAnsi="Times New Roman" w:cs="Times New Roman"/>
        </w:rPr>
        <w:t>11</w:t>
      </w:r>
      <w:r>
        <w:t>月</w:t>
      </w:r>
      <w:r w:rsidR="00237A05">
        <w:rPr>
          <w:rFonts w:ascii="Times New Roman" w:eastAsia="Times New Roman" w:hAnsi="Times New Roman" w:cs="Times New Roman"/>
        </w:rPr>
        <w:t>0</w:t>
      </w:r>
      <w:r w:rsidR="00407EBF">
        <w:rPr>
          <w:rFonts w:ascii="Times New Roman" w:eastAsia="Times New Roman" w:hAnsi="Times New Roman" w:cs="Times New Roman"/>
        </w:rPr>
        <w:t>8</w:t>
      </w:r>
      <w:r>
        <w:t>日），部分资产尚未收回，根据基金管理人</w:t>
      </w:r>
      <w:r w:rsidR="008B5F42">
        <w:rPr>
          <w:rFonts w:asciiTheme="minorEastAsia" w:eastAsiaTheme="minorEastAsia" w:hAnsiTheme="minorEastAsia" w:cs="Times New Roman" w:hint="eastAsia"/>
        </w:rPr>
        <w:t>2017</w:t>
      </w:r>
      <w:r>
        <w:t>年</w:t>
      </w:r>
      <w:r w:rsidR="008B5F42">
        <w:rPr>
          <w:rFonts w:asciiTheme="minorEastAsia" w:eastAsiaTheme="minorEastAsia" w:hAnsiTheme="minorEastAsia" w:cs="Times New Roman" w:hint="eastAsia"/>
        </w:rPr>
        <w:t>10</w:t>
      </w:r>
      <w:r>
        <w:t>月</w:t>
      </w:r>
      <w:r w:rsidR="008B5F42">
        <w:rPr>
          <w:rFonts w:asciiTheme="minorEastAsia" w:eastAsiaTheme="minorEastAsia" w:hAnsiTheme="minorEastAsia" w:cs="Times New Roman" w:hint="eastAsia"/>
        </w:rPr>
        <w:t>12</w:t>
      </w:r>
      <w:r>
        <w:t>日发布的《关于</w:t>
      </w:r>
      <w:r w:rsidR="00293BD8">
        <w:rPr>
          <w:rFonts w:hint="eastAsia"/>
        </w:rPr>
        <w:t>泰达宏利</w:t>
      </w:r>
      <w:r w:rsidR="00293BD8">
        <w:t>收益增强债券型</w:t>
      </w:r>
      <w:r>
        <w:t>证券投资基金</w:t>
      </w:r>
      <w:r w:rsidR="008B5F42">
        <w:rPr>
          <w:rFonts w:hint="eastAsia"/>
        </w:rPr>
        <w:t>基金</w:t>
      </w:r>
      <w:r w:rsidR="008B5F42">
        <w:t>合同终止及</w:t>
      </w:r>
      <w:r>
        <w:t>财产清算的公告》，为了提高清算效率，及时向基金份额持有人分配剩余财产，基金管理人以自有资金对该部分资产进行垫付。各项资产清算情况如下：</w:t>
      </w:r>
    </w:p>
    <w:p w:rsidR="00583F83" w:rsidRDefault="00E22DB5" w:rsidP="00472CC3">
      <w:pPr>
        <w:numPr>
          <w:ilvl w:val="0"/>
          <w:numId w:val="2"/>
        </w:numPr>
        <w:spacing w:after="0" w:line="360" w:lineRule="auto"/>
        <w:ind w:firstLine="480"/>
      </w:pPr>
      <w:r>
        <w:t>本基金最后运作日存出保证金为人民币</w:t>
      </w:r>
      <w:r w:rsidR="008B5F42" w:rsidRPr="00867382">
        <w:t>76</w:t>
      </w:r>
      <w:r w:rsidR="008B5F42" w:rsidRPr="00867382">
        <w:rPr>
          <w:rFonts w:hint="eastAsia"/>
        </w:rPr>
        <w:t>,</w:t>
      </w:r>
      <w:r w:rsidR="008B5F42" w:rsidRPr="00867382">
        <w:t>245.13</w:t>
      </w:r>
      <w:r w:rsidRPr="00867382">
        <w:t>元</w:t>
      </w:r>
      <w:r>
        <w:t>，</w:t>
      </w:r>
      <w:r w:rsidR="00ED05B4">
        <w:t>该款项已于</w:t>
      </w:r>
      <w:r w:rsidR="00E24CE0">
        <w:rPr>
          <w:rFonts w:ascii="Times New Roman" w:eastAsia="Times New Roman" w:hAnsi="Times New Roman" w:cs="Times New Roman"/>
        </w:rPr>
        <w:t>2017</w:t>
      </w:r>
      <w:r w:rsidR="00ED05B4">
        <w:t>年</w:t>
      </w:r>
      <w:r w:rsidR="00E24CE0">
        <w:rPr>
          <w:rFonts w:ascii="Times New Roman" w:eastAsia="Times New Roman" w:hAnsi="Times New Roman" w:cs="Times New Roman"/>
        </w:rPr>
        <w:t>11</w:t>
      </w:r>
      <w:r w:rsidR="00ED05B4">
        <w:t>月</w:t>
      </w:r>
      <w:r w:rsidR="00E24CE0">
        <w:rPr>
          <w:rFonts w:ascii="Times New Roman" w:eastAsia="Times New Roman" w:hAnsi="Times New Roman" w:cs="Times New Roman"/>
        </w:rPr>
        <w:t>2</w:t>
      </w:r>
      <w:r w:rsidR="00ED05B4">
        <w:t>日</w:t>
      </w:r>
      <w:r w:rsidR="00634ADB">
        <w:rPr>
          <w:rFonts w:hint="eastAsia"/>
        </w:rPr>
        <w:t>划入</w:t>
      </w:r>
      <w:r w:rsidR="00634ADB">
        <w:t>托管账户</w:t>
      </w:r>
      <w:r>
        <w:t>。</w:t>
      </w:r>
    </w:p>
    <w:p w:rsidR="00583F83" w:rsidRDefault="00E22DB5" w:rsidP="00472CC3">
      <w:pPr>
        <w:numPr>
          <w:ilvl w:val="0"/>
          <w:numId w:val="2"/>
        </w:numPr>
        <w:spacing w:after="0" w:line="360" w:lineRule="auto"/>
        <w:ind w:firstLine="480"/>
      </w:pPr>
      <w:r>
        <w:t>本基金最后运作日应收利息为人民币</w:t>
      </w:r>
      <w:r w:rsidR="006C3BBA" w:rsidRPr="006C3BBA">
        <w:t>4</w:t>
      </w:r>
      <w:r w:rsidR="006C3BBA">
        <w:rPr>
          <w:rFonts w:hint="eastAsia"/>
        </w:rPr>
        <w:t>,</w:t>
      </w:r>
      <w:r w:rsidR="006C3BBA" w:rsidRPr="006C3BBA">
        <w:t>301.5</w:t>
      </w:r>
      <w:r w:rsidR="006C3BBA">
        <w:rPr>
          <w:rFonts w:hint="eastAsia"/>
        </w:rPr>
        <w:t>0</w:t>
      </w:r>
      <w:r>
        <w:t>元</w:t>
      </w:r>
      <w:r w:rsidR="00F74981">
        <w:rPr>
          <w:rFonts w:hint="eastAsia"/>
        </w:rPr>
        <w:t>。其中</w:t>
      </w:r>
      <w:r w:rsidR="00F74981">
        <w:t>应收活期银行存款利息</w:t>
      </w:r>
      <w:r w:rsidR="00E54B91">
        <w:rPr>
          <w:rFonts w:hint="eastAsia"/>
        </w:rPr>
        <w:t>为</w:t>
      </w:r>
      <w:r w:rsidR="00E54B91">
        <w:t>人民币</w:t>
      </w:r>
      <w:r w:rsidR="00E54B91">
        <w:rPr>
          <w:rFonts w:hint="eastAsia"/>
        </w:rPr>
        <w:t>4</w:t>
      </w:r>
      <w:r w:rsidR="00E54B91">
        <w:t>,</w:t>
      </w:r>
      <w:r w:rsidR="00E54B91">
        <w:rPr>
          <w:rFonts w:hint="eastAsia"/>
        </w:rPr>
        <w:t>235.37元</w:t>
      </w:r>
      <w:r w:rsidR="00E54B91">
        <w:t>，应收备付金利息为人民币</w:t>
      </w:r>
      <w:r w:rsidR="00E54B91">
        <w:rPr>
          <w:rFonts w:hint="eastAsia"/>
        </w:rPr>
        <w:t>3.80元</w:t>
      </w:r>
      <w:r w:rsidR="00E54B91">
        <w:t>，应收保证金利息为人民币</w:t>
      </w:r>
      <w:r w:rsidR="00E54B91">
        <w:rPr>
          <w:rFonts w:hint="eastAsia"/>
        </w:rPr>
        <w:t>62.33元</w:t>
      </w:r>
      <w:r w:rsidR="00015A39">
        <w:rPr>
          <w:rFonts w:hint="eastAsia"/>
        </w:rPr>
        <w:t>。</w:t>
      </w:r>
      <w:r w:rsidR="004F413E">
        <w:t>为加快清算速度，</w:t>
      </w:r>
      <w:r>
        <w:t>基金管理人</w:t>
      </w:r>
      <w:r w:rsidR="004F413E">
        <w:rPr>
          <w:rFonts w:hint="eastAsia"/>
        </w:rPr>
        <w:t>将</w:t>
      </w:r>
      <w:r>
        <w:t xml:space="preserve">以自有资金垫付至托管账户。 </w:t>
      </w:r>
    </w:p>
    <w:p w:rsidR="00583F83" w:rsidRDefault="00E22DB5" w:rsidP="00472CC3">
      <w:pPr>
        <w:numPr>
          <w:ilvl w:val="0"/>
          <w:numId w:val="2"/>
        </w:numPr>
        <w:spacing w:after="0" w:line="360" w:lineRule="auto"/>
        <w:ind w:firstLine="480"/>
      </w:pPr>
      <w:r>
        <w:t>本基金最后运作日持有的股票资产为人民币</w:t>
      </w:r>
      <w:r w:rsidR="006C3BBA" w:rsidRPr="006C3BBA">
        <w:t>410</w:t>
      </w:r>
      <w:r w:rsidR="006C3BBA">
        <w:rPr>
          <w:rFonts w:hint="eastAsia"/>
        </w:rPr>
        <w:t>,</w:t>
      </w:r>
      <w:r w:rsidR="006C3BBA" w:rsidRPr="006C3BBA">
        <w:t>184</w:t>
      </w:r>
      <w:r w:rsidR="006C3BBA">
        <w:rPr>
          <w:rFonts w:hint="eastAsia"/>
        </w:rPr>
        <w:t>.00</w:t>
      </w:r>
      <w:r>
        <w:t>元，该金额为</w:t>
      </w:r>
      <w:r w:rsidR="00015A39">
        <w:rPr>
          <w:rFonts w:hint="eastAsia"/>
        </w:rPr>
        <w:t>停牌</w:t>
      </w:r>
      <w:r w:rsidR="00015A39">
        <w:t>股票</w:t>
      </w:r>
      <w:r>
        <w:t>最后运作日估值金额（停牌股票最后运作日估值金额</w:t>
      </w:r>
      <w:r>
        <w:rPr>
          <w:rFonts w:ascii="Times New Roman" w:eastAsia="Times New Roman" w:hAnsi="Times New Roman" w:cs="Times New Roman"/>
        </w:rPr>
        <w:t>=</w:t>
      </w:r>
      <w:r>
        <w:t>该只停牌股票的</w:t>
      </w:r>
      <w:r w:rsidR="00C653F7">
        <w:rPr>
          <w:rFonts w:hint="eastAsia"/>
        </w:rPr>
        <w:t>指数收益</w:t>
      </w:r>
      <w:r w:rsidR="00C653F7">
        <w:t>法</w:t>
      </w:r>
      <w:r>
        <w:t>价格</w:t>
      </w:r>
      <w:r>
        <w:rPr>
          <w:rFonts w:ascii="Times New Roman" w:eastAsia="Times New Roman" w:hAnsi="Times New Roman" w:cs="Times New Roman"/>
        </w:rPr>
        <w:t>*</w:t>
      </w:r>
      <w:r>
        <w:t>股票数量）。具体情况如下：</w:t>
      </w:r>
    </w:p>
    <w:p w:rsidR="00583F83" w:rsidRDefault="00E22DB5" w:rsidP="00205EB2">
      <w:pPr>
        <w:numPr>
          <w:ilvl w:val="0"/>
          <w:numId w:val="3"/>
        </w:numPr>
        <w:spacing w:beforeLines="50" w:afterLines="50" w:line="360" w:lineRule="auto"/>
        <w:ind w:hanging="600"/>
      </w:pPr>
      <w:r>
        <w:t>停牌股票处置情况：</w:t>
      </w:r>
    </w:p>
    <w:p w:rsidR="00583F83" w:rsidRDefault="00E22DB5" w:rsidP="00B5454B">
      <w:pPr>
        <w:numPr>
          <w:ilvl w:val="0"/>
          <w:numId w:val="4"/>
        </w:numPr>
        <w:spacing w:line="360" w:lineRule="auto"/>
        <w:ind w:hanging="360"/>
      </w:pPr>
      <w:r>
        <w:t>本基金最后运作日（</w:t>
      </w:r>
      <w:r w:rsidR="00293BD8">
        <w:rPr>
          <w:rFonts w:ascii="Times New Roman" w:eastAsia="Times New Roman" w:hAnsi="Times New Roman" w:cs="Times New Roman"/>
        </w:rPr>
        <w:t>2017</w:t>
      </w:r>
      <w:r>
        <w:t>年</w:t>
      </w:r>
      <w:r w:rsidR="00293BD8">
        <w:rPr>
          <w:rFonts w:ascii="Times New Roman" w:eastAsia="Times New Roman" w:hAnsi="Times New Roman" w:cs="Times New Roman"/>
        </w:rPr>
        <w:t>10</w:t>
      </w:r>
      <w:r>
        <w:t>月</w:t>
      </w:r>
      <w:r w:rsidR="00293BD8">
        <w:rPr>
          <w:rFonts w:ascii="Times New Roman" w:eastAsia="Times New Roman" w:hAnsi="Times New Roman" w:cs="Times New Roman"/>
        </w:rPr>
        <w:t>11</w:t>
      </w:r>
      <w:r>
        <w:t>日）持有的全部停牌股票明细如下：</w:t>
      </w:r>
    </w:p>
    <w:tbl>
      <w:tblPr>
        <w:tblStyle w:val="TableGrid"/>
        <w:tblW w:w="9286" w:type="dxa"/>
        <w:tblInd w:w="-108" w:type="dxa"/>
        <w:tblCellMar>
          <w:left w:w="106" w:type="dxa"/>
        </w:tblCellMar>
        <w:tblLook w:val="04A0"/>
      </w:tblPr>
      <w:tblGrid>
        <w:gridCol w:w="794"/>
        <w:gridCol w:w="1344"/>
        <w:gridCol w:w="1246"/>
        <w:gridCol w:w="1219"/>
        <w:gridCol w:w="1990"/>
        <w:gridCol w:w="2693"/>
      </w:tblGrid>
      <w:tr w:rsidR="00583F83" w:rsidTr="006C3BBA">
        <w:trPr>
          <w:trHeight w:val="610"/>
        </w:trPr>
        <w:tc>
          <w:tcPr>
            <w:tcW w:w="794" w:type="dxa"/>
            <w:tcBorders>
              <w:top w:val="single" w:sz="4" w:space="0" w:color="000000"/>
              <w:left w:val="single" w:sz="4" w:space="0" w:color="000000"/>
              <w:bottom w:val="single" w:sz="6" w:space="0" w:color="000000"/>
              <w:right w:val="single" w:sz="6" w:space="0" w:color="000000"/>
            </w:tcBorders>
          </w:tcPr>
          <w:p w:rsidR="00583F83" w:rsidRDefault="00E22DB5">
            <w:pPr>
              <w:spacing w:after="0"/>
              <w:ind w:left="60" w:firstLine="0"/>
              <w:jc w:val="both"/>
            </w:pPr>
            <w:r>
              <w:rPr>
                <w:sz w:val="23"/>
              </w:rPr>
              <w:t xml:space="preserve">序号 </w:t>
            </w:r>
          </w:p>
        </w:tc>
        <w:tc>
          <w:tcPr>
            <w:tcW w:w="1344" w:type="dxa"/>
            <w:tcBorders>
              <w:top w:val="single" w:sz="4" w:space="0" w:color="000000"/>
              <w:left w:val="single" w:sz="6" w:space="0" w:color="000000"/>
              <w:bottom w:val="single" w:sz="6" w:space="0" w:color="000000"/>
              <w:right w:val="single" w:sz="6" w:space="0" w:color="000000"/>
            </w:tcBorders>
          </w:tcPr>
          <w:p w:rsidR="00583F83" w:rsidRDefault="00E22DB5">
            <w:pPr>
              <w:spacing w:after="0"/>
              <w:ind w:left="106" w:firstLine="0"/>
            </w:pPr>
            <w:r>
              <w:rPr>
                <w:sz w:val="23"/>
              </w:rPr>
              <w:t xml:space="preserve">股票代码 </w:t>
            </w:r>
          </w:p>
        </w:tc>
        <w:tc>
          <w:tcPr>
            <w:tcW w:w="1246" w:type="dxa"/>
            <w:tcBorders>
              <w:top w:val="single" w:sz="4" w:space="0" w:color="000000"/>
              <w:left w:val="single" w:sz="6" w:space="0" w:color="000000"/>
              <w:bottom w:val="single" w:sz="6" w:space="0" w:color="000000"/>
              <w:right w:val="single" w:sz="6" w:space="0" w:color="000000"/>
            </w:tcBorders>
          </w:tcPr>
          <w:p w:rsidR="00583F83" w:rsidRDefault="00E22DB5">
            <w:pPr>
              <w:spacing w:after="0"/>
              <w:ind w:left="58" w:firstLine="0"/>
              <w:jc w:val="both"/>
            </w:pPr>
            <w:r>
              <w:rPr>
                <w:sz w:val="23"/>
              </w:rPr>
              <w:t xml:space="preserve">股票名称 </w:t>
            </w:r>
          </w:p>
        </w:tc>
        <w:tc>
          <w:tcPr>
            <w:tcW w:w="1219" w:type="dxa"/>
            <w:tcBorders>
              <w:top w:val="single" w:sz="4" w:space="0" w:color="000000"/>
              <w:left w:val="single" w:sz="6" w:space="0" w:color="000000"/>
              <w:bottom w:val="single" w:sz="6" w:space="0" w:color="000000"/>
              <w:right w:val="single" w:sz="6" w:space="0" w:color="000000"/>
            </w:tcBorders>
          </w:tcPr>
          <w:p w:rsidR="00583F83" w:rsidRDefault="00E22DB5">
            <w:pPr>
              <w:spacing w:after="0"/>
              <w:ind w:left="0" w:firstLine="0"/>
              <w:jc w:val="center"/>
            </w:pPr>
            <w:r>
              <w:rPr>
                <w:sz w:val="23"/>
              </w:rPr>
              <w:t xml:space="preserve">股票数量（股） </w:t>
            </w:r>
          </w:p>
        </w:tc>
        <w:tc>
          <w:tcPr>
            <w:tcW w:w="1990" w:type="dxa"/>
            <w:tcBorders>
              <w:top w:val="single" w:sz="4" w:space="0" w:color="000000"/>
              <w:left w:val="single" w:sz="6" w:space="0" w:color="000000"/>
              <w:bottom w:val="single" w:sz="6" w:space="0" w:color="000000"/>
              <w:right w:val="single" w:sz="6" w:space="0" w:color="000000"/>
            </w:tcBorders>
          </w:tcPr>
          <w:p w:rsidR="00583F83" w:rsidRDefault="00E22DB5">
            <w:pPr>
              <w:spacing w:after="0"/>
              <w:ind w:left="0" w:right="108" w:firstLine="0"/>
              <w:jc w:val="center"/>
            </w:pPr>
            <w:r>
              <w:rPr>
                <w:sz w:val="23"/>
              </w:rPr>
              <w:t xml:space="preserve">停牌价格 </w:t>
            </w:r>
          </w:p>
          <w:p w:rsidR="00583F83" w:rsidRDefault="00E22DB5">
            <w:pPr>
              <w:spacing w:after="0"/>
              <w:ind w:left="0" w:right="108" w:firstLine="0"/>
              <w:jc w:val="center"/>
            </w:pPr>
            <w:r>
              <w:rPr>
                <w:sz w:val="23"/>
              </w:rPr>
              <w:t xml:space="preserve">（人民币元） </w:t>
            </w:r>
          </w:p>
        </w:tc>
        <w:tc>
          <w:tcPr>
            <w:tcW w:w="2693" w:type="dxa"/>
            <w:tcBorders>
              <w:top w:val="single" w:sz="4" w:space="0" w:color="000000"/>
              <w:left w:val="single" w:sz="6" w:space="0" w:color="000000"/>
              <w:bottom w:val="single" w:sz="6" w:space="0" w:color="000000"/>
              <w:right w:val="single" w:sz="4" w:space="0" w:color="000000"/>
            </w:tcBorders>
          </w:tcPr>
          <w:p w:rsidR="00583F83" w:rsidRDefault="00E22DB5">
            <w:pPr>
              <w:spacing w:after="0"/>
              <w:ind w:left="120" w:firstLine="0"/>
            </w:pPr>
            <w:r>
              <w:rPr>
                <w:sz w:val="23"/>
              </w:rPr>
              <w:t xml:space="preserve">最后运作日估值金额 </w:t>
            </w:r>
          </w:p>
          <w:p w:rsidR="00583F83" w:rsidRDefault="00E22DB5">
            <w:pPr>
              <w:spacing w:after="0"/>
              <w:ind w:left="0" w:right="105" w:firstLine="0"/>
              <w:jc w:val="center"/>
            </w:pPr>
            <w:r>
              <w:rPr>
                <w:sz w:val="23"/>
              </w:rPr>
              <w:t xml:space="preserve">（人民币元） </w:t>
            </w:r>
          </w:p>
        </w:tc>
      </w:tr>
      <w:tr w:rsidR="00583F83" w:rsidTr="006C3BBA">
        <w:trPr>
          <w:trHeight w:val="314"/>
        </w:trPr>
        <w:tc>
          <w:tcPr>
            <w:tcW w:w="794" w:type="dxa"/>
            <w:tcBorders>
              <w:top w:val="single" w:sz="6" w:space="0" w:color="000000"/>
              <w:left w:val="single" w:sz="4" w:space="0" w:color="000000"/>
              <w:bottom w:val="single" w:sz="6" w:space="0" w:color="000000"/>
              <w:right w:val="single" w:sz="6" w:space="0" w:color="000000"/>
            </w:tcBorders>
          </w:tcPr>
          <w:p w:rsidR="00583F83" w:rsidRDefault="00E22DB5">
            <w:pPr>
              <w:spacing w:after="0"/>
              <w:ind w:left="2" w:firstLine="0"/>
            </w:pPr>
            <w:r>
              <w:rPr>
                <w:rFonts w:ascii="Times New Roman" w:eastAsia="Times New Roman" w:hAnsi="Times New Roman" w:cs="Times New Roman"/>
                <w:sz w:val="23"/>
              </w:rPr>
              <w:t xml:space="preserve">1  </w:t>
            </w:r>
          </w:p>
        </w:tc>
        <w:tc>
          <w:tcPr>
            <w:tcW w:w="1344" w:type="dxa"/>
            <w:tcBorders>
              <w:top w:val="single" w:sz="6" w:space="0" w:color="000000"/>
              <w:left w:val="single" w:sz="6" w:space="0" w:color="000000"/>
              <w:bottom w:val="single" w:sz="6" w:space="0" w:color="000000"/>
              <w:right w:val="single" w:sz="6" w:space="0" w:color="000000"/>
            </w:tcBorders>
          </w:tcPr>
          <w:p w:rsidR="00583F83" w:rsidRDefault="006C3BBA">
            <w:pPr>
              <w:spacing w:after="0"/>
              <w:ind w:left="2" w:firstLine="0"/>
            </w:pPr>
            <w:r>
              <w:rPr>
                <w:rFonts w:hint="eastAsia"/>
              </w:rPr>
              <w:t>002006</w:t>
            </w:r>
          </w:p>
        </w:tc>
        <w:tc>
          <w:tcPr>
            <w:tcW w:w="1246" w:type="dxa"/>
            <w:tcBorders>
              <w:top w:val="single" w:sz="6" w:space="0" w:color="000000"/>
              <w:left w:val="single" w:sz="6" w:space="0" w:color="000000"/>
              <w:bottom w:val="single" w:sz="6" w:space="0" w:color="000000"/>
              <w:right w:val="single" w:sz="6" w:space="0" w:color="000000"/>
            </w:tcBorders>
          </w:tcPr>
          <w:p w:rsidR="00583F83" w:rsidRDefault="006C3BBA">
            <w:pPr>
              <w:spacing w:after="0"/>
              <w:ind w:left="2" w:firstLine="0"/>
              <w:jc w:val="both"/>
            </w:pPr>
            <w:r w:rsidRPr="006C3BBA">
              <w:rPr>
                <w:rFonts w:hint="eastAsia"/>
              </w:rPr>
              <w:t>精功科技</w:t>
            </w:r>
          </w:p>
        </w:tc>
        <w:tc>
          <w:tcPr>
            <w:tcW w:w="1219" w:type="dxa"/>
            <w:tcBorders>
              <w:top w:val="single" w:sz="6" w:space="0" w:color="000000"/>
              <w:left w:val="single" w:sz="6" w:space="0" w:color="000000"/>
              <w:bottom w:val="single" w:sz="6" w:space="0" w:color="000000"/>
              <w:right w:val="single" w:sz="6" w:space="0" w:color="000000"/>
            </w:tcBorders>
          </w:tcPr>
          <w:p w:rsidR="00583F83" w:rsidRDefault="006C3BBA">
            <w:pPr>
              <w:spacing w:after="0"/>
              <w:ind w:left="0" w:right="106" w:firstLine="0"/>
              <w:jc w:val="right"/>
            </w:pPr>
            <w:r w:rsidRPr="006C3BBA">
              <w:t>48,600</w:t>
            </w:r>
          </w:p>
        </w:tc>
        <w:tc>
          <w:tcPr>
            <w:tcW w:w="1990" w:type="dxa"/>
            <w:tcBorders>
              <w:top w:val="single" w:sz="6" w:space="0" w:color="000000"/>
              <w:left w:val="single" w:sz="6" w:space="0" w:color="000000"/>
              <w:bottom w:val="single" w:sz="6" w:space="0" w:color="000000"/>
              <w:right w:val="single" w:sz="6" w:space="0" w:color="000000"/>
            </w:tcBorders>
          </w:tcPr>
          <w:p w:rsidR="00583F83" w:rsidRDefault="006C3BBA">
            <w:pPr>
              <w:spacing w:after="0"/>
              <w:ind w:left="0" w:right="106" w:firstLine="0"/>
              <w:jc w:val="right"/>
            </w:pPr>
            <w:r w:rsidRPr="006C3BBA">
              <w:t>8.44</w:t>
            </w:r>
          </w:p>
        </w:tc>
        <w:tc>
          <w:tcPr>
            <w:tcW w:w="2693" w:type="dxa"/>
            <w:tcBorders>
              <w:top w:val="single" w:sz="6" w:space="0" w:color="000000"/>
              <w:left w:val="single" w:sz="6" w:space="0" w:color="000000"/>
              <w:bottom w:val="single" w:sz="6" w:space="0" w:color="000000"/>
              <w:right w:val="single" w:sz="4" w:space="0" w:color="000000"/>
            </w:tcBorders>
          </w:tcPr>
          <w:p w:rsidR="00583F83" w:rsidRDefault="006C3BBA">
            <w:pPr>
              <w:spacing w:after="0"/>
              <w:ind w:left="0" w:right="106" w:firstLine="0"/>
              <w:jc w:val="right"/>
            </w:pPr>
            <w:r w:rsidRPr="006C3BBA">
              <w:t>410</w:t>
            </w:r>
            <w:r>
              <w:rPr>
                <w:rFonts w:hint="eastAsia"/>
              </w:rPr>
              <w:t>,</w:t>
            </w:r>
            <w:r w:rsidRPr="006C3BBA">
              <w:t>184</w:t>
            </w:r>
            <w:r>
              <w:rPr>
                <w:rFonts w:hint="eastAsia"/>
              </w:rPr>
              <w:t>.00</w:t>
            </w:r>
          </w:p>
        </w:tc>
      </w:tr>
      <w:tr w:rsidR="00583F83" w:rsidTr="006C3BBA">
        <w:trPr>
          <w:trHeight w:val="324"/>
        </w:trPr>
        <w:tc>
          <w:tcPr>
            <w:tcW w:w="794" w:type="dxa"/>
            <w:tcBorders>
              <w:top w:val="single" w:sz="6" w:space="0" w:color="000000"/>
              <w:left w:val="single" w:sz="4" w:space="0" w:color="000000"/>
              <w:bottom w:val="single" w:sz="4" w:space="0" w:color="000000"/>
              <w:right w:val="single" w:sz="6" w:space="0" w:color="000000"/>
            </w:tcBorders>
          </w:tcPr>
          <w:p w:rsidR="00583F83" w:rsidRDefault="00E22DB5">
            <w:pPr>
              <w:spacing w:after="0"/>
              <w:ind w:left="2" w:firstLine="0"/>
              <w:jc w:val="both"/>
            </w:pPr>
            <w:r>
              <w:rPr>
                <w:sz w:val="23"/>
              </w:rPr>
              <w:t xml:space="preserve">合计  </w:t>
            </w:r>
          </w:p>
        </w:tc>
        <w:tc>
          <w:tcPr>
            <w:tcW w:w="1344" w:type="dxa"/>
            <w:tcBorders>
              <w:top w:val="single" w:sz="6" w:space="0" w:color="000000"/>
              <w:left w:val="single" w:sz="6" w:space="0" w:color="000000"/>
              <w:bottom w:val="single" w:sz="4" w:space="0" w:color="000000"/>
              <w:right w:val="single" w:sz="6" w:space="0" w:color="000000"/>
            </w:tcBorders>
          </w:tcPr>
          <w:p w:rsidR="00583F83" w:rsidRDefault="00583F83">
            <w:pPr>
              <w:spacing w:after="0"/>
              <w:ind w:left="2" w:firstLine="0"/>
            </w:pPr>
          </w:p>
        </w:tc>
        <w:tc>
          <w:tcPr>
            <w:tcW w:w="1246" w:type="dxa"/>
            <w:tcBorders>
              <w:top w:val="single" w:sz="6" w:space="0" w:color="000000"/>
              <w:left w:val="single" w:sz="6" w:space="0" w:color="000000"/>
              <w:bottom w:val="single" w:sz="4" w:space="0" w:color="000000"/>
              <w:right w:val="single" w:sz="6" w:space="0" w:color="000000"/>
            </w:tcBorders>
          </w:tcPr>
          <w:p w:rsidR="00583F83" w:rsidRDefault="00583F83">
            <w:pPr>
              <w:spacing w:after="0"/>
              <w:ind w:left="2" w:firstLine="0"/>
            </w:pPr>
          </w:p>
        </w:tc>
        <w:tc>
          <w:tcPr>
            <w:tcW w:w="1219" w:type="dxa"/>
            <w:tcBorders>
              <w:top w:val="single" w:sz="6" w:space="0" w:color="000000"/>
              <w:left w:val="single" w:sz="6" w:space="0" w:color="000000"/>
              <w:bottom w:val="single" w:sz="4" w:space="0" w:color="000000"/>
              <w:right w:val="single" w:sz="6" w:space="0" w:color="000000"/>
            </w:tcBorders>
          </w:tcPr>
          <w:p w:rsidR="00583F83" w:rsidRDefault="00583F83">
            <w:pPr>
              <w:spacing w:after="0"/>
              <w:ind w:left="2" w:firstLine="0"/>
            </w:pPr>
          </w:p>
        </w:tc>
        <w:tc>
          <w:tcPr>
            <w:tcW w:w="1990" w:type="dxa"/>
            <w:tcBorders>
              <w:top w:val="single" w:sz="6" w:space="0" w:color="000000"/>
              <w:left w:val="single" w:sz="6" w:space="0" w:color="000000"/>
              <w:bottom w:val="single" w:sz="4" w:space="0" w:color="000000"/>
              <w:right w:val="single" w:sz="6" w:space="0" w:color="000000"/>
            </w:tcBorders>
          </w:tcPr>
          <w:p w:rsidR="00583F83" w:rsidRDefault="00583F83">
            <w:pPr>
              <w:spacing w:after="0"/>
              <w:ind w:left="0" w:firstLine="0"/>
            </w:pPr>
          </w:p>
        </w:tc>
        <w:tc>
          <w:tcPr>
            <w:tcW w:w="2693" w:type="dxa"/>
            <w:tcBorders>
              <w:top w:val="single" w:sz="6" w:space="0" w:color="000000"/>
              <w:left w:val="single" w:sz="6" w:space="0" w:color="000000"/>
              <w:bottom w:val="single" w:sz="4" w:space="0" w:color="000000"/>
              <w:right w:val="single" w:sz="4" w:space="0" w:color="000000"/>
            </w:tcBorders>
          </w:tcPr>
          <w:p w:rsidR="00583F83" w:rsidRPr="002F7C15" w:rsidRDefault="002F7C15">
            <w:pPr>
              <w:spacing w:after="0"/>
              <w:ind w:left="0" w:right="105" w:firstLine="0"/>
              <w:jc w:val="right"/>
              <w:rPr>
                <w:b/>
              </w:rPr>
            </w:pPr>
            <w:r w:rsidRPr="002F7C15">
              <w:rPr>
                <w:b/>
              </w:rPr>
              <w:t>410</w:t>
            </w:r>
            <w:r w:rsidRPr="002F7C15">
              <w:rPr>
                <w:rFonts w:hint="eastAsia"/>
                <w:b/>
              </w:rPr>
              <w:t>,</w:t>
            </w:r>
            <w:r w:rsidRPr="002F7C15">
              <w:rPr>
                <w:b/>
              </w:rPr>
              <w:t>184</w:t>
            </w:r>
            <w:r w:rsidRPr="002F7C15">
              <w:rPr>
                <w:rFonts w:hint="eastAsia"/>
                <w:b/>
              </w:rPr>
              <w:t>.00</w:t>
            </w:r>
          </w:p>
        </w:tc>
      </w:tr>
    </w:tbl>
    <w:p w:rsidR="00583F83" w:rsidRPr="00B5454B" w:rsidRDefault="00E22DB5" w:rsidP="00B5454B">
      <w:pPr>
        <w:numPr>
          <w:ilvl w:val="0"/>
          <w:numId w:val="4"/>
        </w:numPr>
        <w:spacing w:after="0" w:line="360" w:lineRule="auto"/>
        <w:ind w:hanging="360"/>
      </w:pPr>
      <w:r>
        <w:t>本次清算期间（</w:t>
      </w:r>
      <w:r w:rsidR="006C3BBA" w:rsidRPr="00B5454B">
        <w:rPr>
          <w:rFonts w:hint="eastAsia"/>
        </w:rPr>
        <w:t>2017</w:t>
      </w:r>
      <w:r>
        <w:t>年</w:t>
      </w:r>
      <w:r w:rsidR="006C3BBA" w:rsidRPr="00B5454B">
        <w:rPr>
          <w:rFonts w:hint="eastAsia"/>
        </w:rPr>
        <w:t>10</w:t>
      </w:r>
      <w:r>
        <w:t>月</w:t>
      </w:r>
      <w:r w:rsidR="006C3BBA" w:rsidRPr="00B5454B">
        <w:rPr>
          <w:rFonts w:hint="eastAsia"/>
        </w:rPr>
        <w:t>12</w:t>
      </w:r>
      <w:r>
        <w:t>日至</w:t>
      </w:r>
      <w:r w:rsidR="00C653F7" w:rsidRPr="00B5454B">
        <w:t>2017</w:t>
      </w:r>
      <w:r>
        <w:t>年</w:t>
      </w:r>
      <w:r w:rsidR="00C653F7" w:rsidRPr="00B5454B">
        <w:t>11</w:t>
      </w:r>
      <w:r>
        <w:t>月</w:t>
      </w:r>
      <w:r w:rsidR="00C653F7" w:rsidRPr="00B5454B">
        <w:t>0</w:t>
      </w:r>
      <w:r w:rsidR="00407EBF" w:rsidRPr="00B5454B">
        <w:t>8</w:t>
      </w:r>
      <w:r>
        <w:t>日）停牌股票复牌及处置情况：</w:t>
      </w:r>
    </w:p>
    <w:p w:rsidR="00C653F7" w:rsidRPr="00424901" w:rsidRDefault="00147E14" w:rsidP="00B5454B">
      <w:pPr>
        <w:spacing w:after="0" w:line="360" w:lineRule="auto"/>
        <w:ind w:left="840" w:firstLine="0"/>
      </w:pPr>
      <w:r w:rsidRPr="00B5454B">
        <w:rPr>
          <w:rFonts w:hint="eastAsia"/>
        </w:rPr>
        <w:t>本基金持有的</w:t>
      </w:r>
      <w:r w:rsidRPr="00B5454B">
        <w:t>002006</w:t>
      </w:r>
      <w:r w:rsidRPr="00B5454B">
        <w:rPr>
          <w:rFonts w:hint="eastAsia"/>
        </w:rPr>
        <w:t>精功科技已于</w:t>
      </w:r>
      <w:r w:rsidRPr="00B5454B">
        <w:t>2017</w:t>
      </w:r>
      <w:r w:rsidRPr="00B5454B">
        <w:rPr>
          <w:rFonts w:hint="eastAsia"/>
        </w:rPr>
        <w:t>年</w:t>
      </w:r>
      <w:r w:rsidRPr="00B5454B">
        <w:t>11</w:t>
      </w:r>
      <w:r w:rsidRPr="00B5454B">
        <w:rPr>
          <w:rFonts w:hint="eastAsia"/>
        </w:rPr>
        <w:t>月</w:t>
      </w:r>
      <w:r w:rsidRPr="00B5454B">
        <w:t>2</w:t>
      </w:r>
      <w:r w:rsidRPr="00B5454B">
        <w:rPr>
          <w:rFonts w:hint="eastAsia"/>
        </w:rPr>
        <w:t>日复牌，并于当日卖出，卖出所得金额共计</w:t>
      </w:r>
      <w:r w:rsidRPr="00B5454B">
        <w:t>373,884.52</w:t>
      </w:r>
      <w:r w:rsidR="006B2401" w:rsidRPr="00B5454B">
        <w:rPr>
          <w:rFonts w:hint="eastAsia"/>
        </w:rPr>
        <w:t>元</w:t>
      </w:r>
      <w:r w:rsidRPr="00B5454B">
        <w:rPr>
          <w:rFonts w:hint="eastAsia"/>
        </w:rPr>
        <w:t>。</w:t>
      </w:r>
    </w:p>
    <w:p w:rsidR="00583F83" w:rsidRDefault="00E22DB5" w:rsidP="00205EB2">
      <w:pPr>
        <w:spacing w:beforeLines="50" w:afterLines="50"/>
        <w:ind w:left="490"/>
      </w:pPr>
      <w:r>
        <w:t>（三）负债清偿情况</w:t>
      </w:r>
    </w:p>
    <w:p w:rsidR="00583F83" w:rsidRDefault="00E22DB5" w:rsidP="00472CC3">
      <w:pPr>
        <w:numPr>
          <w:ilvl w:val="0"/>
          <w:numId w:val="5"/>
        </w:numPr>
        <w:spacing w:after="0" w:line="360" w:lineRule="auto"/>
        <w:ind w:firstLine="480"/>
      </w:pPr>
      <w:r>
        <w:t>本基金最后运作日应付管理人报酬为人民币</w:t>
      </w:r>
      <w:r w:rsidR="004B0F8D" w:rsidRPr="004B0F8D">
        <w:t>2</w:t>
      </w:r>
      <w:r w:rsidR="004B0F8D">
        <w:rPr>
          <w:rFonts w:hint="eastAsia"/>
        </w:rPr>
        <w:t>,</w:t>
      </w:r>
      <w:r w:rsidR="004B0F8D" w:rsidRPr="004B0F8D">
        <w:t>196.84</w:t>
      </w:r>
      <w:r>
        <w:t>元，该款项已于</w:t>
      </w:r>
      <w:r w:rsidR="00CB3F0A">
        <w:rPr>
          <w:rFonts w:ascii="Times New Roman" w:eastAsia="Times New Roman" w:hAnsi="Times New Roman" w:cs="Times New Roman"/>
        </w:rPr>
        <w:t>2017</w:t>
      </w:r>
      <w:r w:rsidR="00CB3F0A">
        <w:t>年</w:t>
      </w:r>
      <w:r w:rsidR="00CB3F0A">
        <w:rPr>
          <w:rFonts w:ascii="Times New Roman" w:eastAsia="Times New Roman" w:hAnsi="Times New Roman" w:cs="Times New Roman"/>
        </w:rPr>
        <w:t>11</w:t>
      </w:r>
      <w:r w:rsidR="00CB3F0A">
        <w:t>月</w:t>
      </w:r>
      <w:r w:rsidR="00CB3F0A">
        <w:rPr>
          <w:rFonts w:ascii="Times New Roman" w:eastAsia="Times New Roman" w:hAnsi="Times New Roman" w:cs="Times New Roman"/>
        </w:rPr>
        <w:t>3</w:t>
      </w:r>
      <w:r>
        <w:t>日支付。</w:t>
      </w:r>
    </w:p>
    <w:p w:rsidR="00583F83" w:rsidRDefault="00E22DB5" w:rsidP="00472CC3">
      <w:pPr>
        <w:numPr>
          <w:ilvl w:val="0"/>
          <w:numId w:val="5"/>
        </w:numPr>
        <w:spacing w:after="0" w:line="360" w:lineRule="auto"/>
        <w:ind w:firstLine="480"/>
      </w:pPr>
      <w:r>
        <w:t>本基金最后运作日应付托管费为人民币</w:t>
      </w:r>
      <w:r w:rsidR="004B0F8D" w:rsidRPr="004B0F8D">
        <w:t>627.66</w:t>
      </w:r>
      <w:r>
        <w:t>元，该款项已于</w:t>
      </w:r>
      <w:r w:rsidR="00CB3F0A">
        <w:rPr>
          <w:rFonts w:ascii="Times New Roman" w:eastAsia="Times New Roman" w:hAnsi="Times New Roman" w:cs="Times New Roman"/>
        </w:rPr>
        <w:t>2017</w:t>
      </w:r>
      <w:r w:rsidR="00CB3F0A">
        <w:t>年</w:t>
      </w:r>
      <w:r w:rsidR="00CB3F0A">
        <w:rPr>
          <w:rFonts w:ascii="Times New Roman" w:eastAsia="Times New Roman" w:hAnsi="Times New Roman" w:cs="Times New Roman"/>
        </w:rPr>
        <w:t>11</w:t>
      </w:r>
      <w:r w:rsidR="00CB3F0A">
        <w:t>月</w:t>
      </w:r>
      <w:r w:rsidR="00CB3F0A">
        <w:rPr>
          <w:rFonts w:ascii="Times New Roman" w:eastAsia="Times New Roman" w:hAnsi="Times New Roman" w:cs="Times New Roman"/>
        </w:rPr>
        <w:t>3</w:t>
      </w:r>
      <w:r>
        <w:t>日支付。</w:t>
      </w:r>
    </w:p>
    <w:p w:rsidR="004B0F8D" w:rsidRDefault="004B0F8D" w:rsidP="00B5454B">
      <w:pPr>
        <w:numPr>
          <w:ilvl w:val="0"/>
          <w:numId w:val="5"/>
        </w:numPr>
        <w:spacing w:after="0" w:line="360" w:lineRule="auto"/>
        <w:ind w:firstLine="480"/>
      </w:pPr>
      <w:r>
        <w:t>本基金最后运作日</w:t>
      </w:r>
      <w:r w:rsidRPr="004B0F8D">
        <w:rPr>
          <w:rFonts w:hint="eastAsia"/>
        </w:rPr>
        <w:t>应付销售服务费</w:t>
      </w:r>
      <w:r>
        <w:t>为人民币</w:t>
      </w:r>
      <w:r w:rsidRPr="004B0F8D">
        <w:t>206.6</w:t>
      </w:r>
      <w:r>
        <w:rPr>
          <w:rFonts w:hint="eastAsia"/>
        </w:rPr>
        <w:t>0</w:t>
      </w:r>
      <w:r>
        <w:t>元，该款项已于</w:t>
      </w:r>
      <w:r w:rsidR="00CB3F0A">
        <w:rPr>
          <w:rFonts w:ascii="Times New Roman" w:eastAsia="Times New Roman" w:hAnsi="Times New Roman" w:cs="Times New Roman"/>
        </w:rPr>
        <w:t>2017</w:t>
      </w:r>
      <w:r w:rsidR="00CB3F0A">
        <w:t>年</w:t>
      </w:r>
      <w:r w:rsidR="00CB3F0A">
        <w:rPr>
          <w:rFonts w:ascii="Times New Roman" w:eastAsia="Times New Roman" w:hAnsi="Times New Roman" w:cs="Times New Roman"/>
        </w:rPr>
        <w:t>11</w:t>
      </w:r>
      <w:r w:rsidR="00CB3F0A">
        <w:t>月</w:t>
      </w:r>
      <w:r w:rsidR="00CB3F0A">
        <w:rPr>
          <w:rFonts w:ascii="Times New Roman" w:eastAsia="Times New Roman" w:hAnsi="Times New Roman" w:cs="Times New Roman"/>
        </w:rPr>
        <w:t>3</w:t>
      </w:r>
      <w:r>
        <w:t>日支付。</w:t>
      </w:r>
    </w:p>
    <w:p w:rsidR="00583F83" w:rsidRPr="00F50B4C" w:rsidRDefault="00E22DB5" w:rsidP="00B5454B">
      <w:pPr>
        <w:numPr>
          <w:ilvl w:val="0"/>
          <w:numId w:val="5"/>
        </w:numPr>
        <w:spacing w:after="0" w:line="360" w:lineRule="auto"/>
        <w:ind w:firstLine="480"/>
      </w:pPr>
      <w:r>
        <w:t>本基金最后运作日</w:t>
      </w:r>
      <w:r w:rsidR="004B0F8D" w:rsidRPr="004B0F8D">
        <w:rPr>
          <w:rFonts w:hint="eastAsia"/>
        </w:rPr>
        <w:t>应付赎回款</w:t>
      </w:r>
      <w:r>
        <w:t>为人民币</w:t>
      </w:r>
      <w:r w:rsidR="004B0F8D" w:rsidRPr="004B0F8D">
        <w:t>790</w:t>
      </w:r>
      <w:r w:rsidR="004B0F8D">
        <w:rPr>
          <w:rFonts w:hint="eastAsia"/>
        </w:rPr>
        <w:t>,</w:t>
      </w:r>
      <w:r w:rsidR="004B0F8D" w:rsidRPr="004B0F8D">
        <w:t>178.9</w:t>
      </w:r>
      <w:r w:rsidR="004B0F8D">
        <w:rPr>
          <w:rFonts w:hint="eastAsia"/>
        </w:rPr>
        <w:t>0</w:t>
      </w:r>
      <w:r>
        <w:t>元，该款项</w:t>
      </w:r>
      <w:r w:rsidR="004E07D9">
        <w:rPr>
          <w:rFonts w:hint="eastAsia"/>
        </w:rPr>
        <w:t>分别</w:t>
      </w:r>
      <w:r>
        <w:t>于</w:t>
      </w:r>
      <w:r w:rsidR="004441E9">
        <w:rPr>
          <w:rFonts w:ascii="Times New Roman" w:eastAsia="Times New Roman" w:hAnsi="Times New Roman" w:cs="Times New Roman"/>
        </w:rPr>
        <w:t>2017</w:t>
      </w:r>
      <w:r>
        <w:t>年</w:t>
      </w:r>
      <w:r w:rsidR="004441E9">
        <w:rPr>
          <w:rFonts w:ascii="Times New Roman" w:eastAsia="Times New Roman" w:hAnsi="Times New Roman" w:cs="Times New Roman"/>
        </w:rPr>
        <w:t>10</w:t>
      </w:r>
      <w:r>
        <w:t>月</w:t>
      </w:r>
      <w:r w:rsidR="004441E9">
        <w:rPr>
          <w:rFonts w:ascii="Times New Roman" w:eastAsia="Times New Roman" w:hAnsi="Times New Roman" w:cs="Times New Roman"/>
        </w:rPr>
        <w:t>12</w:t>
      </w:r>
      <w:r>
        <w:t>日</w:t>
      </w:r>
      <w:r w:rsidR="004E07D9">
        <w:rPr>
          <w:rFonts w:hint="eastAsia"/>
        </w:rPr>
        <w:t>、2017年10月13日</w:t>
      </w:r>
      <w:r>
        <w:t>支付。</w:t>
      </w:r>
    </w:p>
    <w:p w:rsidR="00F50B4C" w:rsidRDefault="00F50B4C" w:rsidP="00B5454B">
      <w:pPr>
        <w:numPr>
          <w:ilvl w:val="0"/>
          <w:numId w:val="5"/>
        </w:numPr>
        <w:spacing w:after="0" w:line="360" w:lineRule="auto"/>
        <w:ind w:firstLine="480"/>
      </w:pPr>
      <w:r>
        <w:t>本基金最后运作日</w:t>
      </w:r>
      <w:r w:rsidRPr="004B0F8D">
        <w:rPr>
          <w:rFonts w:hint="eastAsia"/>
        </w:rPr>
        <w:t>应付</w:t>
      </w:r>
      <w:r>
        <w:rPr>
          <w:rFonts w:hint="eastAsia"/>
        </w:rPr>
        <w:t>税费</w:t>
      </w:r>
      <w:r>
        <w:t>为人民币</w:t>
      </w:r>
      <w:r w:rsidRPr="00F50B4C">
        <w:t>568</w:t>
      </w:r>
      <w:r>
        <w:rPr>
          <w:rFonts w:hint="eastAsia"/>
        </w:rPr>
        <w:t>,</w:t>
      </w:r>
      <w:r w:rsidRPr="00F50B4C">
        <w:t>448.76</w:t>
      </w:r>
      <w:r>
        <w:t>元，</w:t>
      </w:r>
      <w:r>
        <w:rPr>
          <w:rFonts w:hint="eastAsia"/>
        </w:rPr>
        <w:t>该款项为债券利息个税，考虑到税务风险，此次不予分配。</w:t>
      </w:r>
    </w:p>
    <w:p w:rsidR="006D0F9A" w:rsidRDefault="00E22DB5" w:rsidP="00B5454B">
      <w:pPr>
        <w:numPr>
          <w:ilvl w:val="0"/>
          <w:numId w:val="5"/>
        </w:numPr>
        <w:spacing w:after="0" w:line="360" w:lineRule="auto"/>
        <w:ind w:firstLine="480"/>
      </w:pPr>
      <w:r>
        <w:t>本基金最后运作日其他负债为人民币</w:t>
      </w:r>
      <w:r w:rsidR="004B0F8D">
        <w:rPr>
          <w:rFonts w:hint="eastAsia"/>
          <w:sz w:val="22"/>
        </w:rPr>
        <w:t>50,006.02</w:t>
      </w:r>
      <w:r>
        <w:rPr>
          <w:sz w:val="22"/>
        </w:rPr>
        <w:t>元，</w:t>
      </w:r>
      <w:r>
        <w:t>包括应付</w:t>
      </w:r>
      <w:r w:rsidR="004B0F8D">
        <w:rPr>
          <w:rFonts w:hint="eastAsia"/>
        </w:rPr>
        <w:t>赎回</w:t>
      </w:r>
      <w:r>
        <w:t>费、预提审计费</w:t>
      </w:r>
      <w:r w:rsidR="004B0F8D">
        <w:rPr>
          <w:rFonts w:hint="eastAsia"/>
        </w:rPr>
        <w:t>。</w:t>
      </w:r>
      <w:r>
        <w:t>本基金</w:t>
      </w:r>
      <w:r w:rsidR="00E52913">
        <w:rPr>
          <w:rFonts w:hint="eastAsia"/>
        </w:rPr>
        <w:t>最后</w:t>
      </w:r>
      <w:r w:rsidR="00E52913">
        <w:t>运作日</w:t>
      </w:r>
      <w:r w:rsidR="00E52913">
        <w:rPr>
          <w:rFonts w:hint="eastAsia"/>
        </w:rPr>
        <w:t>应付赎回费为</w:t>
      </w:r>
      <w:r w:rsidR="00E52913">
        <w:t>人民币</w:t>
      </w:r>
      <w:r w:rsidR="00E52913">
        <w:rPr>
          <w:rFonts w:hint="eastAsia"/>
        </w:rPr>
        <w:t>6.02元</w:t>
      </w:r>
      <w:r w:rsidR="00E52913">
        <w:t>，</w:t>
      </w:r>
      <w:r w:rsidR="00E52913">
        <w:rPr>
          <w:rFonts w:hint="eastAsia"/>
        </w:rPr>
        <w:t>该</w:t>
      </w:r>
      <w:r w:rsidR="00E52913">
        <w:t>款项已于</w:t>
      </w:r>
      <w:r w:rsidR="00E52913">
        <w:rPr>
          <w:rFonts w:hint="eastAsia"/>
        </w:rPr>
        <w:t>2017年10月12日</w:t>
      </w:r>
      <w:r w:rsidR="00E52913">
        <w:t>支付</w:t>
      </w:r>
      <w:r w:rsidR="00E52913">
        <w:rPr>
          <w:rFonts w:hint="eastAsia"/>
        </w:rPr>
        <w:t>；本基金</w:t>
      </w:r>
      <w:r>
        <w:t>最后运作日预提审计费为预提的</w:t>
      </w:r>
      <w:r w:rsidR="004B0F8D">
        <w:rPr>
          <w:rFonts w:ascii="Times New Roman" w:eastAsiaTheme="minorEastAsia" w:hAnsi="Times New Roman" w:cs="Times New Roman" w:hint="eastAsia"/>
        </w:rPr>
        <w:t>2017</w:t>
      </w:r>
      <w:r>
        <w:t>年审计费，金额为人民币</w:t>
      </w:r>
      <w:r w:rsidR="004B0F8D" w:rsidRPr="004B0F8D">
        <w:rPr>
          <w:sz w:val="22"/>
        </w:rPr>
        <w:t>50</w:t>
      </w:r>
      <w:r w:rsidR="004B0F8D">
        <w:rPr>
          <w:rFonts w:hint="eastAsia"/>
          <w:sz w:val="22"/>
        </w:rPr>
        <w:t>，</w:t>
      </w:r>
      <w:r w:rsidR="004B0F8D" w:rsidRPr="004B0F8D">
        <w:rPr>
          <w:sz w:val="22"/>
        </w:rPr>
        <w:t>000</w:t>
      </w:r>
      <w:r w:rsidR="004B0F8D">
        <w:rPr>
          <w:rFonts w:hint="eastAsia"/>
          <w:sz w:val="22"/>
        </w:rPr>
        <w:t>.00</w:t>
      </w:r>
      <w:r>
        <w:t>元，该款项已于</w:t>
      </w:r>
      <w:r w:rsidR="00CB3F0A">
        <w:rPr>
          <w:rFonts w:ascii="Times New Roman" w:eastAsia="Times New Roman" w:hAnsi="Times New Roman" w:cs="Times New Roman"/>
        </w:rPr>
        <w:t>2017</w:t>
      </w:r>
      <w:r w:rsidR="00CB3F0A">
        <w:rPr>
          <w:rFonts w:hint="eastAsia"/>
        </w:rPr>
        <w:t>年11</w:t>
      </w:r>
      <w:r w:rsidR="00CB3F0A">
        <w:t>月</w:t>
      </w:r>
      <w:r w:rsidR="008477AF">
        <w:rPr>
          <w:rFonts w:hint="eastAsia"/>
        </w:rPr>
        <w:t>6</w:t>
      </w:r>
      <w:r>
        <w:t>日支付。</w:t>
      </w:r>
    </w:p>
    <w:p w:rsidR="00583F83" w:rsidRDefault="00E22DB5" w:rsidP="00205EB2">
      <w:pPr>
        <w:spacing w:beforeLines="50" w:afterLines="50"/>
        <w:ind w:left="490"/>
      </w:pPr>
      <w:r>
        <w:t>（四）本次清算期间的清算损益情况</w:t>
      </w:r>
    </w:p>
    <w:p w:rsidR="00583F83" w:rsidRDefault="00E22DB5">
      <w:pPr>
        <w:spacing w:after="0"/>
        <w:ind w:right="47"/>
        <w:jc w:val="right"/>
      </w:pPr>
      <w:r>
        <w:rPr>
          <w:sz w:val="22"/>
        </w:rPr>
        <w:t>单位：人民币元</w:t>
      </w:r>
    </w:p>
    <w:tbl>
      <w:tblPr>
        <w:tblStyle w:val="TableGrid"/>
        <w:tblW w:w="8477" w:type="dxa"/>
        <w:tblInd w:w="566" w:type="dxa"/>
        <w:tblCellMar>
          <w:top w:w="13" w:type="dxa"/>
          <w:left w:w="108" w:type="dxa"/>
          <w:right w:w="31" w:type="dxa"/>
        </w:tblCellMar>
        <w:tblLook w:val="04A0"/>
      </w:tblPr>
      <w:tblGrid>
        <w:gridCol w:w="5813"/>
        <w:gridCol w:w="2664"/>
      </w:tblGrid>
      <w:tr w:rsidR="00583F83">
        <w:trPr>
          <w:trHeight w:val="826"/>
        </w:trPr>
        <w:tc>
          <w:tcPr>
            <w:tcW w:w="5813" w:type="dxa"/>
            <w:tcBorders>
              <w:top w:val="single" w:sz="4" w:space="0" w:color="000000"/>
              <w:left w:val="single" w:sz="4" w:space="0" w:color="000000"/>
              <w:bottom w:val="single" w:sz="4" w:space="0" w:color="000000"/>
              <w:right w:val="single" w:sz="4" w:space="0" w:color="000000"/>
            </w:tcBorders>
            <w:vAlign w:val="bottom"/>
          </w:tcPr>
          <w:p w:rsidR="00583F83" w:rsidRDefault="00E22DB5">
            <w:pPr>
              <w:spacing w:after="0"/>
              <w:ind w:left="34" w:firstLine="0"/>
            </w:pPr>
            <w:r>
              <w:rPr>
                <w:sz w:val="21"/>
              </w:rPr>
              <w:t>项目</w:t>
            </w:r>
          </w:p>
        </w:tc>
        <w:tc>
          <w:tcPr>
            <w:tcW w:w="2664" w:type="dxa"/>
            <w:tcBorders>
              <w:top w:val="single" w:sz="4" w:space="0" w:color="000000"/>
              <w:left w:val="single" w:sz="4" w:space="0" w:color="000000"/>
              <w:bottom w:val="single" w:sz="4" w:space="0" w:color="000000"/>
              <w:right w:val="single" w:sz="4" w:space="0" w:color="000000"/>
            </w:tcBorders>
          </w:tcPr>
          <w:p w:rsidR="00583F83" w:rsidRDefault="00E22DB5" w:rsidP="00DF5BC6">
            <w:pPr>
              <w:spacing w:after="0"/>
              <w:ind w:left="0" w:right="74" w:firstLine="0"/>
              <w:jc w:val="right"/>
            </w:pPr>
            <w:r>
              <w:rPr>
                <w:sz w:val="21"/>
              </w:rPr>
              <w:t>自</w:t>
            </w:r>
            <w:r w:rsidR="00DF5BC6">
              <w:rPr>
                <w:rFonts w:ascii="Times New Roman" w:eastAsiaTheme="minorEastAsia" w:hAnsi="Times New Roman" w:cs="Times New Roman" w:hint="eastAsia"/>
                <w:sz w:val="21"/>
              </w:rPr>
              <w:t>2017</w:t>
            </w:r>
            <w:r>
              <w:rPr>
                <w:sz w:val="21"/>
              </w:rPr>
              <w:t>年</w:t>
            </w:r>
            <w:r w:rsidR="00DF5BC6">
              <w:rPr>
                <w:rFonts w:ascii="Times New Roman" w:eastAsiaTheme="minorEastAsia" w:hAnsi="Times New Roman" w:cs="Times New Roman" w:hint="eastAsia"/>
                <w:sz w:val="21"/>
              </w:rPr>
              <w:t>10</w:t>
            </w:r>
            <w:r>
              <w:rPr>
                <w:sz w:val="21"/>
              </w:rPr>
              <w:t>月</w:t>
            </w:r>
            <w:r w:rsidR="00DF5BC6">
              <w:rPr>
                <w:rFonts w:ascii="Times New Roman" w:eastAsiaTheme="minorEastAsia" w:hAnsi="Times New Roman" w:cs="Times New Roman" w:hint="eastAsia"/>
                <w:sz w:val="21"/>
              </w:rPr>
              <w:t>12</w:t>
            </w:r>
            <w:r>
              <w:rPr>
                <w:sz w:val="21"/>
              </w:rPr>
              <w:t>日至</w:t>
            </w:r>
            <w:r w:rsidR="00B520EF">
              <w:rPr>
                <w:rFonts w:ascii="Times New Roman" w:eastAsia="Times New Roman" w:hAnsi="Times New Roman" w:cs="Times New Roman"/>
                <w:sz w:val="21"/>
              </w:rPr>
              <w:t>2017</w:t>
            </w:r>
            <w:r>
              <w:rPr>
                <w:sz w:val="21"/>
              </w:rPr>
              <w:t>年</w:t>
            </w:r>
            <w:r w:rsidR="00B520EF">
              <w:rPr>
                <w:rFonts w:ascii="Times New Roman" w:eastAsia="Times New Roman" w:hAnsi="Times New Roman" w:cs="Times New Roman"/>
                <w:sz w:val="21"/>
              </w:rPr>
              <w:t>11</w:t>
            </w:r>
            <w:r>
              <w:rPr>
                <w:sz w:val="21"/>
              </w:rPr>
              <w:t>月</w:t>
            </w:r>
            <w:r w:rsidR="00B520EF">
              <w:rPr>
                <w:rFonts w:ascii="Times New Roman" w:eastAsia="Times New Roman" w:hAnsi="Times New Roman" w:cs="Times New Roman"/>
                <w:sz w:val="21"/>
              </w:rPr>
              <w:t>08</w:t>
            </w:r>
            <w:r>
              <w:rPr>
                <w:sz w:val="21"/>
              </w:rPr>
              <w:t>日止清算期间</w:t>
            </w:r>
          </w:p>
        </w:tc>
      </w:tr>
      <w:tr w:rsidR="00583F83">
        <w:trPr>
          <w:trHeight w:val="283"/>
        </w:trPr>
        <w:tc>
          <w:tcPr>
            <w:tcW w:w="5813"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34" w:firstLine="0"/>
            </w:pPr>
            <w:r>
              <w:rPr>
                <w:sz w:val="21"/>
              </w:rPr>
              <w:t>一、清算收益</w:t>
            </w:r>
          </w:p>
        </w:tc>
        <w:tc>
          <w:tcPr>
            <w:tcW w:w="2664" w:type="dxa"/>
            <w:tcBorders>
              <w:top w:val="single" w:sz="4" w:space="0" w:color="000000"/>
              <w:left w:val="single" w:sz="4" w:space="0" w:color="000000"/>
              <w:bottom w:val="single" w:sz="4" w:space="0" w:color="000000"/>
              <w:right w:val="single" w:sz="4" w:space="0" w:color="000000"/>
            </w:tcBorders>
          </w:tcPr>
          <w:p w:rsidR="00583F83" w:rsidRDefault="00583F83">
            <w:pPr>
              <w:spacing w:after="0"/>
              <w:ind w:left="0" w:right="24" w:firstLine="0"/>
              <w:jc w:val="right"/>
            </w:pPr>
          </w:p>
        </w:tc>
      </w:tr>
      <w:tr w:rsidR="00583F83">
        <w:trPr>
          <w:trHeight w:val="283"/>
        </w:trPr>
        <w:tc>
          <w:tcPr>
            <w:tcW w:w="5813"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458" w:firstLine="0"/>
            </w:pPr>
            <w:r>
              <w:rPr>
                <w:rFonts w:ascii="Times New Roman" w:eastAsia="Times New Roman" w:hAnsi="Times New Roman" w:cs="Times New Roman"/>
                <w:sz w:val="21"/>
              </w:rPr>
              <w:t>1</w:t>
            </w:r>
            <w:r>
              <w:rPr>
                <w:sz w:val="21"/>
              </w:rPr>
              <w:t>、利息收入（注</w:t>
            </w:r>
            <w:r>
              <w:rPr>
                <w:rFonts w:ascii="Times New Roman" w:eastAsia="Times New Roman" w:hAnsi="Times New Roman" w:cs="Times New Roman"/>
                <w:sz w:val="21"/>
              </w:rPr>
              <w:t>1</w:t>
            </w:r>
            <w:r>
              <w:rPr>
                <w:sz w:val="21"/>
              </w:rPr>
              <w:t>）</w:t>
            </w:r>
          </w:p>
        </w:tc>
        <w:tc>
          <w:tcPr>
            <w:tcW w:w="2664" w:type="dxa"/>
            <w:tcBorders>
              <w:top w:val="single" w:sz="4" w:space="0" w:color="000000"/>
              <w:left w:val="single" w:sz="4" w:space="0" w:color="000000"/>
              <w:bottom w:val="single" w:sz="4" w:space="0" w:color="000000"/>
              <w:right w:val="single" w:sz="4" w:space="0" w:color="000000"/>
            </w:tcBorders>
          </w:tcPr>
          <w:p w:rsidR="00583F83" w:rsidRDefault="004E2859">
            <w:pPr>
              <w:spacing w:after="0"/>
              <w:ind w:left="0" w:right="50" w:firstLine="0"/>
              <w:jc w:val="right"/>
            </w:pPr>
            <w:r>
              <w:rPr>
                <w:rFonts w:hint="eastAsia"/>
              </w:rPr>
              <w:t>5,394.41</w:t>
            </w:r>
          </w:p>
        </w:tc>
      </w:tr>
      <w:tr w:rsidR="00583F83">
        <w:trPr>
          <w:trHeight w:val="281"/>
        </w:trPr>
        <w:tc>
          <w:tcPr>
            <w:tcW w:w="5813"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458" w:firstLine="0"/>
            </w:pPr>
            <w:r>
              <w:rPr>
                <w:rFonts w:ascii="Times New Roman" w:eastAsia="Times New Roman" w:hAnsi="Times New Roman" w:cs="Times New Roman"/>
                <w:sz w:val="21"/>
              </w:rPr>
              <w:t>2</w:t>
            </w:r>
            <w:r>
              <w:rPr>
                <w:sz w:val="21"/>
              </w:rPr>
              <w:t>、股票变现损益（注</w:t>
            </w:r>
            <w:r>
              <w:rPr>
                <w:rFonts w:ascii="Times New Roman" w:eastAsia="Times New Roman" w:hAnsi="Times New Roman" w:cs="Times New Roman"/>
                <w:sz w:val="21"/>
              </w:rPr>
              <w:t>2</w:t>
            </w:r>
            <w:r>
              <w:rPr>
                <w:sz w:val="21"/>
              </w:rPr>
              <w:t>）</w:t>
            </w:r>
          </w:p>
        </w:tc>
        <w:tc>
          <w:tcPr>
            <w:tcW w:w="2664" w:type="dxa"/>
            <w:tcBorders>
              <w:top w:val="single" w:sz="4" w:space="0" w:color="000000"/>
              <w:left w:val="single" w:sz="4" w:space="0" w:color="000000"/>
              <w:bottom w:val="single" w:sz="4" w:space="0" w:color="000000"/>
              <w:right w:val="single" w:sz="4" w:space="0" w:color="000000"/>
            </w:tcBorders>
          </w:tcPr>
          <w:p w:rsidR="00583F83" w:rsidRDefault="00CB3F0A" w:rsidP="00CB3F0A">
            <w:pPr>
              <w:spacing w:after="0"/>
              <w:ind w:left="0" w:right="50" w:firstLine="0"/>
              <w:jc w:val="right"/>
            </w:pPr>
            <w:r>
              <w:t>-</w:t>
            </w:r>
            <w:r w:rsidR="00540177">
              <w:t>35</w:t>
            </w:r>
            <w:r>
              <w:t>,</w:t>
            </w:r>
            <w:r w:rsidR="00540177">
              <w:t>892</w:t>
            </w:r>
            <w:r>
              <w:t>.00</w:t>
            </w:r>
          </w:p>
        </w:tc>
      </w:tr>
      <w:tr w:rsidR="00583F83">
        <w:trPr>
          <w:trHeight w:val="283"/>
        </w:trPr>
        <w:tc>
          <w:tcPr>
            <w:tcW w:w="5813" w:type="dxa"/>
            <w:tcBorders>
              <w:top w:val="single" w:sz="4" w:space="0" w:color="000000"/>
              <w:left w:val="single" w:sz="4" w:space="0" w:color="000000"/>
              <w:bottom w:val="single" w:sz="4" w:space="0" w:color="000000"/>
              <w:right w:val="single" w:sz="4" w:space="0" w:color="000000"/>
            </w:tcBorders>
          </w:tcPr>
          <w:p w:rsidR="00583F83" w:rsidRDefault="00540177">
            <w:pPr>
              <w:spacing w:after="0"/>
              <w:ind w:left="458" w:firstLine="0"/>
            </w:pPr>
            <w:r>
              <w:rPr>
                <w:rFonts w:ascii="Times New Roman" w:eastAsia="Times New Roman" w:hAnsi="Times New Roman" w:cs="Times New Roman"/>
                <w:sz w:val="21"/>
              </w:rPr>
              <w:t>3</w:t>
            </w:r>
            <w:r w:rsidR="00E22DB5">
              <w:rPr>
                <w:sz w:val="21"/>
              </w:rPr>
              <w:t>、其他收入（注</w:t>
            </w:r>
            <w:r>
              <w:rPr>
                <w:rFonts w:ascii="Times New Roman" w:eastAsia="Times New Roman" w:hAnsi="Times New Roman" w:cs="Times New Roman"/>
                <w:sz w:val="21"/>
              </w:rPr>
              <w:t>3</w:t>
            </w:r>
            <w:r w:rsidR="00E22DB5">
              <w:rPr>
                <w:sz w:val="21"/>
              </w:rPr>
              <w:t>）</w:t>
            </w:r>
          </w:p>
        </w:tc>
        <w:tc>
          <w:tcPr>
            <w:tcW w:w="2664" w:type="dxa"/>
            <w:tcBorders>
              <w:top w:val="single" w:sz="4" w:space="0" w:color="000000"/>
              <w:left w:val="single" w:sz="4" w:space="0" w:color="000000"/>
              <w:bottom w:val="single" w:sz="4" w:space="0" w:color="000000"/>
              <w:right w:val="single" w:sz="4" w:space="0" w:color="000000"/>
            </w:tcBorders>
          </w:tcPr>
          <w:p w:rsidR="00783016" w:rsidRDefault="00783016" w:rsidP="00783016">
            <w:pPr>
              <w:spacing w:after="0"/>
              <w:ind w:left="0" w:right="60" w:firstLine="0"/>
              <w:jc w:val="right"/>
            </w:pPr>
            <w:r>
              <w:rPr>
                <w:rFonts w:hint="eastAsia"/>
              </w:rPr>
              <w:t>19.84</w:t>
            </w:r>
          </w:p>
        </w:tc>
      </w:tr>
      <w:tr w:rsidR="008C4909">
        <w:trPr>
          <w:trHeight w:val="283"/>
        </w:trPr>
        <w:tc>
          <w:tcPr>
            <w:tcW w:w="5813" w:type="dxa"/>
            <w:tcBorders>
              <w:top w:val="single" w:sz="4" w:space="0" w:color="000000"/>
              <w:left w:val="single" w:sz="4" w:space="0" w:color="000000"/>
              <w:bottom w:val="single" w:sz="4" w:space="0" w:color="000000"/>
              <w:right w:val="single" w:sz="4" w:space="0" w:color="000000"/>
            </w:tcBorders>
          </w:tcPr>
          <w:p w:rsidR="008C4909" w:rsidRDefault="008C4909">
            <w:pPr>
              <w:spacing w:after="0"/>
              <w:ind w:left="0" w:firstLine="0"/>
              <w:rPr>
                <w:sz w:val="21"/>
              </w:rPr>
            </w:pPr>
            <w:r>
              <w:rPr>
                <w:sz w:val="21"/>
              </w:rPr>
              <w:t>清算收入小计</w:t>
            </w:r>
          </w:p>
        </w:tc>
        <w:tc>
          <w:tcPr>
            <w:tcW w:w="2664" w:type="dxa"/>
            <w:tcBorders>
              <w:top w:val="single" w:sz="4" w:space="0" w:color="000000"/>
              <w:left w:val="single" w:sz="4" w:space="0" w:color="000000"/>
              <w:bottom w:val="single" w:sz="4" w:space="0" w:color="000000"/>
              <w:right w:val="single" w:sz="4" w:space="0" w:color="000000"/>
            </w:tcBorders>
          </w:tcPr>
          <w:p w:rsidR="008C4909" w:rsidRDefault="008C4909">
            <w:pPr>
              <w:spacing w:after="0"/>
              <w:ind w:left="0" w:right="10" w:firstLine="0"/>
              <w:jc w:val="right"/>
            </w:pPr>
            <w:r>
              <w:rPr>
                <w:rFonts w:hint="eastAsia"/>
              </w:rPr>
              <w:t>-</w:t>
            </w:r>
            <w:r w:rsidR="00C410A1">
              <w:t>30</w:t>
            </w:r>
            <w:r>
              <w:rPr>
                <w:rFonts w:hint="eastAsia"/>
              </w:rPr>
              <w:t>,</w:t>
            </w:r>
            <w:r w:rsidR="00C410A1">
              <w:t>477</w:t>
            </w:r>
            <w:r>
              <w:rPr>
                <w:rFonts w:hint="eastAsia"/>
              </w:rPr>
              <w:t>.75</w:t>
            </w:r>
          </w:p>
        </w:tc>
      </w:tr>
      <w:tr w:rsidR="008C4909">
        <w:trPr>
          <w:trHeight w:val="283"/>
        </w:trPr>
        <w:tc>
          <w:tcPr>
            <w:tcW w:w="5813" w:type="dxa"/>
            <w:tcBorders>
              <w:top w:val="single" w:sz="4" w:space="0" w:color="000000"/>
              <w:left w:val="single" w:sz="4" w:space="0" w:color="000000"/>
              <w:bottom w:val="single" w:sz="4" w:space="0" w:color="000000"/>
              <w:right w:val="single" w:sz="4" w:space="0" w:color="000000"/>
            </w:tcBorders>
          </w:tcPr>
          <w:p w:rsidR="008C4909" w:rsidRDefault="008C4909">
            <w:pPr>
              <w:spacing w:after="0"/>
              <w:ind w:left="0" w:firstLine="0"/>
            </w:pPr>
            <w:r>
              <w:rPr>
                <w:sz w:val="21"/>
              </w:rPr>
              <w:t>二、清算费用</w:t>
            </w:r>
            <w:r w:rsidR="006331A3">
              <w:rPr>
                <w:sz w:val="21"/>
              </w:rPr>
              <w:t>（注</w:t>
            </w:r>
            <w:r w:rsidR="006331A3">
              <w:rPr>
                <w:rFonts w:ascii="Times New Roman" w:eastAsia="Times New Roman" w:hAnsi="Times New Roman" w:cs="Times New Roman"/>
                <w:sz w:val="21"/>
              </w:rPr>
              <w:t>4</w:t>
            </w:r>
            <w:r w:rsidR="006331A3">
              <w:rPr>
                <w:sz w:val="21"/>
              </w:rPr>
              <w:t>）</w:t>
            </w:r>
          </w:p>
        </w:tc>
        <w:tc>
          <w:tcPr>
            <w:tcW w:w="2664" w:type="dxa"/>
            <w:tcBorders>
              <w:top w:val="single" w:sz="4" w:space="0" w:color="000000"/>
              <w:left w:val="single" w:sz="4" w:space="0" w:color="000000"/>
              <w:bottom w:val="single" w:sz="4" w:space="0" w:color="000000"/>
              <w:right w:val="single" w:sz="4" w:space="0" w:color="000000"/>
            </w:tcBorders>
          </w:tcPr>
          <w:p w:rsidR="008C4909" w:rsidRDefault="006331A3">
            <w:pPr>
              <w:spacing w:after="0"/>
              <w:ind w:left="0" w:right="10" w:firstLine="0"/>
              <w:jc w:val="right"/>
            </w:pPr>
            <w:r>
              <w:rPr>
                <w:rFonts w:hint="eastAsia"/>
              </w:rPr>
              <w:t>-</w:t>
            </w:r>
          </w:p>
        </w:tc>
      </w:tr>
      <w:tr w:rsidR="00E22640">
        <w:trPr>
          <w:trHeight w:val="283"/>
        </w:trPr>
        <w:tc>
          <w:tcPr>
            <w:tcW w:w="5813" w:type="dxa"/>
            <w:tcBorders>
              <w:top w:val="single" w:sz="4" w:space="0" w:color="000000"/>
              <w:left w:val="single" w:sz="4" w:space="0" w:color="000000"/>
              <w:bottom w:val="single" w:sz="4" w:space="0" w:color="000000"/>
              <w:right w:val="single" w:sz="4" w:space="0" w:color="000000"/>
            </w:tcBorders>
          </w:tcPr>
          <w:p w:rsidR="00E22640" w:rsidRDefault="00E22640" w:rsidP="00E22640">
            <w:pPr>
              <w:spacing w:after="0"/>
              <w:ind w:left="0" w:firstLine="0"/>
            </w:pPr>
            <w:r>
              <w:rPr>
                <w:rFonts w:hint="eastAsia"/>
                <w:sz w:val="21"/>
              </w:rPr>
              <w:t>四</w:t>
            </w:r>
            <w:r>
              <w:rPr>
                <w:sz w:val="21"/>
              </w:rPr>
              <w:t>、清算净收益</w:t>
            </w:r>
          </w:p>
        </w:tc>
        <w:tc>
          <w:tcPr>
            <w:tcW w:w="2664" w:type="dxa"/>
            <w:tcBorders>
              <w:top w:val="single" w:sz="4" w:space="0" w:color="000000"/>
              <w:left w:val="single" w:sz="4" w:space="0" w:color="000000"/>
              <w:bottom w:val="single" w:sz="4" w:space="0" w:color="000000"/>
              <w:right w:val="single" w:sz="4" w:space="0" w:color="000000"/>
            </w:tcBorders>
          </w:tcPr>
          <w:p w:rsidR="00E22640" w:rsidRDefault="00E22640" w:rsidP="00E22640">
            <w:pPr>
              <w:spacing w:after="0"/>
              <w:ind w:left="0" w:right="62" w:firstLine="0"/>
              <w:jc w:val="right"/>
            </w:pPr>
            <w:r>
              <w:rPr>
                <w:rFonts w:hint="eastAsia"/>
              </w:rPr>
              <w:t>-</w:t>
            </w:r>
            <w:r>
              <w:t>30</w:t>
            </w:r>
            <w:r>
              <w:rPr>
                <w:rFonts w:hint="eastAsia"/>
              </w:rPr>
              <w:t>,</w:t>
            </w:r>
            <w:r>
              <w:t>477</w:t>
            </w:r>
            <w:r>
              <w:rPr>
                <w:rFonts w:hint="eastAsia"/>
              </w:rPr>
              <w:t>.75</w:t>
            </w:r>
          </w:p>
        </w:tc>
      </w:tr>
    </w:tbl>
    <w:p w:rsidR="00583F83" w:rsidRDefault="00E22DB5" w:rsidP="00205EB2">
      <w:pPr>
        <w:spacing w:beforeLines="50" w:after="0"/>
        <w:ind w:left="430"/>
      </w:pPr>
      <w:r>
        <w:t>表中相关项目具体说明如下：</w:t>
      </w:r>
    </w:p>
    <w:p w:rsidR="00583F83" w:rsidRDefault="00E22DB5" w:rsidP="00472CC3">
      <w:pPr>
        <w:numPr>
          <w:ilvl w:val="0"/>
          <w:numId w:val="6"/>
        </w:numPr>
        <w:spacing w:after="0" w:line="360" w:lineRule="auto"/>
        <w:ind w:firstLine="410"/>
      </w:pPr>
      <w:r>
        <w:t xml:space="preserve">利息收入系以当前适用的利率预估计提的自 </w:t>
      </w:r>
      <w:r w:rsidR="00F50B4C">
        <w:rPr>
          <w:rFonts w:ascii="Times New Roman" w:eastAsiaTheme="minorEastAsia" w:hAnsi="Times New Roman" w:cs="Times New Roman" w:hint="eastAsia"/>
        </w:rPr>
        <w:t>2017</w:t>
      </w:r>
      <w:r>
        <w:t xml:space="preserve">年 </w:t>
      </w:r>
      <w:r w:rsidR="00F50B4C">
        <w:rPr>
          <w:rFonts w:ascii="Times New Roman" w:eastAsiaTheme="minorEastAsia" w:hAnsi="Times New Roman" w:cs="Times New Roman" w:hint="eastAsia"/>
        </w:rPr>
        <w:t>10</w:t>
      </w:r>
      <w:r>
        <w:t xml:space="preserve">月 </w:t>
      </w:r>
      <w:r w:rsidR="00F50B4C">
        <w:rPr>
          <w:rFonts w:ascii="Times New Roman" w:eastAsia="Times New Roman" w:hAnsi="Times New Roman" w:cs="Times New Roman"/>
        </w:rPr>
        <w:t>12</w:t>
      </w:r>
      <w:r>
        <w:t>日至</w:t>
      </w:r>
      <w:r w:rsidR="00B41B7D">
        <w:rPr>
          <w:rFonts w:ascii="Times New Roman" w:eastAsia="Times New Roman" w:hAnsi="Times New Roman" w:cs="Times New Roman"/>
        </w:rPr>
        <w:t>2017</w:t>
      </w:r>
      <w:r>
        <w:t>年</w:t>
      </w:r>
      <w:r w:rsidR="00B41B7D">
        <w:rPr>
          <w:rFonts w:ascii="Times New Roman" w:eastAsia="Times New Roman" w:hAnsi="Times New Roman" w:cs="Times New Roman"/>
        </w:rPr>
        <w:t>11</w:t>
      </w:r>
      <w:r>
        <w:t>月</w:t>
      </w:r>
      <w:r w:rsidR="00B41B7D">
        <w:rPr>
          <w:rFonts w:ascii="Times New Roman" w:eastAsia="Times New Roman" w:hAnsi="Times New Roman" w:cs="Times New Roman"/>
        </w:rPr>
        <w:t>0</w:t>
      </w:r>
      <w:r w:rsidR="00407EBF">
        <w:rPr>
          <w:rFonts w:ascii="Times New Roman" w:eastAsia="Times New Roman" w:hAnsi="Times New Roman" w:cs="Times New Roman"/>
        </w:rPr>
        <w:t>8</w:t>
      </w:r>
      <w:r w:rsidR="0045457D">
        <w:t>日止清算期间的银行存款</w:t>
      </w:r>
      <w:r w:rsidR="0045457D">
        <w:rPr>
          <w:rFonts w:hint="eastAsia"/>
        </w:rPr>
        <w:t>、</w:t>
      </w:r>
      <w:r w:rsidR="0045457D">
        <w:t>备付金</w:t>
      </w:r>
      <w:r>
        <w:t>及保证金利息。</w:t>
      </w:r>
    </w:p>
    <w:p w:rsidR="00583F83" w:rsidRPr="00B5454B" w:rsidRDefault="00E22DB5" w:rsidP="00472CC3">
      <w:pPr>
        <w:numPr>
          <w:ilvl w:val="0"/>
          <w:numId w:val="6"/>
        </w:numPr>
        <w:spacing w:after="0" w:line="360" w:lineRule="auto"/>
        <w:ind w:firstLine="410"/>
      </w:pPr>
      <w:r>
        <w:t>股票变现损益为本次清算期间卖出股票</w:t>
      </w:r>
      <w:r w:rsidR="00BD400D">
        <w:rPr>
          <w:rFonts w:hint="eastAsia"/>
        </w:rPr>
        <w:t>金额与其</w:t>
      </w:r>
      <w:r w:rsidR="00BD400D">
        <w:t>最后</w:t>
      </w:r>
      <w:r w:rsidR="00BD400D">
        <w:rPr>
          <w:rFonts w:hint="eastAsia"/>
        </w:rPr>
        <w:t>运</w:t>
      </w:r>
      <w:r w:rsidR="00BD400D">
        <w:t>作日估值金额</w:t>
      </w:r>
      <w:r w:rsidR="00BD400D">
        <w:rPr>
          <w:rFonts w:hint="eastAsia"/>
        </w:rPr>
        <w:t>的</w:t>
      </w:r>
      <w:r w:rsidR="00BD400D">
        <w:t>差额</w:t>
      </w:r>
      <w:r w:rsidR="00BD400D">
        <w:rPr>
          <w:rFonts w:hint="eastAsia"/>
        </w:rPr>
        <w:t>。</w:t>
      </w:r>
    </w:p>
    <w:p w:rsidR="00583F83" w:rsidRDefault="00E22DB5" w:rsidP="00472CC3">
      <w:pPr>
        <w:numPr>
          <w:ilvl w:val="0"/>
          <w:numId w:val="6"/>
        </w:numPr>
        <w:spacing w:after="0" w:line="360" w:lineRule="auto"/>
        <w:ind w:firstLine="410"/>
      </w:pPr>
      <w:r>
        <w:t>其他收入为</w:t>
      </w:r>
      <w:r w:rsidR="00D166DE">
        <w:rPr>
          <w:rFonts w:hint="eastAsia"/>
        </w:rPr>
        <w:t>赎回</w:t>
      </w:r>
      <w:r w:rsidR="00FB37A5">
        <w:rPr>
          <w:rFonts w:hint="eastAsia"/>
        </w:rPr>
        <w:t>费</w:t>
      </w:r>
      <w:r w:rsidR="00D166DE">
        <w:rPr>
          <w:rFonts w:hint="eastAsia"/>
        </w:rPr>
        <w:t>收入</w:t>
      </w:r>
      <w:r w:rsidR="00041996">
        <w:rPr>
          <w:rFonts w:hint="eastAsia"/>
        </w:rPr>
        <w:t>。</w:t>
      </w:r>
    </w:p>
    <w:p w:rsidR="00F50B4C" w:rsidRDefault="00E22DB5" w:rsidP="00472CC3">
      <w:pPr>
        <w:numPr>
          <w:ilvl w:val="0"/>
          <w:numId w:val="6"/>
        </w:numPr>
        <w:spacing w:after="0" w:line="360" w:lineRule="auto"/>
        <w:ind w:firstLine="410"/>
      </w:pPr>
      <w:r>
        <w:t>本次清算相关的清算费用</w:t>
      </w:r>
      <w:r w:rsidR="005467BC">
        <w:rPr>
          <w:rFonts w:hint="eastAsia"/>
        </w:rPr>
        <w:t>由</w:t>
      </w:r>
      <w:r w:rsidR="005467BC">
        <w:t>本</w:t>
      </w:r>
      <w:r w:rsidR="005467BC">
        <w:rPr>
          <w:rFonts w:hint="eastAsia"/>
        </w:rPr>
        <w:t>基金</w:t>
      </w:r>
      <w:r w:rsidR="005467BC">
        <w:t>管理人承担，不从基金财产中支付</w:t>
      </w:r>
      <w:r w:rsidR="0045457D">
        <w:rPr>
          <w:rFonts w:hint="eastAsia"/>
        </w:rPr>
        <w:t>。</w:t>
      </w:r>
    </w:p>
    <w:p w:rsidR="00583F83" w:rsidRDefault="00E22DB5" w:rsidP="00205EB2">
      <w:pPr>
        <w:spacing w:beforeLines="50" w:afterLines="50" w:line="360" w:lineRule="auto"/>
        <w:ind w:left="613" w:firstLine="0"/>
      </w:pPr>
      <w:r>
        <w:t>（五）截至本次清算期结束日的剩余财产情况</w:t>
      </w:r>
    </w:p>
    <w:p w:rsidR="00583F83" w:rsidRDefault="00E22DB5">
      <w:pPr>
        <w:spacing w:after="0"/>
        <w:ind w:right="47"/>
        <w:jc w:val="right"/>
      </w:pPr>
      <w:r>
        <w:rPr>
          <w:sz w:val="22"/>
        </w:rPr>
        <w:t>单位：人民币元</w:t>
      </w:r>
    </w:p>
    <w:tbl>
      <w:tblPr>
        <w:tblStyle w:val="TableGrid"/>
        <w:tblW w:w="8506" w:type="dxa"/>
        <w:tblInd w:w="566" w:type="dxa"/>
        <w:tblCellMar>
          <w:left w:w="108" w:type="dxa"/>
          <w:right w:w="55" w:type="dxa"/>
        </w:tblCellMar>
        <w:tblLook w:val="04A0"/>
      </w:tblPr>
      <w:tblGrid>
        <w:gridCol w:w="5388"/>
        <w:gridCol w:w="3118"/>
      </w:tblGrid>
      <w:tr w:rsidR="00583F83">
        <w:trPr>
          <w:trHeight w:val="283"/>
        </w:trPr>
        <w:tc>
          <w:tcPr>
            <w:tcW w:w="5388"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1"/>
              </w:rPr>
              <w:t>项目</w:t>
            </w:r>
          </w:p>
        </w:tc>
        <w:tc>
          <w:tcPr>
            <w:tcW w:w="3118"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right="50" w:firstLine="0"/>
              <w:jc w:val="right"/>
            </w:pPr>
            <w:r>
              <w:rPr>
                <w:sz w:val="21"/>
              </w:rPr>
              <w:t>金额</w:t>
            </w:r>
          </w:p>
        </w:tc>
      </w:tr>
      <w:tr w:rsidR="00583F83">
        <w:trPr>
          <w:trHeight w:val="283"/>
        </w:trPr>
        <w:tc>
          <w:tcPr>
            <w:tcW w:w="5388" w:type="dxa"/>
            <w:tcBorders>
              <w:top w:val="single" w:sz="4" w:space="0" w:color="000000"/>
              <w:left w:val="single" w:sz="4" w:space="0" w:color="000000"/>
              <w:bottom w:val="single" w:sz="4" w:space="0" w:color="000000"/>
              <w:right w:val="single" w:sz="4" w:space="0" w:color="000000"/>
            </w:tcBorders>
          </w:tcPr>
          <w:p w:rsidR="00583F83" w:rsidRDefault="00E22DB5">
            <w:pPr>
              <w:spacing w:after="0"/>
              <w:ind w:left="0" w:firstLine="0"/>
            </w:pPr>
            <w:r>
              <w:rPr>
                <w:sz w:val="21"/>
              </w:rPr>
              <w:t>一、最后运作日</w:t>
            </w:r>
            <w:r w:rsidR="002F7911">
              <w:rPr>
                <w:rFonts w:ascii="Times New Roman" w:eastAsia="Times New Roman" w:hAnsi="Times New Roman" w:cs="Times New Roman"/>
                <w:sz w:val="21"/>
              </w:rPr>
              <w:t>2017</w:t>
            </w:r>
            <w:r>
              <w:rPr>
                <w:sz w:val="21"/>
              </w:rPr>
              <w:t>年</w:t>
            </w:r>
            <w:r w:rsidR="002F7911">
              <w:rPr>
                <w:rFonts w:ascii="Times New Roman" w:eastAsia="Times New Roman" w:hAnsi="Times New Roman" w:cs="Times New Roman"/>
                <w:sz w:val="21"/>
              </w:rPr>
              <w:t>10</w:t>
            </w:r>
            <w:r>
              <w:rPr>
                <w:sz w:val="21"/>
              </w:rPr>
              <w:t>月</w:t>
            </w:r>
            <w:r w:rsidR="002F7911">
              <w:rPr>
                <w:rFonts w:ascii="Times New Roman" w:eastAsia="Times New Roman" w:hAnsi="Times New Roman" w:cs="Times New Roman"/>
                <w:sz w:val="21"/>
              </w:rPr>
              <w:t>11</w:t>
            </w:r>
            <w:r>
              <w:rPr>
                <w:sz w:val="21"/>
              </w:rPr>
              <w:t>日基金净资产</w:t>
            </w:r>
          </w:p>
        </w:tc>
        <w:tc>
          <w:tcPr>
            <w:tcW w:w="3118" w:type="dxa"/>
            <w:tcBorders>
              <w:top w:val="single" w:sz="4" w:space="0" w:color="000000"/>
              <w:left w:val="single" w:sz="4" w:space="0" w:color="000000"/>
              <w:bottom w:val="single" w:sz="4" w:space="0" w:color="000000"/>
              <w:right w:val="single" w:sz="4" w:space="0" w:color="000000"/>
            </w:tcBorders>
          </w:tcPr>
          <w:p w:rsidR="00583F83" w:rsidRDefault="00F50B4C" w:rsidP="00F50B4C">
            <w:pPr>
              <w:jc w:val="right"/>
            </w:pPr>
            <w:r w:rsidRPr="00F50B4C">
              <w:rPr>
                <w:sz w:val="22"/>
              </w:rPr>
              <w:t>9</w:t>
            </w:r>
            <w:r w:rsidRPr="00F50B4C">
              <w:rPr>
                <w:rFonts w:hint="eastAsia"/>
                <w:sz w:val="22"/>
              </w:rPr>
              <w:t>,</w:t>
            </w:r>
            <w:r w:rsidRPr="00F50B4C">
              <w:rPr>
                <w:sz w:val="22"/>
              </w:rPr>
              <w:t>481</w:t>
            </w:r>
            <w:r w:rsidRPr="00F50B4C">
              <w:rPr>
                <w:rFonts w:hint="eastAsia"/>
                <w:sz w:val="22"/>
              </w:rPr>
              <w:t>,</w:t>
            </w:r>
            <w:r w:rsidRPr="00F50B4C">
              <w:rPr>
                <w:sz w:val="22"/>
              </w:rPr>
              <w:t>693.77</w:t>
            </w:r>
          </w:p>
        </w:tc>
      </w:tr>
      <w:tr w:rsidR="00E22640">
        <w:trPr>
          <w:trHeight w:val="281"/>
        </w:trPr>
        <w:tc>
          <w:tcPr>
            <w:tcW w:w="5388" w:type="dxa"/>
            <w:tcBorders>
              <w:top w:val="single" w:sz="4" w:space="0" w:color="000000"/>
              <w:left w:val="single" w:sz="4" w:space="0" w:color="000000"/>
              <w:bottom w:val="single" w:sz="4" w:space="0" w:color="000000"/>
              <w:right w:val="single" w:sz="4" w:space="0" w:color="000000"/>
            </w:tcBorders>
          </w:tcPr>
          <w:p w:rsidR="00E22640" w:rsidRDefault="00E22640" w:rsidP="00E22640">
            <w:pPr>
              <w:spacing w:after="0"/>
              <w:ind w:left="0" w:firstLine="0"/>
            </w:pPr>
            <w:r>
              <w:rPr>
                <w:sz w:val="21"/>
              </w:rPr>
              <w:t>加：清算期间净收益</w:t>
            </w:r>
          </w:p>
        </w:tc>
        <w:tc>
          <w:tcPr>
            <w:tcW w:w="3118" w:type="dxa"/>
            <w:tcBorders>
              <w:top w:val="single" w:sz="4" w:space="0" w:color="000000"/>
              <w:left w:val="single" w:sz="4" w:space="0" w:color="000000"/>
              <w:bottom w:val="single" w:sz="4" w:space="0" w:color="000000"/>
              <w:right w:val="single" w:sz="4" w:space="0" w:color="000000"/>
            </w:tcBorders>
          </w:tcPr>
          <w:p w:rsidR="00E22640" w:rsidRPr="00B5454B" w:rsidRDefault="00E22640" w:rsidP="00B5454B">
            <w:pPr>
              <w:jc w:val="right"/>
              <w:rPr>
                <w:sz w:val="22"/>
              </w:rPr>
            </w:pPr>
            <w:r>
              <w:rPr>
                <w:rFonts w:hint="eastAsia"/>
              </w:rPr>
              <w:t>-</w:t>
            </w:r>
            <w:r>
              <w:t>30</w:t>
            </w:r>
            <w:r>
              <w:rPr>
                <w:rFonts w:hint="eastAsia"/>
              </w:rPr>
              <w:t>,</w:t>
            </w:r>
            <w:r>
              <w:t>477</w:t>
            </w:r>
            <w:r>
              <w:rPr>
                <w:rFonts w:hint="eastAsia"/>
              </w:rPr>
              <w:t>.75</w:t>
            </w:r>
          </w:p>
        </w:tc>
      </w:tr>
      <w:tr w:rsidR="00E22640">
        <w:trPr>
          <w:trHeight w:val="283"/>
        </w:trPr>
        <w:tc>
          <w:tcPr>
            <w:tcW w:w="5388" w:type="dxa"/>
            <w:tcBorders>
              <w:top w:val="single" w:sz="4" w:space="0" w:color="000000"/>
              <w:left w:val="single" w:sz="4" w:space="0" w:color="000000"/>
              <w:bottom w:val="single" w:sz="4" w:space="0" w:color="000000"/>
              <w:right w:val="single" w:sz="4" w:space="0" w:color="000000"/>
            </w:tcBorders>
          </w:tcPr>
          <w:p w:rsidR="00E22640" w:rsidRDefault="00E22640" w:rsidP="00E22640">
            <w:pPr>
              <w:spacing w:after="0"/>
              <w:ind w:left="0" w:firstLine="0"/>
              <w:rPr>
                <w:sz w:val="21"/>
              </w:rPr>
            </w:pPr>
            <w:r>
              <w:rPr>
                <w:rFonts w:hint="eastAsia"/>
                <w:sz w:val="21"/>
              </w:rPr>
              <w:t>减</w:t>
            </w:r>
            <w:r>
              <w:rPr>
                <w:sz w:val="21"/>
              </w:rPr>
              <w:t>：</w:t>
            </w:r>
            <w:r>
              <w:rPr>
                <w:rFonts w:hint="eastAsia"/>
                <w:sz w:val="21"/>
              </w:rPr>
              <w:t>基金</w:t>
            </w:r>
            <w:r>
              <w:rPr>
                <w:sz w:val="21"/>
              </w:rPr>
              <w:t>净赎</w:t>
            </w:r>
            <w:r>
              <w:rPr>
                <w:rFonts w:hint="eastAsia"/>
                <w:sz w:val="21"/>
              </w:rPr>
              <w:t>回</w:t>
            </w:r>
            <w:r>
              <w:rPr>
                <w:sz w:val="21"/>
              </w:rPr>
              <w:t>金额</w:t>
            </w:r>
            <w:r>
              <w:rPr>
                <w:rFonts w:hint="eastAsia"/>
                <w:sz w:val="21"/>
              </w:rPr>
              <w:t>（</w:t>
            </w:r>
            <w:r w:rsidRPr="00BD400D">
              <w:rPr>
                <w:rFonts w:hint="eastAsia"/>
                <w:sz w:val="21"/>
              </w:rPr>
              <w:t>于2017年10月12日</w:t>
            </w:r>
            <w:r w:rsidRPr="00BD400D">
              <w:rPr>
                <w:sz w:val="21"/>
              </w:rPr>
              <w:t>确认的投资</w:t>
            </w:r>
            <w:r w:rsidRPr="00BD400D">
              <w:rPr>
                <w:rFonts w:hint="eastAsia"/>
                <w:sz w:val="21"/>
              </w:rPr>
              <w:t>者</w:t>
            </w:r>
            <w:r w:rsidRPr="00BD400D">
              <w:rPr>
                <w:sz w:val="21"/>
              </w:rPr>
              <w:t>赎</w:t>
            </w:r>
            <w:r w:rsidRPr="00BD400D">
              <w:rPr>
                <w:rFonts w:hint="eastAsia"/>
                <w:sz w:val="21"/>
              </w:rPr>
              <w:t>回申</w:t>
            </w:r>
            <w:r w:rsidRPr="00BD400D">
              <w:rPr>
                <w:sz w:val="21"/>
              </w:rPr>
              <w:t>请</w:t>
            </w:r>
            <w:r w:rsidRPr="00BD400D">
              <w:rPr>
                <w:rFonts w:hint="eastAsia"/>
                <w:sz w:val="21"/>
              </w:rPr>
              <w:t>）</w:t>
            </w:r>
          </w:p>
        </w:tc>
        <w:tc>
          <w:tcPr>
            <w:tcW w:w="3118" w:type="dxa"/>
            <w:tcBorders>
              <w:top w:val="single" w:sz="4" w:space="0" w:color="000000"/>
              <w:left w:val="single" w:sz="4" w:space="0" w:color="000000"/>
              <w:bottom w:val="single" w:sz="4" w:space="0" w:color="000000"/>
              <w:right w:val="single" w:sz="4" w:space="0" w:color="000000"/>
            </w:tcBorders>
          </w:tcPr>
          <w:p w:rsidR="00E22640" w:rsidRDefault="00E22640" w:rsidP="00E22640">
            <w:pPr>
              <w:spacing w:after="0"/>
              <w:ind w:left="0" w:right="62" w:firstLine="0"/>
              <w:jc w:val="right"/>
            </w:pPr>
            <w:r>
              <w:rPr>
                <w:rFonts w:hint="eastAsia"/>
              </w:rPr>
              <w:t>238</w:t>
            </w:r>
            <w:r>
              <w:t>,</w:t>
            </w:r>
            <w:r>
              <w:rPr>
                <w:rFonts w:hint="eastAsia"/>
              </w:rPr>
              <w:t>605.12</w:t>
            </w:r>
          </w:p>
        </w:tc>
      </w:tr>
      <w:tr w:rsidR="00E22640">
        <w:trPr>
          <w:trHeight w:val="283"/>
        </w:trPr>
        <w:tc>
          <w:tcPr>
            <w:tcW w:w="5388" w:type="dxa"/>
            <w:tcBorders>
              <w:top w:val="single" w:sz="4" w:space="0" w:color="000000"/>
              <w:left w:val="single" w:sz="4" w:space="0" w:color="000000"/>
              <w:bottom w:val="single" w:sz="4" w:space="0" w:color="000000"/>
              <w:right w:val="single" w:sz="4" w:space="0" w:color="000000"/>
            </w:tcBorders>
          </w:tcPr>
          <w:p w:rsidR="00E22640" w:rsidRDefault="00E22640" w:rsidP="00E22640">
            <w:pPr>
              <w:spacing w:after="0"/>
              <w:ind w:left="0" w:firstLine="0"/>
            </w:pPr>
            <w:r>
              <w:rPr>
                <w:sz w:val="21"/>
              </w:rPr>
              <w:t>二、</w:t>
            </w:r>
            <w:r>
              <w:rPr>
                <w:rFonts w:ascii="Times New Roman" w:eastAsia="Times New Roman" w:hAnsi="Times New Roman" w:cs="Times New Roman"/>
                <w:sz w:val="21"/>
              </w:rPr>
              <w:t>2017</w:t>
            </w:r>
            <w:r>
              <w:rPr>
                <w:sz w:val="21"/>
              </w:rPr>
              <w:t>年</w:t>
            </w:r>
            <w:r>
              <w:rPr>
                <w:rFonts w:ascii="Times New Roman" w:eastAsia="Times New Roman" w:hAnsi="Times New Roman" w:cs="Times New Roman"/>
                <w:sz w:val="21"/>
              </w:rPr>
              <w:t>11</w:t>
            </w:r>
            <w:r>
              <w:rPr>
                <w:sz w:val="21"/>
              </w:rPr>
              <w:t>月</w:t>
            </w:r>
            <w:r>
              <w:rPr>
                <w:rFonts w:ascii="Times New Roman" w:eastAsia="Times New Roman" w:hAnsi="Times New Roman" w:cs="Times New Roman"/>
                <w:sz w:val="21"/>
              </w:rPr>
              <w:t>08</w:t>
            </w:r>
            <w:r>
              <w:rPr>
                <w:sz w:val="21"/>
              </w:rPr>
              <w:t>日基金净资产</w:t>
            </w:r>
          </w:p>
        </w:tc>
        <w:tc>
          <w:tcPr>
            <w:tcW w:w="3118" w:type="dxa"/>
            <w:tcBorders>
              <w:top w:val="single" w:sz="4" w:space="0" w:color="000000"/>
              <w:left w:val="single" w:sz="4" w:space="0" w:color="000000"/>
              <w:bottom w:val="single" w:sz="4" w:space="0" w:color="000000"/>
              <w:right w:val="single" w:sz="4" w:space="0" w:color="000000"/>
            </w:tcBorders>
          </w:tcPr>
          <w:p w:rsidR="00E22640" w:rsidRPr="00E22640" w:rsidRDefault="00E22640" w:rsidP="00E22640">
            <w:pPr>
              <w:spacing w:after="0" w:line="240" w:lineRule="auto"/>
              <w:ind w:left="0" w:firstLine="0"/>
              <w:jc w:val="right"/>
              <w:rPr>
                <w:rFonts w:ascii="等线" w:eastAsia="等线" w:hAnsi="等线"/>
                <w:sz w:val="22"/>
              </w:rPr>
            </w:pPr>
            <w:r>
              <w:rPr>
                <w:rFonts w:ascii="等线" w:eastAsia="等线" w:hAnsi="等线" w:hint="eastAsia"/>
                <w:sz w:val="22"/>
              </w:rPr>
              <w:t xml:space="preserve">             9,212,610.90 </w:t>
            </w:r>
          </w:p>
        </w:tc>
      </w:tr>
    </w:tbl>
    <w:p w:rsidR="00B5454B" w:rsidRDefault="00B5454B" w:rsidP="00B5454B">
      <w:pPr>
        <w:spacing w:after="30" w:line="391" w:lineRule="auto"/>
        <w:ind w:left="0" w:firstLine="0"/>
      </w:pPr>
    </w:p>
    <w:p w:rsidR="00583F83" w:rsidRDefault="00E22DB5" w:rsidP="00472CC3">
      <w:pPr>
        <w:spacing w:after="0" w:line="391" w:lineRule="auto"/>
        <w:ind w:left="574" w:firstLine="480"/>
        <w:rPr>
          <w:rFonts w:ascii="Times New Roman" w:eastAsia="Times New Roman" w:hAnsi="Times New Roman" w:cs="Times New Roman"/>
        </w:rPr>
      </w:pPr>
      <w:r>
        <w:t>截至本次清算期结束日</w:t>
      </w:r>
      <w:r w:rsidR="00136D3C">
        <w:rPr>
          <w:rFonts w:ascii="Times New Roman" w:eastAsia="Times New Roman" w:hAnsi="Times New Roman" w:cs="Times New Roman"/>
        </w:rPr>
        <w:t>2017</w:t>
      </w:r>
      <w:r>
        <w:t xml:space="preserve">年 </w:t>
      </w:r>
      <w:r w:rsidR="00136D3C">
        <w:rPr>
          <w:rFonts w:ascii="Times New Roman" w:eastAsia="Times New Roman" w:hAnsi="Times New Roman" w:cs="Times New Roman"/>
        </w:rPr>
        <w:t>11</w:t>
      </w:r>
      <w:r>
        <w:t xml:space="preserve">月 </w:t>
      </w:r>
      <w:r w:rsidR="00136D3C">
        <w:rPr>
          <w:rFonts w:ascii="Times New Roman" w:eastAsia="Times New Roman" w:hAnsi="Times New Roman" w:cs="Times New Roman"/>
        </w:rPr>
        <w:t>0</w:t>
      </w:r>
      <w:r w:rsidR="00407EBF">
        <w:rPr>
          <w:rFonts w:ascii="Times New Roman" w:eastAsia="Times New Roman" w:hAnsi="Times New Roman" w:cs="Times New Roman"/>
        </w:rPr>
        <w:t>8</w:t>
      </w:r>
      <w:r>
        <w:t xml:space="preserve">日，本基金剩余财产为人民币 </w:t>
      </w:r>
      <w:r w:rsidR="00E22640">
        <w:rPr>
          <w:rFonts w:ascii="等线" w:eastAsia="等线" w:hAnsi="等线" w:hint="eastAsia"/>
          <w:sz w:val="22"/>
        </w:rPr>
        <w:t>9,212,610.90</w:t>
      </w:r>
      <w:r>
        <w:t>元。自本次清算期结束日次日</w:t>
      </w:r>
      <w:r w:rsidR="00136D3C">
        <w:rPr>
          <w:rFonts w:ascii="Times New Roman" w:eastAsia="Times New Roman" w:hAnsi="Times New Roman" w:cs="Times New Roman"/>
        </w:rPr>
        <w:t>2017</w:t>
      </w:r>
      <w:r>
        <w:t>年</w:t>
      </w:r>
      <w:r w:rsidR="00136D3C">
        <w:rPr>
          <w:rFonts w:ascii="Times New Roman" w:eastAsia="Times New Roman" w:hAnsi="Times New Roman" w:cs="Times New Roman"/>
        </w:rPr>
        <w:t>11</w:t>
      </w:r>
      <w:r>
        <w:t>月</w:t>
      </w:r>
      <w:r w:rsidR="001F57C8">
        <w:rPr>
          <w:rFonts w:ascii="Times New Roman" w:eastAsia="Times New Roman" w:hAnsi="Times New Roman" w:cs="Times New Roman"/>
        </w:rPr>
        <w:t>09</w:t>
      </w:r>
      <w:r>
        <w:t>日至本次清算款划出前一日的银行存款产生的利息（包括基金管理人垫付资金本金产生的利息）亦归基金份额持有人所有。</w:t>
      </w:r>
    </w:p>
    <w:p w:rsidR="00693A51" w:rsidRDefault="002375C6" w:rsidP="00472CC3">
      <w:pPr>
        <w:spacing w:after="0" w:line="391" w:lineRule="auto"/>
        <w:ind w:left="574" w:firstLine="480"/>
      </w:pPr>
      <w:r w:rsidRPr="002375C6">
        <w:rPr>
          <w:rFonts w:hint="eastAsia"/>
        </w:rPr>
        <w:t>本基金所有剩余财产将按基金份额持有人持有的基金份额比例进行分配。</w:t>
      </w:r>
    </w:p>
    <w:p w:rsidR="00583F83" w:rsidRDefault="00E22DB5" w:rsidP="00205EB2">
      <w:pPr>
        <w:spacing w:beforeLines="50" w:afterLines="50"/>
        <w:ind w:firstLineChars="200" w:firstLine="480"/>
      </w:pPr>
      <w:r>
        <w:t>（六）基金清算报告的告知及剩余财产分配安排</w:t>
      </w:r>
    </w:p>
    <w:p w:rsidR="00583F83" w:rsidRDefault="00E22DB5">
      <w:pPr>
        <w:spacing w:after="394" w:line="366" w:lineRule="auto"/>
        <w:ind w:left="574" w:firstLine="480"/>
      </w:pPr>
      <w:r>
        <w:t>本清算报告已经基金托管人复核，</w:t>
      </w:r>
      <w:r w:rsidR="007B5FFF">
        <w:rPr>
          <w:rFonts w:hint="eastAsia"/>
        </w:rPr>
        <w:t>并</w:t>
      </w:r>
      <w:r>
        <w:t>与会计师事务所出具的清算审计报告、律师事务所出具的法律意见书一并报中国证监会备案后向基金份额持有人公告。清算报告公告后，基金管理人将遵照法律法规、基金合同等规定及时进行分配。</w:t>
      </w:r>
    </w:p>
    <w:p w:rsidR="004D43FF" w:rsidRDefault="004D43FF">
      <w:pPr>
        <w:pStyle w:val="1"/>
        <w:ind w:left="10" w:right="62"/>
      </w:pPr>
      <w:bookmarkStart w:id="6" w:name="_Toc12460"/>
      <w:r>
        <w:br w:type="page"/>
      </w:r>
    </w:p>
    <w:p w:rsidR="00583F83" w:rsidRDefault="00E22DB5">
      <w:pPr>
        <w:pStyle w:val="1"/>
        <w:ind w:left="10" w:right="62"/>
      </w:pPr>
      <w:r>
        <w:t>五、备查文件</w:t>
      </w:r>
      <w:bookmarkEnd w:id="6"/>
    </w:p>
    <w:p w:rsidR="00583F83" w:rsidRDefault="00E22DB5" w:rsidP="00205EB2">
      <w:pPr>
        <w:spacing w:beforeLines="50" w:afterLines="50"/>
        <w:ind w:left="1064"/>
      </w:pPr>
      <w:r>
        <w:t>（一）备查文件目录</w:t>
      </w:r>
    </w:p>
    <w:p w:rsidR="00583F83" w:rsidRDefault="00E22DB5">
      <w:pPr>
        <w:numPr>
          <w:ilvl w:val="0"/>
          <w:numId w:val="7"/>
        </w:numPr>
        <w:spacing w:after="204"/>
        <w:ind w:hanging="240"/>
      </w:pPr>
      <w:r>
        <w:t>《</w:t>
      </w:r>
      <w:r w:rsidR="007E7F53">
        <w:rPr>
          <w:rFonts w:hint="eastAsia"/>
        </w:rPr>
        <w:t>泰达宏利收益</w:t>
      </w:r>
      <w:r w:rsidR="007E7F53">
        <w:t>增强债券型</w:t>
      </w:r>
      <w:r>
        <w:t>证券投资基金清算审计报告》</w:t>
      </w:r>
    </w:p>
    <w:p w:rsidR="00583F83" w:rsidRDefault="00E22DB5" w:rsidP="00472CC3">
      <w:pPr>
        <w:numPr>
          <w:ilvl w:val="0"/>
          <w:numId w:val="7"/>
        </w:numPr>
        <w:spacing w:after="0"/>
        <w:ind w:hanging="240"/>
      </w:pPr>
      <w:r>
        <w:t>《关于</w:t>
      </w:r>
      <w:r w:rsidR="007E7F53">
        <w:rPr>
          <w:rFonts w:hint="eastAsia"/>
        </w:rPr>
        <w:t>泰达宏利收益</w:t>
      </w:r>
      <w:r w:rsidR="007E7F53">
        <w:t>增强债券型</w:t>
      </w:r>
      <w:r>
        <w:t>证券投资基金清算的法律意见》</w:t>
      </w:r>
    </w:p>
    <w:p w:rsidR="00583F83" w:rsidRDefault="00E22DB5" w:rsidP="00205EB2">
      <w:pPr>
        <w:numPr>
          <w:ilvl w:val="0"/>
          <w:numId w:val="8"/>
        </w:numPr>
        <w:spacing w:beforeLines="50" w:afterLines="50" w:line="416" w:lineRule="auto"/>
        <w:ind w:right="760" w:hanging="720"/>
      </w:pPr>
      <w:r>
        <w:t>存放地点备查文件存放于基金管理人、基金托管人处。</w:t>
      </w:r>
    </w:p>
    <w:p w:rsidR="00583F83" w:rsidRDefault="00E22DB5" w:rsidP="00205EB2">
      <w:pPr>
        <w:numPr>
          <w:ilvl w:val="0"/>
          <w:numId w:val="8"/>
        </w:numPr>
        <w:spacing w:beforeLines="50" w:afterLines="50"/>
        <w:ind w:right="760" w:hanging="720"/>
      </w:pPr>
      <w:r>
        <w:t>查阅方式</w:t>
      </w:r>
    </w:p>
    <w:p w:rsidR="00583F83" w:rsidRDefault="00E22DB5">
      <w:pPr>
        <w:spacing w:after="146"/>
        <w:ind w:left="1064"/>
      </w:pPr>
      <w:r>
        <w:t>投资者可在营业时间免费查阅备查文件。</w:t>
      </w:r>
    </w:p>
    <w:p w:rsidR="00583F83" w:rsidRDefault="00583F83">
      <w:pPr>
        <w:spacing w:after="115"/>
        <w:ind w:left="0" w:firstLine="0"/>
        <w:jc w:val="right"/>
        <w:rPr>
          <w:rFonts w:ascii="Times New Roman" w:eastAsia="Times New Roman" w:hAnsi="Times New Roman" w:cs="Times New Roman"/>
        </w:rPr>
      </w:pPr>
    </w:p>
    <w:p w:rsidR="007E7F53" w:rsidRDefault="007E7F53">
      <w:pPr>
        <w:spacing w:after="115"/>
        <w:ind w:left="0" w:firstLine="0"/>
        <w:jc w:val="right"/>
      </w:pPr>
    </w:p>
    <w:p w:rsidR="006D0F9A" w:rsidRDefault="006D0F9A">
      <w:pPr>
        <w:spacing w:line="378" w:lineRule="auto"/>
        <w:ind w:left="2343" w:right="-15"/>
        <w:jc w:val="right"/>
      </w:pPr>
      <w:r>
        <w:rPr>
          <w:rFonts w:hint="eastAsia"/>
        </w:rPr>
        <w:t>泰达宏利</w:t>
      </w:r>
      <w:r>
        <w:t>收益增强</w:t>
      </w:r>
      <w:r>
        <w:rPr>
          <w:rFonts w:hint="eastAsia"/>
        </w:rPr>
        <w:t>债券型</w:t>
      </w:r>
      <w:r w:rsidR="00E22DB5">
        <w:t>证券投资基金基金财产清算组</w:t>
      </w:r>
    </w:p>
    <w:p w:rsidR="00583F83" w:rsidRDefault="007B5FFF">
      <w:pPr>
        <w:spacing w:line="378" w:lineRule="auto"/>
        <w:ind w:left="2343" w:right="-15"/>
        <w:jc w:val="right"/>
      </w:pPr>
      <w:r>
        <w:t>201</w:t>
      </w:r>
      <w:r w:rsidR="003645EB">
        <w:rPr>
          <w:rFonts w:hint="eastAsia"/>
        </w:rPr>
        <w:t>8</w:t>
      </w:r>
      <w:r>
        <w:t>年1</w:t>
      </w:r>
      <w:r w:rsidR="00E22DB5">
        <w:t>月</w:t>
      </w:r>
      <w:r>
        <w:t>3</w:t>
      </w:r>
      <w:r w:rsidR="00E22DB5">
        <w:t>日</w:t>
      </w:r>
    </w:p>
    <w:sectPr w:rsidR="00583F83" w:rsidSect="00057108">
      <w:headerReference w:type="even" r:id="rId8"/>
      <w:headerReference w:type="default" r:id="rId9"/>
      <w:footerReference w:type="even" r:id="rId10"/>
      <w:footerReference w:type="default" r:id="rId11"/>
      <w:headerReference w:type="first" r:id="rId12"/>
      <w:footerReference w:type="first" r:id="rId13"/>
      <w:pgSz w:w="11906" w:h="16838"/>
      <w:pgMar w:top="1253" w:right="1375" w:bottom="129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F35" w:rsidRDefault="00871F35">
      <w:pPr>
        <w:spacing w:after="0" w:line="240" w:lineRule="auto"/>
      </w:pPr>
      <w:r>
        <w:separator/>
      </w:r>
    </w:p>
  </w:endnote>
  <w:endnote w:type="continuationSeparator" w:id="1">
    <w:p w:rsidR="00871F35" w:rsidRDefault="00871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微软雅黑"/>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7B7842">
    <w:pPr>
      <w:spacing w:after="0"/>
      <w:ind w:left="0" w:right="61" w:firstLine="0"/>
      <w:jc w:val="center"/>
    </w:pPr>
    <w:r w:rsidRPr="007B7842">
      <w:fldChar w:fldCharType="begin"/>
    </w:r>
    <w:r w:rsidR="00E22DB5">
      <w:instrText xml:space="preserve"> PAGE   \* MERGEFORMAT </w:instrText>
    </w:r>
    <w:r w:rsidRPr="007B7842">
      <w:fldChar w:fldCharType="separate"/>
    </w:r>
    <w:r w:rsidR="00E22DB5">
      <w:rPr>
        <w:rFonts w:ascii="Times New Roman" w:eastAsia="Times New Roman" w:hAnsi="Times New Roman" w:cs="Times New Roman"/>
        <w:sz w:val="18"/>
      </w:rPr>
      <w:t>2</w:t>
    </w:r>
    <w:r>
      <w:rPr>
        <w:rFonts w:ascii="Times New Roman" w:eastAsia="Times New Roman" w:hAnsi="Times New Roman" w:cs="Times New Roman"/>
        <w:sz w:val="18"/>
      </w:rPr>
      <w:fldChar w:fldCharType="end"/>
    </w:r>
  </w:p>
  <w:p w:rsidR="00583F83" w:rsidRDefault="00583F83">
    <w:pPr>
      <w:spacing w:after="0"/>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7B7842">
    <w:pPr>
      <w:spacing w:after="0"/>
      <w:ind w:left="0" w:right="61" w:firstLine="0"/>
      <w:jc w:val="center"/>
    </w:pPr>
    <w:r w:rsidRPr="007B7842">
      <w:fldChar w:fldCharType="begin"/>
    </w:r>
    <w:r w:rsidR="00E22DB5">
      <w:instrText xml:space="preserve"> PAGE   \* MERGEFORMAT </w:instrText>
    </w:r>
    <w:r w:rsidRPr="007B7842">
      <w:fldChar w:fldCharType="separate"/>
    </w:r>
    <w:r w:rsidR="00205EB2" w:rsidRPr="00205EB2">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p>
  <w:p w:rsidR="00583F83" w:rsidRDefault="00583F83">
    <w:pPr>
      <w:spacing w:after="0"/>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583F83">
    <w:pPr>
      <w:spacing w:after="160"/>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F35" w:rsidRDefault="00871F35">
      <w:pPr>
        <w:spacing w:after="0" w:line="240" w:lineRule="auto"/>
      </w:pPr>
      <w:r>
        <w:separator/>
      </w:r>
    </w:p>
  </w:footnote>
  <w:footnote w:type="continuationSeparator" w:id="1">
    <w:p w:rsidR="00871F35" w:rsidRDefault="00871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7B7842">
    <w:pPr>
      <w:spacing w:after="0"/>
      <w:ind w:left="0" w:right="60" w:firstLine="0"/>
      <w:jc w:val="right"/>
    </w:pPr>
    <w:r w:rsidRPr="007B7842">
      <w:rPr>
        <w:rFonts w:ascii="Calibri" w:eastAsia="Calibri" w:hAnsi="Calibri" w:cs="Calibri"/>
        <w:noProof/>
        <w:sz w:val="22"/>
      </w:rPr>
      <w:pict>
        <v:group id="Group 12084" o:spid="_x0000_s4099" style="position:absolute;left:0;text-align:left;margin-left:69.5pt;margin-top:55.2pt;width:455.5pt;height:.5pt;z-index:251658240;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">
          <v:shape id="Shape 12705" o:spid="_x0000_s4100"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" path="m,l5785104,r,9144l,9144,,e" fillcolor="black" stroked="f" strokeweight="0">
            <v:stroke opacity="0" miterlimit="10" joinstyle="miter"/>
            <v:path o:connecttype="custom" o:connectlocs="0,0;57851,0;57851,91;0,91;0,0" o:connectangles="0,0,0,0,0"/>
          </v:shape>
          <w10:wrap type="square" anchorx="page" anchory="page"/>
        </v:group>
      </w:pict>
    </w:r>
    <w:r w:rsidR="00E22DB5">
      <w:rPr>
        <w:sz w:val="18"/>
      </w:rPr>
      <w:t>上证能源交易型开放式指数发起式证券投资基金清算报告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7B7842">
    <w:pPr>
      <w:spacing w:after="0"/>
      <w:ind w:left="0" w:right="60" w:firstLine="0"/>
      <w:jc w:val="right"/>
    </w:pPr>
    <w:r w:rsidRPr="007B7842">
      <w:rPr>
        <w:rFonts w:ascii="Calibri" w:eastAsia="Calibri" w:hAnsi="Calibri" w:cs="Calibri"/>
        <w:noProof/>
        <w:sz w:val="22"/>
      </w:rPr>
      <w:pict>
        <v:group id="Group 12065" o:spid="_x0000_s4097" style="position:absolute;left:0;text-align:left;margin-left:69.5pt;margin-top:55.2pt;width:455.5pt;height:.5pt;z-index:251659264;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">
          <v:shape id="Shape 12703" o:spid="_x0000_s4098"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" path="m,l5785104,r,9144l,9144,,e" fillcolor="black" stroked="f" strokeweight="0">
            <v:stroke opacity="0" miterlimit="10" joinstyle="miter"/>
            <v:path o:connecttype="custom" o:connectlocs="0,0;57851,0;57851,91;0,91;0,0" o:connectangles="0,0,0,0,0"/>
          </v:shape>
          <w10:wrap type="square" anchorx="page" anchory="page"/>
        </v:group>
      </w:pict>
    </w:r>
    <w:r w:rsidR="002201AA">
      <w:rPr>
        <w:rFonts w:hint="eastAsia"/>
        <w:sz w:val="18"/>
      </w:rPr>
      <w:t>泰达宏利收益</w:t>
    </w:r>
    <w:r w:rsidR="002201AA">
      <w:rPr>
        <w:sz w:val="18"/>
      </w:rPr>
      <w:t>增强债券型</w:t>
    </w:r>
    <w:r w:rsidR="00E22DB5">
      <w:rPr>
        <w:sz w:val="18"/>
      </w:rPr>
      <w:t>证券投资基金清算报告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583F83">
    <w:pPr>
      <w:spacing w:after="160"/>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6221"/>
    <w:multiLevelType w:val="hybridMultilevel"/>
    <w:tmpl w:val="AB28B7AC"/>
    <w:lvl w:ilvl="0" w:tplc="D5E0A4E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D60297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D56450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2E09BB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26863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0BE328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0D4EBA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2BE237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4CE59C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nsid w:val="24EF0BFB"/>
    <w:multiLevelType w:val="hybridMultilevel"/>
    <w:tmpl w:val="86E6A4D2"/>
    <w:lvl w:ilvl="0" w:tplc="9AF65F8C">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C2AE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09DB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83E6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A517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2212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2F7B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0DE9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ABA1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B8679FB"/>
    <w:multiLevelType w:val="hybridMultilevel"/>
    <w:tmpl w:val="A718F042"/>
    <w:lvl w:ilvl="0" w:tplc="B474795A">
      <w:start w:val="2"/>
      <w:numFmt w:val="ideographDigital"/>
      <w:lvlText w:val="（%1）"/>
      <w:lvlJc w:val="left"/>
      <w:pPr>
        <w:ind w:left="17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300088C">
      <w:start w:val="1"/>
      <w:numFmt w:val="lowerLetter"/>
      <w:lvlText w:val="%2"/>
      <w:lvlJc w:val="left"/>
      <w:pPr>
        <w:ind w:left="165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6161C0A">
      <w:start w:val="1"/>
      <w:numFmt w:val="lowerRoman"/>
      <w:lvlText w:val="%3"/>
      <w:lvlJc w:val="left"/>
      <w:pPr>
        <w:ind w:left="23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A084CCE">
      <w:start w:val="1"/>
      <w:numFmt w:val="decimal"/>
      <w:lvlText w:val="%4"/>
      <w:lvlJc w:val="left"/>
      <w:pPr>
        <w:ind w:left="309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35E49FE">
      <w:start w:val="1"/>
      <w:numFmt w:val="lowerLetter"/>
      <w:lvlText w:val="%5"/>
      <w:lvlJc w:val="left"/>
      <w:pPr>
        <w:ind w:left="381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444DA86">
      <w:start w:val="1"/>
      <w:numFmt w:val="lowerRoman"/>
      <w:lvlText w:val="%6"/>
      <w:lvlJc w:val="left"/>
      <w:pPr>
        <w:ind w:left="453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014ECBE">
      <w:start w:val="1"/>
      <w:numFmt w:val="decimal"/>
      <w:lvlText w:val="%7"/>
      <w:lvlJc w:val="left"/>
      <w:pPr>
        <w:ind w:left="525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43ECEBA">
      <w:start w:val="1"/>
      <w:numFmt w:val="lowerLetter"/>
      <w:lvlText w:val="%8"/>
      <w:lvlJc w:val="left"/>
      <w:pPr>
        <w:ind w:left="59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93AEBC6">
      <w:start w:val="1"/>
      <w:numFmt w:val="lowerRoman"/>
      <w:lvlText w:val="%9"/>
      <w:lvlJc w:val="left"/>
      <w:pPr>
        <w:ind w:left="669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nsid w:val="330160AA"/>
    <w:multiLevelType w:val="hybridMultilevel"/>
    <w:tmpl w:val="669A947E"/>
    <w:lvl w:ilvl="0" w:tplc="8E8E6F7C">
      <w:start w:val="1"/>
      <w:numFmt w:val="japaneseCounting"/>
      <w:lvlText w:val="%1、"/>
      <w:lvlJc w:val="left"/>
      <w:pPr>
        <w:ind w:left="570" w:hanging="570"/>
      </w:pPr>
      <w:rPr>
        <w:rFonts w:ascii="宋体" w:eastAsia="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C354BF"/>
    <w:multiLevelType w:val="hybridMultilevel"/>
    <w:tmpl w:val="DBF6197C"/>
    <w:lvl w:ilvl="0" w:tplc="FABA4D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6AA5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C957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8DAD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CD55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6CD8C">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26EF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0490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86EF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48C44E5"/>
    <w:multiLevelType w:val="hybridMultilevel"/>
    <w:tmpl w:val="91946244"/>
    <w:lvl w:ilvl="0" w:tplc="5CE2E1B8">
      <w:start w:val="1"/>
      <w:numFmt w:val="decimal"/>
      <w:lvlText w:val="%1、"/>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A45A2">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EA06A">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85A54">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CD2E6">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C56D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6570E">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A5A82">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838E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4B44104"/>
    <w:multiLevelType w:val="hybridMultilevel"/>
    <w:tmpl w:val="EB1AF392"/>
    <w:lvl w:ilvl="0" w:tplc="D38E643C">
      <w:start w:val="1"/>
      <w:numFmt w:val="decimal"/>
      <w:lvlText w:val="（%1）"/>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D0C6BD0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FC3E835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EF0A91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AC6C0C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4F6EF9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2E2A0D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0E8CB5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53AF27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7">
    <w:nsid w:val="5EFA65DB"/>
    <w:multiLevelType w:val="hybridMultilevel"/>
    <w:tmpl w:val="7CBA6C42"/>
    <w:lvl w:ilvl="0" w:tplc="BCD00B9A">
      <w:start w:val="1"/>
      <w:numFmt w:val="decimal"/>
      <w:lvlText w:val="%1、"/>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22C46">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4D85E">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28F74">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100A">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811FA">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43078">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4C30E">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8B662">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F7521AF"/>
    <w:multiLevelType w:val="hybridMultilevel"/>
    <w:tmpl w:val="E988C7F4"/>
    <w:lvl w:ilvl="0" w:tplc="7ED433BC">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4995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0E89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28AE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8D4A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288BA">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6128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16E88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CC1FE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6"/>
  </w:num>
  <w:num w:numId="4">
    <w:abstractNumId w:val="8"/>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useFELayout/>
  </w:compat>
  <w:rsids>
    <w:rsidRoot w:val="00583F83"/>
    <w:rsid w:val="00010201"/>
    <w:rsid w:val="000147D7"/>
    <w:rsid w:val="00015A39"/>
    <w:rsid w:val="000272CC"/>
    <w:rsid w:val="00041996"/>
    <w:rsid w:val="000468B4"/>
    <w:rsid w:val="00057108"/>
    <w:rsid w:val="00081CD4"/>
    <w:rsid w:val="000853BB"/>
    <w:rsid w:val="000968FD"/>
    <w:rsid w:val="000D2498"/>
    <w:rsid w:val="001145ED"/>
    <w:rsid w:val="00136D3C"/>
    <w:rsid w:val="00147E14"/>
    <w:rsid w:val="001E02D9"/>
    <w:rsid w:val="001E1541"/>
    <w:rsid w:val="001F57C8"/>
    <w:rsid w:val="001F5CB8"/>
    <w:rsid w:val="002003A8"/>
    <w:rsid w:val="00205EB2"/>
    <w:rsid w:val="002201AA"/>
    <w:rsid w:val="002375C6"/>
    <w:rsid w:val="00237A05"/>
    <w:rsid w:val="00262714"/>
    <w:rsid w:val="00293BD8"/>
    <w:rsid w:val="002C5CF5"/>
    <w:rsid w:val="002C7CBF"/>
    <w:rsid w:val="002F7911"/>
    <w:rsid w:val="002F7C15"/>
    <w:rsid w:val="003262CB"/>
    <w:rsid w:val="003577C6"/>
    <w:rsid w:val="003645EB"/>
    <w:rsid w:val="003662D2"/>
    <w:rsid w:val="003756AC"/>
    <w:rsid w:val="003868D1"/>
    <w:rsid w:val="00397C7F"/>
    <w:rsid w:val="003A4202"/>
    <w:rsid w:val="003E7B32"/>
    <w:rsid w:val="003F206A"/>
    <w:rsid w:val="003F771C"/>
    <w:rsid w:val="00407EBF"/>
    <w:rsid w:val="00424901"/>
    <w:rsid w:val="00443794"/>
    <w:rsid w:val="004441E9"/>
    <w:rsid w:val="0045457D"/>
    <w:rsid w:val="0046224B"/>
    <w:rsid w:val="00462D21"/>
    <w:rsid w:val="00466925"/>
    <w:rsid w:val="00472CC3"/>
    <w:rsid w:val="0049085B"/>
    <w:rsid w:val="004927A2"/>
    <w:rsid w:val="00493D50"/>
    <w:rsid w:val="00495924"/>
    <w:rsid w:val="004B0F8D"/>
    <w:rsid w:val="004D43FF"/>
    <w:rsid w:val="004E07D9"/>
    <w:rsid w:val="004E2859"/>
    <w:rsid w:val="004F413E"/>
    <w:rsid w:val="004F5382"/>
    <w:rsid w:val="00514129"/>
    <w:rsid w:val="005353D0"/>
    <w:rsid w:val="00540177"/>
    <w:rsid w:val="005467BC"/>
    <w:rsid w:val="0058043E"/>
    <w:rsid w:val="00583F83"/>
    <w:rsid w:val="005A7EBC"/>
    <w:rsid w:val="005C4337"/>
    <w:rsid w:val="005D2965"/>
    <w:rsid w:val="00611794"/>
    <w:rsid w:val="006331A3"/>
    <w:rsid w:val="00634ADB"/>
    <w:rsid w:val="00655ECC"/>
    <w:rsid w:val="00693A51"/>
    <w:rsid w:val="006B2401"/>
    <w:rsid w:val="006B3A78"/>
    <w:rsid w:val="006C3BBA"/>
    <w:rsid w:val="006C4FDC"/>
    <w:rsid w:val="006D0F9A"/>
    <w:rsid w:val="006E146B"/>
    <w:rsid w:val="006E4466"/>
    <w:rsid w:val="007004A6"/>
    <w:rsid w:val="0071069F"/>
    <w:rsid w:val="00710E91"/>
    <w:rsid w:val="0071283A"/>
    <w:rsid w:val="007174A8"/>
    <w:rsid w:val="00783016"/>
    <w:rsid w:val="007A62D1"/>
    <w:rsid w:val="007B5FFF"/>
    <w:rsid w:val="007B7842"/>
    <w:rsid w:val="007C0222"/>
    <w:rsid w:val="007E7F53"/>
    <w:rsid w:val="007F12EF"/>
    <w:rsid w:val="007F3697"/>
    <w:rsid w:val="008477AF"/>
    <w:rsid w:val="00852D7D"/>
    <w:rsid w:val="0085702A"/>
    <w:rsid w:val="00867382"/>
    <w:rsid w:val="00871F35"/>
    <w:rsid w:val="008A29B3"/>
    <w:rsid w:val="008A5FB4"/>
    <w:rsid w:val="008B46B9"/>
    <w:rsid w:val="008B5F42"/>
    <w:rsid w:val="008C4909"/>
    <w:rsid w:val="008D337B"/>
    <w:rsid w:val="008E70DB"/>
    <w:rsid w:val="008F5F32"/>
    <w:rsid w:val="00902294"/>
    <w:rsid w:val="009638E0"/>
    <w:rsid w:val="009845AA"/>
    <w:rsid w:val="009E2C1E"/>
    <w:rsid w:val="00A0264D"/>
    <w:rsid w:val="00A720E3"/>
    <w:rsid w:val="00A97FD0"/>
    <w:rsid w:val="00AF4DFB"/>
    <w:rsid w:val="00B30BB6"/>
    <w:rsid w:val="00B41B7D"/>
    <w:rsid w:val="00B520EF"/>
    <w:rsid w:val="00B5454B"/>
    <w:rsid w:val="00BB27AF"/>
    <w:rsid w:val="00BC25BB"/>
    <w:rsid w:val="00BD400D"/>
    <w:rsid w:val="00BE5FD6"/>
    <w:rsid w:val="00C03F13"/>
    <w:rsid w:val="00C067CB"/>
    <w:rsid w:val="00C410A1"/>
    <w:rsid w:val="00C51B87"/>
    <w:rsid w:val="00C653F7"/>
    <w:rsid w:val="00C7661B"/>
    <w:rsid w:val="00C86EC0"/>
    <w:rsid w:val="00CB2788"/>
    <w:rsid w:val="00CB3F0A"/>
    <w:rsid w:val="00CF04F5"/>
    <w:rsid w:val="00D166DE"/>
    <w:rsid w:val="00D17AE8"/>
    <w:rsid w:val="00D722E4"/>
    <w:rsid w:val="00D772FA"/>
    <w:rsid w:val="00DA31D5"/>
    <w:rsid w:val="00DA3710"/>
    <w:rsid w:val="00DD0DE9"/>
    <w:rsid w:val="00DD2C2C"/>
    <w:rsid w:val="00DF5BC6"/>
    <w:rsid w:val="00E22640"/>
    <w:rsid w:val="00E22DB5"/>
    <w:rsid w:val="00E24CE0"/>
    <w:rsid w:val="00E37320"/>
    <w:rsid w:val="00E52913"/>
    <w:rsid w:val="00E54B91"/>
    <w:rsid w:val="00E62022"/>
    <w:rsid w:val="00E62A83"/>
    <w:rsid w:val="00E73490"/>
    <w:rsid w:val="00E8399E"/>
    <w:rsid w:val="00ED05B4"/>
    <w:rsid w:val="00EE6FA5"/>
    <w:rsid w:val="00F02B83"/>
    <w:rsid w:val="00F15B74"/>
    <w:rsid w:val="00F50B4C"/>
    <w:rsid w:val="00F74981"/>
    <w:rsid w:val="00FB01D6"/>
    <w:rsid w:val="00FB2651"/>
    <w:rsid w:val="00FB37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08"/>
    <w:pPr>
      <w:spacing w:after="3" w:line="259" w:lineRule="auto"/>
      <w:ind w:left="10" w:hanging="10"/>
    </w:pPr>
    <w:rPr>
      <w:rFonts w:ascii="宋体" w:eastAsia="宋体" w:hAnsi="宋体" w:cs="宋体"/>
      <w:color w:val="000000"/>
      <w:sz w:val="24"/>
    </w:rPr>
  </w:style>
  <w:style w:type="paragraph" w:styleId="1">
    <w:name w:val="heading 1"/>
    <w:next w:val="a"/>
    <w:link w:val="1Char"/>
    <w:uiPriority w:val="9"/>
    <w:unhideWhenUsed/>
    <w:qFormat/>
    <w:rsid w:val="00057108"/>
    <w:pPr>
      <w:keepNext/>
      <w:keepLines/>
      <w:spacing w:after="467" w:line="259" w:lineRule="auto"/>
      <w:ind w:left="1997" w:hanging="10"/>
      <w:jc w:val="center"/>
      <w:outlineLvl w:val="0"/>
    </w:pPr>
    <w:rPr>
      <w:rFonts w:ascii="宋体" w:eastAsia="宋体" w:hAnsi="宋体" w:cs="宋体"/>
      <w:color w:val="000000"/>
      <w:sz w:val="28"/>
    </w:rPr>
  </w:style>
  <w:style w:type="paragraph" w:styleId="2">
    <w:name w:val="heading 2"/>
    <w:next w:val="a"/>
    <w:link w:val="2Char"/>
    <w:uiPriority w:val="9"/>
    <w:unhideWhenUsed/>
    <w:qFormat/>
    <w:rsid w:val="00057108"/>
    <w:pPr>
      <w:keepNext/>
      <w:keepLines/>
      <w:spacing w:after="467" w:line="259" w:lineRule="auto"/>
      <w:ind w:left="1997" w:hanging="10"/>
      <w:jc w:val="center"/>
      <w:outlineLvl w:val="1"/>
    </w:pPr>
    <w:rPr>
      <w:rFonts w:ascii="宋体" w:eastAsia="宋体" w:hAnsi="宋体" w:cs="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057108"/>
    <w:rPr>
      <w:rFonts w:ascii="宋体" w:eastAsia="宋体" w:hAnsi="宋体" w:cs="宋体"/>
      <w:color w:val="000000"/>
      <w:sz w:val="28"/>
    </w:rPr>
  </w:style>
  <w:style w:type="character" w:customStyle="1" w:styleId="1Char">
    <w:name w:val="标题 1 Char"/>
    <w:link w:val="1"/>
    <w:rsid w:val="00057108"/>
    <w:rPr>
      <w:rFonts w:ascii="宋体" w:eastAsia="宋体" w:hAnsi="宋体" w:cs="宋体"/>
      <w:color w:val="000000"/>
      <w:sz w:val="28"/>
    </w:rPr>
  </w:style>
  <w:style w:type="paragraph" w:styleId="10">
    <w:name w:val="toc 1"/>
    <w:hidden/>
    <w:rsid w:val="00057108"/>
    <w:pPr>
      <w:spacing w:after="63" w:line="366" w:lineRule="auto"/>
      <w:ind w:left="15" w:right="52"/>
      <w:jc w:val="center"/>
    </w:pPr>
    <w:rPr>
      <w:rFonts w:ascii="Times New Roman" w:eastAsia="Times New Roman" w:hAnsi="Times New Roman" w:cs="Times New Roman"/>
      <w:color w:val="000000"/>
    </w:rPr>
  </w:style>
  <w:style w:type="table" w:customStyle="1" w:styleId="TableGrid">
    <w:name w:val="TableGrid"/>
    <w:rsid w:val="00057108"/>
    <w:tblPr>
      <w:tblCellMar>
        <w:top w:w="0" w:type="dxa"/>
        <w:left w:w="0" w:type="dxa"/>
        <w:bottom w:w="0" w:type="dxa"/>
        <w:right w:w="0" w:type="dxa"/>
      </w:tblCellMar>
    </w:tblPr>
  </w:style>
  <w:style w:type="paragraph" w:styleId="a3">
    <w:name w:val="Normal (Web)"/>
    <w:basedOn w:val="a"/>
    <w:rsid w:val="006D0F9A"/>
    <w:pPr>
      <w:spacing w:before="100" w:beforeAutospacing="1" w:after="100" w:afterAutospacing="1" w:line="240" w:lineRule="auto"/>
      <w:ind w:left="0" w:firstLine="0"/>
    </w:pPr>
    <w:rPr>
      <w:rFonts w:ascii="Arial Unicode MS" w:eastAsia="Arial Unicode MS" w:hAnsi="Arial Unicode MS" w:cs="Arial Unicode MS"/>
      <w:color w:val="auto"/>
      <w:kern w:val="0"/>
      <w:szCs w:val="24"/>
      <w:lang w:val="en-GB" w:eastAsia="en-US"/>
    </w:rPr>
  </w:style>
  <w:style w:type="paragraph" w:styleId="a4">
    <w:name w:val="Balloon Text"/>
    <w:basedOn w:val="a"/>
    <w:link w:val="Char"/>
    <w:uiPriority w:val="99"/>
    <w:semiHidden/>
    <w:unhideWhenUsed/>
    <w:rsid w:val="006E146B"/>
    <w:pPr>
      <w:spacing w:after="0" w:line="240" w:lineRule="auto"/>
    </w:pPr>
    <w:rPr>
      <w:sz w:val="18"/>
      <w:szCs w:val="18"/>
    </w:rPr>
  </w:style>
  <w:style w:type="character" w:customStyle="1" w:styleId="Char">
    <w:name w:val="批注框文本 Char"/>
    <w:basedOn w:val="a0"/>
    <w:link w:val="a4"/>
    <w:uiPriority w:val="99"/>
    <w:semiHidden/>
    <w:rsid w:val="006E146B"/>
    <w:rPr>
      <w:rFonts w:ascii="宋体" w:eastAsia="宋体" w:hAnsi="宋体" w:cs="宋体"/>
      <w:color w:val="000000"/>
      <w:sz w:val="18"/>
      <w:szCs w:val="18"/>
    </w:rPr>
  </w:style>
  <w:style w:type="paragraph" w:customStyle="1" w:styleId="Default">
    <w:name w:val="Default"/>
    <w:rsid w:val="00FB01D6"/>
    <w:pPr>
      <w:widowControl w:val="0"/>
      <w:autoSpaceDE w:val="0"/>
      <w:autoSpaceDN w:val="0"/>
      <w:adjustRightInd w:val="0"/>
    </w:pPr>
    <w:rPr>
      <w:rFonts w:ascii="宋体" w:eastAsia="宋体" w:cs="宋体"/>
      <w:color w:val="000000"/>
      <w:kern w:val="0"/>
      <w:sz w:val="24"/>
      <w:szCs w:val="24"/>
    </w:rPr>
  </w:style>
  <w:style w:type="table" w:styleId="a5">
    <w:name w:val="Table Grid"/>
    <w:basedOn w:val="a1"/>
    <w:uiPriority w:val="39"/>
    <w:rsid w:val="00BB2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8D337B"/>
    <w:rPr>
      <w:sz w:val="21"/>
      <w:szCs w:val="21"/>
    </w:rPr>
  </w:style>
  <w:style w:type="paragraph" w:styleId="a7">
    <w:name w:val="annotation text"/>
    <w:basedOn w:val="a"/>
    <w:link w:val="Char0"/>
    <w:uiPriority w:val="99"/>
    <w:semiHidden/>
    <w:unhideWhenUsed/>
    <w:rsid w:val="008D337B"/>
  </w:style>
  <w:style w:type="character" w:customStyle="1" w:styleId="Char0">
    <w:name w:val="批注文字 Char"/>
    <w:basedOn w:val="a0"/>
    <w:link w:val="a7"/>
    <w:uiPriority w:val="99"/>
    <w:semiHidden/>
    <w:rsid w:val="008D337B"/>
    <w:rPr>
      <w:rFonts w:ascii="宋体" w:eastAsia="宋体" w:hAnsi="宋体" w:cs="宋体"/>
      <w:color w:val="000000"/>
      <w:sz w:val="24"/>
    </w:rPr>
  </w:style>
  <w:style w:type="paragraph" w:styleId="a8">
    <w:name w:val="annotation subject"/>
    <w:basedOn w:val="a7"/>
    <w:next w:val="a7"/>
    <w:link w:val="Char1"/>
    <w:uiPriority w:val="99"/>
    <w:semiHidden/>
    <w:unhideWhenUsed/>
    <w:rsid w:val="008D337B"/>
    <w:rPr>
      <w:b/>
      <w:bCs/>
    </w:rPr>
  </w:style>
  <w:style w:type="character" w:customStyle="1" w:styleId="Char1">
    <w:name w:val="批注主题 Char"/>
    <w:basedOn w:val="Char0"/>
    <w:link w:val="a8"/>
    <w:uiPriority w:val="99"/>
    <w:semiHidden/>
    <w:rsid w:val="008D337B"/>
    <w:rPr>
      <w:rFonts w:ascii="宋体" w:eastAsia="宋体" w:hAnsi="宋体" w:cs="宋体"/>
      <w:b/>
      <w:bCs/>
      <w:color w:val="000000"/>
      <w:sz w:val="24"/>
    </w:rPr>
  </w:style>
  <w:style w:type="paragraph" w:styleId="a9">
    <w:name w:val="Revision"/>
    <w:hidden/>
    <w:uiPriority w:val="99"/>
    <w:semiHidden/>
    <w:rsid w:val="008D337B"/>
    <w:rPr>
      <w:rFonts w:ascii="宋体" w:eastAsia="宋体" w:hAnsi="宋体" w:cs="宋体"/>
      <w:color w:val="000000"/>
      <w:sz w:val="24"/>
    </w:rPr>
  </w:style>
</w:styles>
</file>

<file path=word/webSettings.xml><?xml version="1.0" encoding="utf-8"?>
<w:webSettings xmlns:r="http://schemas.openxmlformats.org/officeDocument/2006/relationships" xmlns:w="http://schemas.openxmlformats.org/wordprocessingml/2006/main">
  <w:divs>
    <w:div w:id="81806214">
      <w:bodyDiv w:val="1"/>
      <w:marLeft w:val="0"/>
      <w:marRight w:val="0"/>
      <w:marTop w:val="0"/>
      <w:marBottom w:val="0"/>
      <w:divBdr>
        <w:top w:val="none" w:sz="0" w:space="0" w:color="auto"/>
        <w:left w:val="none" w:sz="0" w:space="0" w:color="auto"/>
        <w:bottom w:val="none" w:sz="0" w:space="0" w:color="auto"/>
        <w:right w:val="none" w:sz="0" w:space="0" w:color="auto"/>
      </w:divBdr>
    </w:div>
    <w:div w:id="128010714">
      <w:bodyDiv w:val="1"/>
      <w:marLeft w:val="0"/>
      <w:marRight w:val="0"/>
      <w:marTop w:val="0"/>
      <w:marBottom w:val="0"/>
      <w:divBdr>
        <w:top w:val="none" w:sz="0" w:space="0" w:color="auto"/>
        <w:left w:val="none" w:sz="0" w:space="0" w:color="auto"/>
        <w:bottom w:val="none" w:sz="0" w:space="0" w:color="auto"/>
        <w:right w:val="none" w:sz="0" w:space="0" w:color="auto"/>
      </w:divBdr>
    </w:div>
    <w:div w:id="159851171">
      <w:bodyDiv w:val="1"/>
      <w:marLeft w:val="0"/>
      <w:marRight w:val="0"/>
      <w:marTop w:val="0"/>
      <w:marBottom w:val="0"/>
      <w:divBdr>
        <w:top w:val="none" w:sz="0" w:space="0" w:color="auto"/>
        <w:left w:val="none" w:sz="0" w:space="0" w:color="auto"/>
        <w:bottom w:val="none" w:sz="0" w:space="0" w:color="auto"/>
        <w:right w:val="none" w:sz="0" w:space="0" w:color="auto"/>
      </w:divBdr>
    </w:div>
    <w:div w:id="164370541">
      <w:bodyDiv w:val="1"/>
      <w:marLeft w:val="0"/>
      <w:marRight w:val="0"/>
      <w:marTop w:val="0"/>
      <w:marBottom w:val="0"/>
      <w:divBdr>
        <w:top w:val="none" w:sz="0" w:space="0" w:color="auto"/>
        <w:left w:val="none" w:sz="0" w:space="0" w:color="auto"/>
        <w:bottom w:val="none" w:sz="0" w:space="0" w:color="auto"/>
        <w:right w:val="none" w:sz="0" w:space="0" w:color="auto"/>
      </w:divBdr>
    </w:div>
    <w:div w:id="261650140">
      <w:bodyDiv w:val="1"/>
      <w:marLeft w:val="0"/>
      <w:marRight w:val="0"/>
      <w:marTop w:val="0"/>
      <w:marBottom w:val="0"/>
      <w:divBdr>
        <w:top w:val="none" w:sz="0" w:space="0" w:color="auto"/>
        <w:left w:val="none" w:sz="0" w:space="0" w:color="auto"/>
        <w:bottom w:val="none" w:sz="0" w:space="0" w:color="auto"/>
        <w:right w:val="none" w:sz="0" w:space="0" w:color="auto"/>
      </w:divBdr>
    </w:div>
    <w:div w:id="322205102">
      <w:bodyDiv w:val="1"/>
      <w:marLeft w:val="0"/>
      <w:marRight w:val="0"/>
      <w:marTop w:val="0"/>
      <w:marBottom w:val="0"/>
      <w:divBdr>
        <w:top w:val="none" w:sz="0" w:space="0" w:color="auto"/>
        <w:left w:val="none" w:sz="0" w:space="0" w:color="auto"/>
        <w:bottom w:val="none" w:sz="0" w:space="0" w:color="auto"/>
        <w:right w:val="none" w:sz="0" w:space="0" w:color="auto"/>
      </w:divBdr>
    </w:div>
    <w:div w:id="322440931">
      <w:bodyDiv w:val="1"/>
      <w:marLeft w:val="0"/>
      <w:marRight w:val="0"/>
      <w:marTop w:val="0"/>
      <w:marBottom w:val="0"/>
      <w:divBdr>
        <w:top w:val="none" w:sz="0" w:space="0" w:color="auto"/>
        <w:left w:val="none" w:sz="0" w:space="0" w:color="auto"/>
        <w:bottom w:val="none" w:sz="0" w:space="0" w:color="auto"/>
        <w:right w:val="none" w:sz="0" w:space="0" w:color="auto"/>
      </w:divBdr>
    </w:div>
    <w:div w:id="358434999">
      <w:bodyDiv w:val="1"/>
      <w:marLeft w:val="0"/>
      <w:marRight w:val="0"/>
      <w:marTop w:val="0"/>
      <w:marBottom w:val="0"/>
      <w:divBdr>
        <w:top w:val="none" w:sz="0" w:space="0" w:color="auto"/>
        <w:left w:val="none" w:sz="0" w:space="0" w:color="auto"/>
        <w:bottom w:val="none" w:sz="0" w:space="0" w:color="auto"/>
        <w:right w:val="none" w:sz="0" w:space="0" w:color="auto"/>
      </w:divBdr>
    </w:div>
    <w:div w:id="478889151">
      <w:bodyDiv w:val="1"/>
      <w:marLeft w:val="0"/>
      <w:marRight w:val="0"/>
      <w:marTop w:val="0"/>
      <w:marBottom w:val="0"/>
      <w:divBdr>
        <w:top w:val="none" w:sz="0" w:space="0" w:color="auto"/>
        <w:left w:val="none" w:sz="0" w:space="0" w:color="auto"/>
        <w:bottom w:val="none" w:sz="0" w:space="0" w:color="auto"/>
        <w:right w:val="none" w:sz="0" w:space="0" w:color="auto"/>
      </w:divBdr>
    </w:div>
    <w:div w:id="535239436">
      <w:bodyDiv w:val="1"/>
      <w:marLeft w:val="0"/>
      <w:marRight w:val="0"/>
      <w:marTop w:val="0"/>
      <w:marBottom w:val="0"/>
      <w:divBdr>
        <w:top w:val="none" w:sz="0" w:space="0" w:color="auto"/>
        <w:left w:val="none" w:sz="0" w:space="0" w:color="auto"/>
        <w:bottom w:val="none" w:sz="0" w:space="0" w:color="auto"/>
        <w:right w:val="none" w:sz="0" w:space="0" w:color="auto"/>
      </w:divBdr>
    </w:div>
    <w:div w:id="557011992">
      <w:bodyDiv w:val="1"/>
      <w:marLeft w:val="0"/>
      <w:marRight w:val="0"/>
      <w:marTop w:val="0"/>
      <w:marBottom w:val="0"/>
      <w:divBdr>
        <w:top w:val="none" w:sz="0" w:space="0" w:color="auto"/>
        <w:left w:val="none" w:sz="0" w:space="0" w:color="auto"/>
        <w:bottom w:val="none" w:sz="0" w:space="0" w:color="auto"/>
        <w:right w:val="none" w:sz="0" w:space="0" w:color="auto"/>
      </w:divBdr>
    </w:div>
    <w:div w:id="640965024">
      <w:bodyDiv w:val="1"/>
      <w:marLeft w:val="0"/>
      <w:marRight w:val="0"/>
      <w:marTop w:val="0"/>
      <w:marBottom w:val="0"/>
      <w:divBdr>
        <w:top w:val="none" w:sz="0" w:space="0" w:color="auto"/>
        <w:left w:val="none" w:sz="0" w:space="0" w:color="auto"/>
        <w:bottom w:val="none" w:sz="0" w:space="0" w:color="auto"/>
        <w:right w:val="none" w:sz="0" w:space="0" w:color="auto"/>
      </w:divBdr>
    </w:div>
    <w:div w:id="865288756">
      <w:bodyDiv w:val="1"/>
      <w:marLeft w:val="0"/>
      <w:marRight w:val="0"/>
      <w:marTop w:val="0"/>
      <w:marBottom w:val="0"/>
      <w:divBdr>
        <w:top w:val="none" w:sz="0" w:space="0" w:color="auto"/>
        <w:left w:val="none" w:sz="0" w:space="0" w:color="auto"/>
        <w:bottom w:val="none" w:sz="0" w:space="0" w:color="auto"/>
        <w:right w:val="none" w:sz="0" w:space="0" w:color="auto"/>
      </w:divBdr>
    </w:div>
    <w:div w:id="1138760517">
      <w:bodyDiv w:val="1"/>
      <w:marLeft w:val="0"/>
      <w:marRight w:val="0"/>
      <w:marTop w:val="0"/>
      <w:marBottom w:val="0"/>
      <w:divBdr>
        <w:top w:val="none" w:sz="0" w:space="0" w:color="auto"/>
        <w:left w:val="none" w:sz="0" w:space="0" w:color="auto"/>
        <w:bottom w:val="none" w:sz="0" w:space="0" w:color="auto"/>
        <w:right w:val="none" w:sz="0" w:space="0" w:color="auto"/>
      </w:divBdr>
    </w:div>
    <w:div w:id="1157845521">
      <w:bodyDiv w:val="1"/>
      <w:marLeft w:val="0"/>
      <w:marRight w:val="0"/>
      <w:marTop w:val="0"/>
      <w:marBottom w:val="0"/>
      <w:divBdr>
        <w:top w:val="none" w:sz="0" w:space="0" w:color="auto"/>
        <w:left w:val="none" w:sz="0" w:space="0" w:color="auto"/>
        <w:bottom w:val="none" w:sz="0" w:space="0" w:color="auto"/>
        <w:right w:val="none" w:sz="0" w:space="0" w:color="auto"/>
      </w:divBdr>
    </w:div>
    <w:div w:id="1248347834">
      <w:bodyDiv w:val="1"/>
      <w:marLeft w:val="0"/>
      <w:marRight w:val="0"/>
      <w:marTop w:val="0"/>
      <w:marBottom w:val="0"/>
      <w:divBdr>
        <w:top w:val="none" w:sz="0" w:space="0" w:color="auto"/>
        <w:left w:val="none" w:sz="0" w:space="0" w:color="auto"/>
        <w:bottom w:val="none" w:sz="0" w:space="0" w:color="auto"/>
        <w:right w:val="none" w:sz="0" w:space="0" w:color="auto"/>
      </w:divBdr>
    </w:div>
    <w:div w:id="1381978989">
      <w:bodyDiv w:val="1"/>
      <w:marLeft w:val="0"/>
      <w:marRight w:val="0"/>
      <w:marTop w:val="0"/>
      <w:marBottom w:val="0"/>
      <w:divBdr>
        <w:top w:val="none" w:sz="0" w:space="0" w:color="auto"/>
        <w:left w:val="none" w:sz="0" w:space="0" w:color="auto"/>
        <w:bottom w:val="none" w:sz="0" w:space="0" w:color="auto"/>
        <w:right w:val="none" w:sz="0" w:space="0" w:color="auto"/>
      </w:divBdr>
    </w:div>
    <w:div w:id="1571114358">
      <w:bodyDiv w:val="1"/>
      <w:marLeft w:val="0"/>
      <w:marRight w:val="0"/>
      <w:marTop w:val="0"/>
      <w:marBottom w:val="0"/>
      <w:divBdr>
        <w:top w:val="none" w:sz="0" w:space="0" w:color="auto"/>
        <w:left w:val="none" w:sz="0" w:space="0" w:color="auto"/>
        <w:bottom w:val="none" w:sz="0" w:space="0" w:color="auto"/>
        <w:right w:val="none" w:sz="0" w:space="0" w:color="auto"/>
      </w:divBdr>
    </w:div>
    <w:div w:id="1683627380">
      <w:bodyDiv w:val="1"/>
      <w:marLeft w:val="0"/>
      <w:marRight w:val="0"/>
      <w:marTop w:val="0"/>
      <w:marBottom w:val="0"/>
      <w:divBdr>
        <w:top w:val="none" w:sz="0" w:space="0" w:color="auto"/>
        <w:left w:val="none" w:sz="0" w:space="0" w:color="auto"/>
        <w:bottom w:val="none" w:sz="0" w:space="0" w:color="auto"/>
        <w:right w:val="none" w:sz="0" w:space="0" w:color="auto"/>
      </w:divBdr>
    </w:div>
    <w:div w:id="1877427468">
      <w:bodyDiv w:val="1"/>
      <w:marLeft w:val="0"/>
      <w:marRight w:val="0"/>
      <w:marTop w:val="0"/>
      <w:marBottom w:val="0"/>
      <w:divBdr>
        <w:top w:val="none" w:sz="0" w:space="0" w:color="auto"/>
        <w:left w:val="none" w:sz="0" w:space="0" w:color="auto"/>
        <w:bottom w:val="none" w:sz="0" w:space="0" w:color="auto"/>
        <w:right w:val="none" w:sz="0" w:space="0" w:color="auto"/>
      </w:divBdr>
    </w:div>
    <w:div w:id="21320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68AF-907B-4A59-B0B7-B52C5390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4408</Characters>
  <Application>Microsoft Office Word</Application>
  <DocSecurity>4</DocSecurity>
  <Lines>36</Lines>
  <Paragraphs>10</Paragraphs>
  <ScaleCrop>false</ScaleCrop>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清算审计报告</dc:title>
  <dc:creator>Celiya Zhang</dc:creator>
  <cp:lastModifiedBy>ZHONGM</cp:lastModifiedBy>
  <cp:revision>2</cp:revision>
  <dcterms:created xsi:type="dcterms:W3CDTF">2018-01-02T16:39:00Z</dcterms:created>
  <dcterms:modified xsi:type="dcterms:W3CDTF">2018-01-02T16:39:00Z</dcterms:modified>
</cp:coreProperties>
</file>