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A8" w:rsidRDefault="00C74EA8" w:rsidP="00D85B47">
      <w:pPr>
        <w:spacing w:line="360" w:lineRule="auto"/>
        <w:jc w:val="center"/>
        <w:rPr>
          <w:b/>
        </w:rPr>
      </w:pPr>
      <w:r w:rsidRPr="00C74EA8">
        <w:rPr>
          <w:rFonts w:hint="eastAsia"/>
          <w:b/>
        </w:rPr>
        <w:t>中欧鼎利分级债券型证券投资基金</w:t>
      </w:r>
      <w:r w:rsidR="00D85B47" w:rsidRPr="00D85B47">
        <w:rPr>
          <w:rFonts w:hint="eastAsia"/>
          <w:b/>
        </w:rPr>
        <w:t>基金转型份额转换与变更登记的公告</w:t>
      </w:r>
    </w:p>
    <w:p w:rsidR="00D85B47" w:rsidRPr="00D85B47" w:rsidRDefault="00D85B47" w:rsidP="00D85B47">
      <w:pPr>
        <w:spacing w:line="360" w:lineRule="auto"/>
        <w:jc w:val="center"/>
        <w:rPr>
          <w:b/>
        </w:rPr>
      </w:pPr>
    </w:p>
    <w:p w:rsidR="006531FC" w:rsidRDefault="006531FC" w:rsidP="00754B4E">
      <w:pPr>
        <w:spacing w:line="360" w:lineRule="auto"/>
        <w:ind w:firstLineChars="200" w:firstLine="420"/>
      </w:pPr>
      <w:r w:rsidRPr="00BF6ADA">
        <w:rPr>
          <w:rFonts w:hint="eastAsia"/>
        </w:rPr>
        <w:t>中欧鼎利分级债券型证券投资基金</w:t>
      </w:r>
      <w:r w:rsidR="00754B4E">
        <w:rPr>
          <w:rFonts w:hint="eastAsia"/>
        </w:rPr>
        <w:t>（以下简称“</w:t>
      </w:r>
      <w:r w:rsidR="00D85B47">
        <w:rPr>
          <w:rFonts w:hint="eastAsia"/>
        </w:rPr>
        <w:t>中欧鼎利分级债券基金</w:t>
      </w:r>
      <w:r w:rsidR="00754B4E">
        <w:rPr>
          <w:rFonts w:hint="eastAsia"/>
        </w:rPr>
        <w:t>”</w:t>
      </w:r>
      <w:r w:rsidR="00D85B47">
        <w:rPr>
          <w:rFonts w:hint="eastAsia"/>
        </w:rPr>
        <w:t>或“本基金”</w:t>
      </w:r>
      <w:r w:rsidR="00754B4E">
        <w:rPr>
          <w:rFonts w:hint="eastAsia"/>
        </w:rPr>
        <w:t>）的</w:t>
      </w:r>
      <w:r w:rsidR="00C2068A">
        <w:rPr>
          <w:rFonts w:hint="eastAsia"/>
        </w:rPr>
        <w:t>基金合同</w:t>
      </w:r>
      <w:r w:rsidRPr="00BF6ADA">
        <w:rPr>
          <w:rFonts w:hint="eastAsia"/>
        </w:rPr>
        <w:t>于</w:t>
      </w:r>
      <w:r w:rsidRPr="00BF6ADA">
        <w:rPr>
          <w:rFonts w:hint="eastAsia"/>
        </w:rPr>
        <w:t>2011</w:t>
      </w:r>
      <w:r w:rsidRPr="00BF6ADA">
        <w:rPr>
          <w:rFonts w:hint="eastAsia"/>
        </w:rPr>
        <w:t>年</w:t>
      </w:r>
      <w:r w:rsidRPr="00BF6ADA">
        <w:rPr>
          <w:rFonts w:hint="eastAsia"/>
        </w:rPr>
        <w:t>6</w:t>
      </w:r>
      <w:r w:rsidRPr="00BF6ADA">
        <w:rPr>
          <w:rFonts w:hint="eastAsia"/>
        </w:rPr>
        <w:t>月</w:t>
      </w:r>
      <w:r w:rsidRPr="00BF6ADA">
        <w:rPr>
          <w:rFonts w:hint="eastAsia"/>
        </w:rPr>
        <w:t>16</w:t>
      </w:r>
      <w:r w:rsidR="00C2068A">
        <w:rPr>
          <w:rFonts w:hint="eastAsia"/>
        </w:rPr>
        <w:t>日生效，</w:t>
      </w:r>
      <w:r w:rsidR="00754B4E" w:rsidRPr="00BF6ADA">
        <w:rPr>
          <w:rFonts w:hint="eastAsia"/>
        </w:rPr>
        <w:t>本基金的基金份额包括中欧鼎利分级债券型证券投资基金</w:t>
      </w:r>
      <w:r w:rsidR="00754B4E">
        <w:rPr>
          <w:rFonts w:hint="eastAsia"/>
        </w:rPr>
        <w:t>之基础份额，（</w:t>
      </w:r>
      <w:r w:rsidR="00754B4E" w:rsidRPr="00BF6ADA">
        <w:rPr>
          <w:rFonts w:hint="eastAsia"/>
        </w:rPr>
        <w:t>以下简称“中欧鼎利</w:t>
      </w:r>
      <w:r w:rsidR="00E12F2C">
        <w:rPr>
          <w:rFonts w:hint="eastAsia"/>
        </w:rPr>
        <w:t>分级债券</w:t>
      </w:r>
      <w:r w:rsidR="00754B4E" w:rsidRPr="00BF6ADA">
        <w:rPr>
          <w:rFonts w:hint="eastAsia"/>
        </w:rPr>
        <w:t>份额”，基金代码：</w:t>
      </w:r>
      <w:r w:rsidR="00754B4E" w:rsidRPr="00BF6ADA">
        <w:rPr>
          <w:rFonts w:hint="eastAsia"/>
        </w:rPr>
        <w:t>166010</w:t>
      </w:r>
      <w:r w:rsidR="00754B4E" w:rsidRPr="00BF6ADA">
        <w:rPr>
          <w:rFonts w:hint="eastAsia"/>
        </w:rPr>
        <w:t>，场内简称“中欧鼎利”）、中欧鼎利分级债券型证券投资基金</w:t>
      </w:r>
      <w:r w:rsidR="00754B4E" w:rsidRPr="00BF6ADA">
        <w:rPr>
          <w:rFonts w:hint="eastAsia"/>
        </w:rPr>
        <w:t>A</w:t>
      </w:r>
      <w:r w:rsidR="00754B4E" w:rsidRPr="00BF6ADA">
        <w:rPr>
          <w:rFonts w:hint="eastAsia"/>
        </w:rPr>
        <w:t>份额（以下简称“鼎利</w:t>
      </w:r>
      <w:r w:rsidR="00754B4E" w:rsidRPr="00BF6ADA">
        <w:rPr>
          <w:rFonts w:hint="eastAsia"/>
        </w:rPr>
        <w:t>A</w:t>
      </w:r>
      <w:r w:rsidR="00754B4E" w:rsidRPr="00BF6ADA">
        <w:rPr>
          <w:rFonts w:hint="eastAsia"/>
        </w:rPr>
        <w:t>份额”，基金代码：</w:t>
      </w:r>
      <w:r w:rsidR="00754B4E" w:rsidRPr="00BF6ADA">
        <w:rPr>
          <w:rFonts w:hint="eastAsia"/>
        </w:rPr>
        <w:t>150039</w:t>
      </w:r>
      <w:r w:rsidR="00754B4E" w:rsidRPr="00BF6ADA">
        <w:rPr>
          <w:rFonts w:hint="eastAsia"/>
        </w:rPr>
        <w:t>，场内简称“鼎利</w:t>
      </w:r>
      <w:r w:rsidR="00754B4E" w:rsidRPr="00BF6ADA">
        <w:rPr>
          <w:rFonts w:hint="eastAsia"/>
        </w:rPr>
        <w:t>A</w:t>
      </w:r>
      <w:r w:rsidR="00754B4E" w:rsidRPr="00BF6ADA">
        <w:rPr>
          <w:rFonts w:hint="eastAsia"/>
        </w:rPr>
        <w:t>”）、中欧鼎利分级债券型证券投资基金</w:t>
      </w:r>
      <w:r w:rsidR="00754B4E" w:rsidRPr="00BF6ADA">
        <w:rPr>
          <w:rFonts w:hint="eastAsia"/>
        </w:rPr>
        <w:t>B</w:t>
      </w:r>
      <w:r w:rsidR="00754B4E" w:rsidRPr="00BF6ADA">
        <w:rPr>
          <w:rFonts w:hint="eastAsia"/>
        </w:rPr>
        <w:t>份额（以下简称“鼎利</w:t>
      </w:r>
      <w:r w:rsidR="00754B4E" w:rsidRPr="00BF6ADA">
        <w:rPr>
          <w:rFonts w:hint="eastAsia"/>
        </w:rPr>
        <w:t>B</w:t>
      </w:r>
      <w:r w:rsidR="00754B4E" w:rsidRPr="00BF6ADA">
        <w:rPr>
          <w:rFonts w:hint="eastAsia"/>
        </w:rPr>
        <w:t>份额”，基金代码：</w:t>
      </w:r>
      <w:r w:rsidR="00754B4E" w:rsidRPr="00BF6ADA">
        <w:rPr>
          <w:rFonts w:hint="eastAsia"/>
        </w:rPr>
        <w:t>150040</w:t>
      </w:r>
      <w:r w:rsidR="00754B4E" w:rsidRPr="00BF6ADA">
        <w:rPr>
          <w:rFonts w:hint="eastAsia"/>
        </w:rPr>
        <w:t>，场内简称“鼎利</w:t>
      </w:r>
      <w:r w:rsidR="00754B4E" w:rsidRPr="00BF6ADA">
        <w:rPr>
          <w:rFonts w:hint="eastAsia"/>
        </w:rPr>
        <w:t>B</w:t>
      </w:r>
      <w:r w:rsidR="00754B4E">
        <w:rPr>
          <w:rFonts w:hint="eastAsia"/>
        </w:rPr>
        <w:t>”</w:t>
      </w:r>
      <w:r w:rsidR="003A4105">
        <w:rPr>
          <w:rFonts w:hint="eastAsia"/>
        </w:rPr>
        <w:t>）</w:t>
      </w:r>
      <w:r w:rsidR="00C2068A">
        <w:rPr>
          <w:rFonts w:hint="eastAsia"/>
        </w:rPr>
        <w:t>。</w:t>
      </w:r>
    </w:p>
    <w:p w:rsidR="00D85B47" w:rsidRDefault="00D85B47" w:rsidP="00D85B47">
      <w:pPr>
        <w:spacing w:line="360" w:lineRule="auto"/>
        <w:ind w:firstLineChars="200" w:firstLine="420"/>
      </w:pPr>
      <w:r w:rsidRPr="00D85B47">
        <w:rPr>
          <w:rFonts w:hint="eastAsia"/>
        </w:rPr>
        <w:t>根据《中欧基金管理有限公司关于中欧鼎利分级债券型证券投资基金基金份额持有人大会表决结果暨决议生效公告》</w:t>
      </w:r>
      <w:r>
        <w:rPr>
          <w:rFonts w:hint="eastAsia"/>
        </w:rPr>
        <w:t>和</w:t>
      </w:r>
      <w:r w:rsidRPr="00D85B47">
        <w:rPr>
          <w:rFonts w:hint="eastAsia"/>
        </w:rPr>
        <w:t>《中欧基金管理有限公司关于中欧鼎利分级债券型证券投资基金实施转型的提示性公告》，</w:t>
      </w:r>
      <w:r>
        <w:rPr>
          <w:rFonts w:hint="eastAsia"/>
        </w:rPr>
        <w:t>中欧</w:t>
      </w:r>
      <w:r w:rsidRPr="00D85B47">
        <w:rPr>
          <w:rFonts w:hint="eastAsia"/>
        </w:rPr>
        <w:t>基金管理有限公司（以下简称</w:t>
      </w:r>
      <w:r w:rsidRPr="00D85B47">
        <w:t>“</w:t>
      </w:r>
      <w:r w:rsidRPr="00D85B47">
        <w:rPr>
          <w:rFonts w:hint="eastAsia"/>
        </w:rPr>
        <w:t>基金管理人</w:t>
      </w:r>
      <w:r w:rsidRPr="00D85B47">
        <w:t>”</w:t>
      </w:r>
      <w:r w:rsidRPr="00D85B47">
        <w:rPr>
          <w:rFonts w:hint="eastAsia"/>
        </w:rPr>
        <w:t>）决定对</w:t>
      </w:r>
      <w:r>
        <w:rPr>
          <w:rFonts w:hint="eastAsia"/>
        </w:rPr>
        <w:t>中欧鼎利分级债券基金</w:t>
      </w:r>
      <w:r w:rsidRPr="00D85B47">
        <w:rPr>
          <w:rFonts w:hint="eastAsia"/>
        </w:rPr>
        <w:t>进行基金份额转换与变更登记，转型为</w:t>
      </w:r>
      <w:r>
        <w:rPr>
          <w:rFonts w:hint="eastAsia"/>
        </w:rPr>
        <w:t>中欧鼎利债券型证券投资基金</w:t>
      </w:r>
      <w:r w:rsidRPr="00D85B47">
        <w:rPr>
          <w:rFonts w:hint="eastAsia"/>
        </w:rPr>
        <w:t>（以下简称</w:t>
      </w:r>
      <w:r w:rsidRPr="00D85B47">
        <w:t>“</w:t>
      </w:r>
      <w:r>
        <w:rPr>
          <w:rFonts w:hint="eastAsia"/>
        </w:rPr>
        <w:t>中欧鼎利债券基金</w:t>
      </w:r>
      <w:r w:rsidRPr="00D85B47">
        <w:t>”</w:t>
      </w:r>
      <w:r w:rsidRPr="00D85B47">
        <w:rPr>
          <w:rFonts w:hint="eastAsia"/>
        </w:rPr>
        <w:t>）。基金份</w:t>
      </w:r>
      <w:r w:rsidR="00343F14">
        <w:rPr>
          <w:rFonts w:hint="eastAsia"/>
        </w:rPr>
        <w:t>额转换由基金管理人办理，并由注册登记机构进行基金份额的变更登记，并提示实施转型的其他事项如下：</w:t>
      </w:r>
    </w:p>
    <w:p w:rsidR="00762BB1" w:rsidRPr="00762BB1" w:rsidRDefault="00762BB1" w:rsidP="00762BB1">
      <w:pPr>
        <w:spacing w:line="360" w:lineRule="auto"/>
        <w:ind w:firstLineChars="200" w:firstLine="422"/>
        <w:rPr>
          <w:b/>
        </w:rPr>
      </w:pPr>
      <w:r w:rsidRPr="00762BB1">
        <w:rPr>
          <w:rFonts w:hint="eastAsia"/>
          <w:b/>
        </w:rPr>
        <w:t>一、基金份额转换和</w:t>
      </w:r>
      <w:r>
        <w:rPr>
          <w:rFonts w:hint="eastAsia"/>
          <w:b/>
        </w:rPr>
        <w:t>变更登记</w:t>
      </w:r>
    </w:p>
    <w:p w:rsidR="00D85B47" w:rsidRDefault="00D85B47" w:rsidP="00D85B47">
      <w:pPr>
        <w:spacing w:line="360" w:lineRule="auto"/>
        <w:ind w:firstLineChars="200" w:firstLine="420"/>
      </w:pPr>
      <w:r>
        <w:rPr>
          <w:rFonts w:hint="eastAsia"/>
        </w:rPr>
        <w:t>1</w:t>
      </w:r>
      <w:r>
        <w:rPr>
          <w:rFonts w:hint="eastAsia"/>
        </w:rPr>
        <w:t>、基金转换基准日：</w:t>
      </w:r>
      <w:r>
        <w:rPr>
          <w:rFonts w:hint="eastAsia"/>
        </w:rPr>
        <w:t>2017</w:t>
      </w:r>
      <w:r>
        <w:rPr>
          <w:rFonts w:hint="eastAsia"/>
        </w:rPr>
        <w:t>年</w:t>
      </w:r>
      <w:r>
        <w:rPr>
          <w:rFonts w:hint="eastAsia"/>
        </w:rPr>
        <w:t>9</w:t>
      </w:r>
      <w:r>
        <w:rPr>
          <w:rFonts w:hint="eastAsia"/>
        </w:rPr>
        <w:t>月</w:t>
      </w:r>
      <w:r>
        <w:rPr>
          <w:rFonts w:hint="eastAsia"/>
        </w:rPr>
        <w:t>15</w:t>
      </w:r>
      <w:r>
        <w:rPr>
          <w:rFonts w:hint="eastAsia"/>
        </w:rPr>
        <w:t>日</w:t>
      </w:r>
    </w:p>
    <w:p w:rsidR="00D85B47" w:rsidRDefault="00D85B47" w:rsidP="00D85B47">
      <w:pPr>
        <w:spacing w:line="360" w:lineRule="auto"/>
        <w:ind w:firstLineChars="200" w:firstLine="420"/>
      </w:pPr>
      <w:r>
        <w:rPr>
          <w:rFonts w:hint="eastAsia"/>
        </w:rPr>
        <w:t>2</w:t>
      </w:r>
      <w:r>
        <w:rPr>
          <w:rFonts w:hint="eastAsia"/>
        </w:rPr>
        <w:t>、</w:t>
      </w:r>
      <w:r w:rsidRPr="00D85B47">
        <w:rPr>
          <w:rFonts w:hint="eastAsia"/>
        </w:rPr>
        <w:t>转换对象：转换基准日登记在册的</w:t>
      </w:r>
      <w:r w:rsidRPr="00BF6ADA">
        <w:rPr>
          <w:rFonts w:hint="eastAsia"/>
        </w:rPr>
        <w:t>中欧鼎利</w:t>
      </w:r>
      <w:r>
        <w:rPr>
          <w:rFonts w:hint="eastAsia"/>
        </w:rPr>
        <w:t>分级债券</w:t>
      </w:r>
      <w:r w:rsidRPr="00BF6ADA">
        <w:rPr>
          <w:rFonts w:hint="eastAsia"/>
        </w:rPr>
        <w:t>份额</w:t>
      </w:r>
      <w:r w:rsidRPr="00D85B47">
        <w:rPr>
          <w:rFonts w:hint="eastAsia"/>
        </w:rPr>
        <w:t>、</w:t>
      </w:r>
      <w:r w:rsidRPr="00BF6ADA">
        <w:rPr>
          <w:rFonts w:hint="eastAsia"/>
        </w:rPr>
        <w:t>鼎利</w:t>
      </w:r>
      <w:r w:rsidRPr="00BF6ADA">
        <w:rPr>
          <w:rFonts w:hint="eastAsia"/>
        </w:rPr>
        <w:t>A</w:t>
      </w:r>
      <w:r w:rsidRPr="00BF6ADA">
        <w:rPr>
          <w:rFonts w:hint="eastAsia"/>
        </w:rPr>
        <w:t>份额</w:t>
      </w:r>
      <w:r w:rsidRPr="00D85B47">
        <w:rPr>
          <w:rFonts w:hint="eastAsia"/>
        </w:rPr>
        <w:t>、</w:t>
      </w:r>
      <w:r w:rsidRPr="00BF6ADA">
        <w:rPr>
          <w:rFonts w:hint="eastAsia"/>
        </w:rPr>
        <w:t>鼎利</w:t>
      </w:r>
      <w:r w:rsidRPr="00BF6ADA">
        <w:rPr>
          <w:rFonts w:hint="eastAsia"/>
        </w:rPr>
        <w:t>B</w:t>
      </w:r>
      <w:r w:rsidRPr="00BF6ADA">
        <w:rPr>
          <w:rFonts w:hint="eastAsia"/>
        </w:rPr>
        <w:t>份额</w:t>
      </w:r>
      <w:r w:rsidRPr="00D85B47">
        <w:rPr>
          <w:rFonts w:hint="eastAsia"/>
        </w:rPr>
        <w:t>。</w:t>
      </w:r>
    </w:p>
    <w:p w:rsidR="00D85B47" w:rsidRPr="00D85B47" w:rsidRDefault="00D85B47" w:rsidP="00D85B47">
      <w:pPr>
        <w:spacing w:line="360" w:lineRule="auto"/>
        <w:ind w:firstLineChars="200" w:firstLine="420"/>
      </w:pPr>
      <w:r>
        <w:rPr>
          <w:rFonts w:hint="eastAsia"/>
        </w:rPr>
        <w:t>3</w:t>
      </w:r>
      <w:r>
        <w:rPr>
          <w:rFonts w:hint="eastAsia"/>
        </w:rPr>
        <w:t>、</w:t>
      </w:r>
      <w:r w:rsidRPr="00D85B47">
        <w:rPr>
          <w:rFonts w:hint="eastAsia"/>
        </w:rPr>
        <w:t>基金份额的转换</w:t>
      </w:r>
    </w:p>
    <w:p w:rsidR="00D85B47" w:rsidRPr="0053680B" w:rsidRDefault="00D85B47" w:rsidP="0053680B">
      <w:pPr>
        <w:spacing w:line="360" w:lineRule="auto"/>
        <w:ind w:firstLineChars="200" w:firstLine="420"/>
      </w:pPr>
      <w:r w:rsidRPr="0053680B">
        <w:rPr>
          <w:rFonts w:hint="eastAsia"/>
        </w:rPr>
        <w:t>（</w:t>
      </w:r>
      <w:r w:rsidRPr="0053680B">
        <w:t>1</w:t>
      </w:r>
      <w:r w:rsidRPr="0053680B">
        <w:rPr>
          <w:rFonts w:hint="eastAsia"/>
        </w:rPr>
        <w:t>）转换前基金份额净值的计算</w:t>
      </w:r>
    </w:p>
    <w:p w:rsidR="00D85B47" w:rsidRPr="0053680B" w:rsidRDefault="00D85B47" w:rsidP="0053680B">
      <w:pPr>
        <w:spacing w:line="360" w:lineRule="auto"/>
        <w:ind w:firstLineChars="200" w:firstLine="420"/>
      </w:pPr>
      <w:r w:rsidRPr="0053680B">
        <w:t>1</w:t>
      </w:r>
      <w:r w:rsidRPr="0053680B">
        <w:rPr>
          <w:rFonts w:hint="eastAsia"/>
        </w:rPr>
        <w:t>）转换前</w:t>
      </w:r>
      <w:r w:rsidR="0053680B" w:rsidRPr="00BF6ADA">
        <w:rPr>
          <w:rFonts w:hint="eastAsia"/>
        </w:rPr>
        <w:t>中欧鼎利</w:t>
      </w:r>
      <w:r w:rsidR="0053680B">
        <w:rPr>
          <w:rFonts w:hint="eastAsia"/>
        </w:rPr>
        <w:t>分级债券</w:t>
      </w:r>
      <w:r w:rsidR="0053680B" w:rsidRPr="00BF6ADA">
        <w:rPr>
          <w:rFonts w:hint="eastAsia"/>
        </w:rPr>
        <w:t>份额</w:t>
      </w:r>
      <w:r w:rsidRPr="0053680B">
        <w:rPr>
          <w:rFonts w:hint="eastAsia"/>
        </w:rPr>
        <w:t>的基金份额净值计算</w:t>
      </w:r>
      <w:bookmarkStart w:id="0" w:name="_GoBack"/>
      <w:bookmarkEnd w:id="0"/>
    </w:p>
    <w:p w:rsidR="00D85B47" w:rsidRPr="0053680B" w:rsidRDefault="00D85B47" w:rsidP="0053680B">
      <w:pPr>
        <w:spacing w:line="360" w:lineRule="auto"/>
        <w:ind w:firstLineChars="200" w:firstLine="420"/>
      </w:pPr>
      <w:r w:rsidRPr="0053680B">
        <w:rPr>
          <w:rFonts w:hint="eastAsia"/>
        </w:rPr>
        <w:t>转换前</w:t>
      </w:r>
      <w:r w:rsidR="0053680B" w:rsidRPr="00BF6ADA">
        <w:rPr>
          <w:rFonts w:hint="eastAsia"/>
        </w:rPr>
        <w:t>中欧鼎利</w:t>
      </w:r>
      <w:r w:rsidR="0053680B">
        <w:rPr>
          <w:rFonts w:hint="eastAsia"/>
        </w:rPr>
        <w:t>分级债券</w:t>
      </w:r>
      <w:r w:rsidR="0053680B" w:rsidRPr="00BF6ADA">
        <w:rPr>
          <w:rFonts w:hint="eastAsia"/>
        </w:rPr>
        <w:t>份额</w:t>
      </w:r>
      <w:r w:rsidRPr="0053680B">
        <w:rPr>
          <w:rFonts w:hint="eastAsia"/>
        </w:rPr>
        <w:t>的基金份额净值</w:t>
      </w:r>
      <w:r w:rsidRPr="0053680B">
        <w:t>=</w:t>
      </w:r>
      <w:r w:rsidRPr="0053680B">
        <w:rPr>
          <w:rFonts w:hint="eastAsia"/>
        </w:rPr>
        <w:t>转换基准日的基金资产净值／转换基准日本基金</w:t>
      </w:r>
      <w:r w:rsidR="0053680B">
        <w:rPr>
          <w:rFonts w:hint="eastAsia"/>
        </w:rPr>
        <w:t>的</w:t>
      </w:r>
      <w:r w:rsidRPr="0053680B">
        <w:rPr>
          <w:rFonts w:hint="eastAsia"/>
        </w:rPr>
        <w:t>基金份额</w:t>
      </w:r>
      <w:r w:rsidR="0053680B" w:rsidRPr="0053680B">
        <w:rPr>
          <w:rFonts w:hint="eastAsia"/>
        </w:rPr>
        <w:t>（包括</w:t>
      </w:r>
      <w:r w:rsidR="0053680B" w:rsidRPr="00BF6ADA">
        <w:rPr>
          <w:rFonts w:hint="eastAsia"/>
        </w:rPr>
        <w:t>中欧鼎利</w:t>
      </w:r>
      <w:r w:rsidR="0053680B">
        <w:rPr>
          <w:rFonts w:hint="eastAsia"/>
        </w:rPr>
        <w:t>分级债券</w:t>
      </w:r>
      <w:r w:rsidR="0053680B" w:rsidRPr="00BF6ADA">
        <w:rPr>
          <w:rFonts w:hint="eastAsia"/>
        </w:rPr>
        <w:t>份额</w:t>
      </w:r>
      <w:r w:rsidR="0053680B" w:rsidRPr="0053680B">
        <w:rPr>
          <w:rFonts w:hint="eastAsia"/>
        </w:rPr>
        <w:t>、鼎利</w:t>
      </w:r>
      <w:r w:rsidR="0053680B" w:rsidRPr="0053680B">
        <w:t>A</w:t>
      </w:r>
      <w:r w:rsidR="0053680B" w:rsidRPr="0053680B">
        <w:rPr>
          <w:rFonts w:hint="eastAsia"/>
        </w:rPr>
        <w:t>份额与鼎利</w:t>
      </w:r>
      <w:r w:rsidR="0053680B" w:rsidRPr="0053680B">
        <w:t>B</w:t>
      </w:r>
      <w:r w:rsidR="0053680B" w:rsidRPr="0053680B">
        <w:rPr>
          <w:rFonts w:hint="eastAsia"/>
        </w:rPr>
        <w:t>份额）</w:t>
      </w:r>
      <w:r w:rsidR="0053680B">
        <w:rPr>
          <w:rFonts w:hint="eastAsia"/>
        </w:rPr>
        <w:t>余额</w:t>
      </w:r>
      <w:r w:rsidRPr="0053680B">
        <w:rPr>
          <w:rFonts w:hint="eastAsia"/>
        </w:rPr>
        <w:t>总数。</w:t>
      </w:r>
    </w:p>
    <w:p w:rsidR="00D85B47" w:rsidRPr="0053680B" w:rsidRDefault="00D85B47" w:rsidP="0053680B">
      <w:pPr>
        <w:spacing w:line="360" w:lineRule="auto"/>
        <w:ind w:firstLineChars="200" w:firstLine="420"/>
      </w:pPr>
      <w:r w:rsidRPr="0053680B">
        <w:t>2</w:t>
      </w:r>
      <w:r w:rsidRPr="0053680B">
        <w:rPr>
          <w:rFonts w:hint="eastAsia"/>
        </w:rPr>
        <w:t>）转换前</w:t>
      </w:r>
      <w:r w:rsidR="0053680B" w:rsidRPr="0053680B">
        <w:rPr>
          <w:rFonts w:hint="eastAsia"/>
        </w:rPr>
        <w:t>鼎利</w:t>
      </w:r>
      <w:r w:rsidR="0053680B" w:rsidRPr="0053680B">
        <w:rPr>
          <w:rFonts w:hint="eastAsia"/>
        </w:rPr>
        <w:t>A</w:t>
      </w:r>
      <w:r w:rsidR="0053680B" w:rsidRPr="0053680B">
        <w:rPr>
          <w:rFonts w:hint="eastAsia"/>
        </w:rPr>
        <w:t>份额与鼎利</w:t>
      </w:r>
      <w:r w:rsidR="0053680B" w:rsidRPr="0053680B">
        <w:rPr>
          <w:rFonts w:hint="eastAsia"/>
        </w:rPr>
        <w:t>B</w:t>
      </w:r>
      <w:r w:rsidR="0053680B" w:rsidRPr="0053680B">
        <w:rPr>
          <w:rFonts w:hint="eastAsia"/>
        </w:rPr>
        <w:t>份额</w:t>
      </w:r>
      <w:r w:rsidRPr="0053680B">
        <w:rPr>
          <w:rFonts w:hint="eastAsia"/>
        </w:rPr>
        <w:t>的基金份额净值计算</w:t>
      </w:r>
    </w:p>
    <w:p w:rsidR="00807281" w:rsidRDefault="00807281" w:rsidP="0053680B">
      <w:pPr>
        <w:spacing w:line="360" w:lineRule="auto"/>
        <w:ind w:firstLineChars="200" w:firstLine="420"/>
      </w:pPr>
      <w:r>
        <w:rPr>
          <w:rFonts w:hint="eastAsia"/>
        </w:rPr>
        <w:t>转换基准日为上一折算日后第</w:t>
      </w:r>
      <w:r>
        <w:rPr>
          <w:rFonts w:hint="eastAsia"/>
        </w:rPr>
        <w:t>t</w:t>
      </w:r>
      <w:r>
        <w:rPr>
          <w:rFonts w:hint="eastAsia"/>
        </w:rPr>
        <w:t>个自然日，</w:t>
      </w:r>
      <w:r w:rsidRPr="00BF6ADA">
        <w:rPr>
          <w:rFonts w:hint="eastAsia"/>
        </w:rPr>
        <w:t>中欧鼎利</w:t>
      </w:r>
      <w:r>
        <w:rPr>
          <w:rFonts w:hint="eastAsia"/>
        </w:rPr>
        <w:t>分级债券</w:t>
      </w:r>
      <w:r w:rsidRPr="00BF6ADA">
        <w:rPr>
          <w:rFonts w:hint="eastAsia"/>
        </w:rPr>
        <w:t>份额</w:t>
      </w:r>
      <w:r w:rsidRPr="00650519">
        <w:rPr>
          <w:rFonts w:hint="eastAsia"/>
        </w:rPr>
        <w:t>、鼎利</w:t>
      </w:r>
      <w:r w:rsidRPr="00650519">
        <w:t>A</w:t>
      </w:r>
      <w:r w:rsidRPr="00650519">
        <w:rPr>
          <w:rFonts w:hint="eastAsia"/>
        </w:rPr>
        <w:t>份额与鼎利</w:t>
      </w:r>
      <w:r w:rsidRPr="00650519">
        <w:t>B</w:t>
      </w:r>
      <w:r w:rsidRPr="00650519">
        <w:rPr>
          <w:rFonts w:hint="eastAsia"/>
        </w:rPr>
        <w:t>份额的基金份额净值分别为</w:t>
      </w:r>
      <w:r w:rsidRPr="00650519">
        <w:t>NAVt</w:t>
      </w:r>
      <w:r w:rsidRPr="00650519">
        <w:rPr>
          <w:rFonts w:hint="eastAsia"/>
        </w:rPr>
        <w:t>、</w:t>
      </w:r>
      <w:r w:rsidRPr="00650519">
        <w:t>NAV(A)t</w:t>
      </w:r>
      <w:r w:rsidRPr="00650519">
        <w:rPr>
          <w:rFonts w:hint="eastAsia"/>
        </w:rPr>
        <w:t>、</w:t>
      </w:r>
      <w:r w:rsidRPr="00650519">
        <w:t>NAV(B)t</w:t>
      </w:r>
      <w:r w:rsidRPr="00650519">
        <w:rPr>
          <w:rFonts w:hint="eastAsia"/>
        </w:rPr>
        <w:t>，上一折算日次日的一年期银行定存利率为</w:t>
      </w:r>
      <w:r w:rsidRPr="00650519">
        <w:t>R</w:t>
      </w:r>
      <w:r w:rsidRPr="00650519">
        <w:rPr>
          <w:rFonts w:hint="eastAsia"/>
        </w:rPr>
        <w:t>。</w:t>
      </w:r>
      <w:r w:rsidRPr="0053680B">
        <w:rPr>
          <w:rFonts w:hint="eastAsia"/>
        </w:rPr>
        <w:t>转换前鼎利</w:t>
      </w:r>
      <w:r w:rsidRPr="0053680B">
        <w:rPr>
          <w:rFonts w:hint="eastAsia"/>
        </w:rPr>
        <w:t>A</w:t>
      </w:r>
      <w:r w:rsidRPr="0053680B">
        <w:rPr>
          <w:rFonts w:hint="eastAsia"/>
        </w:rPr>
        <w:t>份额与鼎利</w:t>
      </w:r>
      <w:r w:rsidRPr="0053680B">
        <w:rPr>
          <w:rFonts w:hint="eastAsia"/>
        </w:rPr>
        <w:t>B</w:t>
      </w:r>
      <w:r w:rsidRPr="0053680B">
        <w:rPr>
          <w:rFonts w:hint="eastAsia"/>
        </w:rPr>
        <w:t>份额的基金份额净值计算</w:t>
      </w:r>
      <w:r>
        <w:rPr>
          <w:rFonts w:hint="eastAsia"/>
        </w:rPr>
        <w:t>如下：</w:t>
      </w:r>
    </w:p>
    <w:p w:rsidR="00A14E9C" w:rsidRPr="005E53AB" w:rsidRDefault="00A14E9C" w:rsidP="00A14E9C">
      <w:pPr>
        <w:spacing w:line="360" w:lineRule="auto"/>
        <w:ind w:firstLineChars="200" w:firstLine="480"/>
        <w:rPr>
          <w:rFonts w:ascii="宋体" w:hAnsi="宋体"/>
          <w:sz w:val="24"/>
          <w:szCs w:val="24"/>
        </w:rPr>
      </w:pPr>
      <w:r w:rsidRPr="005E53AB">
        <w:rPr>
          <w:rFonts w:ascii="宋体" w:hAnsi="宋体" w:hint="eastAsia"/>
          <w:sz w:val="24"/>
          <w:szCs w:val="24"/>
        </w:rPr>
        <w:t>NAV(A)t＝1＋（R＋1%</w:t>
      </w:r>
      <w:r w:rsidRPr="005E53AB">
        <w:rPr>
          <w:rFonts w:ascii="宋体" w:hAnsi="宋体"/>
          <w:sz w:val="24"/>
          <w:szCs w:val="24"/>
        </w:rPr>
        <w:t>）×</w:t>
      </w:r>
      <w:r w:rsidRPr="005E53AB">
        <w:rPr>
          <w:rFonts w:ascii="宋体" w:hAnsi="宋体" w:hint="eastAsia"/>
          <w:sz w:val="24"/>
          <w:szCs w:val="24"/>
        </w:rPr>
        <w:t>t/365</w:t>
      </w:r>
    </w:p>
    <w:p w:rsidR="00A14E9C" w:rsidRPr="005E53AB" w:rsidRDefault="00A14E9C" w:rsidP="00A14E9C">
      <w:pPr>
        <w:spacing w:line="360" w:lineRule="auto"/>
        <w:ind w:firstLineChars="200" w:firstLine="480"/>
        <w:rPr>
          <w:rFonts w:ascii="宋体" w:hAnsi="宋体"/>
          <w:sz w:val="24"/>
          <w:szCs w:val="24"/>
        </w:rPr>
      </w:pPr>
      <w:r w:rsidRPr="005E53AB">
        <w:rPr>
          <w:rFonts w:ascii="宋体" w:hAnsi="宋体" w:hint="eastAsia"/>
          <w:sz w:val="24"/>
          <w:szCs w:val="24"/>
        </w:rPr>
        <w:t>NAV(B)t＝（NAVt－0.7</w:t>
      </w:r>
      <w:r w:rsidRPr="005E53AB">
        <w:rPr>
          <w:rFonts w:ascii="宋体" w:hAnsi="宋体"/>
          <w:sz w:val="24"/>
          <w:szCs w:val="24"/>
        </w:rPr>
        <w:t>×</w:t>
      </w:r>
      <w:r w:rsidRPr="005E53AB">
        <w:rPr>
          <w:rFonts w:ascii="宋体" w:hAnsi="宋体" w:hint="eastAsia"/>
          <w:sz w:val="24"/>
          <w:szCs w:val="24"/>
        </w:rPr>
        <w:t>NAV(A)t</w:t>
      </w:r>
      <w:r w:rsidRPr="005E53AB">
        <w:rPr>
          <w:rFonts w:ascii="宋体" w:hAnsi="宋体"/>
          <w:sz w:val="24"/>
          <w:szCs w:val="24"/>
        </w:rPr>
        <w:t>）</w:t>
      </w:r>
      <w:r w:rsidRPr="005E53AB">
        <w:rPr>
          <w:rFonts w:ascii="宋体" w:hAnsi="宋体" w:hint="eastAsia"/>
          <w:sz w:val="24"/>
          <w:szCs w:val="24"/>
        </w:rPr>
        <w:t>/0.3</w:t>
      </w:r>
    </w:p>
    <w:p w:rsidR="00D85B47" w:rsidRDefault="00807281" w:rsidP="00D85B47">
      <w:pPr>
        <w:spacing w:line="360" w:lineRule="auto"/>
        <w:ind w:firstLineChars="200" w:firstLine="420"/>
      </w:pPr>
      <w:r>
        <w:rPr>
          <w:rFonts w:hint="eastAsia"/>
        </w:rPr>
        <w:t>（</w:t>
      </w:r>
      <w:r>
        <w:rPr>
          <w:rFonts w:hint="eastAsia"/>
        </w:rPr>
        <w:t>2</w:t>
      </w:r>
      <w:r>
        <w:rPr>
          <w:rFonts w:hint="eastAsia"/>
        </w:rPr>
        <w:t>）</w:t>
      </w:r>
      <w:r w:rsidRPr="00807281">
        <w:rPr>
          <w:rFonts w:hint="eastAsia"/>
        </w:rPr>
        <w:t>基金份额转换公式</w:t>
      </w:r>
    </w:p>
    <w:p w:rsidR="00762BB1" w:rsidRDefault="00762BB1" w:rsidP="00762BB1">
      <w:pPr>
        <w:spacing w:line="360" w:lineRule="auto"/>
        <w:ind w:firstLineChars="200" w:firstLine="420"/>
        <w:jc w:val="left"/>
      </w:pPr>
      <w:r>
        <w:rPr>
          <w:rFonts w:hint="eastAsia"/>
        </w:rPr>
        <w:lastRenderedPageBreak/>
        <w:t>本次基金份额的转换主要可分成以下两个步骤进行：</w:t>
      </w:r>
    </w:p>
    <w:p w:rsidR="00762BB1" w:rsidRDefault="00762BB1" w:rsidP="00762BB1">
      <w:pPr>
        <w:spacing w:line="360" w:lineRule="auto"/>
        <w:ind w:firstLineChars="200" w:firstLine="420"/>
        <w:jc w:val="left"/>
      </w:pPr>
      <w:r>
        <w:t>1</w:t>
      </w:r>
      <w:r>
        <w:rPr>
          <w:rFonts w:hint="eastAsia"/>
        </w:rPr>
        <w:t>）将鼎利</w:t>
      </w:r>
      <w:r>
        <w:t>A</w:t>
      </w:r>
      <w:r>
        <w:rPr>
          <w:rFonts w:hint="eastAsia"/>
        </w:rPr>
        <w:t>份额与鼎利</w:t>
      </w:r>
      <w:r>
        <w:t>B</w:t>
      </w:r>
      <w:r>
        <w:rPr>
          <w:rFonts w:hint="eastAsia"/>
        </w:rPr>
        <w:t>份额转换成</w:t>
      </w:r>
      <w:r w:rsidRPr="00BF6ADA">
        <w:rPr>
          <w:rFonts w:hint="eastAsia"/>
        </w:rPr>
        <w:t>中欧鼎利</w:t>
      </w:r>
      <w:r>
        <w:rPr>
          <w:rFonts w:hint="eastAsia"/>
        </w:rPr>
        <w:t>分级债券</w:t>
      </w:r>
      <w:r w:rsidRPr="00BF6ADA">
        <w:rPr>
          <w:rFonts w:hint="eastAsia"/>
        </w:rPr>
        <w:t>份额</w:t>
      </w:r>
      <w:r>
        <w:rPr>
          <w:rFonts w:hint="eastAsia"/>
        </w:rPr>
        <w:t>的场内份额。</w:t>
      </w:r>
    </w:p>
    <w:p w:rsidR="00762BB1" w:rsidRDefault="00762BB1" w:rsidP="00762BB1">
      <w:pPr>
        <w:spacing w:line="360" w:lineRule="auto"/>
        <w:ind w:firstLineChars="200" w:firstLine="420"/>
        <w:jc w:val="left"/>
      </w:pPr>
      <w:r>
        <w:rPr>
          <w:rFonts w:hint="eastAsia"/>
        </w:rPr>
        <w:t>在份额转换基准日日终，以</w:t>
      </w:r>
      <w:r w:rsidRPr="00BF6ADA">
        <w:rPr>
          <w:rFonts w:hint="eastAsia"/>
        </w:rPr>
        <w:t>中欧鼎利</w:t>
      </w:r>
      <w:r>
        <w:rPr>
          <w:rFonts w:hint="eastAsia"/>
        </w:rPr>
        <w:t>分级债券</w:t>
      </w:r>
      <w:r w:rsidRPr="00BF6ADA">
        <w:rPr>
          <w:rFonts w:hint="eastAsia"/>
        </w:rPr>
        <w:t>份额</w:t>
      </w:r>
      <w:r>
        <w:rPr>
          <w:rFonts w:hint="eastAsia"/>
        </w:rPr>
        <w:t>的基金份额净值为基准，鼎利</w:t>
      </w:r>
      <w:r>
        <w:t>A</w:t>
      </w:r>
      <w:r>
        <w:rPr>
          <w:rFonts w:hint="eastAsia"/>
        </w:rPr>
        <w:t>份额与鼎利</w:t>
      </w:r>
      <w:r>
        <w:t>B</w:t>
      </w:r>
      <w:r>
        <w:rPr>
          <w:rFonts w:hint="eastAsia"/>
        </w:rPr>
        <w:t>份额按照各自的基金份额净值转换成</w:t>
      </w:r>
      <w:r w:rsidRPr="00BF6ADA">
        <w:rPr>
          <w:rFonts w:hint="eastAsia"/>
        </w:rPr>
        <w:t>中欧鼎利</w:t>
      </w:r>
      <w:r>
        <w:rPr>
          <w:rFonts w:hint="eastAsia"/>
        </w:rPr>
        <w:t>分级债券</w:t>
      </w:r>
      <w:r w:rsidRPr="00BF6ADA">
        <w:rPr>
          <w:rFonts w:hint="eastAsia"/>
        </w:rPr>
        <w:t>份额</w:t>
      </w:r>
      <w:r>
        <w:rPr>
          <w:rFonts w:hint="eastAsia"/>
        </w:rPr>
        <w:t>的场内份额。鼎利</w:t>
      </w:r>
      <w:r>
        <w:t>A</w:t>
      </w:r>
      <w:r>
        <w:rPr>
          <w:rFonts w:hint="eastAsia"/>
        </w:rPr>
        <w:t>份额（或鼎利</w:t>
      </w:r>
      <w:r>
        <w:t>B</w:t>
      </w:r>
      <w:r>
        <w:rPr>
          <w:rFonts w:hint="eastAsia"/>
        </w:rPr>
        <w:t>份额）基金份额持有人持有的转换后</w:t>
      </w:r>
      <w:r w:rsidRPr="00BF6ADA">
        <w:rPr>
          <w:rFonts w:hint="eastAsia"/>
        </w:rPr>
        <w:t>中欧鼎利</w:t>
      </w:r>
      <w:r>
        <w:rPr>
          <w:rFonts w:hint="eastAsia"/>
        </w:rPr>
        <w:t>分级债券</w:t>
      </w:r>
      <w:r w:rsidRPr="00BF6ADA">
        <w:rPr>
          <w:rFonts w:hint="eastAsia"/>
        </w:rPr>
        <w:t>份额</w:t>
      </w:r>
      <w:r>
        <w:rPr>
          <w:rFonts w:hint="eastAsia"/>
        </w:rPr>
        <w:t>的场内份额取整计算（最小单位为</w:t>
      </w:r>
      <w:r>
        <w:t>1</w:t>
      </w:r>
      <w:r>
        <w:rPr>
          <w:rFonts w:hint="eastAsia"/>
        </w:rPr>
        <w:t>份），余额计入基金财产。</w:t>
      </w:r>
    </w:p>
    <w:p w:rsidR="00762BB1" w:rsidRDefault="00762BB1" w:rsidP="00762BB1">
      <w:pPr>
        <w:spacing w:line="360" w:lineRule="auto"/>
        <w:ind w:firstLineChars="200" w:firstLine="420"/>
        <w:jc w:val="left"/>
      </w:pPr>
      <w:r>
        <w:rPr>
          <w:rFonts w:hint="eastAsia"/>
        </w:rPr>
        <w:t>份额转换计算公式：</w:t>
      </w:r>
    </w:p>
    <w:p w:rsidR="00762BB1" w:rsidRDefault="00762BB1" w:rsidP="00762BB1">
      <w:pPr>
        <w:spacing w:line="360" w:lineRule="auto"/>
        <w:ind w:firstLineChars="200" w:firstLine="420"/>
        <w:jc w:val="left"/>
      </w:pPr>
      <w:r>
        <w:rPr>
          <w:rFonts w:hint="eastAsia"/>
        </w:rPr>
        <w:t>鼎利</w:t>
      </w:r>
      <w:r>
        <w:t>A</w:t>
      </w:r>
      <w:r>
        <w:rPr>
          <w:rFonts w:hint="eastAsia"/>
        </w:rPr>
        <w:t>份额（或鼎利</w:t>
      </w:r>
      <w:r>
        <w:t>B</w:t>
      </w:r>
      <w:r>
        <w:rPr>
          <w:rFonts w:hint="eastAsia"/>
        </w:rPr>
        <w:t>份额）的转换比率＝份额转换基准日鼎利</w:t>
      </w:r>
      <w:r>
        <w:t>A</w:t>
      </w:r>
      <w:r>
        <w:rPr>
          <w:rFonts w:hint="eastAsia"/>
        </w:rPr>
        <w:t>份额（或鼎利</w:t>
      </w:r>
      <w:r>
        <w:t>B</w:t>
      </w:r>
      <w:r>
        <w:rPr>
          <w:rFonts w:hint="eastAsia"/>
        </w:rPr>
        <w:t>份额）的基金份额净值</w:t>
      </w:r>
      <w:r>
        <w:t>/</w:t>
      </w:r>
      <w:r>
        <w:rPr>
          <w:rFonts w:hint="eastAsia"/>
        </w:rPr>
        <w:t>份额转换基准日</w:t>
      </w:r>
      <w:r w:rsidRPr="00BF6ADA">
        <w:rPr>
          <w:rFonts w:hint="eastAsia"/>
        </w:rPr>
        <w:t>中欧鼎利</w:t>
      </w:r>
      <w:r>
        <w:rPr>
          <w:rFonts w:hint="eastAsia"/>
        </w:rPr>
        <w:t>分级债券</w:t>
      </w:r>
      <w:r w:rsidRPr="00BF6ADA">
        <w:rPr>
          <w:rFonts w:hint="eastAsia"/>
        </w:rPr>
        <w:t>份额</w:t>
      </w:r>
      <w:r>
        <w:rPr>
          <w:rFonts w:hint="eastAsia"/>
        </w:rPr>
        <w:t>的基金份额净值</w:t>
      </w:r>
    </w:p>
    <w:p w:rsidR="00762BB1" w:rsidRDefault="00762BB1" w:rsidP="00762BB1">
      <w:pPr>
        <w:spacing w:line="360" w:lineRule="auto"/>
        <w:ind w:firstLineChars="200" w:firstLine="420"/>
        <w:jc w:val="left"/>
      </w:pPr>
      <w:r>
        <w:rPr>
          <w:rFonts w:hint="eastAsia"/>
        </w:rPr>
        <w:t>鼎利</w:t>
      </w:r>
      <w:r>
        <w:t>A</w:t>
      </w:r>
      <w:r>
        <w:rPr>
          <w:rFonts w:hint="eastAsia"/>
        </w:rPr>
        <w:t>份额（或鼎利</w:t>
      </w:r>
      <w:r>
        <w:t>B</w:t>
      </w:r>
      <w:r>
        <w:rPr>
          <w:rFonts w:hint="eastAsia"/>
        </w:rPr>
        <w:t>份额）基金份额持有人持有的转换后</w:t>
      </w:r>
      <w:r w:rsidRPr="00BF6ADA">
        <w:rPr>
          <w:rFonts w:hint="eastAsia"/>
        </w:rPr>
        <w:t>中欧鼎利</w:t>
      </w:r>
      <w:r>
        <w:rPr>
          <w:rFonts w:hint="eastAsia"/>
        </w:rPr>
        <w:t>分级债券</w:t>
      </w:r>
      <w:r w:rsidRPr="00BF6ADA">
        <w:rPr>
          <w:rFonts w:hint="eastAsia"/>
        </w:rPr>
        <w:t>份额</w:t>
      </w:r>
      <w:r>
        <w:rPr>
          <w:rFonts w:hint="eastAsia"/>
        </w:rPr>
        <w:t>的场内份额数＝基金份额持有人持有的转换前鼎利</w:t>
      </w:r>
      <w:r>
        <w:t>A</w:t>
      </w:r>
      <w:r>
        <w:rPr>
          <w:rFonts w:hint="eastAsia"/>
        </w:rPr>
        <w:t>份额（或鼎利</w:t>
      </w:r>
      <w:r>
        <w:t>B</w:t>
      </w:r>
      <w:r>
        <w:rPr>
          <w:rFonts w:hint="eastAsia"/>
        </w:rPr>
        <w:t>份额）的份额数×鼎利</w:t>
      </w:r>
      <w:r>
        <w:t>A</w:t>
      </w:r>
      <w:r>
        <w:rPr>
          <w:rFonts w:hint="eastAsia"/>
        </w:rPr>
        <w:t>份额（或鼎利</w:t>
      </w:r>
      <w:r>
        <w:t>B</w:t>
      </w:r>
      <w:r>
        <w:rPr>
          <w:rFonts w:hint="eastAsia"/>
        </w:rPr>
        <w:t>份额）的转换比率</w:t>
      </w:r>
    </w:p>
    <w:p w:rsidR="00A14E9C" w:rsidRDefault="00762BB1" w:rsidP="00762BB1">
      <w:pPr>
        <w:spacing w:line="360" w:lineRule="auto"/>
        <w:ind w:firstLineChars="200" w:firstLine="420"/>
      </w:pPr>
      <w:r>
        <w:rPr>
          <w:kern w:val="0"/>
        </w:rPr>
        <w:t>2</w:t>
      </w:r>
      <w:r>
        <w:rPr>
          <w:rFonts w:hint="eastAsia"/>
          <w:kern w:val="0"/>
        </w:rPr>
        <w:t>）将</w:t>
      </w:r>
      <w:r w:rsidRPr="00BF6ADA">
        <w:rPr>
          <w:rFonts w:hint="eastAsia"/>
        </w:rPr>
        <w:t>中欧鼎利</w:t>
      </w:r>
      <w:r>
        <w:rPr>
          <w:rFonts w:hint="eastAsia"/>
        </w:rPr>
        <w:t>分级债券</w:t>
      </w:r>
      <w:r w:rsidRPr="00BF6ADA">
        <w:rPr>
          <w:rFonts w:hint="eastAsia"/>
        </w:rPr>
        <w:t>份额</w:t>
      </w:r>
      <w:r>
        <w:rPr>
          <w:rFonts w:hint="eastAsia"/>
          <w:kern w:val="0"/>
        </w:rPr>
        <w:t>转换成</w:t>
      </w:r>
      <w:r>
        <w:rPr>
          <w:rFonts w:hint="eastAsia"/>
        </w:rPr>
        <w:t>中欧鼎利债券基金</w:t>
      </w:r>
      <w:r>
        <w:rPr>
          <w:rFonts w:hint="eastAsia"/>
          <w:kern w:val="0"/>
        </w:rPr>
        <w:t>份额，</w:t>
      </w:r>
      <w:r>
        <w:rPr>
          <w:rFonts w:hint="eastAsia"/>
        </w:rPr>
        <w:t>中欧鼎利债券基金份额数</w:t>
      </w:r>
      <w:r>
        <w:rPr>
          <w:kern w:val="0"/>
        </w:rPr>
        <w:t>=</w:t>
      </w:r>
      <w:r w:rsidRPr="00BF6ADA">
        <w:rPr>
          <w:rFonts w:hint="eastAsia"/>
        </w:rPr>
        <w:t>中欧鼎利</w:t>
      </w:r>
      <w:r>
        <w:rPr>
          <w:rFonts w:hint="eastAsia"/>
        </w:rPr>
        <w:t>分级债券</w:t>
      </w:r>
      <w:r w:rsidRPr="00BF6ADA">
        <w:rPr>
          <w:rFonts w:hint="eastAsia"/>
        </w:rPr>
        <w:t>份额</w:t>
      </w:r>
      <w:r w:rsidRPr="00762BB1">
        <w:rPr>
          <w:rFonts w:hint="eastAsia"/>
        </w:rPr>
        <w:t>数。</w:t>
      </w:r>
    </w:p>
    <w:p w:rsidR="00762BB1" w:rsidRPr="00762BB1" w:rsidRDefault="00762BB1" w:rsidP="00762BB1">
      <w:pPr>
        <w:spacing w:line="360" w:lineRule="auto"/>
        <w:ind w:firstLineChars="200" w:firstLine="420"/>
      </w:pPr>
      <w:r>
        <w:rPr>
          <w:rFonts w:hint="eastAsia"/>
        </w:rPr>
        <w:t>（</w:t>
      </w:r>
      <w:r>
        <w:rPr>
          <w:rFonts w:hint="eastAsia"/>
        </w:rPr>
        <w:t>3</w:t>
      </w:r>
      <w:r>
        <w:rPr>
          <w:rFonts w:hint="eastAsia"/>
        </w:rPr>
        <w:t>）</w:t>
      </w:r>
      <w:r w:rsidRPr="00762BB1">
        <w:t>基金份额转换结果的公告</w:t>
      </w:r>
    </w:p>
    <w:p w:rsidR="00343F14" w:rsidRPr="00343F14" w:rsidRDefault="00343F14" w:rsidP="00343F14">
      <w:pPr>
        <w:spacing w:line="360" w:lineRule="auto"/>
        <w:ind w:firstLineChars="200" w:firstLine="420"/>
      </w:pPr>
      <w:r w:rsidRPr="00343F14">
        <w:t>本基金此次份额转换结果及注册登记机构变更登记完成后，基金管理人将在指定媒</w:t>
      </w:r>
      <w:r>
        <w:rPr>
          <w:rFonts w:hint="eastAsia"/>
        </w:rPr>
        <w:t>介</w:t>
      </w:r>
      <w:r w:rsidRPr="00343F14">
        <w:t>对份额转换结果予以公告。</w:t>
      </w:r>
    </w:p>
    <w:p w:rsidR="00343F14" w:rsidRDefault="00343F14" w:rsidP="00343F14">
      <w:pPr>
        <w:spacing w:line="360" w:lineRule="auto"/>
        <w:ind w:firstLineChars="200" w:firstLine="420"/>
      </w:pPr>
      <w:r w:rsidRPr="00343F14">
        <w:t>如果基金份额转换过程中发生不可抗力，基金管理人可延迟办理基金份额转换与变更登记。</w:t>
      </w:r>
    </w:p>
    <w:p w:rsidR="00343F14" w:rsidRDefault="00343F14" w:rsidP="00A855EE">
      <w:pPr>
        <w:spacing w:line="360" w:lineRule="auto"/>
        <w:ind w:firstLineChars="200" w:firstLine="422"/>
        <w:rPr>
          <w:rFonts w:ascii="宋体" w:hAnsi="宋体"/>
          <w:b/>
        </w:rPr>
      </w:pPr>
      <w:r>
        <w:rPr>
          <w:rFonts w:hint="eastAsia"/>
          <w:b/>
        </w:rPr>
        <w:t>二</w:t>
      </w:r>
      <w:r w:rsidRPr="00762BB1">
        <w:rPr>
          <w:rFonts w:hint="eastAsia"/>
          <w:b/>
        </w:rPr>
        <w:t>、</w:t>
      </w:r>
      <w:r w:rsidR="00D32C4F">
        <w:rPr>
          <w:rFonts w:ascii="宋体" w:hAnsi="宋体" w:hint="eastAsia"/>
          <w:b/>
        </w:rPr>
        <w:t>修订后</w:t>
      </w:r>
      <w:r>
        <w:rPr>
          <w:rFonts w:ascii="宋体" w:hAnsi="宋体" w:hint="eastAsia"/>
          <w:b/>
        </w:rPr>
        <w:t>基金合同等法律文件的</w:t>
      </w:r>
      <w:r w:rsidR="00D32C4F">
        <w:rPr>
          <w:rFonts w:ascii="宋体" w:hAnsi="宋体" w:hint="eastAsia"/>
          <w:b/>
        </w:rPr>
        <w:t>生效</w:t>
      </w:r>
      <w:r w:rsidR="00A855EE">
        <w:rPr>
          <w:rFonts w:ascii="宋体" w:hAnsi="宋体" w:hint="eastAsia"/>
          <w:b/>
        </w:rPr>
        <w:t>及基金名称的变更</w:t>
      </w:r>
    </w:p>
    <w:p w:rsidR="00343F14" w:rsidRDefault="00343F14" w:rsidP="00343F14">
      <w:pPr>
        <w:spacing w:line="360" w:lineRule="auto"/>
        <w:ind w:firstLineChars="200" w:firstLine="420"/>
        <w:rPr>
          <w:kern w:val="0"/>
        </w:rPr>
      </w:pPr>
      <w:r>
        <w:rPr>
          <w:rFonts w:hint="eastAsia"/>
          <w:kern w:val="0"/>
        </w:rPr>
        <w:t>根据《关于中欧鼎利分级债券型证券投资基金转型及基金合同修改有关事项的议案》、《</w:t>
      </w:r>
      <w:r>
        <w:rPr>
          <w:rFonts w:ascii="宋体" w:hAnsi="Calibri" w:cs="宋体" w:hint="eastAsia"/>
          <w:color w:val="000000"/>
          <w:kern w:val="0"/>
          <w:szCs w:val="21"/>
        </w:rPr>
        <w:t>中欧基金管理有限公司关于中欧鼎利分级债券型证券投资基金</w:t>
      </w:r>
      <w:r>
        <w:rPr>
          <w:rFonts w:ascii="宋体" w:hAnsi="宋体" w:hint="eastAsia"/>
          <w:kern w:val="0"/>
        </w:rPr>
        <w:t>基金份额持有人大会</w:t>
      </w:r>
      <w:r w:rsidR="00BA69A6">
        <w:rPr>
          <w:rFonts w:ascii="宋体" w:hAnsi="宋体" w:hint="eastAsia"/>
          <w:kern w:val="0"/>
        </w:rPr>
        <w:t>表决结果暨</w:t>
      </w:r>
      <w:r>
        <w:rPr>
          <w:rFonts w:ascii="宋体" w:hAnsi="宋体" w:hint="eastAsia"/>
          <w:kern w:val="0"/>
        </w:rPr>
        <w:t>决议生效公告》</w:t>
      </w:r>
      <w:r>
        <w:rPr>
          <w:rFonts w:hint="eastAsia"/>
          <w:kern w:val="0"/>
        </w:rPr>
        <w:t>以及相关法律法规的规定，经与基金托管人中信银行股份有限公司协商一致，基金管理人已将《中欧鼎利分级债券型证券投资基金基金合同》、《中欧鼎利分级债券型证券投资基金托管协议》分别修订为《中欧鼎利债券型证券投资基金基金合同》、《中欧鼎利债券型证券投资基金托管协议》，并据此编制《中欧鼎利债券型证券投资基金招募说明书》。中欧鼎利分级债券型证券投资基金已经中国证监会证监许可</w:t>
      </w:r>
      <w:r>
        <w:rPr>
          <w:kern w:val="0"/>
        </w:rPr>
        <w:t>[2017] 1044</w:t>
      </w:r>
      <w:r>
        <w:rPr>
          <w:rFonts w:hint="eastAsia"/>
          <w:kern w:val="0"/>
        </w:rPr>
        <w:t>号《关于准予中欧鼎利分级债券型证券投资基金变更注册的批复》准予变更注册。《中欧鼎利债券型证券投资基金基金合同》、《中欧鼎利债券型证券投资基金托管协议》将自中欧鼎利分级债券型证券投资基金基金份额转换基准日的次一工作日</w:t>
      </w:r>
      <w:r w:rsidR="00A855EE">
        <w:rPr>
          <w:rFonts w:hint="eastAsia"/>
          <w:kern w:val="0"/>
        </w:rPr>
        <w:t>，即</w:t>
      </w:r>
      <w:r w:rsidR="00A855EE">
        <w:rPr>
          <w:rFonts w:hint="eastAsia"/>
          <w:kern w:val="0"/>
        </w:rPr>
        <w:t>2017</w:t>
      </w:r>
      <w:r w:rsidR="00A855EE">
        <w:rPr>
          <w:rFonts w:hint="eastAsia"/>
          <w:kern w:val="0"/>
        </w:rPr>
        <w:t>年</w:t>
      </w:r>
      <w:r w:rsidR="00A855EE">
        <w:rPr>
          <w:rFonts w:hint="eastAsia"/>
          <w:kern w:val="0"/>
        </w:rPr>
        <w:t>9</w:t>
      </w:r>
      <w:r w:rsidR="00A855EE">
        <w:rPr>
          <w:rFonts w:hint="eastAsia"/>
          <w:kern w:val="0"/>
        </w:rPr>
        <w:t>月</w:t>
      </w:r>
      <w:r w:rsidR="00A855EE">
        <w:rPr>
          <w:rFonts w:hint="eastAsia"/>
          <w:kern w:val="0"/>
        </w:rPr>
        <w:t>18</w:t>
      </w:r>
      <w:r w:rsidR="00A855EE">
        <w:rPr>
          <w:rFonts w:hint="eastAsia"/>
          <w:kern w:val="0"/>
        </w:rPr>
        <w:t>日</w:t>
      </w:r>
      <w:r>
        <w:rPr>
          <w:rFonts w:hint="eastAsia"/>
          <w:kern w:val="0"/>
        </w:rPr>
        <w:t>起生效</w:t>
      </w:r>
      <w:r w:rsidR="00A855EE">
        <w:rPr>
          <w:rFonts w:hint="eastAsia"/>
          <w:kern w:val="0"/>
        </w:rPr>
        <w:t>，同日，</w:t>
      </w:r>
      <w:r w:rsidR="00A855EE">
        <w:rPr>
          <w:rFonts w:hint="eastAsia"/>
          <w:kern w:val="0"/>
        </w:rPr>
        <w:lastRenderedPageBreak/>
        <w:t>中欧鼎利分级债券型证券投资基金正式更名为“中欧鼎利债券型证券投资基金”</w:t>
      </w:r>
      <w:r>
        <w:rPr>
          <w:rFonts w:hint="eastAsia"/>
          <w:kern w:val="0"/>
        </w:rPr>
        <w:t>。</w:t>
      </w:r>
    </w:p>
    <w:p w:rsidR="00D32C4F" w:rsidRDefault="00D32C4F" w:rsidP="00343F14">
      <w:pPr>
        <w:spacing w:line="360" w:lineRule="auto"/>
        <w:ind w:firstLineChars="200" w:firstLine="422"/>
        <w:rPr>
          <w:rFonts w:ascii="宋体" w:hAnsi="宋体"/>
          <w:b/>
        </w:rPr>
      </w:pPr>
      <w:r>
        <w:rPr>
          <w:rFonts w:ascii="宋体" w:hAnsi="宋体" w:hint="eastAsia"/>
          <w:b/>
        </w:rPr>
        <w:t>三、</w:t>
      </w:r>
      <w:r w:rsidRPr="00D32C4F">
        <w:rPr>
          <w:rFonts w:ascii="宋体" w:hAnsi="宋体" w:hint="eastAsia"/>
          <w:b/>
        </w:rPr>
        <w:t>中欧鼎利分级债券、中欧鼎利债券基金份额的申购赎回</w:t>
      </w:r>
      <w:r>
        <w:rPr>
          <w:rFonts w:ascii="宋体" w:hAnsi="宋体" w:hint="eastAsia"/>
          <w:b/>
        </w:rPr>
        <w:t>安排</w:t>
      </w:r>
    </w:p>
    <w:p w:rsidR="00D32C4F" w:rsidRPr="00CE1681" w:rsidRDefault="00D32C4F" w:rsidP="00D32C4F">
      <w:pPr>
        <w:spacing w:line="360" w:lineRule="auto"/>
        <w:ind w:firstLineChars="200" w:firstLine="420"/>
        <w:jc w:val="left"/>
      </w:pPr>
      <w:r>
        <w:rPr>
          <w:rFonts w:hint="eastAsia"/>
        </w:rPr>
        <w:t>因中欧鼎利分级债券型证券投资基金实施转型，本基金将自</w:t>
      </w:r>
      <w:r>
        <w:rPr>
          <w:rFonts w:hint="eastAsia"/>
        </w:rPr>
        <w:t>2017</w:t>
      </w:r>
      <w:r>
        <w:rPr>
          <w:rFonts w:hint="eastAsia"/>
        </w:rPr>
        <w:t>年</w:t>
      </w:r>
      <w:r>
        <w:rPr>
          <w:rFonts w:hint="eastAsia"/>
        </w:rPr>
        <w:t>9</w:t>
      </w:r>
      <w:r>
        <w:rPr>
          <w:rFonts w:hint="eastAsia"/>
        </w:rPr>
        <w:t>月</w:t>
      </w:r>
      <w:r>
        <w:rPr>
          <w:rFonts w:hint="eastAsia"/>
        </w:rPr>
        <w:t>15</w:t>
      </w:r>
      <w:r>
        <w:rPr>
          <w:rFonts w:hint="eastAsia"/>
        </w:rPr>
        <w:t>日起暂停办理场外申购、场内赎回、场外赎回、定期定额投资、转换、跨系统转托管（场内转场外）业务（场内申购、场外转场内业务已于</w:t>
      </w:r>
      <w:r>
        <w:rPr>
          <w:rFonts w:hint="eastAsia"/>
        </w:rPr>
        <w:t>2017</w:t>
      </w:r>
      <w:r>
        <w:rPr>
          <w:rFonts w:hint="eastAsia"/>
        </w:rPr>
        <w:t>年</w:t>
      </w:r>
      <w:r>
        <w:rPr>
          <w:rFonts w:hint="eastAsia"/>
        </w:rPr>
        <w:t>6</w:t>
      </w:r>
      <w:r>
        <w:rPr>
          <w:rFonts w:hint="eastAsia"/>
        </w:rPr>
        <w:t>月</w:t>
      </w:r>
      <w:r>
        <w:rPr>
          <w:rFonts w:hint="eastAsia"/>
        </w:rPr>
        <w:t>14</w:t>
      </w:r>
      <w:r>
        <w:rPr>
          <w:rFonts w:hint="eastAsia"/>
        </w:rPr>
        <w:t>日暂停，详见</w:t>
      </w:r>
      <w:r>
        <w:rPr>
          <w:rFonts w:hint="eastAsia"/>
        </w:rPr>
        <w:t>2017</w:t>
      </w:r>
      <w:r>
        <w:rPr>
          <w:rFonts w:hint="eastAsia"/>
        </w:rPr>
        <w:t>年</w:t>
      </w:r>
      <w:r>
        <w:rPr>
          <w:rFonts w:hint="eastAsia"/>
        </w:rPr>
        <w:t>6</w:t>
      </w:r>
      <w:r>
        <w:rPr>
          <w:rFonts w:hint="eastAsia"/>
        </w:rPr>
        <w:t>月</w:t>
      </w:r>
      <w:r>
        <w:rPr>
          <w:rFonts w:hint="eastAsia"/>
        </w:rPr>
        <w:t>13</w:t>
      </w:r>
      <w:r>
        <w:rPr>
          <w:rFonts w:hint="eastAsia"/>
        </w:rPr>
        <w:t>日发布的公告），并自</w:t>
      </w:r>
      <w:r>
        <w:rPr>
          <w:rFonts w:hint="eastAsia"/>
        </w:rPr>
        <w:t>2017</w:t>
      </w:r>
      <w:r>
        <w:rPr>
          <w:rFonts w:hint="eastAsia"/>
        </w:rPr>
        <w:t>年</w:t>
      </w:r>
      <w:r>
        <w:rPr>
          <w:rFonts w:hint="eastAsia"/>
        </w:rPr>
        <w:t>9</w:t>
      </w:r>
      <w:r>
        <w:rPr>
          <w:rFonts w:hint="eastAsia"/>
        </w:rPr>
        <w:t>月</w:t>
      </w:r>
      <w:r>
        <w:rPr>
          <w:rFonts w:hint="eastAsia"/>
        </w:rPr>
        <w:t>15</w:t>
      </w:r>
      <w:r>
        <w:rPr>
          <w:rFonts w:hint="eastAsia"/>
        </w:rPr>
        <w:t>日起终止办理中欧鼎利分级债券份额、鼎利</w:t>
      </w:r>
      <w:r>
        <w:rPr>
          <w:rFonts w:hint="eastAsia"/>
        </w:rPr>
        <w:t>A</w:t>
      </w:r>
      <w:r>
        <w:rPr>
          <w:rFonts w:hint="eastAsia"/>
        </w:rPr>
        <w:t>份额、鼎利</w:t>
      </w:r>
      <w:r>
        <w:rPr>
          <w:rFonts w:hint="eastAsia"/>
        </w:rPr>
        <w:t>B</w:t>
      </w:r>
      <w:r>
        <w:rPr>
          <w:rFonts w:hint="eastAsia"/>
        </w:rPr>
        <w:t>份额三类份额间的配对转换业务。转型为中欧鼎利债券型证券投资基金后的申购（仅限场外）、赎回、转换、定投、跨系统转托管（仅限场内转场外）将于</w:t>
      </w:r>
      <w:r>
        <w:rPr>
          <w:rFonts w:hint="eastAsia"/>
        </w:rPr>
        <w:t>2017</w:t>
      </w:r>
      <w:r>
        <w:rPr>
          <w:rFonts w:hint="eastAsia"/>
        </w:rPr>
        <w:t>年</w:t>
      </w:r>
      <w:r>
        <w:rPr>
          <w:rFonts w:hint="eastAsia"/>
        </w:rPr>
        <w:t>9</w:t>
      </w:r>
      <w:r>
        <w:rPr>
          <w:rFonts w:hint="eastAsia"/>
        </w:rPr>
        <w:t>月</w:t>
      </w:r>
      <w:r>
        <w:rPr>
          <w:rFonts w:hint="eastAsia"/>
        </w:rPr>
        <w:t>19</w:t>
      </w:r>
      <w:r>
        <w:rPr>
          <w:rFonts w:hint="eastAsia"/>
        </w:rPr>
        <w:t>日开始办理。</w:t>
      </w:r>
    </w:p>
    <w:p w:rsidR="00343F14" w:rsidRDefault="00D32C4F" w:rsidP="00343F14">
      <w:pPr>
        <w:spacing w:line="360" w:lineRule="auto"/>
        <w:ind w:firstLineChars="200" w:firstLine="422"/>
        <w:rPr>
          <w:rFonts w:ascii="宋体" w:hAnsi="宋体"/>
          <w:b/>
        </w:rPr>
      </w:pPr>
      <w:r>
        <w:rPr>
          <w:rFonts w:ascii="宋体" w:hAnsi="宋体" w:hint="eastAsia"/>
          <w:b/>
        </w:rPr>
        <w:t>四</w:t>
      </w:r>
      <w:r w:rsidR="00343F14" w:rsidRPr="00343F14">
        <w:rPr>
          <w:rFonts w:ascii="宋体" w:hAnsi="宋体" w:hint="eastAsia"/>
          <w:b/>
        </w:rPr>
        <w:t>、</w:t>
      </w:r>
      <w:r w:rsidR="00343F14">
        <w:rPr>
          <w:rFonts w:ascii="宋体" w:hAnsi="宋体" w:hint="eastAsia"/>
          <w:b/>
        </w:rPr>
        <w:t>关于转型后场内基金份额后续安排</w:t>
      </w:r>
    </w:p>
    <w:p w:rsidR="00343F14" w:rsidRPr="00343F14" w:rsidRDefault="00343F14" w:rsidP="00343F14">
      <w:pPr>
        <w:spacing w:line="360" w:lineRule="auto"/>
        <w:ind w:firstLineChars="200" w:firstLine="420"/>
      </w:pPr>
      <w:r>
        <w:rPr>
          <w:rFonts w:hint="eastAsia"/>
          <w:kern w:val="0"/>
        </w:rPr>
        <w:t>自《中欧鼎利债券型证券投资基金基金合同》生效</w:t>
      </w:r>
      <w:r w:rsidR="00D43666" w:rsidRPr="00D43666">
        <w:rPr>
          <w:rFonts w:hint="eastAsia"/>
          <w:kern w:val="0"/>
        </w:rPr>
        <w:t>的次一交易日</w:t>
      </w:r>
      <w:r>
        <w:rPr>
          <w:rFonts w:hint="eastAsia"/>
          <w:kern w:val="0"/>
        </w:rPr>
        <w:t>起三个月内</w:t>
      </w:r>
      <w:r w:rsidR="005A4EF5">
        <w:rPr>
          <w:rFonts w:hint="eastAsia"/>
          <w:kern w:val="0"/>
        </w:rPr>
        <w:t>，即</w:t>
      </w:r>
      <w:r w:rsidR="005A4EF5">
        <w:rPr>
          <w:rFonts w:hint="eastAsia"/>
          <w:kern w:val="0"/>
        </w:rPr>
        <w:t>2017</w:t>
      </w:r>
      <w:r w:rsidR="005A4EF5">
        <w:rPr>
          <w:rFonts w:hint="eastAsia"/>
          <w:kern w:val="0"/>
        </w:rPr>
        <w:t>年</w:t>
      </w:r>
      <w:r w:rsidR="005A4EF5">
        <w:rPr>
          <w:rFonts w:hint="eastAsia"/>
          <w:kern w:val="0"/>
        </w:rPr>
        <w:t>9</w:t>
      </w:r>
      <w:r w:rsidR="005A4EF5">
        <w:rPr>
          <w:rFonts w:hint="eastAsia"/>
          <w:kern w:val="0"/>
        </w:rPr>
        <w:t>月</w:t>
      </w:r>
      <w:r w:rsidR="005A4EF5">
        <w:rPr>
          <w:rFonts w:hint="eastAsia"/>
          <w:kern w:val="0"/>
        </w:rPr>
        <w:t>19</w:t>
      </w:r>
      <w:r w:rsidR="005A4EF5">
        <w:rPr>
          <w:rFonts w:hint="eastAsia"/>
          <w:kern w:val="0"/>
        </w:rPr>
        <w:t>日至</w:t>
      </w:r>
      <w:r w:rsidR="005A4EF5">
        <w:rPr>
          <w:rFonts w:hint="eastAsia"/>
          <w:kern w:val="0"/>
        </w:rPr>
        <w:t>2017</w:t>
      </w:r>
      <w:r w:rsidR="005A4EF5">
        <w:rPr>
          <w:rFonts w:hint="eastAsia"/>
          <w:kern w:val="0"/>
        </w:rPr>
        <w:t>年</w:t>
      </w:r>
      <w:r w:rsidR="005A4EF5">
        <w:rPr>
          <w:rFonts w:hint="eastAsia"/>
          <w:kern w:val="0"/>
        </w:rPr>
        <w:t>12</w:t>
      </w:r>
      <w:r w:rsidR="005A4EF5">
        <w:rPr>
          <w:rFonts w:hint="eastAsia"/>
          <w:kern w:val="0"/>
        </w:rPr>
        <w:t>月</w:t>
      </w:r>
      <w:r w:rsidR="005A4EF5">
        <w:rPr>
          <w:rFonts w:hint="eastAsia"/>
          <w:kern w:val="0"/>
        </w:rPr>
        <w:t>18</w:t>
      </w:r>
      <w:r w:rsidR="005A4EF5">
        <w:rPr>
          <w:rFonts w:hint="eastAsia"/>
          <w:kern w:val="0"/>
        </w:rPr>
        <w:t>日期间</w:t>
      </w:r>
      <w:r>
        <w:rPr>
          <w:rFonts w:hint="eastAsia"/>
          <w:kern w:val="0"/>
        </w:rPr>
        <w:t>，持有中欧鼎利债券型证券投资基金场内份额的基金份额持有人，可以进行场内赎回，或进行场外开户和跨系统转托管</w:t>
      </w:r>
      <w:r w:rsidR="005A4EF5">
        <w:rPr>
          <w:rFonts w:hint="eastAsia"/>
          <w:kern w:val="0"/>
        </w:rPr>
        <w:t>（仅限场内转场外）</w:t>
      </w:r>
      <w:r>
        <w:rPr>
          <w:rFonts w:hint="eastAsia"/>
          <w:kern w:val="0"/>
        </w:rPr>
        <w:t>从而将中欧鼎利债券型证券投资基金场内份额转换为中欧鼎利债券型证券投资基金场外份额。《中欧鼎利债券型证券投资基金基金合同》生效三个月后，关闭场内赎回、场内份额的跨系统转托管业务，原登记在中国证券登记结算有限责任公司深圳证券登记结算系统的场内基金份额，将转登记至本基金管理人开立的中国证券登记结算有限责任公司场外基金账户上，届时仍持有中欧鼎利债券型证券投资基金场内份额余额的投资人，需根据基金管理人届时发布的相关公告，对其持有的基金份额进行重新确认与登记，此过程即为“确权”，确权完成后，基金份额持有人方可在场外对相关基金份额进行赎回及其他交易。</w:t>
      </w:r>
    </w:p>
    <w:p w:rsidR="00343F14" w:rsidRDefault="00D43666" w:rsidP="00343F14">
      <w:pPr>
        <w:spacing w:line="360" w:lineRule="auto"/>
        <w:ind w:firstLineChars="200" w:firstLine="422"/>
        <w:rPr>
          <w:rFonts w:ascii="宋体" w:hAnsi="宋体"/>
          <w:b/>
        </w:rPr>
      </w:pPr>
      <w:r>
        <w:rPr>
          <w:rFonts w:ascii="宋体" w:hAnsi="宋体" w:hint="eastAsia"/>
          <w:b/>
        </w:rPr>
        <w:t>五</w:t>
      </w:r>
      <w:r w:rsidR="00343F14">
        <w:rPr>
          <w:rFonts w:ascii="宋体" w:hAnsi="宋体" w:hint="eastAsia"/>
          <w:b/>
        </w:rPr>
        <w:t xml:space="preserve">、对基金份额持有人的影响及基金风险发生变化的提示 </w:t>
      </w:r>
    </w:p>
    <w:p w:rsidR="00343F14" w:rsidRDefault="00343F14" w:rsidP="00343F14">
      <w:pPr>
        <w:autoSpaceDE w:val="0"/>
        <w:autoSpaceDN w:val="0"/>
        <w:adjustRightInd w:val="0"/>
        <w:spacing w:line="360" w:lineRule="auto"/>
        <w:ind w:firstLineChars="200" w:firstLine="420"/>
        <w:jc w:val="left"/>
        <w:rPr>
          <w:rFonts w:ascii="Times New Roman" w:hAnsi="Times New Roman"/>
        </w:rPr>
      </w:pPr>
      <w:r>
        <w:rPr>
          <w:rFonts w:hint="eastAsia"/>
        </w:rPr>
        <w:t>本基金转型前后，原鼎利</w:t>
      </w:r>
      <w:r>
        <w:t>A</w:t>
      </w:r>
      <w:r>
        <w:rPr>
          <w:rFonts w:hint="eastAsia"/>
        </w:rPr>
        <w:t>份额和鼎利</w:t>
      </w:r>
      <w:r>
        <w:t>B</w:t>
      </w:r>
      <w:r>
        <w:rPr>
          <w:rFonts w:hint="eastAsia"/>
        </w:rPr>
        <w:t>份额的份额持有人持有基金份额的风险收益特征将发生较大变化，由持有低风险收益特征的鼎利</w:t>
      </w:r>
      <w:r>
        <w:t>A</w:t>
      </w:r>
      <w:r>
        <w:rPr>
          <w:rFonts w:hint="eastAsia"/>
        </w:rPr>
        <w:t>份额或较高风险收益特征的鼎利</w:t>
      </w:r>
      <w:r>
        <w:t>B</w:t>
      </w:r>
      <w:r>
        <w:rPr>
          <w:rFonts w:hint="eastAsia"/>
        </w:rPr>
        <w:t>份额变为持有中欧鼎利份额。转型后，本基金为债券型基金，属于证券投资基金中的较低风险品种，预期风险和预期收益高于货币市场基金，低于混合型基金和股票型基金。</w:t>
      </w:r>
    </w:p>
    <w:p w:rsidR="00343F14" w:rsidRDefault="00343F14" w:rsidP="00343F14">
      <w:pPr>
        <w:autoSpaceDE w:val="0"/>
        <w:autoSpaceDN w:val="0"/>
        <w:adjustRightInd w:val="0"/>
        <w:spacing w:line="360" w:lineRule="auto"/>
        <w:ind w:firstLineChars="200" w:firstLine="420"/>
        <w:jc w:val="left"/>
      </w:pPr>
      <w:r>
        <w:rPr>
          <w:rFonts w:hint="eastAsia"/>
        </w:rPr>
        <w:t>本基金转型后不在交易所上市交易。</w:t>
      </w:r>
    </w:p>
    <w:p w:rsidR="00343F14" w:rsidRDefault="00343F14" w:rsidP="00343F14">
      <w:pPr>
        <w:spacing w:line="360" w:lineRule="auto"/>
        <w:ind w:firstLineChars="200" w:firstLine="420"/>
        <w:rPr>
          <w:rFonts w:ascii="宋体" w:hAnsi="Calibri" w:cs="宋体"/>
          <w:color w:val="000000"/>
          <w:kern w:val="0"/>
          <w:szCs w:val="21"/>
        </w:rPr>
      </w:pPr>
      <w:r>
        <w:rPr>
          <w:rFonts w:ascii="宋体" w:hAnsi="Calibri" w:cs="宋体" w:hint="eastAsia"/>
          <w:color w:val="000000"/>
          <w:kern w:val="0"/>
          <w:szCs w:val="21"/>
        </w:rPr>
        <w:t>特此公告。</w:t>
      </w:r>
    </w:p>
    <w:p w:rsidR="00343F14" w:rsidRDefault="00343F14" w:rsidP="00343F14">
      <w:pPr>
        <w:spacing w:line="360" w:lineRule="auto"/>
        <w:ind w:firstLineChars="200" w:firstLine="420"/>
        <w:rPr>
          <w:rFonts w:ascii="宋体" w:hAnsi="Calibri" w:cs="宋体"/>
          <w:color w:val="000000"/>
          <w:kern w:val="0"/>
          <w:szCs w:val="21"/>
        </w:rPr>
      </w:pPr>
    </w:p>
    <w:p w:rsidR="00343F14" w:rsidRDefault="00343F14" w:rsidP="00343F14">
      <w:pPr>
        <w:spacing w:line="360" w:lineRule="auto"/>
        <w:ind w:firstLineChars="200" w:firstLine="420"/>
        <w:rPr>
          <w:rFonts w:ascii="宋体" w:hAnsi="Calibri" w:cs="宋体"/>
          <w:color w:val="000000"/>
          <w:kern w:val="0"/>
          <w:szCs w:val="21"/>
        </w:rPr>
      </w:pPr>
    </w:p>
    <w:p w:rsidR="00343F14" w:rsidRDefault="00343F14" w:rsidP="00343F14">
      <w:pPr>
        <w:autoSpaceDE w:val="0"/>
        <w:autoSpaceDN w:val="0"/>
        <w:adjustRightInd w:val="0"/>
        <w:spacing w:line="360" w:lineRule="auto"/>
        <w:jc w:val="right"/>
        <w:rPr>
          <w:rFonts w:ascii="宋体" w:cs="宋体"/>
          <w:color w:val="000000"/>
          <w:kern w:val="0"/>
          <w:szCs w:val="21"/>
        </w:rPr>
      </w:pPr>
      <w:r>
        <w:rPr>
          <w:rFonts w:ascii="宋体" w:cs="宋体" w:hint="eastAsia"/>
          <w:color w:val="000000"/>
          <w:kern w:val="0"/>
          <w:szCs w:val="21"/>
        </w:rPr>
        <w:t xml:space="preserve">中欧基金管理有限公司 </w:t>
      </w:r>
    </w:p>
    <w:p w:rsidR="00971D9E" w:rsidRPr="008A6740" w:rsidRDefault="00343F14" w:rsidP="005A4EF5">
      <w:pPr>
        <w:spacing w:line="360" w:lineRule="auto"/>
        <w:ind w:firstLineChars="200" w:firstLine="420"/>
        <w:jc w:val="right"/>
      </w:pPr>
      <w:r>
        <w:rPr>
          <w:rFonts w:ascii="Calibri" w:hAnsi="Calibri" w:cs="Calibri"/>
          <w:color w:val="000000"/>
          <w:kern w:val="0"/>
          <w:szCs w:val="21"/>
        </w:rPr>
        <w:t>2017</w:t>
      </w:r>
      <w:r>
        <w:rPr>
          <w:rFonts w:ascii="宋体" w:hAnsi="Calibri" w:cs="宋体" w:hint="eastAsia"/>
          <w:color w:val="000000"/>
          <w:kern w:val="0"/>
          <w:szCs w:val="21"/>
        </w:rPr>
        <w:t>年</w:t>
      </w:r>
      <w:r>
        <w:rPr>
          <w:rFonts w:ascii="Calibri" w:hAnsi="Calibri" w:cs="Calibri" w:hint="eastAsia"/>
          <w:color w:val="000000"/>
          <w:kern w:val="0"/>
          <w:szCs w:val="21"/>
        </w:rPr>
        <w:t>9</w:t>
      </w:r>
      <w:r>
        <w:rPr>
          <w:rFonts w:ascii="宋体" w:hAnsi="Calibri" w:cs="宋体" w:hint="eastAsia"/>
          <w:color w:val="000000"/>
          <w:kern w:val="0"/>
          <w:szCs w:val="21"/>
        </w:rPr>
        <w:t>月</w:t>
      </w:r>
      <w:r>
        <w:rPr>
          <w:rFonts w:ascii="Calibri" w:hAnsi="Calibri" w:cs="Calibri"/>
          <w:color w:val="000000"/>
          <w:kern w:val="0"/>
          <w:szCs w:val="21"/>
        </w:rPr>
        <w:t>1</w:t>
      </w:r>
      <w:r>
        <w:rPr>
          <w:rFonts w:ascii="Calibri" w:hAnsi="Calibri" w:cs="Calibri" w:hint="eastAsia"/>
          <w:color w:val="000000"/>
          <w:kern w:val="0"/>
          <w:szCs w:val="21"/>
        </w:rPr>
        <w:t>2</w:t>
      </w:r>
      <w:r>
        <w:rPr>
          <w:rFonts w:ascii="宋体" w:hAnsi="Calibri" w:cs="宋体" w:hint="eastAsia"/>
          <w:color w:val="000000"/>
          <w:kern w:val="0"/>
          <w:szCs w:val="21"/>
        </w:rPr>
        <w:t>日</w:t>
      </w:r>
    </w:p>
    <w:sectPr w:rsidR="00971D9E" w:rsidRPr="008A6740" w:rsidSect="0049202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E64B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CE4" w:rsidRDefault="00977CE4" w:rsidP="000435EC">
      <w:r>
        <w:separator/>
      </w:r>
    </w:p>
  </w:endnote>
  <w:endnote w:type="continuationSeparator" w:id="1">
    <w:p w:rsidR="00977CE4" w:rsidRDefault="00977CE4" w:rsidP="000435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CE4" w:rsidRDefault="00977CE4" w:rsidP="000435EC">
      <w:r>
        <w:separator/>
      </w:r>
    </w:p>
  </w:footnote>
  <w:footnote w:type="continuationSeparator" w:id="1">
    <w:p w:rsidR="00977CE4" w:rsidRDefault="00977CE4" w:rsidP="000435EC">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吴钱涛（基金运营部）">
    <w15:presenceInfo w15:providerId="AD" w15:userId="S-1-5-21-1099462241-1551578752-3304642489-733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EA8"/>
    <w:rsid w:val="00014E9F"/>
    <w:rsid w:val="000435EC"/>
    <w:rsid w:val="00044F47"/>
    <w:rsid w:val="0006030D"/>
    <w:rsid w:val="00080A10"/>
    <w:rsid w:val="000858F3"/>
    <w:rsid w:val="000D0647"/>
    <w:rsid w:val="00105737"/>
    <w:rsid w:val="001C0DF1"/>
    <w:rsid w:val="001C38A8"/>
    <w:rsid w:val="001C5081"/>
    <w:rsid w:val="001E0A03"/>
    <w:rsid w:val="00231E35"/>
    <w:rsid w:val="0031246A"/>
    <w:rsid w:val="00337D36"/>
    <w:rsid w:val="00343F14"/>
    <w:rsid w:val="00371BC4"/>
    <w:rsid w:val="00376ED0"/>
    <w:rsid w:val="003A4105"/>
    <w:rsid w:val="003E0B1E"/>
    <w:rsid w:val="00427D33"/>
    <w:rsid w:val="0044519D"/>
    <w:rsid w:val="00492029"/>
    <w:rsid w:val="004C5F2A"/>
    <w:rsid w:val="00503B7C"/>
    <w:rsid w:val="00532E24"/>
    <w:rsid w:val="0053680B"/>
    <w:rsid w:val="00560E21"/>
    <w:rsid w:val="00590BAD"/>
    <w:rsid w:val="005A4EF5"/>
    <w:rsid w:val="005B0873"/>
    <w:rsid w:val="005C0AE3"/>
    <w:rsid w:val="005D28F8"/>
    <w:rsid w:val="005F7CC5"/>
    <w:rsid w:val="00624667"/>
    <w:rsid w:val="00643B2F"/>
    <w:rsid w:val="00650519"/>
    <w:rsid w:val="006531FC"/>
    <w:rsid w:val="00671662"/>
    <w:rsid w:val="006D64B0"/>
    <w:rsid w:val="00754B4E"/>
    <w:rsid w:val="00762BB1"/>
    <w:rsid w:val="007F3082"/>
    <w:rsid w:val="00807281"/>
    <w:rsid w:val="00830D04"/>
    <w:rsid w:val="00843FA2"/>
    <w:rsid w:val="008A6740"/>
    <w:rsid w:val="008C5565"/>
    <w:rsid w:val="008D5440"/>
    <w:rsid w:val="008E00A7"/>
    <w:rsid w:val="009622F0"/>
    <w:rsid w:val="00971D9E"/>
    <w:rsid w:val="00972C5A"/>
    <w:rsid w:val="00977CE4"/>
    <w:rsid w:val="00982014"/>
    <w:rsid w:val="009B3794"/>
    <w:rsid w:val="009C6AA2"/>
    <w:rsid w:val="009D7B4C"/>
    <w:rsid w:val="00A14E9C"/>
    <w:rsid w:val="00A26506"/>
    <w:rsid w:val="00A332E5"/>
    <w:rsid w:val="00A339DA"/>
    <w:rsid w:val="00A349AC"/>
    <w:rsid w:val="00A855EE"/>
    <w:rsid w:val="00A96DE0"/>
    <w:rsid w:val="00AB1B6B"/>
    <w:rsid w:val="00BA69A6"/>
    <w:rsid w:val="00BC3F00"/>
    <w:rsid w:val="00C1623A"/>
    <w:rsid w:val="00C2068A"/>
    <w:rsid w:val="00C505D5"/>
    <w:rsid w:val="00C74EA8"/>
    <w:rsid w:val="00CE1681"/>
    <w:rsid w:val="00D10194"/>
    <w:rsid w:val="00D32C4F"/>
    <w:rsid w:val="00D43666"/>
    <w:rsid w:val="00D64D59"/>
    <w:rsid w:val="00D741DD"/>
    <w:rsid w:val="00D85B47"/>
    <w:rsid w:val="00DE0CA7"/>
    <w:rsid w:val="00DE0EFF"/>
    <w:rsid w:val="00E12F2C"/>
    <w:rsid w:val="00E13682"/>
    <w:rsid w:val="00E23719"/>
    <w:rsid w:val="00EB6E16"/>
    <w:rsid w:val="00FB490E"/>
    <w:rsid w:val="00FF1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5737"/>
    <w:rPr>
      <w:sz w:val="21"/>
      <w:szCs w:val="21"/>
    </w:rPr>
  </w:style>
  <w:style w:type="paragraph" w:styleId="a4">
    <w:name w:val="annotation text"/>
    <w:basedOn w:val="a"/>
    <w:link w:val="Char"/>
    <w:uiPriority w:val="99"/>
    <w:semiHidden/>
    <w:unhideWhenUsed/>
    <w:rsid w:val="00105737"/>
    <w:pPr>
      <w:jc w:val="left"/>
    </w:pPr>
  </w:style>
  <w:style w:type="character" w:customStyle="1" w:styleId="Char">
    <w:name w:val="批注文字 Char"/>
    <w:basedOn w:val="a0"/>
    <w:link w:val="a4"/>
    <w:uiPriority w:val="99"/>
    <w:semiHidden/>
    <w:rsid w:val="00105737"/>
  </w:style>
  <w:style w:type="paragraph" w:styleId="a5">
    <w:name w:val="annotation subject"/>
    <w:basedOn w:val="a4"/>
    <w:next w:val="a4"/>
    <w:link w:val="Char0"/>
    <w:uiPriority w:val="99"/>
    <w:semiHidden/>
    <w:unhideWhenUsed/>
    <w:rsid w:val="00105737"/>
    <w:rPr>
      <w:b/>
      <w:bCs/>
    </w:rPr>
  </w:style>
  <w:style w:type="character" w:customStyle="1" w:styleId="Char0">
    <w:name w:val="批注主题 Char"/>
    <w:basedOn w:val="Char"/>
    <w:link w:val="a5"/>
    <w:uiPriority w:val="99"/>
    <w:semiHidden/>
    <w:rsid w:val="00105737"/>
    <w:rPr>
      <w:b/>
      <w:bCs/>
    </w:rPr>
  </w:style>
  <w:style w:type="paragraph" w:styleId="a6">
    <w:name w:val="Balloon Text"/>
    <w:basedOn w:val="a"/>
    <w:link w:val="Char1"/>
    <w:uiPriority w:val="99"/>
    <w:semiHidden/>
    <w:unhideWhenUsed/>
    <w:rsid w:val="00105737"/>
    <w:rPr>
      <w:sz w:val="18"/>
      <w:szCs w:val="18"/>
    </w:rPr>
  </w:style>
  <w:style w:type="character" w:customStyle="1" w:styleId="Char1">
    <w:name w:val="批注框文本 Char"/>
    <w:basedOn w:val="a0"/>
    <w:link w:val="a6"/>
    <w:uiPriority w:val="99"/>
    <w:semiHidden/>
    <w:rsid w:val="00105737"/>
    <w:rPr>
      <w:sz w:val="18"/>
      <w:szCs w:val="18"/>
    </w:rPr>
  </w:style>
  <w:style w:type="paragraph" w:styleId="a7">
    <w:name w:val="header"/>
    <w:basedOn w:val="a"/>
    <w:link w:val="Char2"/>
    <w:uiPriority w:val="99"/>
    <w:unhideWhenUsed/>
    <w:rsid w:val="000435E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0435EC"/>
    <w:rPr>
      <w:sz w:val="18"/>
      <w:szCs w:val="18"/>
    </w:rPr>
  </w:style>
  <w:style w:type="paragraph" w:styleId="a8">
    <w:name w:val="footer"/>
    <w:basedOn w:val="a"/>
    <w:link w:val="Char3"/>
    <w:uiPriority w:val="99"/>
    <w:unhideWhenUsed/>
    <w:rsid w:val="000435EC"/>
    <w:pPr>
      <w:tabs>
        <w:tab w:val="center" w:pos="4153"/>
        <w:tab w:val="right" w:pos="8306"/>
      </w:tabs>
      <w:snapToGrid w:val="0"/>
      <w:jc w:val="left"/>
    </w:pPr>
    <w:rPr>
      <w:sz w:val="18"/>
      <w:szCs w:val="18"/>
    </w:rPr>
  </w:style>
  <w:style w:type="character" w:customStyle="1" w:styleId="Char3">
    <w:name w:val="页脚 Char"/>
    <w:basedOn w:val="a0"/>
    <w:link w:val="a8"/>
    <w:uiPriority w:val="99"/>
    <w:rsid w:val="000435EC"/>
    <w:rPr>
      <w:sz w:val="18"/>
      <w:szCs w:val="18"/>
    </w:rPr>
  </w:style>
  <w:style w:type="paragraph" w:customStyle="1" w:styleId="Default">
    <w:name w:val="Default"/>
    <w:rsid w:val="00D85B47"/>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5737"/>
    <w:rPr>
      <w:sz w:val="21"/>
      <w:szCs w:val="21"/>
    </w:rPr>
  </w:style>
  <w:style w:type="paragraph" w:styleId="a4">
    <w:name w:val="annotation text"/>
    <w:basedOn w:val="a"/>
    <w:link w:val="Char"/>
    <w:uiPriority w:val="99"/>
    <w:semiHidden/>
    <w:unhideWhenUsed/>
    <w:rsid w:val="00105737"/>
    <w:pPr>
      <w:jc w:val="left"/>
    </w:pPr>
  </w:style>
  <w:style w:type="character" w:customStyle="1" w:styleId="Char">
    <w:name w:val="批注文字 Char"/>
    <w:basedOn w:val="a0"/>
    <w:link w:val="a4"/>
    <w:uiPriority w:val="99"/>
    <w:semiHidden/>
    <w:rsid w:val="00105737"/>
  </w:style>
  <w:style w:type="paragraph" w:styleId="a5">
    <w:name w:val="annotation subject"/>
    <w:basedOn w:val="a4"/>
    <w:next w:val="a4"/>
    <w:link w:val="Char0"/>
    <w:uiPriority w:val="99"/>
    <w:semiHidden/>
    <w:unhideWhenUsed/>
    <w:rsid w:val="00105737"/>
    <w:rPr>
      <w:b/>
      <w:bCs/>
    </w:rPr>
  </w:style>
  <w:style w:type="character" w:customStyle="1" w:styleId="Char0">
    <w:name w:val="批注主题 Char"/>
    <w:basedOn w:val="Char"/>
    <w:link w:val="a5"/>
    <w:uiPriority w:val="99"/>
    <w:semiHidden/>
    <w:rsid w:val="00105737"/>
    <w:rPr>
      <w:b/>
      <w:bCs/>
    </w:rPr>
  </w:style>
  <w:style w:type="paragraph" w:styleId="a6">
    <w:name w:val="Balloon Text"/>
    <w:basedOn w:val="a"/>
    <w:link w:val="Char1"/>
    <w:uiPriority w:val="99"/>
    <w:semiHidden/>
    <w:unhideWhenUsed/>
    <w:rsid w:val="00105737"/>
    <w:rPr>
      <w:sz w:val="18"/>
      <w:szCs w:val="18"/>
    </w:rPr>
  </w:style>
  <w:style w:type="character" w:customStyle="1" w:styleId="Char1">
    <w:name w:val="批注框文本 Char"/>
    <w:basedOn w:val="a0"/>
    <w:link w:val="a6"/>
    <w:uiPriority w:val="99"/>
    <w:semiHidden/>
    <w:rsid w:val="00105737"/>
    <w:rPr>
      <w:sz w:val="18"/>
      <w:szCs w:val="18"/>
    </w:rPr>
  </w:style>
  <w:style w:type="paragraph" w:styleId="a7">
    <w:name w:val="header"/>
    <w:basedOn w:val="a"/>
    <w:link w:val="Char2"/>
    <w:uiPriority w:val="99"/>
    <w:unhideWhenUsed/>
    <w:rsid w:val="000435E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0435EC"/>
    <w:rPr>
      <w:sz w:val="18"/>
      <w:szCs w:val="18"/>
    </w:rPr>
  </w:style>
  <w:style w:type="paragraph" w:styleId="a8">
    <w:name w:val="footer"/>
    <w:basedOn w:val="a"/>
    <w:link w:val="Char3"/>
    <w:uiPriority w:val="99"/>
    <w:unhideWhenUsed/>
    <w:rsid w:val="000435EC"/>
    <w:pPr>
      <w:tabs>
        <w:tab w:val="center" w:pos="4153"/>
        <w:tab w:val="right" w:pos="8306"/>
      </w:tabs>
      <w:snapToGrid w:val="0"/>
      <w:jc w:val="left"/>
    </w:pPr>
    <w:rPr>
      <w:sz w:val="18"/>
      <w:szCs w:val="18"/>
    </w:rPr>
  </w:style>
  <w:style w:type="character" w:customStyle="1" w:styleId="Char3">
    <w:name w:val="页脚 Char"/>
    <w:basedOn w:val="a0"/>
    <w:link w:val="a8"/>
    <w:uiPriority w:val="99"/>
    <w:rsid w:val="000435EC"/>
    <w:rPr>
      <w:sz w:val="18"/>
      <w:szCs w:val="18"/>
    </w:rPr>
  </w:style>
  <w:style w:type="paragraph" w:customStyle="1" w:styleId="Default">
    <w:name w:val="Default"/>
    <w:rsid w:val="00D85B47"/>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3650591">
      <w:bodyDiv w:val="1"/>
      <w:marLeft w:val="0"/>
      <w:marRight w:val="0"/>
      <w:marTop w:val="0"/>
      <w:marBottom w:val="0"/>
      <w:divBdr>
        <w:top w:val="none" w:sz="0" w:space="0" w:color="auto"/>
        <w:left w:val="none" w:sz="0" w:space="0" w:color="auto"/>
        <w:bottom w:val="none" w:sz="0" w:space="0" w:color="auto"/>
        <w:right w:val="none" w:sz="0" w:space="0" w:color="auto"/>
      </w:divBdr>
    </w:div>
    <w:div w:id="1401831885">
      <w:bodyDiv w:val="1"/>
      <w:marLeft w:val="0"/>
      <w:marRight w:val="0"/>
      <w:marTop w:val="0"/>
      <w:marBottom w:val="0"/>
      <w:divBdr>
        <w:top w:val="none" w:sz="0" w:space="0" w:color="auto"/>
        <w:left w:val="none" w:sz="0" w:space="0" w:color="auto"/>
        <w:bottom w:val="none" w:sz="0" w:space="0" w:color="auto"/>
        <w:right w:val="none" w:sz="0" w:space="0" w:color="auto"/>
      </w:divBdr>
    </w:div>
    <w:div w:id="1949265500">
      <w:bodyDiv w:val="1"/>
      <w:marLeft w:val="0"/>
      <w:marRight w:val="0"/>
      <w:marTop w:val="0"/>
      <w:marBottom w:val="0"/>
      <w:divBdr>
        <w:top w:val="none" w:sz="0" w:space="0" w:color="auto"/>
        <w:left w:val="none" w:sz="0" w:space="0" w:color="auto"/>
        <w:bottom w:val="none" w:sz="0" w:space="0" w:color="auto"/>
        <w:right w:val="none" w:sz="0" w:space="0" w:color="auto"/>
      </w:divBdr>
    </w:div>
    <w:div w:id="21105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2408</Characters>
  <Application>Microsoft Office Word</Application>
  <DocSecurity>4</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王啸</dc:creator>
  <cp:lastModifiedBy>ZHONGM</cp:lastModifiedBy>
  <cp:revision>2</cp:revision>
  <dcterms:created xsi:type="dcterms:W3CDTF">2017-09-11T16:34:00Z</dcterms:created>
  <dcterms:modified xsi:type="dcterms:W3CDTF">2017-09-11T16:34:00Z</dcterms:modified>
</cp:coreProperties>
</file>