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B4D" w:rsidRDefault="0087054E" w:rsidP="008A2C40">
      <w:pPr>
        <w:pStyle w:val="2"/>
        <w:spacing w:line="415" w:lineRule="auto"/>
        <w:jc w:val="center"/>
      </w:pPr>
      <w:r>
        <w:rPr>
          <w:rFonts w:hint="eastAsia"/>
        </w:rPr>
        <w:t>国金沪深</w:t>
      </w:r>
      <w:r>
        <w:rPr>
          <w:rFonts w:hint="eastAsia"/>
        </w:rPr>
        <w:t>300</w:t>
      </w:r>
      <w:r w:rsidR="006020C4" w:rsidRPr="00282E85">
        <w:rPr>
          <w:rFonts w:hint="eastAsia"/>
        </w:rPr>
        <w:t>指数分级证券投资基金</w:t>
      </w:r>
    </w:p>
    <w:p w:rsidR="003117B1" w:rsidRPr="00282E85" w:rsidRDefault="006020C4" w:rsidP="008A2C40">
      <w:pPr>
        <w:pStyle w:val="2"/>
        <w:spacing w:line="415" w:lineRule="auto"/>
        <w:jc w:val="center"/>
      </w:pPr>
      <w:r w:rsidRPr="00282E85">
        <w:rPr>
          <w:rFonts w:hint="eastAsia"/>
        </w:rPr>
        <w:t>基金</w:t>
      </w:r>
      <w:r w:rsidR="0087054E">
        <w:rPr>
          <w:rFonts w:hint="eastAsia"/>
        </w:rPr>
        <w:t>份额转换</w:t>
      </w:r>
      <w:r w:rsidRPr="00282E85">
        <w:rPr>
          <w:rFonts w:hint="eastAsia"/>
        </w:rPr>
        <w:t>结果</w:t>
      </w:r>
      <w:r w:rsidR="008A2C40">
        <w:rPr>
          <w:rFonts w:hint="eastAsia"/>
        </w:rPr>
        <w:t>公告</w:t>
      </w:r>
    </w:p>
    <w:p w:rsidR="003117B1" w:rsidRPr="00282E85" w:rsidRDefault="0087054E" w:rsidP="00415B56">
      <w:pPr>
        <w:pStyle w:val="Default"/>
        <w:spacing w:line="360" w:lineRule="auto"/>
        <w:ind w:firstLineChars="200" w:firstLine="480"/>
        <w:jc w:val="both"/>
      </w:pPr>
      <w:r>
        <w:rPr>
          <w:rFonts w:hint="eastAsia"/>
        </w:rPr>
        <w:t>国金沪深300</w:t>
      </w:r>
      <w:r w:rsidR="00FA23FF" w:rsidRPr="00282E85">
        <w:rPr>
          <w:rFonts w:hint="eastAsia"/>
        </w:rPr>
        <w:t>指数分级证券投资基金（以下简称“</w:t>
      </w:r>
      <w:r>
        <w:rPr>
          <w:rFonts w:hint="eastAsia"/>
        </w:rPr>
        <w:t>国金沪深300</w:t>
      </w:r>
      <w:r w:rsidR="00FA23FF" w:rsidRPr="00282E85">
        <w:rPr>
          <w:rFonts w:hint="eastAsia"/>
        </w:rPr>
        <w:t>”）经中国证监会</w:t>
      </w:r>
      <w:r w:rsidR="00C72B4D">
        <w:rPr>
          <w:rFonts w:hint="eastAsia"/>
        </w:rPr>
        <w:t>准予</w:t>
      </w:r>
      <w:r w:rsidR="00FA23FF" w:rsidRPr="00282E85">
        <w:rPr>
          <w:rFonts w:hint="eastAsia"/>
        </w:rPr>
        <w:t>变更注册、</w:t>
      </w:r>
      <w:r>
        <w:rPr>
          <w:rFonts w:hint="eastAsia"/>
        </w:rPr>
        <w:t>国金沪深300</w:t>
      </w:r>
      <w:r w:rsidR="00415B56">
        <w:rPr>
          <w:rFonts w:hint="eastAsia"/>
        </w:rPr>
        <w:t>基金份额持有人大会审议通过</w:t>
      </w:r>
      <w:r w:rsidR="00FA23FF" w:rsidRPr="00282E85">
        <w:rPr>
          <w:rFonts w:hint="eastAsia"/>
        </w:rPr>
        <w:t>，</w:t>
      </w:r>
      <w:r w:rsidR="00F9356A" w:rsidRPr="00282E85">
        <w:rPr>
          <w:rFonts w:hint="eastAsia"/>
        </w:rPr>
        <w:t>将</w:t>
      </w:r>
      <w:r w:rsidR="00FA23FF" w:rsidRPr="00282E85">
        <w:rPr>
          <w:rFonts w:hint="eastAsia"/>
        </w:rPr>
        <w:t>在</w:t>
      </w:r>
      <w:r w:rsidR="007B032D">
        <w:rPr>
          <w:rFonts w:hint="eastAsia"/>
        </w:rPr>
        <w:t>基金</w:t>
      </w:r>
      <w:r>
        <w:rPr>
          <w:rFonts w:hint="eastAsia"/>
        </w:rPr>
        <w:t>份额转换</w:t>
      </w:r>
      <w:r w:rsidR="00FA23FF" w:rsidRPr="00282E85">
        <w:rPr>
          <w:rFonts w:hint="eastAsia"/>
        </w:rPr>
        <w:t>与变更登记后转型为</w:t>
      </w:r>
      <w:r>
        <w:rPr>
          <w:rFonts w:hint="eastAsia"/>
        </w:rPr>
        <w:t>国金沪深300指数增强证券投资基金</w:t>
      </w:r>
      <w:r w:rsidR="003117B1" w:rsidRPr="00282E85">
        <w:rPr>
          <w:rFonts w:hint="eastAsia"/>
        </w:rPr>
        <w:t>（以下简称</w:t>
      </w:r>
      <w:r w:rsidR="007B032D" w:rsidRPr="00282E85">
        <w:rPr>
          <w:rFonts w:hint="eastAsia"/>
        </w:rPr>
        <w:t>“</w:t>
      </w:r>
      <w:r w:rsidR="007B032D">
        <w:rPr>
          <w:rFonts w:hint="eastAsia"/>
        </w:rPr>
        <w:t>国金沪深300指数</w:t>
      </w:r>
      <w:r w:rsidR="007B032D">
        <w:t>增强</w:t>
      </w:r>
      <w:r w:rsidR="007B032D" w:rsidRPr="00282E85">
        <w:rPr>
          <w:rFonts w:hint="eastAsia"/>
        </w:rPr>
        <w:t>”</w:t>
      </w:r>
      <w:r w:rsidR="003117B1" w:rsidRPr="00282E85">
        <w:rPr>
          <w:rFonts w:hint="eastAsia"/>
        </w:rPr>
        <w:t>）</w:t>
      </w:r>
      <w:r w:rsidR="00FA23FF" w:rsidRPr="00282E85">
        <w:rPr>
          <w:rFonts w:hint="eastAsia"/>
        </w:rPr>
        <w:t>。</w:t>
      </w:r>
      <w:r w:rsidR="00432C0C">
        <w:rPr>
          <w:rFonts w:hint="eastAsia"/>
        </w:rPr>
        <w:t>2017</w:t>
      </w:r>
      <w:r w:rsidR="006C6522" w:rsidRPr="00282E85">
        <w:rPr>
          <w:rFonts w:hint="eastAsia"/>
        </w:rPr>
        <w:t>年</w:t>
      </w:r>
      <w:r w:rsidR="00432C0C">
        <w:t>8月</w:t>
      </w:r>
      <w:r w:rsidR="00432C0C">
        <w:rPr>
          <w:rFonts w:hint="eastAsia"/>
        </w:rPr>
        <w:t>3</w:t>
      </w:r>
      <w:r w:rsidR="00432C0C">
        <w:t>1日至</w:t>
      </w:r>
      <w:r w:rsidR="00432C0C">
        <w:rPr>
          <w:rFonts w:hint="eastAsia"/>
        </w:rPr>
        <w:t>2017年9</w:t>
      </w:r>
      <w:r w:rsidR="00A31CC2" w:rsidRPr="00282E85">
        <w:rPr>
          <w:rFonts w:hint="eastAsia"/>
        </w:rPr>
        <w:t>月</w:t>
      </w:r>
      <w:r w:rsidR="00432C0C">
        <w:rPr>
          <w:rFonts w:hint="eastAsia"/>
        </w:rPr>
        <w:t>1</w:t>
      </w:r>
      <w:r w:rsidR="00A31CC2" w:rsidRPr="00282E85">
        <w:rPr>
          <w:rFonts w:hint="eastAsia"/>
        </w:rPr>
        <w:t>日</w:t>
      </w:r>
      <w:r>
        <w:rPr>
          <w:rFonts w:hint="eastAsia"/>
        </w:rPr>
        <w:t>国金沪深300</w:t>
      </w:r>
      <w:r w:rsidR="006C6522" w:rsidRPr="00282E85">
        <w:rPr>
          <w:rFonts w:hint="eastAsia"/>
        </w:rPr>
        <w:t>进行了</w:t>
      </w:r>
      <w:r>
        <w:rPr>
          <w:rFonts w:hint="eastAsia"/>
        </w:rPr>
        <w:t>份额转换</w:t>
      </w:r>
      <w:r w:rsidR="006C6522" w:rsidRPr="00282E85">
        <w:rPr>
          <w:rFonts w:hint="eastAsia"/>
        </w:rPr>
        <w:t>，</w:t>
      </w:r>
      <w:r w:rsidR="00FA23FF" w:rsidRPr="00282E85">
        <w:rPr>
          <w:rFonts w:hint="eastAsia"/>
        </w:rPr>
        <w:t>现</w:t>
      </w:r>
      <w:r w:rsidR="007B032D">
        <w:rPr>
          <w:rFonts w:hint="eastAsia"/>
        </w:rPr>
        <w:t>基金</w:t>
      </w:r>
      <w:r>
        <w:rPr>
          <w:rFonts w:hint="eastAsia"/>
        </w:rPr>
        <w:t>份额转换</w:t>
      </w:r>
      <w:r w:rsidR="003117B1" w:rsidRPr="00282E85">
        <w:rPr>
          <w:rFonts w:hint="eastAsia"/>
        </w:rPr>
        <w:t>工作已顺利结束</w:t>
      </w:r>
      <w:r w:rsidR="00FA23FF" w:rsidRPr="00282E85">
        <w:rPr>
          <w:rFonts w:hint="eastAsia"/>
        </w:rPr>
        <w:t>，</w:t>
      </w:r>
      <w:r w:rsidR="00DE35D5">
        <w:rPr>
          <w:rFonts w:hAnsi="宋体" w:hint="eastAsia"/>
          <w:szCs w:val="21"/>
        </w:rPr>
        <w:t>国金基金管理有限公司（以下</w:t>
      </w:r>
      <w:r w:rsidR="00DE35D5">
        <w:rPr>
          <w:rFonts w:hAnsi="宋体"/>
          <w:szCs w:val="21"/>
        </w:rPr>
        <w:t>简称“</w:t>
      </w:r>
      <w:r w:rsidR="00DE35D5">
        <w:rPr>
          <w:rFonts w:hAnsi="宋体" w:hint="eastAsia"/>
          <w:szCs w:val="21"/>
        </w:rPr>
        <w:t>基金管理人</w:t>
      </w:r>
      <w:r w:rsidR="00DE35D5">
        <w:rPr>
          <w:rFonts w:hAnsi="宋体"/>
          <w:szCs w:val="21"/>
        </w:rPr>
        <w:t>”</w:t>
      </w:r>
      <w:r w:rsidR="00DE35D5">
        <w:rPr>
          <w:rFonts w:hAnsi="宋体" w:hint="eastAsia"/>
          <w:szCs w:val="21"/>
        </w:rPr>
        <w:t>）</w:t>
      </w:r>
      <w:r w:rsidR="00FA23FF" w:rsidRPr="00282E85">
        <w:rPr>
          <w:rFonts w:hint="eastAsia"/>
        </w:rPr>
        <w:t>将</w:t>
      </w:r>
      <w:r w:rsidR="007B032D">
        <w:rPr>
          <w:rFonts w:hint="eastAsia"/>
        </w:rPr>
        <w:t>基金份额</w:t>
      </w:r>
      <w:r w:rsidR="00415B56">
        <w:rPr>
          <w:rFonts w:hint="eastAsia"/>
        </w:rPr>
        <w:t>转换</w:t>
      </w:r>
      <w:r w:rsidR="00FA23FF" w:rsidRPr="00282E85">
        <w:rPr>
          <w:rFonts w:hint="eastAsia"/>
        </w:rPr>
        <w:t>结果</w:t>
      </w:r>
      <w:r w:rsidR="007B032D">
        <w:rPr>
          <w:rFonts w:hint="eastAsia"/>
        </w:rPr>
        <w:t>及</w:t>
      </w:r>
      <w:r w:rsidR="00FA23FF" w:rsidRPr="00282E85">
        <w:rPr>
          <w:rFonts w:hint="eastAsia"/>
        </w:rPr>
        <w:t>变更登记</w:t>
      </w:r>
      <w:r w:rsidR="007B032D">
        <w:rPr>
          <w:rFonts w:hint="eastAsia"/>
        </w:rPr>
        <w:t>等</w:t>
      </w:r>
      <w:r w:rsidR="00FA23FF" w:rsidRPr="00282E85">
        <w:rPr>
          <w:rFonts w:hint="eastAsia"/>
        </w:rPr>
        <w:t>事宜公告如下：</w:t>
      </w:r>
    </w:p>
    <w:p w:rsidR="003117B1" w:rsidRDefault="003117B1" w:rsidP="00415B56">
      <w:pPr>
        <w:pStyle w:val="Default"/>
        <w:spacing w:line="360" w:lineRule="auto"/>
        <w:ind w:firstLineChars="200" w:firstLine="480"/>
        <w:jc w:val="both"/>
      </w:pPr>
      <w:r w:rsidRPr="00282E85">
        <w:rPr>
          <w:rFonts w:hint="eastAsia"/>
        </w:rPr>
        <w:t>根据</w:t>
      </w:r>
      <w:r w:rsidR="0087054E">
        <w:rPr>
          <w:rFonts w:hint="eastAsia"/>
        </w:rPr>
        <w:t>国金沪深300</w:t>
      </w:r>
      <w:r w:rsidR="00E37335" w:rsidRPr="00415B56">
        <w:rPr>
          <w:rFonts w:hint="eastAsia"/>
        </w:rPr>
        <w:t>基金份额持有人大会决议及</w:t>
      </w:r>
      <w:r w:rsidRPr="00282E85">
        <w:rPr>
          <w:rFonts w:hint="eastAsia"/>
        </w:rPr>
        <w:t>《关于</w:t>
      </w:r>
      <w:r w:rsidR="0087054E">
        <w:rPr>
          <w:rFonts w:hint="eastAsia"/>
        </w:rPr>
        <w:t>国金沪深300</w:t>
      </w:r>
      <w:r w:rsidRPr="00282E85">
        <w:rPr>
          <w:rFonts w:hint="eastAsia"/>
        </w:rPr>
        <w:t>指数分级证券投资基金</w:t>
      </w:r>
      <w:r w:rsidR="00CB6D42" w:rsidRPr="00282E85">
        <w:rPr>
          <w:rFonts w:hint="eastAsia"/>
        </w:rPr>
        <w:t>基金转型</w:t>
      </w:r>
      <w:r w:rsidR="0087054E">
        <w:rPr>
          <w:rFonts w:hint="eastAsia"/>
        </w:rPr>
        <w:t>份额转换</w:t>
      </w:r>
      <w:r w:rsidR="00CB6D42" w:rsidRPr="00282E85">
        <w:rPr>
          <w:rFonts w:hint="eastAsia"/>
        </w:rPr>
        <w:t>与变更登记的公告</w:t>
      </w:r>
      <w:r w:rsidRPr="00282E85">
        <w:rPr>
          <w:rFonts w:hint="eastAsia"/>
        </w:rPr>
        <w:t>》等相关</w:t>
      </w:r>
      <w:r w:rsidR="007764A0">
        <w:rPr>
          <w:rFonts w:hint="eastAsia"/>
        </w:rPr>
        <w:t>文件</w:t>
      </w:r>
      <w:r w:rsidRPr="00282E85">
        <w:rPr>
          <w:rFonts w:hint="eastAsia"/>
        </w:rPr>
        <w:t>，基金管理人以</w:t>
      </w:r>
      <w:r w:rsidR="00415B56">
        <w:rPr>
          <w:rFonts w:hint="eastAsia"/>
        </w:rPr>
        <w:t>2017</w:t>
      </w:r>
      <w:r w:rsidR="00421AFB" w:rsidRPr="00282E85">
        <w:rPr>
          <w:rFonts w:hint="eastAsia"/>
        </w:rPr>
        <w:t>年</w:t>
      </w:r>
      <w:r w:rsidR="00415B56">
        <w:rPr>
          <w:rFonts w:hint="eastAsia"/>
        </w:rPr>
        <w:t>8</w:t>
      </w:r>
      <w:r w:rsidRPr="00282E85">
        <w:rPr>
          <w:rFonts w:hint="eastAsia"/>
        </w:rPr>
        <w:t>月</w:t>
      </w:r>
      <w:r w:rsidR="00415B56">
        <w:rPr>
          <w:rFonts w:hint="eastAsia"/>
        </w:rPr>
        <w:t>31</w:t>
      </w:r>
      <w:r w:rsidRPr="00282E85">
        <w:rPr>
          <w:rFonts w:hint="eastAsia"/>
        </w:rPr>
        <w:t>日作为</w:t>
      </w:r>
      <w:r w:rsidR="0087054E">
        <w:rPr>
          <w:rFonts w:hint="eastAsia"/>
        </w:rPr>
        <w:t>国金沪深300</w:t>
      </w:r>
      <w:r w:rsidRPr="00282E85">
        <w:rPr>
          <w:rFonts w:hint="eastAsia"/>
        </w:rPr>
        <w:t>基金</w:t>
      </w:r>
      <w:r w:rsidR="0087054E">
        <w:rPr>
          <w:rFonts w:hint="eastAsia"/>
        </w:rPr>
        <w:t>份额转换</w:t>
      </w:r>
      <w:r w:rsidRPr="00282E85">
        <w:rPr>
          <w:rFonts w:hint="eastAsia"/>
        </w:rPr>
        <w:t>基准日，对</w:t>
      </w:r>
      <w:r w:rsidR="00415B56">
        <w:rPr>
          <w:rFonts w:hint="eastAsia"/>
        </w:rPr>
        <w:t>转换</w:t>
      </w:r>
      <w:r w:rsidRPr="00282E85">
        <w:rPr>
          <w:rFonts w:hint="eastAsia"/>
        </w:rPr>
        <w:t>基准日登记在册的</w:t>
      </w:r>
      <w:r w:rsidR="0087054E">
        <w:rPr>
          <w:rFonts w:hint="eastAsia"/>
        </w:rPr>
        <w:t>国金沪深300</w:t>
      </w:r>
      <w:r w:rsidR="007764A0">
        <w:rPr>
          <w:rFonts w:hint="eastAsia"/>
        </w:rPr>
        <w:t>、</w:t>
      </w:r>
      <w:r w:rsidR="007764A0">
        <w:t>国金沪深</w:t>
      </w:r>
      <w:r w:rsidR="007764A0">
        <w:rPr>
          <w:rFonts w:hint="eastAsia"/>
        </w:rPr>
        <w:t>300A、</w:t>
      </w:r>
      <w:r w:rsidR="007764A0">
        <w:t>国金沪深</w:t>
      </w:r>
      <w:r w:rsidR="007764A0">
        <w:rPr>
          <w:rFonts w:hint="eastAsia"/>
        </w:rPr>
        <w:t>300B基金份额</w:t>
      </w:r>
      <w:r w:rsidR="00B828D1" w:rsidRPr="00282E85">
        <w:rPr>
          <w:rFonts w:hint="eastAsia"/>
        </w:rPr>
        <w:t>进</w:t>
      </w:r>
      <w:r w:rsidR="00C50A83" w:rsidRPr="00282E85">
        <w:rPr>
          <w:rFonts w:hint="eastAsia"/>
        </w:rPr>
        <w:t>行</w:t>
      </w:r>
      <w:r w:rsidR="00415B56">
        <w:rPr>
          <w:rFonts w:hint="eastAsia"/>
        </w:rPr>
        <w:t>转换</w:t>
      </w:r>
      <w:r w:rsidR="00C50A83" w:rsidRPr="00282E85">
        <w:rPr>
          <w:rFonts w:hint="eastAsia"/>
        </w:rPr>
        <w:t>与变更登记，</w:t>
      </w:r>
      <w:r w:rsidRPr="00282E85">
        <w:rPr>
          <w:rFonts w:hint="eastAsia"/>
        </w:rPr>
        <w:t>现将</w:t>
      </w:r>
      <w:r w:rsidR="0087054E">
        <w:rPr>
          <w:rFonts w:hint="eastAsia"/>
        </w:rPr>
        <w:t>份额转换</w:t>
      </w:r>
      <w:r w:rsidRPr="00282E85">
        <w:rPr>
          <w:rFonts w:hint="eastAsia"/>
        </w:rPr>
        <w:t>结果公告如下：</w:t>
      </w:r>
    </w:p>
    <w:p w:rsidR="00633C5E" w:rsidRPr="00D23929" w:rsidRDefault="00633C5E" w:rsidP="00415B56">
      <w:pPr>
        <w:pStyle w:val="Default"/>
        <w:spacing w:line="360" w:lineRule="auto"/>
        <w:ind w:firstLineChars="200" w:firstLine="480"/>
        <w:jc w:val="both"/>
      </w:pPr>
    </w:p>
    <w:tbl>
      <w:tblPr>
        <w:tblStyle w:val="a7"/>
        <w:tblW w:w="0" w:type="auto"/>
        <w:tblInd w:w="108" w:type="dxa"/>
        <w:tblLook w:val="04A0"/>
      </w:tblPr>
      <w:tblGrid>
        <w:gridCol w:w="2694"/>
        <w:gridCol w:w="2580"/>
        <w:gridCol w:w="2948"/>
      </w:tblGrid>
      <w:tr w:rsidR="00633C5E" w:rsidTr="00D23929">
        <w:tc>
          <w:tcPr>
            <w:tcW w:w="2694" w:type="dxa"/>
          </w:tcPr>
          <w:p w:rsidR="00633C5E" w:rsidRPr="00633C5E" w:rsidRDefault="00633C5E" w:rsidP="00257BA2">
            <w:pPr>
              <w:pStyle w:val="Default"/>
              <w:spacing w:line="360" w:lineRule="auto"/>
              <w:jc w:val="both"/>
              <w:rPr>
                <w:rFonts w:ascii="华文楷体" w:eastAsia="华文楷体" w:hAnsi="华文楷体"/>
                <w:b/>
                <w:sz w:val="21"/>
                <w:szCs w:val="21"/>
              </w:rPr>
            </w:pPr>
            <w:r w:rsidRPr="00633C5E">
              <w:rPr>
                <w:rFonts w:ascii="华文楷体" w:eastAsia="华文楷体" w:hAnsi="华文楷体" w:hint="eastAsia"/>
                <w:b/>
                <w:sz w:val="21"/>
                <w:szCs w:val="21"/>
              </w:rPr>
              <w:t>转换前份额</w:t>
            </w:r>
          </w:p>
        </w:tc>
        <w:tc>
          <w:tcPr>
            <w:tcW w:w="2580" w:type="dxa"/>
          </w:tcPr>
          <w:p w:rsidR="00633C5E" w:rsidRPr="00633C5E" w:rsidRDefault="00633C5E" w:rsidP="00257BA2">
            <w:pPr>
              <w:pStyle w:val="Default"/>
              <w:spacing w:line="360" w:lineRule="auto"/>
              <w:jc w:val="both"/>
              <w:rPr>
                <w:rFonts w:ascii="华文楷体" w:eastAsia="华文楷体" w:hAnsi="华文楷体"/>
                <w:b/>
                <w:sz w:val="21"/>
                <w:szCs w:val="21"/>
              </w:rPr>
            </w:pPr>
            <w:r w:rsidRPr="00633C5E">
              <w:rPr>
                <w:rFonts w:ascii="华文楷体" w:eastAsia="华文楷体" w:hAnsi="华文楷体" w:hint="eastAsia"/>
                <w:b/>
                <w:sz w:val="21"/>
                <w:szCs w:val="21"/>
              </w:rPr>
              <w:t>转换</w:t>
            </w:r>
            <w:r w:rsidRPr="00633C5E">
              <w:rPr>
                <w:rFonts w:ascii="华文楷体" w:eastAsia="华文楷体" w:hAnsi="华文楷体"/>
                <w:b/>
                <w:sz w:val="21"/>
                <w:szCs w:val="21"/>
              </w:rPr>
              <w:t>前</w:t>
            </w:r>
            <w:r w:rsidRPr="00633C5E">
              <w:rPr>
                <w:rFonts w:ascii="华文楷体" w:eastAsia="华文楷体" w:hAnsi="华文楷体" w:hint="eastAsia"/>
                <w:b/>
                <w:sz w:val="21"/>
                <w:szCs w:val="21"/>
              </w:rPr>
              <w:t>份额</w:t>
            </w:r>
            <w:r w:rsidRPr="00633C5E">
              <w:rPr>
                <w:rFonts w:ascii="华文楷体" w:eastAsia="华文楷体" w:hAnsi="华文楷体"/>
                <w:b/>
                <w:sz w:val="21"/>
                <w:szCs w:val="21"/>
              </w:rPr>
              <w:t>数</w:t>
            </w:r>
            <w:r>
              <w:rPr>
                <w:rFonts w:ascii="华文楷体" w:eastAsia="华文楷体" w:hAnsi="华文楷体" w:hint="eastAsia"/>
                <w:b/>
                <w:sz w:val="21"/>
                <w:szCs w:val="21"/>
              </w:rPr>
              <w:t>（单位</w:t>
            </w:r>
            <w:r>
              <w:rPr>
                <w:rFonts w:ascii="华文楷体" w:eastAsia="华文楷体" w:hAnsi="华文楷体"/>
                <w:b/>
                <w:sz w:val="21"/>
                <w:szCs w:val="21"/>
              </w:rPr>
              <w:t>：份</w:t>
            </w:r>
            <w:r>
              <w:rPr>
                <w:rFonts w:ascii="华文楷体" w:eastAsia="华文楷体" w:hAnsi="华文楷体" w:hint="eastAsia"/>
                <w:b/>
                <w:sz w:val="21"/>
                <w:szCs w:val="21"/>
              </w:rPr>
              <w:t>）</w:t>
            </w:r>
          </w:p>
        </w:tc>
        <w:tc>
          <w:tcPr>
            <w:tcW w:w="2948" w:type="dxa"/>
          </w:tcPr>
          <w:p w:rsidR="00633C5E" w:rsidRPr="00633C5E" w:rsidRDefault="00633C5E" w:rsidP="00257BA2">
            <w:pPr>
              <w:pStyle w:val="Default"/>
              <w:spacing w:line="360" w:lineRule="auto"/>
              <w:jc w:val="both"/>
              <w:rPr>
                <w:rFonts w:ascii="华文楷体" w:eastAsia="华文楷体" w:hAnsi="华文楷体"/>
                <w:b/>
                <w:sz w:val="21"/>
                <w:szCs w:val="21"/>
              </w:rPr>
            </w:pPr>
            <w:r w:rsidRPr="00633C5E">
              <w:rPr>
                <w:rFonts w:ascii="华文楷体" w:eastAsia="华文楷体" w:hAnsi="华文楷体" w:hint="eastAsia"/>
                <w:b/>
                <w:sz w:val="21"/>
                <w:szCs w:val="21"/>
              </w:rPr>
              <w:t>转换前</w:t>
            </w:r>
            <w:r w:rsidRPr="00633C5E">
              <w:rPr>
                <w:rFonts w:ascii="华文楷体" w:eastAsia="华文楷体" w:hAnsi="华文楷体"/>
                <w:b/>
                <w:sz w:val="21"/>
                <w:szCs w:val="21"/>
              </w:rPr>
              <w:t>份额净值</w:t>
            </w:r>
            <w:r>
              <w:rPr>
                <w:rFonts w:ascii="华文楷体" w:eastAsia="华文楷体" w:hAnsi="华文楷体" w:hint="eastAsia"/>
                <w:b/>
                <w:sz w:val="21"/>
                <w:szCs w:val="21"/>
              </w:rPr>
              <w:t>（单位</w:t>
            </w:r>
            <w:r>
              <w:rPr>
                <w:rFonts w:ascii="华文楷体" w:eastAsia="华文楷体" w:hAnsi="华文楷体"/>
                <w:b/>
                <w:sz w:val="21"/>
                <w:szCs w:val="21"/>
              </w:rPr>
              <w:t>：元</w:t>
            </w:r>
            <w:r>
              <w:rPr>
                <w:rFonts w:ascii="华文楷体" w:eastAsia="华文楷体" w:hAnsi="华文楷体" w:hint="eastAsia"/>
                <w:b/>
                <w:sz w:val="21"/>
                <w:szCs w:val="21"/>
              </w:rPr>
              <w:t>）</w:t>
            </w:r>
          </w:p>
        </w:tc>
      </w:tr>
      <w:tr w:rsidR="00633C5E" w:rsidTr="00D23929">
        <w:tc>
          <w:tcPr>
            <w:tcW w:w="2694" w:type="dxa"/>
          </w:tcPr>
          <w:p w:rsidR="00633C5E" w:rsidRPr="00257BA2" w:rsidRDefault="00633C5E" w:rsidP="00A6781C">
            <w:pPr>
              <w:pStyle w:val="Default"/>
              <w:spacing w:line="360" w:lineRule="auto"/>
              <w:jc w:val="both"/>
              <w:rPr>
                <w:rFonts w:ascii="华文楷体" w:eastAsia="华文楷体" w:hAnsi="华文楷体"/>
                <w:sz w:val="21"/>
                <w:szCs w:val="21"/>
              </w:rPr>
            </w:pPr>
            <w:r w:rsidRPr="00496FEE">
              <w:rPr>
                <w:rFonts w:ascii="华文楷体" w:eastAsia="华文楷体" w:hAnsi="华文楷体" w:hint="eastAsia"/>
                <w:sz w:val="21"/>
                <w:szCs w:val="21"/>
              </w:rPr>
              <w:t>国金沪深300</w:t>
            </w:r>
          </w:p>
        </w:tc>
        <w:tc>
          <w:tcPr>
            <w:tcW w:w="2580" w:type="dxa"/>
          </w:tcPr>
          <w:p w:rsidR="00633C5E" w:rsidRPr="00633C5E" w:rsidRDefault="007B66CD" w:rsidP="00A6781C">
            <w:pPr>
              <w:pStyle w:val="Default"/>
              <w:spacing w:line="360" w:lineRule="auto"/>
              <w:jc w:val="both"/>
              <w:rPr>
                <w:rFonts w:ascii="华文楷体" w:eastAsia="华文楷体" w:hAnsi="华文楷体"/>
                <w:sz w:val="21"/>
                <w:szCs w:val="21"/>
              </w:rPr>
            </w:pPr>
            <w:r w:rsidRPr="007B66CD">
              <w:rPr>
                <w:rFonts w:ascii="华文楷体" w:eastAsia="华文楷体" w:hAnsi="华文楷体"/>
                <w:sz w:val="21"/>
                <w:szCs w:val="21"/>
              </w:rPr>
              <w:t>39</w:t>
            </w:r>
            <w:r>
              <w:rPr>
                <w:rFonts w:ascii="华文楷体" w:eastAsia="华文楷体" w:hAnsi="华文楷体" w:hint="eastAsia"/>
                <w:sz w:val="21"/>
                <w:szCs w:val="21"/>
              </w:rPr>
              <w:t>,</w:t>
            </w:r>
            <w:r w:rsidRPr="007B66CD">
              <w:rPr>
                <w:rFonts w:ascii="华文楷体" w:eastAsia="华文楷体" w:hAnsi="华文楷体"/>
                <w:sz w:val="21"/>
                <w:szCs w:val="21"/>
              </w:rPr>
              <w:t>915</w:t>
            </w:r>
            <w:r>
              <w:rPr>
                <w:rFonts w:ascii="华文楷体" w:eastAsia="华文楷体" w:hAnsi="华文楷体" w:hint="eastAsia"/>
                <w:sz w:val="21"/>
                <w:szCs w:val="21"/>
              </w:rPr>
              <w:t>,</w:t>
            </w:r>
            <w:r w:rsidRPr="007B66CD">
              <w:rPr>
                <w:rFonts w:ascii="华文楷体" w:eastAsia="华文楷体" w:hAnsi="华文楷体"/>
                <w:sz w:val="21"/>
                <w:szCs w:val="21"/>
              </w:rPr>
              <w:t>561.56</w:t>
            </w:r>
          </w:p>
        </w:tc>
        <w:tc>
          <w:tcPr>
            <w:tcW w:w="2948" w:type="dxa"/>
          </w:tcPr>
          <w:p w:rsidR="00633C5E" w:rsidRPr="00633C5E" w:rsidRDefault="007B66CD" w:rsidP="00A6781C">
            <w:pPr>
              <w:pStyle w:val="Default"/>
              <w:spacing w:line="360" w:lineRule="auto"/>
              <w:jc w:val="both"/>
              <w:rPr>
                <w:rFonts w:ascii="华文楷体" w:eastAsia="华文楷体" w:hAnsi="华文楷体"/>
                <w:sz w:val="21"/>
                <w:szCs w:val="21"/>
              </w:rPr>
            </w:pPr>
            <w:r>
              <w:rPr>
                <w:rFonts w:ascii="华文楷体" w:eastAsia="华文楷体" w:hAnsi="华文楷体" w:hint="eastAsia"/>
                <w:sz w:val="21"/>
                <w:szCs w:val="21"/>
              </w:rPr>
              <w:t>1.0005</w:t>
            </w:r>
          </w:p>
        </w:tc>
      </w:tr>
      <w:tr w:rsidR="00633C5E" w:rsidTr="00D23929">
        <w:tc>
          <w:tcPr>
            <w:tcW w:w="2694" w:type="dxa"/>
          </w:tcPr>
          <w:p w:rsidR="00633C5E" w:rsidRPr="00257BA2" w:rsidRDefault="00633C5E" w:rsidP="00A6781C">
            <w:pPr>
              <w:pStyle w:val="Default"/>
              <w:spacing w:line="360" w:lineRule="auto"/>
              <w:jc w:val="both"/>
              <w:rPr>
                <w:rFonts w:ascii="华文楷体" w:eastAsia="华文楷体" w:hAnsi="华文楷体"/>
                <w:sz w:val="21"/>
                <w:szCs w:val="21"/>
              </w:rPr>
            </w:pPr>
            <w:r w:rsidRPr="00257BA2">
              <w:rPr>
                <w:rFonts w:ascii="华文楷体" w:eastAsia="华文楷体" w:hAnsi="华文楷体" w:hint="eastAsia"/>
                <w:sz w:val="21"/>
                <w:szCs w:val="21"/>
              </w:rPr>
              <w:t>国金</w:t>
            </w:r>
            <w:r w:rsidRPr="00257BA2">
              <w:rPr>
                <w:rFonts w:ascii="华文楷体" w:eastAsia="华文楷体" w:hAnsi="华文楷体"/>
                <w:sz w:val="21"/>
                <w:szCs w:val="21"/>
              </w:rPr>
              <w:t>沪深</w:t>
            </w:r>
            <w:r w:rsidRPr="00257BA2">
              <w:rPr>
                <w:rFonts w:ascii="华文楷体" w:eastAsia="华文楷体" w:hAnsi="华文楷体" w:hint="eastAsia"/>
                <w:sz w:val="21"/>
                <w:szCs w:val="21"/>
              </w:rPr>
              <w:t>300A</w:t>
            </w:r>
          </w:p>
        </w:tc>
        <w:tc>
          <w:tcPr>
            <w:tcW w:w="2580" w:type="dxa"/>
          </w:tcPr>
          <w:p w:rsidR="007B66CD" w:rsidRDefault="007B66CD" w:rsidP="00A6781C">
            <w:pPr>
              <w:pStyle w:val="Default"/>
              <w:spacing w:line="360" w:lineRule="auto"/>
              <w:jc w:val="both"/>
            </w:pPr>
            <w:r w:rsidRPr="007B66CD">
              <w:rPr>
                <w:rFonts w:ascii="华文楷体" w:eastAsia="华文楷体" w:hAnsi="华文楷体"/>
                <w:sz w:val="21"/>
                <w:szCs w:val="21"/>
              </w:rPr>
              <w:t>78</w:t>
            </w:r>
            <w:r>
              <w:rPr>
                <w:rFonts w:ascii="华文楷体" w:eastAsia="华文楷体" w:hAnsi="华文楷体" w:hint="eastAsia"/>
                <w:sz w:val="21"/>
                <w:szCs w:val="21"/>
              </w:rPr>
              <w:t>,</w:t>
            </w:r>
            <w:r w:rsidRPr="007B66CD">
              <w:rPr>
                <w:rFonts w:ascii="华文楷体" w:eastAsia="华文楷体" w:hAnsi="华文楷体"/>
                <w:sz w:val="21"/>
                <w:szCs w:val="21"/>
              </w:rPr>
              <w:t>389</w:t>
            </w:r>
            <w:r>
              <w:rPr>
                <w:rFonts w:ascii="华文楷体" w:eastAsia="华文楷体" w:hAnsi="华文楷体" w:hint="eastAsia"/>
                <w:sz w:val="21"/>
                <w:szCs w:val="21"/>
              </w:rPr>
              <w:t>,</w:t>
            </w:r>
            <w:r w:rsidRPr="007B66CD">
              <w:rPr>
                <w:rFonts w:ascii="华文楷体" w:eastAsia="华文楷体" w:hAnsi="华文楷体"/>
                <w:sz w:val="21"/>
                <w:szCs w:val="21"/>
              </w:rPr>
              <w:t>667</w:t>
            </w:r>
            <w:r w:rsidRPr="007B66CD">
              <w:rPr>
                <w:rFonts w:ascii="华文楷体" w:eastAsia="华文楷体" w:hAnsi="华文楷体" w:hint="eastAsia"/>
                <w:sz w:val="21"/>
                <w:szCs w:val="21"/>
              </w:rPr>
              <w:t>.00</w:t>
            </w:r>
          </w:p>
        </w:tc>
        <w:tc>
          <w:tcPr>
            <w:tcW w:w="2948" w:type="dxa"/>
          </w:tcPr>
          <w:p w:rsidR="007B66CD" w:rsidRPr="007B66CD" w:rsidRDefault="007B66CD" w:rsidP="00A6781C">
            <w:pPr>
              <w:pStyle w:val="Default"/>
              <w:spacing w:line="360" w:lineRule="auto"/>
              <w:jc w:val="both"/>
              <w:rPr>
                <w:rFonts w:ascii="华文楷体" w:eastAsia="华文楷体" w:hAnsi="华文楷体"/>
                <w:sz w:val="21"/>
                <w:szCs w:val="21"/>
              </w:rPr>
            </w:pPr>
            <w:r>
              <w:rPr>
                <w:rFonts w:ascii="华文楷体" w:eastAsia="华文楷体" w:hAnsi="华文楷体" w:hint="eastAsia"/>
                <w:sz w:val="21"/>
                <w:szCs w:val="21"/>
              </w:rPr>
              <w:t>1.0333</w:t>
            </w:r>
          </w:p>
        </w:tc>
      </w:tr>
      <w:tr w:rsidR="00633C5E" w:rsidTr="00D23929">
        <w:tc>
          <w:tcPr>
            <w:tcW w:w="2694" w:type="dxa"/>
          </w:tcPr>
          <w:p w:rsidR="00633C5E" w:rsidRPr="00257BA2" w:rsidRDefault="00633C5E" w:rsidP="00A6781C">
            <w:pPr>
              <w:pStyle w:val="Default"/>
              <w:spacing w:line="360" w:lineRule="auto"/>
              <w:jc w:val="both"/>
              <w:rPr>
                <w:rFonts w:ascii="华文楷体" w:eastAsia="华文楷体" w:hAnsi="华文楷体"/>
                <w:sz w:val="21"/>
                <w:szCs w:val="21"/>
              </w:rPr>
            </w:pPr>
            <w:r w:rsidRPr="00257BA2">
              <w:rPr>
                <w:rFonts w:ascii="华文楷体" w:eastAsia="华文楷体" w:hAnsi="华文楷体" w:hint="eastAsia"/>
                <w:sz w:val="21"/>
                <w:szCs w:val="21"/>
              </w:rPr>
              <w:t>国金</w:t>
            </w:r>
            <w:r w:rsidRPr="00257BA2">
              <w:rPr>
                <w:rFonts w:ascii="华文楷体" w:eastAsia="华文楷体" w:hAnsi="华文楷体"/>
                <w:sz w:val="21"/>
                <w:szCs w:val="21"/>
              </w:rPr>
              <w:t>沪深</w:t>
            </w:r>
            <w:r w:rsidRPr="00257BA2">
              <w:rPr>
                <w:rFonts w:ascii="华文楷体" w:eastAsia="华文楷体" w:hAnsi="华文楷体" w:hint="eastAsia"/>
                <w:sz w:val="21"/>
                <w:szCs w:val="21"/>
              </w:rPr>
              <w:t>300B</w:t>
            </w:r>
          </w:p>
        </w:tc>
        <w:tc>
          <w:tcPr>
            <w:tcW w:w="2580" w:type="dxa"/>
          </w:tcPr>
          <w:p w:rsidR="00633C5E" w:rsidRDefault="007B66CD" w:rsidP="00A6781C">
            <w:pPr>
              <w:pStyle w:val="Default"/>
              <w:spacing w:line="360" w:lineRule="auto"/>
              <w:jc w:val="both"/>
            </w:pPr>
            <w:r w:rsidRPr="007B66CD">
              <w:rPr>
                <w:rFonts w:ascii="华文楷体" w:eastAsia="华文楷体" w:hAnsi="华文楷体"/>
                <w:sz w:val="21"/>
                <w:szCs w:val="21"/>
              </w:rPr>
              <w:t>78</w:t>
            </w:r>
            <w:r>
              <w:rPr>
                <w:rFonts w:ascii="华文楷体" w:eastAsia="华文楷体" w:hAnsi="华文楷体" w:hint="eastAsia"/>
                <w:sz w:val="21"/>
                <w:szCs w:val="21"/>
              </w:rPr>
              <w:t>,</w:t>
            </w:r>
            <w:r w:rsidRPr="007B66CD">
              <w:rPr>
                <w:rFonts w:ascii="华文楷体" w:eastAsia="华文楷体" w:hAnsi="华文楷体"/>
                <w:sz w:val="21"/>
                <w:szCs w:val="21"/>
              </w:rPr>
              <w:t>389</w:t>
            </w:r>
            <w:r>
              <w:rPr>
                <w:rFonts w:ascii="华文楷体" w:eastAsia="华文楷体" w:hAnsi="华文楷体" w:hint="eastAsia"/>
                <w:sz w:val="21"/>
                <w:szCs w:val="21"/>
              </w:rPr>
              <w:t>,</w:t>
            </w:r>
            <w:r w:rsidRPr="007B66CD">
              <w:rPr>
                <w:rFonts w:ascii="华文楷体" w:eastAsia="华文楷体" w:hAnsi="华文楷体"/>
                <w:sz w:val="21"/>
                <w:szCs w:val="21"/>
              </w:rPr>
              <w:t>667</w:t>
            </w:r>
            <w:r w:rsidRPr="007B66CD">
              <w:rPr>
                <w:rFonts w:ascii="华文楷体" w:eastAsia="华文楷体" w:hAnsi="华文楷体" w:hint="eastAsia"/>
                <w:sz w:val="21"/>
                <w:szCs w:val="21"/>
              </w:rPr>
              <w:t>.00</w:t>
            </w:r>
          </w:p>
        </w:tc>
        <w:tc>
          <w:tcPr>
            <w:tcW w:w="2948" w:type="dxa"/>
          </w:tcPr>
          <w:p w:rsidR="00633C5E" w:rsidRPr="007B66CD" w:rsidRDefault="007B66CD" w:rsidP="00A6781C">
            <w:pPr>
              <w:pStyle w:val="Default"/>
              <w:spacing w:line="360" w:lineRule="auto"/>
              <w:jc w:val="both"/>
              <w:rPr>
                <w:rFonts w:ascii="华文楷体" w:eastAsia="华文楷体" w:hAnsi="华文楷体"/>
                <w:sz w:val="21"/>
                <w:szCs w:val="21"/>
              </w:rPr>
            </w:pPr>
            <w:r>
              <w:rPr>
                <w:rFonts w:ascii="华文楷体" w:eastAsia="华文楷体" w:hAnsi="华文楷体" w:hint="eastAsia"/>
                <w:sz w:val="21"/>
                <w:szCs w:val="21"/>
              </w:rPr>
              <w:t>0.9678</w:t>
            </w:r>
          </w:p>
        </w:tc>
      </w:tr>
      <w:tr w:rsidR="00633C5E" w:rsidRPr="00633C5E" w:rsidTr="00D23929">
        <w:tc>
          <w:tcPr>
            <w:tcW w:w="2694" w:type="dxa"/>
          </w:tcPr>
          <w:p w:rsidR="00633C5E" w:rsidRPr="00633C5E" w:rsidRDefault="00633C5E" w:rsidP="00633C5E">
            <w:pPr>
              <w:pStyle w:val="Default"/>
              <w:spacing w:line="360" w:lineRule="auto"/>
              <w:jc w:val="both"/>
              <w:rPr>
                <w:rFonts w:ascii="华文楷体" w:eastAsia="华文楷体" w:hAnsi="华文楷体"/>
                <w:sz w:val="21"/>
                <w:szCs w:val="21"/>
              </w:rPr>
            </w:pPr>
            <w:r>
              <w:rPr>
                <w:rFonts w:ascii="华文楷体" w:eastAsia="华文楷体" w:hAnsi="华文楷体" w:hint="eastAsia"/>
                <w:b/>
                <w:sz w:val="21"/>
                <w:szCs w:val="21"/>
              </w:rPr>
              <w:t>转换后</w:t>
            </w:r>
            <w:r w:rsidRPr="00633C5E">
              <w:rPr>
                <w:rFonts w:ascii="华文楷体" w:eastAsia="华文楷体" w:hAnsi="华文楷体" w:hint="eastAsia"/>
                <w:b/>
                <w:sz w:val="21"/>
                <w:szCs w:val="21"/>
              </w:rPr>
              <w:t>份额</w:t>
            </w:r>
          </w:p>
        </w:tc>
        <w:tc>
          <w:tcPr>
            <w:tcW w:w="2580" w:type="dxa"/>
          </w:tcPr>
          <w:p w:rsidR="00633C5E" w:rsidRPr="00633C5E" w:rsidRDefault="00633C5E" w:rsidP="00633C5E">
            <w:pPr>
              <w:pStyle w:val="Default"/>
              <w:spacing w:line="360" w:lineRule="auto"/>
              <w:jc w:val="both"/>
              <w:rPr>
                <w:rFonts w:ascii="华文楷体" w:eastAsia="华文楷体" w:hAnsi="华文楷体"/>
                <w:sz w:val="21"/>
                <w:szCs w:val="21"/>
              </w:rPr>
            </w:pPr>
            <w:r w:rsidRPr="00633C5E">
              <w:rPr>
                <w:rFonts w:ascii="华文楷体" w:eastAsia="华文楷体" w:hAnsi="华文楷体" w:hint="eastAsia"/>
                <w:b/>
                <w:sz w:val="21"/>
                <w:szCs w:val="21"/>
              </w:rPr>
              <w:t>转换</w:t>
            </w:r>
            <w:r>
              <w:rPr>
                <w:rFonts w:ascii="华文楷体" w:eastAsia="华文楷体" w:hAnsi="华文楷体" w:hint="eastAsia"/>
                <w:b/>
                <w:sz w:val="21"/>
                <w:szCs w:val="21"/>
              </w:rPr>
              <w:t>后</w:t>
            </w:r>
            <w:r w:rsidRPr="00633C5E">
              <w:rPr>
                <w:rFonts w:ascii="华文楷体" w:eastAsia="华文楷体" w:hAnsi="华文楷体" w:hint="eastAsia"/>
                <w:b/>
                <w:sz w:val="21"/>
                <w:szCs w:val="21"/>
              </w:rPr>
              <w:t>份额</w:t>
            </w:r>
            <w:r w:rsidRPr="00633C5E">
              <w:rPr>
                <w:rFonts w:ascii="华文楷体" w:eastAsia="华文楷体" w:hAnsi="华文楷体"/>
                <w:b/>
                <w:sz w:val="21"/>
                <w:szCs w:val="21"/>
              </w:rPr>
              <w:t>数</w:t>
            </w:r>
            <w:r>
              <w:rPr>
                <w:rFonts w:ascii="华文楷体" w:eastAsia="华文楷体" w:hAnsi="华文楷体" w:hint="eastAsia"/>
                <w:b/>
                <w:sz w:val="21"/>
                <w:szCs w:val="21"/>
              </w:rPr>
              <w:t>（单位</w:t>
            </w:r>
            <w:r>
              <w:rPr>
                <w:rFonts w:ascii="华文楷体" w:eastAsia="华文楷体" w:hAnsi="华文楷体"/>
                <w:b/>
                <w:sz w:val="21"/>
                <w:szCs w:val="21"/>
              </w:rPr>
              <w:t>：份</w:t>
            </w:r>
            <w:r>
              <w:rPr>
                <w:rFonts w:ascii="华文楷体" w:eastAsia="华文楷体" w:hAnsi="华文楷体" w:hint="eastAsia"/>
                <w:b/>
                <w:sz w:val="21"/>
                <w:szCs w:val="21"/>
              </w:rPr>
              <w:t>）</w:t>
            </w:r>
          </w:p>
        </w:tc>
        <w:tc>
          <w:tcPr>
            <w:tcW w:w="2948" w:type="dxa"/>
          </w:tcPr>
          <w:p w:rsidR="00633C5E" w:rsidRPr="00633C5E" w:rsidRDefault="00633C5E" w:rsidP="00633C5E">
            <w:pPr>
              <w:pStyle w:val="Default"/>
              <w:spacing w:line="360" w:lineRule="auto"/>
              <w:jc w:val="both"/>
              <w:rPr>
                <w:rFonts w:ascii="华文楷体" w:eastAsia="华文楷体" w:hAnsi="华文楷体"/>
                <w:sz w:val="21"/>
                <w:szCs w:val="21"/>
              </w:rPr>
            </w:pPr>
            <w:r w:rsidRPr="00633C5E">
              <w:rPr>
                <w:rFonts w:ascii="华文楷体" w:eastAsia="华文楷体" w:hAnsi="华文楷体" w:hint="eastAsia"/>
                <w:b/>
                <w:sz w:val="21"/>
                <w:szCs w:val="21"/>
              </w:rPr>
              <w:t>转换</w:t>
            </w:r>
            <w:r>
              <w:rPr>
                <w:rFonts w:ascii="华文楷体" w:eastAsia="华文楷体" w:hAnsi="华文楷体" w:hint="eastAsia"/>
                <w:b/>
                <w:sz w:val="21"/>
                <w:szCs w:val="21"/>
              </w:rPr>
              <w:t>后</w:t>
            </w:r>
            <w:r w:rsidRPr="00633C5E">
              <w:rPr>
                <w:rFonts w:ascii="华文楷体" w:eastAsia="华文楷体" w:hAnsi="华文楷体"/>
                <w:b/>
                <w:sz w:val="21"/>
                <w:szCs w:val="21"/>
              </w:rPr>
              <w:t>份额净值</w:t>
            </w:r>
            <w:r>
              <w:rPr>
                <w:rFonts w:ascii="华文楷体" w:eastAsia="华文楷体" w:hAnsi="华文楷体" w:hint="eastAsia"/>
                <w:b/>
                <w:sz w:val="21"/>
                <w:szCs w:val="21"/>
              </w:rPr>
              <w:t>（单位</w:t>
            </w:r>
            <w:r>
              <w:rPr>
                <w:rFonts w:ascii="华文楷体" w:eastAsia="华文楷体" w:hAnsi="华文楷体"/>
                <w:b/>
                <w:sz w:val="21"/>
                <w:szCs w:val="21"/>
              </w:rPr>
              <w:t>：元</w:t>
            </w:r>
            <w:r>
              <w:rPr>
                <w:rFonts w:ascii="华文楷体" w:eastAsia="华文楷体" w:hAnsi="华文楷体" w:hint="eastAsia"/>
                <w:b/>
                <w:sz w:val="21"/>
                <w:szCs w:val="21"/>
              </w:rPr>
              <w:t>）</w:t>
            </w:r>
          </w:p>
        </w:tc>
      </w:tr>
      <w:tr w:rsidR="00633C5E" w:rsidRPr="00633C5E" w:rsidTr="00D23929">
        <w:tc>
          <w:tcPr>
            <w:tcW w:w="2694" w:type="dxa"/>
          </w:tcPr>
          <w:p w:rsidR="00633C5E" w:rsidRPr="00633C5E" w:rsidRDefault="00633C5E" w:rsidP="00633C5E">
            <w:pPr>
              <w:pStyle w:val="Default"/>
              <w:spacing w:line="360" w:lineRule="auto"/>
              <w:jc w:val="both"/>
              <w:rPr>
                <w:rFonts w:ascii="华文楷体" w:eastAsia="华文楷体" w:hAnsi="华文楷体"/>
                <w:sz w:val="21"/>
                <w:szCs w:val="21"/>
              </w:rPr>
            </w:pPr>
            <w:r w:rsidRPr="007B032D">
              <w:rPr>
                <w:rFonts w:ascii="华文楷体" w:eastAsia="华文楷体" w:hAnsi="华文楷体" w:hint="eastAsia"/>
                <w:sz w:val="21"/>
                <w:szCs w:val="21"/>
              </w:rPr>
              <w:t>国金沪深300指数增强</w:t>
            </w:r>
            <w:r w:rsidRPr="00282E85">
              <w:rPr>
                <w:rFonts w:ascii="华文楷体" w:eastAsia="华文楷体" w:hAnsi="华文楷体" w:hint="eastAsia"/>
                <w:sz w:val="21"/>
                <w:szCs w:val="21"/>
              </w:rPr>
              <w:t>份额</w:t>
            </w:r>
          </w:p>
        </w:tc>
        <w:tc>
          <w:tcPr>
            <w:tcW w:w="2580" w:type="dxa"/>
          </w:tcPr>
          <w:p w:rsidR="00633C5E" w:rsidRPr="00633C5E" w:rsidRDefault="00633C5E" w:rsidP="00633C5E">
            <w:pPr>
              <w:pStyle w:val="Default"/>
              <w:spacing w:line="360" w:lineRule="auto"/>
              <w:jc w:val="both"/>
              <w:rPr>
                <w:rFonts w:ascii="华文楷体" w:eastAsia="华文楷体" w:hAnsi="华文楷体"/>
                <w:sz w:val="21"/>
                <w:szCs w:val="21"/>
              </w:rPr>
            </w:pPr>
            <w:r w:rsidRPr="00633C5E">
              <w:rPr>
                <w:rFonts w:ascii="华文楷体" w:eastAsia="华文楷体" w:hAnsi="华文楷体"/>
                <w:sz w:val="21"/>
                <w:szCs w:val="21"/>
              </w:rPr>
              <w:t>196,802,728.21</w:t>
            </w:r>
          </w:p>
        </w:tc>
        <w:tc>
          <w:tcPr>
            <w:tcW w:w="2948" w:type="dxa"/>
          </w:tcPr>
          <w:p w:rsidR="00633C5E" w:rsidRPr="00633C5E" w:rsidRDefault="001256B8" w:rsidP="00633C5E">
            <w:pPr>
              <w:pStyle w:val="Default"/>
              <w:spacing w:line="360" w:lineRule="auto"/>
              <w:jc w:val="both"/>
              <w:rPr>
                <w:rFonts w:ascii="华文楷体" w:eastAsia="华文楷体" w:hAnsi="华文楷体"/>
                <w:b/>
                <w:sz w:val="21"/>
                <w:szCs w:val="21"/>
              </w:rPr>
            </w:pPr>
            <w:r w:rsidRPr="001256B8">
              <w:rPr>
                <w:rFonts w:ascii="华文楷体" w:eastAsia="华文楷体" w:hAnsi="华文楷体" w:hint="eastAsia"/>
                <w:sz w:val="21"/>
                <w:szCs w:val="21"/>
              </w:rPr>
              <w:t>1.0000</w:t>
            </w:r>
          </w:p>
        </w:tc>
      </w:tr>
    </w:tbl>
    <w:p w:rsidR="006312D4" w:rsidRPr="00282E85" w:rsidRDefault="006312D4" w:rsidP="00B23DA7">
      <w:pPr>
        <w:spacing w:line="360" w:lineRule="auto"/>
        <w:rPr>
          <w:sz w:val="24"/>
        </w:rPr>
      </w:pPr>
    </w:p>
    <w:p w:rsidR="006312D4" w:rsidRPr="00282E85" w:rsidRDefault="00540A94" w:rsidP="00415B56">
      <w:pPr>
        <w:pStyle w:val="Default"/>
        <w:spacing w:line="360" w:lineRule="auto"/>
        <w:ind w:firstLineChars="200" w:firstLine="480"/>
        <w:jc w:val="both"/>
      </w:pPr>
      <w:r>
        <w:rPr>
          <w:rFonts w:hint="eastAsia"/>
        </w:rPr>
        <w:t>基金</w:t>
      </w:r>
      <w:r>
        <w:t>份额</w:t>
      </w:r>
      <w:r w:rsidR="00415B56">
        <w:rPr>
          <w:rFonts w:hint="eastAsia"/>
        </w:rPr>
        <w:t>转换</w:t>
      </w:r>
      <w:r w:rsidR="006312D4" w:rsidRPr="00282E85">
        <w:rPr>
          <w:rFonts w:hint="eastAsia"/>
        </w:rPr>
        <w:t>后，</w:t>
      </w:r>
      <w:r w:rsidR="0087054E">
        <w:rPr>
          <w:rFonts w:hint="eastAsia"/>
        </w:rPr>
        <w:t>国金沪深300</w:t>
      </w:r>
      <w:r w:rsidR="002C19DE" w:rsidRPr="00282E85">
        <w:rPr>
          <w:rFonts w:hint="eastAsia"/>
        </w:rPr>
        <w:t>基金份额持有人成为</w:t>
      </w:r>
      <w:r w:rsidR="007B032D">
        <w:rPr>
          <w:rFonts w:hint="eastAsia"/>
        </w:rPr>
        <w:t>国金沪深300指数</w:t>
      </w:r>
      <w:r w:rsidR="007B032D">
        <w:t>增强</w:t>
      </w:r>
      <w:r w:rsidR="002C19DE" w:rsidRPr="00282E85">
        <w:rPr>
          <w:rFonts w:hint="eastAsia"/>
        </w:rPr>
        <w:t>份额持有人，</w:t>
      </w:r>
      <w:r w:rsidR="006312D4" w:rsidRPr="00282E85">
        <w:rPr>
          <w:rFonts w:hint="eastAsia"/>
        </w:rPr>
        <w:t>基金份额总额与基金份额持有人持有的基金份额数额将发生调整，</w:t>
      </w:r>
      <w:r w:rsidR="003D2CF3" w:rsidRPr="00273B38">
        <w:rPr>
          <w:rFonts w:hAnsi="宋体" w:hint="eastAsia"/>
        </w:rPr>
        <w:t>转换后国金沪深300指数</w:t>
      </w:r>
      <w:r w:rsidR="003D2CF3" w:rsidRPr="00273B38">
        <w:rPr>
          <w:rFonts w:hAnsi="宋体"/>
        </w:rPr>
        <w:t>增强</w:t>
      </w:r>
      <w:r w:rsidR="003D2CF3" w:rsidRPr="00273B38">
        <w:rPr>
          <w:rFonts w:hAnsi="宋体" w:hint="eastAsia"/>
        </w:rPr>
        <w:t>的份额净值为</w:t>
      </w:r>
      <w:r w:rsidR="003D2CF3" w:rsidRPr="00273B38">
        <w:rPr>
          <w:rFonts w:hAnsi="宋体"/>
        </w:rPr>
        <w:t>1.0000</w:t>
      </w:r>
      <w:r w:rsidR="003D2CF3" w:rsidRPr="00273B38">
        <w:rPr>
          <w:rFonts w:hAnsi="宋体" w:hint="eastAsia"/>
        </w:rPr>
        <w:t>元</w:t>
      </w:r>
      <w:r w:rsidR="006312D4" w:rsidRPr="00282E85">
        <w:rPr>
          <w:rFonts w:hint="eastAsia"/>
        </w:rPr>
        <w:t>，基金</w:t>
      </w:r>
      <w:r w:rsidR="0087054E">
        <w:rPr>
          <w:rFonts w:hint="eastAsia"/>
        </w:rPr>
        <w:t>份额转换</w:t>
      </w:r>
      <w:r w:rsidR="006312D4" w:rsidRPr="00282E85">
        <w:rPr>
          <w:rFonts w:hint="eastAsia"/>
        </w:rPr>
        <w:t>对持有人的权益无实质性影响。</w:t>
      </w:r>
      <w:bookmarkStart w:id="0" w:name="_GoBack"/>
      <w:bookmarkEnd w:id="0"/>
    </w:p>
    <w:p w:rsidR="006312D4" w:rsidRPr="00282E85" w:rsidRDefault="006312D4" w:rsidP="00415B56">
      <w:pPr>
        <w:pStyle w:val="Default"/>
        <w:spacing w:line="360" w:lineRule="auto"/>
        <w:ind w:firstLineChars="200" w:firstLine="480"/>
        <w:jc w:val="both"/>
      </w:pPr>
      <w:r w:rsidRPr="00282E85">
        <w:rPr>
          <w:rFonts w:hint="eastAsia"/>
        </w:rPr>
        <w:t>基金注册登记机构中国证券登记结算有限责任公司于</w:t>
      </w:r>
      <w:r w:rsidR="00CE4D0D">
        <w:rPr>
          <w:rFonts w:hint="eastAsia"/>
        </w:rPr>
        <w:t>2017</w:t>
      </w:r>
      <w:r w:rsidR="00421AFB" w:rsidRPr="00282E85">
        <w:rPr>
          <w:rFonts w:hint="eastAsia"/>
        </w:rPr>
        <w:t>年</w:t>
      </w:r>
      <w:r w:rsidR="00CE4D0D">
        <w:rPr>
          <w:rFonts w:hint="eastAsia"/>
        </w:rPr>
        <w:t>9</w:t>
      </w:r>
      <w:r w:rsidRPr="00282E85">
        <w:rPr>
          <w:rFonts w:hint="eastAsia"/>
        </w:rPr>
        <w:t>月</w:t>
      </w:r>
      <w:r w:rsidR="00CE4D0D">
        <w:rPr>
          <w:rFonts w:hint="eastAsia"/>
        </w:rPr>
        <w:t>1</w:t>
      </w:r>
      <w:r w:rsidRPr="00282E85">
        <w:rPr>
          <w:rFonts w:hint="eastAsia"/>
        </w:rPr>
        <w:t>日对</w:t>
      </w:r>
      <w:r w:rsidR="00415B56">
        <w:rPr>
          <w:rFonts w:hint="eastAsia"/>
        </w:rPr>
        <w:t>转换</w:t>
      </w:r>
      <w:r w:rsidRPr="00282E85">
        <w:rPr>
          <w:rFonts w:hint="eastAsia"/>
        </w:rPr>
        <w:t>后的</w:t>
      </w:r>
      <w:r w:rsidR="00AE37A7" w:rsidRPr="00282E85">
        <w:rPr>
          <w:rFonts w:hint="eastAsia"/>
        </w:rPr>
        <w:t>基金</w:t>
      </w:r>
      <w:r w:rsidRPr="00282E85">
        <w:rPr>
          <w:rFonts w:hint="eastAsia"/>
        </w:rPr>
        <w:t>份额进行了变更登记，</w:t>
      </w:r>
      <w:r w:rsidR="00912A7B" w:rsidRPr="00282E85">
        <w:rPr>
          <w:rFonts w:hint="eastAsia"/>
        </w:rPr>
        <w:t>并将基金名称正式更改为“</w:t>
      </w:r>
      <w:r w:rsidR="0087054E">
        <w:rPr>
          <w:rFonts w:hint="eastAsia"/>
        </w:rPr>
        <w:t>国金沪深300指数增</w:t>
      </w:r>
      <w:r w:rsidR="0087054E">
        <w:rPr>
          <w:rFonts w:hint="eastAsia"/>
        </w:rPr>
        <w:lastRenderedPageBreak/>
        <w:t>强证券投资基金</w:t>
      </w:r>
      <w:r w:rsidR="00912A7B" w:rsidRPr="00282E85">
        <w:rPr>
          <w:rFonts w:hint="eastAsia"/>
        </w:rPr>
        <w:t>”，</w:t>
      </w:r>
      <w:r w:rsidR="00415B56">
        <w:rPr>
          <w:rFonts w:hint="eastAsia"/>
        </w:rPr>
        <w:t>转换</w:t>
      </w:r>
      <w:r w:rsidRPr="00282E85">
        <w:rPr>
          <w:rFonts w:hint="eastAsia"/>
        </w:rPr>
        <w:t>后的基金份额以注册登记机构最终确认的数据为准。</w:t>
      </w:r>
      <w:r w:rsidR="007E7201" w:rsidRPr="00282E85">
        <w:rPr>
          <w:rFonts w:hint="eastAsia"/>
        </w:rPr>
        <w:t>待</w:t>
      </w:r>
      <w:r w:rsidR="00780BBF" w:rsidRPr="00282E85">
        <w:rPr>
          <w:rFonts w:hint="eastAsia"/>
        </w:rPr>
        <w:t>中国证券登记结算有限责任公司</w:t>
      </w:r>
      <w:r w:rsidRPr="00282E85">
        <w:rPr>
          <w:rFonts w:hint="eastAsia"/>
        </w:rPr>
        <w:t>完成</w:t>
      </w:r>
      <w:r w:rsidR="00AE37A7" w:rsidRPr="00282E85">
        <w:rPr>
          <w:rFonts w:hint="eastAsia"/>
        </w:rPr>
        <w:t>基金</w:t>
      </w:r>
      <w:r w:rsidRPr="00282E85">
        <w:rPr>
          <w:rFonts w:hint="eastAsia"/>
        </w:rPr>
        <w:t>份额变更登记后，持有人可查询经注册登记机构确认的</w:t>
      </w:r>
      <w:r w:rsidR="00415B56">
        <w:rPr>
          <w:rFonts w:hint="eastAsia"/>
        </w:rPr>
        <w:t>转换</w:t>
      </w:r>
      <w:r w:rsidRPr="00282E85">
        <w:rPr>
          <w:rFonts w:hint="eastAsia"/>
        </w:rPr>
        <w:t>后的</w:t>
      </w:r>
      <w:r w:rsidR="007B032D" w:rsidRPr="007B032D">
        <w:rPr>
          <w:rFonts w:hint="eastAsia"/>
        </w:rPr>
        <w:t>国金沪深300指数增强</w:t>
      </w:r>
      <w:r w:rsidRPr="00282E85">
        <w:rPr>
          <w:rFonts w:hint="eastAsia"/>
        </w:rPr>
        <w:t>份额。</w:t>
      </w:r>
    </w:p>
    <w:p w:rsidR="00B57751" w:rsidRPr="00861845" w:rsidRDefault="00B57751" w:rsidP="00B57751">
      <w:pPr>
        <w:pStyle w:val="Default"/>
        <w:spacing w:line="360" w:lineRule="auto"/>
        <w:ind w:firstLineChars="200" w:firstLine="480"/>
        <w:jc w:val="both"/>
      </w:pPr>
      <w:r w:rsidRPr="00861845">
        <w:rPr>
          <w:rFonts w:hint="eastAsia"/>
        </w:rPr>
        <w:t>根据</w:t>
      </w:r>
      <w:r>
        <w:rPr>
          <w:rFonts w:hint="eastAsia"/>
        </w:rPr>
        <w:t>国金沪深300持有人</w:t>
      </w:r>
      <w:r>
        <w:t>大会决议</w:t>
      </w:r>
      <w:r w:rsidRPr="00861845">
        <w:rPr>
          <w:rFonts w:hint="eastAsia"/>
        </w:rPr>
        <w:t>及《国金沪深300指数分级证券投资基金基金份额持有人大会表决结果暨决议生效的公告》，《国金沪深300指数增强证券投资基金基金合同》和《国金沪深300指数增强证券投资基金托管协议》</w:t>
      </w:r>
      <w:r>
        <w:rPr>
          <w:rFonts w:hint="eastAsia"/>
        </w:rPr>
        <w:t>已于</w:t>
      </w:r>
      <w:r w:rsidRPr="00861845">
        <w:rPr>
          <w:rFonts w:hint="eastAsia"/>
        </w:rPr>
        <w:t>国金沪深300基金份额转换</w:t>
      </w:r>
      <w:r>
        <w:rPr>
          <w:rFonts w:hint="eastAsia"/>
        </w:rPr>
        <w:t>基准</w:t>
      </w:r>
      <w:r w:rsidRPr="00861845">
        <w:rPr>
          <w:rFonts w:hint="eastAsia"/>
        </w:rPr>
        <w:t>日的次</w:t>
      </w:r>
      <w:r>
        <w:rPr>
          <w:rFonts w:hint="eastAsia"/>
        </w:rPr>
        <w:t>一</w:t>
      </w:r>
      <w:r>
        <w:t>工作</w:t>
      </w:r>
      <w:r w:rsidRPr="00861845">
        <w:rPr>
          <w:rFonts w:hint="eastAsia"/>
        </w:rPr>
        <w:t>日</w:t>
      </w:r>
      <w:r>
        <w:rPr>
          <w:rFonts w:hint="eastAsia"/>
        </w:rPr>
        <w:t>（</w:t>
      </w:r>
      <w:r>
        <w:t>2017</w:t>
      </w:r>
      <w:r w:rsidRPr="00861845">
        <w:t>年</w:t>
      </w:r>
      <w:r>
        <w:t>9</w:t>
      </w:r>
      <w:r w:rsidRPr="00861845">
        <w:t>月1日</w:t>
      </w:r>
      <w:r>
        <w:rPr>
          <w:rFonts w:hint="eastAsia"/>
        </w:rPr>
        <w:t>）</w:t>
      </w:r>
      <w:r w:rsidRPr="00861845">
        <w:rPr>
          <w:rFonts w:hint="eastAsia"/>
        </w:rPr>
        <w:t>起生效，原《国金沪深300指数分级证券投资基金基金合同》、《国金沪深300指数分级证券投资基金托管协议》</w:t>
      </w:r>
      <w:r>
        <w:rPr>
          <w:rFonts w:hint="eastAsia"/>
        </w:rPr>
        <w:t>已于</w:t>
      </w:r>
      <w:r w:rsidRPr="00861845">
        <w:rPr>
          <w:rFonts w:hint="eastAsia"/>
        </w:rPr>
        <w:t>同一日起失效。</w:t>
      </w:r>
    </w:p>
    <w:p w:rsidR="003117B1" w:rsidRPr="00861845" w:rsidRDefault="006312D4" w:rsidP="0009694B">
      <w:pPr>
        <w:spacing w:line="360" w:lineRule="auto"/>
        <w:ind w:firstLineChars="200" w:firstLine="480"/>
        <w:rPr>
          <w:rFonts w:ascii="宋体" w:eastAsia="宋体" w:cs="宋体"/>
          <w:color w:val="000000"/>
          <w:kern w:val="0"/>
          <w:sz w:val="24"/>
          <w:szCs w:val="24"/>
        </w:rPr>
      </w:pPr>
      <w:r w:rsidRPr="00861845">
        <w:rPr>
          <w:rFonts w:ascii="宋体" w:eastAsia="宋体" w:cs="宋体" w:hint="eastAsia"/>
          <w:color w:val="000000"/>
          <w:kern w:val="0"/>
          <w:sz w:val="24"/>
          <w:szCs w:val="24"/>
        </w:rPr>
        <w:t>投资者若希望了解</w:t>
      </w:r>
      <w:r w:rsidR="00387615" w:rsidRPr="00861845">
        <w:rPr>
          <w:rFonts w:ascii="宋体" w:eastAsia="宋体" w:cs="宋体" w:hint="eastAsia"/>
          <w:color w:val="000000"/>
          <w:kern w:val="0"/>
          <w:sz w:val="24"/>
          <w:szCs w:val="24"/>
        </w:rPr>
        <w:t>与本公告相关的其他信息</w:t>
      </w:r>
      <w:r w:rsidRPr="00861845">
        <w:rPr>
          <w:rFonts w:ascii="宋体" w:eastAsia="宋体" w:cs="宋体" w:hint="eastAsia"/>
          <w:color w:val="000000"/>
          <w:kern w:val="0"/>
          <w:sz w:val="24"/>
          <w:szCs w:val="24"/>
        </w:rPr>
        <w:t>，请登陆基金管理人官网</w:t>
      </w:r>
      <w:r w:rsidR="00BE6BF2" w:rsidRPr="00026AD2">
        <w:rPr>
          <w:rFonts w:asciiTheme="minorEastAsia" w:hAnsiTheme="minorEastAsia" w:cs="宋体"/>
          <w:color w:val="000000"/>
          <w:kern w:val="0"/>
          <w:sz w:val="24"/>
          <w:szCs w:val="24"/>
        </w:rPr>
        <w:t>www.</w:t>
      </w:r>
      <w:r w:rsidR="00BE6BF2">
        <w:rPr>
          <w:rFonts w:asciiTheme="minorEastAsia" w:hAnsiTheme="minorEastAsia" w:cs="宋体"/>
          <w:color w:val="000000"/>
          <w:kern w:val="0"/>
          <w:sz w:val="24"/>
          <w:szCs w:val="24"/>
        </w:rPr>
        <w:t>g</w:t>
      </w:r>
      <w:r w:rsidR="00BE6BF2" w:rsidRPr="00026AD2">
        <w:rPr>
          <w:rFonts w:asciiTheme="minorEastAsia" w:hAnsiTheme="minorEastAsia" w:cs="宋体" w:hint="eastAsia"/>
          <w:color w:val="000000"/>
          <w:kern w:val="0"/>
          <w:sz w:val="24"/>
          <w:szCs w:val="24"/>
        </w:rPr>
        <w:t>fund</w:t>
      </w:r>
      <w:r w:rsidR="00BE6BF2" w:rsidRPr="00026AD2">
        <w:rPr>
          <w:rFonts w:asciiTheme="minorEastAsia" w:hAnsiTheme="minorEastAsia" w:cs="宋体"/>
          <w:color w:val="000000"/>
          <w:kern w:val="0"/>
          <w:sz w:val="24"/>
          <w:szCs w:val="24"/>
        </w:rPr>
        <w:t>.com</w:t>
      </w:r>
      <w:r w:rsidRPr="00861845">
        <w:rPr>
          <w:rFonts w:ascii="宋体" w:eastAsia="宋体" w:cs="宋体" w:hint="eastAsia"/>
          <w:color w:val="000000"/>
          <w:kern w:val="0"/>
          <w:sz w:val="24"/>
          <w:szCs w:val="24"/>
        </w:rPr>
        <w:t>或者拨打基金管理人客服电话</w:t>
      </w:r>
      <w:r w:rsidR="00BE6BF2" w:rsidRPr="008632D5">
        <w:rPr>
          <w:rFonts w:asciiTheme="minorEastAsia" w:hAnsiTheme="minorEastAsia" w:cs="宋体"/>
          <w:color w:val="000000"/>
          <w:kern w:val="0"/>
          <w:sz w:val="24"/>
          <w:szCs w:val="24"/>
        </w:rPr>
        <w:t>4000-2000-18</w:t>
      </w:r>
      <w:r w:rsidRPr="00861845">
        <w:rPr>
          <w:rFonts w:ascii="宋体" w:eastAsia="宋体" w:cs="宋体" w:hint="eastAsia"/>
          <w:color w:val="000000"/>
          <w:kern w:val="0"/>
          <w:sz w:val="24"/>
          <w:szCs w:val="24"/>
        </w:rPr>
        <w:t>、</w:t>
      </w:r>
      <w:r w:rsidR="00BE6BF2" w:rsidRPr="008632D5">
        <w:rPr>
          <w:rFonts w:asciiTheme="minorEastAsia" w:hAnsiTheme="minorEastAsia" w:cs="宋体" w:hint="eastAsia"/>
          <w:color w:val="000000"/>
          <w:kern w:val="0"/>
          <w:sz w:val="24"/>
          <w:szCs w:val="24"/>
        </w:rPr>
        <w:t>010-88005812</w:t>
      </w:r>
      <w:r w:rsidR="0048696E">
        <w:rPr>
          <w:rFonts w:asciiTheme="minorEastAsia" w:hAnsiTheme="minorEastAsia" w:cs="宋体" w:hint="eastAsia"/>
          <w:color w:val="000000"/>
          <w:kern w:val="0"/>
          <w:sz w:val="24"/>
          <w:szCs w:val="24"/>
        </w:rPr>
        <w:t>垂询</w:t>
      </w:r>
      <w:r w:rsidR="007B032D">
        <w:rPr>
          <w:rFonts w:asciiTheme="minorEastAsia" w:hAnsiTheme="minorEastAsia" w:cs="宋体" w:hint="eastAsia"/>
          <w:color w:val="000000"/>
          <w:kern w:val="0"/>
          <w:sz w:val="24"/>
          <w:szCs w:val="24"/>
        </w:rPr>
        <w:t>相关事宜</w:t>
      </w:r>
      <w:r w:rsidRPr="00861845">
        <w:rPr>
          <w:rFonts w:ascii="宋体" w:eastAsia="宋体" w:cs="宋体" w:hint="eastAsia"/>
          <w:color w:val="000000"/>
          <w:kern w:val="0"/>
          <w:sz w:val="24"/>
          <w:szCs w:val="24"/>
        </w:rPr>
        <w:t>。</w:t>
      </w:r>
    </w:p>
    <w:p w:rsidR="005A1A73" w:rsidRPr="007B032D" w:rsidRDefault="005A1A73" w:rsidP="00A6781C">
      <w:pPr>
        <w:pStyle w:val="Default"/>
        <w:spacing w:line="360" w:lineRule="auto"/>
        <w:ind w:firstLineChars="200" w:firstLine="480"/>
        <w:jc w:val="both"/>
      </w:pPr>
    </w:p>
    <w:p w:rsidR="00AB1EFA" w:rsidRPr="00861845" w:rsidRDefault="00AB1EFA" w:rsidP="00A6781C">
      <w:pPr>
        <w:pStyle w:val="Default"/>
        <w:spacing w:line="360" w:lineRule="auto"/>
        <w:ind w:firstLineChars="200" w:firstLine="480"/>
        <w:jc w:val="both"/>
      </w:pPr>
      <w:r w:rsidRPr="00861845">
        <w:rPr>
          <w:rFonts w:hint="eastAsia"/>
        </w:rPr>
        <w:t>特此公告。</w:t>
      </w:r>
    </w:p>
    <w:p w:rsidR="005A1A73" w:rsidRPr="00861845" w:rsidRDefault="005A1A73" w:rsidP="005A1A73">
      <w:pPr>
        <w:pStyle w:val="Default"/>
        <w:spacing w:line="360" w:lineRule="auto"/>
        <w:jc w:val="both"/>
      </w:pPr>
    </w:p>
    <w:p w:rsidR="00A6781C" w:rsidRPr="00861845" w:rsidRDefault="00A6781C" w:rsidP="00AB1EFA">
      <w:pPr>
        <w:pStyle w:val="Default"/>
        <w:spacing w:line="360" w:lineRule="auto"/>
        <w:jc w:val="both"/>
      </w:pPr>
    </w:p>
    <w:p w:rsidR="00AB1EFA" w:rsidRPr="00861845" w:rsidRDefault="0087054E" w:rsidP="00A6781C">
      <w:pPr>
        <w:pStyle w:val="Default"/>
        <w:spacing w:line="360" w:lineRule="auto"/>
        <w:ind w:firstLineChars="2450" w:firstLine="5880"/>
        <w:jc w:val="both"/>
      </w:pPr>
      <w:r w:rsidRPr="00861845">
        <w:rPr>
          <w:rFonts w:hint="eastAsia"/>
        </w:rPr>
        <w:t>国金</w:t>
      </w:r>
      <w:r w:rsidR="00AB1EFA" w:rsidRPr="00861845">
        <w:rPr>
          <w:rFonts w:hint="eastAsia"/>
        </w:rPr>
        <w:t>基金管理有限公司</w:t>
      </w:r>
    </w:p>
    <w:p w:rsidR="00780E20" w:rsidRPr="00861845" w:rsidRDefault="00421AFB" w:rsidP="00A6781C">
      <w:pPr>
        <w:spacing w:line="360" w:lineRule="auto"/>
        <w:ind w:firstLineChars="2700" w:firstLine="6480"/>
        <w:rPr>
          <w:rFonts w:ascii="宋体" w:eastAsia="宋体" w:cs="宋体"/>
          <w:color w:val="000000"/>
          <w:kern w:val="0"/>
          <w:sz w:val="24"/>
          <w:szCs w:val="24"/>
        </w:rPr>
      </w:pPr>
      <w:r w:rsidRPr="00861845">
        <w:rPr>
          <w:rFonts w:ascii="宋体" w:eastAsia="宋体" w:cs="宋体"/>
          <w:color w:val="000000"/>
          <w:kern w:val="0"/>
          <w:sz w:val="24"/>
          <w:szCs w:val="24"/>
        </w:rPr>
        <w:t>201</w:t>
      </w:r>
      <w:r w:rsidR="00BE6BF2">
        <w:rPr>
          <w:rFonts w:ascii="宋体" w:eastAsia="宋体" w:cs="宋体"/>
          <w:color w:val="000000"/>
          <w:kern w:val="0"/>
          <w:sz w:val="24"/>
          <w:szCs w:val="24"/>
        </w:rPr>
        <w:t>7</w:t>
      </w:r>
      <w:r w:rsidRPr="00861845">
        <w:rPr>
          <w:rFonts w:ascii="宋体" w:eastAsia="宋体" w:cs="宋体" w:hint="eastAsia"/>
          <w:color w:val="000000"/>
          <w:kern w:val="0"/>
          <w:sz w:val="24"/>
          <w:szCs w:val="24"/>
        </w:rPr>
        <w:t>年</w:t>
      </w:r>
      <w:r w:rsidR="00BE6BF2">
        <w:rPr>
          <w:rFonts w:ascii="宋体" w:eastAsia="宋体" w:cs="宋体" w:hint="eastAsia"/>
          <w:color w:val="000000"/>
          <w:kern w:val="0"/>
          <w:sz w:val="24"/>
          <w:szCs w:val="24"/>
        </w:rPr>
        <w:t>9</w:t>
      </w:r>
      <w:r w:rsidR="00F766CE" w:rsidRPr="00861845">
        <w:rPr>
          <w:rFonts w:ascii="宋体" w:eastAsia="宋体" w:cs="宋体" w:hint="eastAsia"/>
          <w:color w:val="000000"/>
          <w:kern w:val="0"/>
          <w:sz w:val="24"/>
          <w:szCs w:val="24"/>
        </w:rPr>
        <w:t>月</w:t>
      </w:r>
      <w:r w:rsidR="009159AB">
        <w:rPr>
          <w:rFonts w:ascii="宋体" w:eastAsia="宋体" w:cs="宋体" w:hint="eastAsia"/>
          <w:color w:val="000000"/>
          <w:kern w:val="0"/>
          <w:sz w:val="24"/>
          <w:szCs w:val="24"/>
        </w:rPr>
        <w:t>2</w:t>
      </w:r>
      <w:r w:rsidR="00AB1EFA" w:rsidRPr="00861845">
        <w:rPr>
          <w:rFonts w:ascii="宋体" w:eastAsia="宋体" w:cs="宋体" w:hint="eastAsia"/>
          <w:color w:val="000000"/>
          <w:kern w:val="0"/>
          <w:sz w:val="24"/>
          <w:szCs w:val="24"/>
        </w:rPr>
        <w:t>日</w:t>
      </w:r>
    </w:p>
    <w:p w:rsidR="00415B56" w:rsidRPr="00861845" w:rsidRDefault="00415B56">
      <w:pPr>
        <w:spacing w:line="360" w:lineRule="auto"/>
        <w:ind w:firstLineChars="2700" w:firstLine="6480"/>
        <w:rPr>
          <w:rFonts w:ascii="宋体" w:eastAsia="宋体" w:cs="宋体"/>
          <w:color w:val="000000"/>
          <w:kern w:val="0"/>
          <w:sz w:val="24"/>
          <w:szCs w:val="24"/>
        </w:rPr>
      </w:pPr>
    </w:p>
    <w:sectPr w:rsidR="00415B56" w:rsidRPr="00861845" w:rsidSect="00780E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348" w:rsidRDefault="00946348" w:rsidP="00AB1EFA">
      <w:r>
        <w:separator/>
      </w:r>
    </w:p>
  </w:endnote>
  <w:endnote w:type="continuationSeparator" w:id="1">
    <w:p w:rsidR="00946348" w:rsidRDefault="00946348" w:rsidP="00AB1E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348" w:rsidRDefault="00946348" w:rsidP="00AB1EFA">
      <w:r>
        <w:separator/>
      </w:r>
    </w:p>
  </w:footnote>
  <w:footnote w:type="continuationSeparator" w:id="1">
    <w:p w:rsidR="00946348" w:rsidRDefault="00946348" w:rsidP="00AB1E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1EFA"/>
    <w:rsid w:val="00041BDA"/>
    <w:rsid w:val="00072E40"/>
    <w:rsid w:val="0009694B"/>
    <w:rsid w:val="000A0B9B"/>
    <w:rsid w:val="000B41AF"/>
    <w:rsid w:val="000C700F"/>
    <w:rsid w:val="000C78E2"/>
    <w:rsid w:val="000E5359"/>
    <w:rsid w:val="000F6055"/>
    <w:rsid w:val="00110DC5"/>
    <w:rsid w:val="001124E5"/>
    <w:rsid w:val="00120412"/>
    <w:rsid w:val="001256B8"/>
    <w:rsid w:val="001A7A43"/>
    <w:rsid w:val="001C6369"/>
    <w:rsid w:val="001F4AB4"/>
    <w:rsid w:val="002250C4"/>
    <w:rsid w:val="002474AC"/>
    <w:rsid w:val="00257BA2"/>
    <w:rsid w:val="00281D9E"/>
    <w:rsid w:val="00282E85"/>
    <w:rsid w:val="002A782D"/>
    <w:rsid w:val="002C19DE"/>
    <w:rsid w:val="00302A4C"/>
    <w:rsid w:val="003117B1"/>
    <w:rsid w:val="003226E9"/>
    <w:rsid w:val="0034246A"/>
    <w:rsid w:val="00351DC6"/>
    <w:rsid w:val="00387615"/>
    <w:rsid w:val="003A4A71"/>
    <w:rsid w:val="003D2389"/>
    <w:rsid w:val="003D2CF3"/>
    <w:rsid w:val="003D5E53"/>
    <w:rsid w:val="003D7098"/>
    <w:rsid w:val="003E1349"/>
    <w:rsid w:val="003F1995"/>
    <w:rsid w:val="004012E9"/>
    <w:rsid w:val="00415B56"/>
    <w:rsid w:val="00421AFB"/>
    <w:rsid w:val="00432C0C"/>
    <w:rsid w:val="004725D0"/>
    <w:rsid w:val="00480449"/>
    <w:rsid w:val="0048470D"/>
    <w:rsid w:val="0048696E"/>
    <w:rsid w:val="004A7B0E"/>
    <w:rsid w:val="004B5912"/>
    <w:rsid w:val="00512CF5"/>
    <w:rsid w:val="0051384E"/>
    <w:rsid w:val="00514555"/>
    <w:rsid w:val="00517BB0"/>
    <w:rsid w:val="005221F8"/>
    <w:rsid w:val="00540A94"/>
    <w:rsid w:val="00560913"/>
    <w:rsid w:val="0056223F"/>
    <w:rsid w:val="00566AEC"/>
    <w:rsid w:val="005A1A73"/>
    <w:rsid w:val="005E4EF0"/>
    <w:rsid w:val="00601CEC"/>
    <w:rsid w:val="006020C4"/>
    <w:rsid w:val="00627BD3"/>
    <w:rsid w:val="006312D4"/>
    <w:rsid w:val="00633C5E"/>
    <w:rsid w:val="0065043B"/>
    <w:rsid w:val="00671A46"/>
    <w:rsid w:val="00672CD1"/>
    <w:rsid w:val="006C6522"/>
    <w:rsid w:val="006E2350"/>
    <w:rsid w:val="006E32AA"/>
    <w:rsid w:val="00736ADD"/>
    <w:rsid w:val="00770EC8"/>
    <w:rsid w:val="007764A0"/>
    <w:rsid w:val="00780BBF"/>
    <w:rsid w:val="00780E20"/>
    <w:rsid w:val="007813FA"/>
    <w:rsid w:val="00791383"/>
    <w:rsid w:val="007B032D"/>
    <w:rsid w:val="007B1AB8"/>
    <w:rsid w:val="007B66CD"/>
    <w:rsid w:val="007E7201"/>
    <w:rsid w:val="0085662E"/>
    <w:rsid w:val="00861845"/>
    <w:rsid w:val="0087054E"/>
    <w:rsid w:val="008A2C40"/>
    <w:rsid w:val="008B135D"/>
    <w:rsid w:val="008C309B"/>
    <w:rsid w:val="008C3318"/>
    <w:rsid w:val="008F64A7"/>
    <w:rsid w:val="00912A7B"/>
    <w:rsid w:val="009159AB"/>
    <w:rsid w:val="0091610C"/>
    <w:rsid w:val="00930B3B"/>
    <w:rsid w:val="00946348"/>
    <w:rsid w:val="00960151"/>
    <w:rsid w:val="00960768"/>
    <w:rsid w:val="00980F37"/>
    <w:rsid w:val="00994CBA"/>
    <w:rsid w:val="00A02AF4"/>
    <w:rsid w:val="00A10515"/>
    <w:rsid w:val="00A31CC2"/>
    <w:rsid w:val="00A42E18"/>
    <w:rsid w:val="00A64B23"/>
    <w:rsid w:val="00A6781C"/>
    <w:rsid w:val="00AB1EFA"/>
    <w:rsid w:val="00AB5175"/>
    <w:rsid w:val="00AD47CD"/>
    <w:rsid w:val="00AE1CF4"/>
    <w:rsid w:val="00AE37A7"/>
    <w:rsid w:val="00B021C0"/>
    <w:rsid w:val="00B07501"/>
    <w:rsid w:val="00B15783"/>
    <w:rsid w:val="00B23DA7"/>
    <w:rsid w:val="00B30992"/>
    <w:rsid w:val="00B34FD8"/>
    <w:rsid w:val="00B56989"/>
    <w:rsid w:val="00B57751"/>
    <w:rsid w:val="00B71F2F"/>
    <w:rsid w:val="00B828D1"/>
    <w:rsid w:val="00B82FFC"/>
    <w:rsid w:val="00BC2D33"/>
    <w:rsid w:val="00BD009D"/>
    <w:rsid w:val="00BE6BF2"/>
    <w:rsid w:val="00C159EE"/>
    <w:rsid w:val="00C50A83"/>
    <w:rsid w:val="00C72B4D"/>
    <w:rsid w:val="00CA116B"/>
    <w:rsid w:val="00CA28E1"/>
    <w:rsid w:val="00CB6D42"/>
    <w:rsid w:val="00CD1933"/>
    <w:rsid w:val="00CE4D0D"/>
    <w:rsid w:val="00CF7F16"/>
    <w:rsid w:val="00D11942"/>
    <w:rsid w:val="00D23929"/>
    <w:rsid w:val="00D248FC"/>
    <w:rsid w:val="00D3421A"/>
    <w:rsid w:val="00D71FB2"/>
    <w:rsid w:val="00D87CE1"/>
    <w:rsid w:val="00DD07CB"/>
    <w:rsid w:val="00DE35D5"/>
    <w:rsid w:val="00DE614C"/>
    <w:rsid w:val="00E07872"/>
    <w:rsid w:val="00E10D43"/>
    <w:rsid w:val="00E37335"/>
    <w:rsid w:val="00E4475E"/>
    <w:rsid w:val="00E5388E"/>
    <w:rsid w:val="00E54517"/>
    <w:rsid w:val="00E826C3"/>
    <w:rsid w:val="00E84922"/>
    <w:rsid w:val="00EA0AE7"/>
    <w:rsid w:val="00EA2457"/>
    <w:rsid w:val="00EC2C61"/>
    <w:rsid w:val="00EC61EB"/>
    <w:rsid w:val="00EC638A"/>
    <w:rsid w:val="00EF3F5A"/>
    <w:rsid w:val="00F40FB5"/>
    <w:rsid w:val="00F766CE"/>
    <w:rsid w:val="00F80C9E"/>
    <w:rsid w:val="00F903C5"/>
    <w:rsid w:val="00F9356A"/>
    <w:rsid w:val="00F959FF"/>
    <w:rsid w:val="00FA23FF"/>
    <w:rsid w:val="00FA7B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E20"/>
    <w:pPr>
      <w:widowControl w:val="0"/>
      <w:jc w:val="both"/>
    </w:pPr>
  </w:style>
  <w:style w:type="paragraph" w:styleId="2">
    <w:name w:val="heading 2"/>
    <w:basedOn w:val="a"/>
    <w:next w:val="a"/>
    <w:link w:val="2Char"/>
    <w:uiPriority w:val="9"/>
    <w:unhideWhenUsed/>
    <w:qFormat/>
    <w:rsid w:val="00AB1EF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1E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1EFA"/>
    <w:rPr>
      <w:sz w:val="18"/>
      <w:szCs w:val="18"/>
    </w:rPr>
  </w:style>
  <w:style w:type="paragraph" w:styleId="a4">
    <w:name w:val="footer"/>
    <w:basedOn w:val="a"/>
    <w:link w:val="Char0"/>
    <w:uiPriority w:val="99"/>
    <w:unhideWhenUsed/>
    <w:rsid w:val="00AB1EFA"/>
    <w:pPr>
      <w:tabs>
        <w:tab w:val="center" w:pos="4153"/>
        <w:tab w:val="right" w:pos="8306"/>
      </w:tabs>
      <w:snapToGrid w:val="0"/>
      <w:jc w:val="left"/>
    </w:pPr>
    <w:rPr>
      <w:sz w:val="18"/>
      <w:szCs w:val="18"/>
    </w:rPr>
  </w:style>
  <w:style w:type="character" w:customStyle="1" w:styleId="Char0">
    <w:name w:val="页脚 Char"/>
    <w:basedOn w:val="a0"/>
    <w:link w:val="a4"/>
    <w:uiPriority w:val="99"/>
    <w:rsid w:val="00AB1EFA"/>
    <w:rPr>
      <w:sz w:val="18"/>
      <w:szCs w:val="18"/>
    </w:rPr>
  </w:style>
  <w:style w:type="paragraph" w:customStyle="1" w:styleId="Default">
    <w:name w:val="Default"/>
    <w:rsid w:val="00AB1EFA"/>
    <w:pPr>
      <w:widowControl w:val="0"/>
      <w:autoSpaceDE w:val="0"/>
      <w:autoSpaceDN w:val="0"/>
      <w:adjustRightInd w:val="0"/>
    </w:pPr>
    <w:rPr>
      <w:rFonts w:ascii="宋体" w:eastAsia="宋体" w:cs="宋体"/>
      <w:color w:val="000000"/>
      <w:kern w:val="0"/>
      <w:sz w:val="24"/>
      <w:szCs w:val="24"/>
    </w:rPr>
  </w:style>
  <w:style w:type="character" w:customStyle="1" w:styleId="2Char">
    <w:name w:val="标题 2 Char"/>
    <w:basedOn w:val="a0"/>
    <w:link w:val="2"/>
    <w:uiPriority w:val="9"/>
    <w:rsid w:val="00AB1EFA"/>
    <w:rPr>
      <w:rFonts w:asciiTheme="majorHAnsi" w:eastAsiaTheme="majorEastAsia" w:hAnsiTheme="majorHAnsi" w:cstheme="majorBidi"/>
      <w:b/>
      <w:bCs/>
      <w:sz w:val="32"/>
      <w:szCs w:val="32"/>
    </w:rPr>
  </w:style>
  <w:style w:type="character" w:styleId="a5">
    <w:name w:val="Placeholder Text"/>
    <w:basedOn w:val="a0"/>
    <w:uiPriority w:val="99"/>
    <w:semiHidden/>
    <w:rsid w:val="00AB1EFA"/>
    <w:rPr>
      <w:color w:val="808080"/>
    </w:rPr>
  </w:style>
  <w:style w:type="paragraph" w:styleId="a6">
    <w:name w:val="Balloon Text"/>
    <w:basedOn w:val="a"/>
    <w:link w:val="Char1"/>
    <w:uiPriority w:val="99"/>
    <w:semiHidden/>
    <w:unhideWhenUsed/>
    <w:rsid w:val="00AB1EFA"/>
    <w:rPr>
      <w:sz w:val="18"/>
      <w:szCs w:val="18"/>
    </w:rPr>
  </w:style>
  <w:style w:type="character" w:customStyle="1" w:styleId="Char1">
    <w:name w:val="批注框文本 Char"/>
    <w:basedOn w:val="a0"/>
    <w:link w:val="a6"/>
    <w:uiPriority w:val="99"/>
    <w:semiHidden/>
    <w:rsid w:val="00AB1EFA"/>
    <w:rPr>
      <w:sz w:val="18"/>
      <w:szCs w:val="18"/>
    </w:rPr>
  </w:style>
  <w:style w:type="table" w:styleId="a7">
    <w:name w:val="Table Grid"/>
    <w:basedOn w:val="a1"/>
    <w:uiPriority w:val="59"/>
    <w:rsid w:val="003117B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annotation reference"/>
    <w:basedOn w:val="a0"/>
    <w:uiPriority w:val="99"/>
    <w:semiHidden/>
    <w:unhideWhenUsed/>
    <w:rsid w:val="00302A4C"/>
    <w:rPr>
      <w:sz w:val="21"/>
      <w:szCs w:val="21"/>
    </w:rPr>
  </w:style>
  <w:style w:type="paragraph" w:styleId="a9">
    <w:name w:val="annotation text"/>
    <w:basedOn w:val="a"/>
    <w:link w:val="Char2"/>
    <w:uiPriority w:val="99"/>
    <w:semiHidden/>
    <w:unhideWhenUsed/>
    <w:rsid w:val="00302A4C"/>
    <w:pPr>
      <w:jc w:val="left"/>
    </w:pPr>
  </w:style>
  <w:style w:type="character" w:customStyle="1" w:styleId="Char2">
    <w:name w:val="批注文字 Char"/>
    <w:basedOn w:val="a0"/>
    <w:link w:val="a9"/>
    <w:uiPriority w:val="99"/>
    <w:semiHidden/>
    <w:rsid w:val="00302A4C"/>
  </w:style>
  <w:style w:type="paragraph" w:styleId="aa">
    <w:name w:val="annotation subject"/>
    <w:basedOn w:val="a9"/>
    <w:next w:val="a9"/>
    <w:link w:val="Char3"/>
    <w:uiPriority w:val="99"/>
    <w:semiHidden/>
    <w:unhideWhenUsed/>
    <w:rsid w:val="00302A4C"/>
    <w:rPr>
      <w:b/>
      <w:bCs/>
    </w:rPr>
  </w:style>
  <w:style w:type="character" w:customStyle="1" w:styleId="Char3">
    <w:name w:val="批注主题 Char"/>
    <w:basedOn w:val="Char2"/>
    <w:link w:val="aa"/>
    <w:uiPriority w:val="99"/>
    <w:semiHidden/>
    <w:rsid w:val="00302A4C"/>
    <w:rPr>
      <w:b/>
      <w:bCs/>
    </w:rPr>
  </w:style>
  <w:style w:type="paragraph" w:styleId="ab">
    <w:name w:val="Revision"/>
    <w:hidden/>
    <w:uiPriority w:val="99"/>
    <w:semiHidden/>
    <w:rsid w:val="00F903C5"/>
  </w:style>
</w:styles>
</file>

<file path=word/webSettings.xml><?xml version="1.0" encoding="utf-8"?>
<w:webSettings xmlns:r="http://schemas.openxmlformats.org/officeDocument/2006/relationships" xmlns:w="http://schemas.openxmlformats.org/wordprocessingml/2006/main">
  <w:divs>
    <w:div w:id="85002938">
      <w:bodyDiv w:val="1"/>
      <w:marLeft w:val="0"/>
      <w:marRight w:val="0"/>
      <w:marTop w:val="0"/>
      <w:marBottom w:val="0"/>
      <w:divBdr>
        <w:top w:val="none" w:sz="0" w:space="0" w:color="auto"/>
        <w:left w:val="none" w:sz="0" w:space="0" w:color="auto"/>
        <w:bottom w:val="none" w:sz="0" w:space="0" w:color="auto"/>
        <w:right w:val="none" w:sz="0" w:space="0" w:color="auto"/>
      </w:divBdr>
      <w:divsChild>
        <w:div w:id="129985729">
          <w:marLeft w:val="0"/>
          <w:marRight w:val="0"/>
          <w:marTop w:val="0"/>
          <w:marBottom w:val="0"/>
          <w:divBdr>
            <w:top w:val="none" w:sz="0" w:space="0" w:color="auto"/>
            <w:left w:val="none" w:sz="0" w:space="0" w:color="auto"/>
            <w:bottom w:val="none" w:sz="0" w:space="0" w:color="auto"/>
            <w:right w:val="none" w:sz="0" w:space="0" w:color="auto"/>
          </w:divBdr>
        </w:div>
        <w:div w:id="1117598684">
          <w:marLeft w:val="0"/>
          <w:marRight w:val="0"/>
          <w:marTop w:val="0"/>
          <w:marBottom w:val="0"/>
          <w:divBdr>
            <w:top w:val="none" w:sz="0" w:space="0" w:color="auto"/>
            <w:left w:val="none" w:sz="0" w:space="0" w:color="auto"/>
            <w:bottom w:val="none" w:sz="0" w:space="0" w:color="auto"/>
            <w:right w:val="none" w:sz="0" w:space="0" w:color="auto"/>
          </w:divBdr>
        </w:div>
        <w:div w:id="538009947">
          <w:marLeft w:val="0"/>
          <w:marRight w:val="0"/>
          <w:marTop w:val="0"/>
          <w:marBottom w:val="0"/>
          <w:divBdr>
            <w:top w:val="none" w:sz="0" w:space="0" w:color="auto"/>
            <w:left w:val="none" w:sz="0" w:space="0" w:color="auto"/>
            <w:bottom w:val="none" w:sz="0" w:space="0" w:color="auto"/>
            <w:right w:val="none" w:sz="0" w:space="0" w:color="auto"/>
          </w:divBdr>
        </w:div>
      </w:divsChild>
    </w:div>
    <w:div w:id="1194000743">
      <w:bodyDiv w:val="1"/>
      <w:marLeft w:val="0"/>
      <w:marRight w:val="0"/>
      <w:marTop w:val="0"/>
      <w:marBottom w:val="0"/>
      <w:divBdr>
        <w:top w:val="none" w:sz="0" w:space="0" w:color="auto"/>
        <w:left w:val="none" w:sz="0" w:space="0" w:color="auto"/>
        <w:bottom w:val="none" w:sz="0" w:space="0" w:color="auto"/>
        <w:right w:val="none" w:sz="0" w:space="0" w:color="auto"/>
      </w:divBdr>
      <w:divsChild>
        <w:div w:id="1482115666">
          <w:marLeft w:val="0"/>
          <w:marRight w:val="0"/>
          <w:marTop w:val="0"/>
          <w:marBottom w:val="0"/>
          <w:divBdr>
            <w:top w:val="none" w:sz="0" w:space="0" w:color="auto"/>
            <w:left w:val="none" w:sz="0" w:space="0" w:color="auto"/>
            <w:bottom w:val="none" w:sz="0" w:space="0" w:color="auto"/>
            <w:right w:val="none" w:sz="0" w:space="0" w:color="auto"/>
          </w:divBdr>
        </w:div>
      </w:divsChild>
    </w:div>
    <w:div w:id="1671445797">
      <w:bodyDiv w:val="1"/>
      <w:marLeft w:val="0"/>
      <w:marRight w:val="0"/>
      <w:marTop w:val="0"/>
      <w:marBottom w:val="0"/>
      <w:divBdr>
        <w:top w:val="none" w:sz="0" w:space="0" w:color="auto"/>
        <w:left w:val="none" w:sz="0" w:space="0" w:color="auto"/>
        <w:bottom w:val="none" w:sz="0" w:space="0" w:color="auto"/>
        <w:right w:val="none" w:sz="0" w:space="0" w:color="auto"/>
      </w:divBdr>
      <w:divsChild>
        <w:div w:id="1714772245">
          <w:marLeft w:val="0"/>
          <w:marRight w:val="0"/>
          <w:marTop w:val="0"/>
          <w:marBottom w:val="0"/>
          <w:divBdr>
            <w:top w:val="none" w:sz="0" w:space="0" w:color="auto"/>
            <w:left w:val="none" w:sz="0" w:space="0" w:color="auto"/>
            <w:bottom w:val="none" w:sz="0" w:space="0" w:color="auto"/>
            <w:right w:val="none" w:sz="0" w:space="0" w:color="auto"/>
          </w:divBdr>
        </w:div>
        <w:div w:id="319506950">
          <w:marLeft w:val="0"/>
          <w:marRight w:val="0"/>
          <w:marTop w:val="0"/>
          <w:marBottom w:val="0"/>
          <w:divBdr>
            <w:top w:val="none" w:sz="0" w:space="0" w:color="auto"/>
            <w:left w:val="none" w:sz="0" w:space="0" w:color="auto"/>
            <w:bottom w:val="none" w:sz="0" w:space="0" w:color="auto"/>
            <w:right w:val="none" w:sz="0" w:space="0" w:color="auto"/>
          </w:divBdr>
        </w:div>
        <w:div w:id="1588229071">
          <w:marLeft w:val="0"/>
          <w:marRight w:val="0"/>
          <w:marTop w:val="0"/>
          <w:marBottom w:val="0"/>
          <w:divBdr>
            <w:top w:val="none" w:sz="0" w:space="0" w:color="auto"/>
            <w:left w:val="none" w:sz="0" w:space="0" w:color="auto"/>
            <w:bottom w:val="none" w:sz="0" w:space="0" w:color="auto"/>
            <w:right w:val="none" w:sz="0" w:space="0" w:color="auto"/>
          </w:divBdr>
        </w:div>
        <w:div w:id="1884636548">
          <w:marLeft w:val="0"/>
          <w:marRight w:val="0"/>
          <w:marTop w:val="0"/>
          <w:marBottom w:val="0"/>
          <w:divBdr>
            <w:top w:val="none" w:sz="0" w:space="0" w:color="auto"/>
            <w:left w:val="none" w:sz="0" w:space="0" w:color="auto"/>
            <w:bottom w:val="none" w:sz="0" w:space="0" w:color="auto"/>
            <w:right w:val="none" w:sz="0" w:space="0" w:color="auto"/>
          </w:divBdr>
        </w:div>
        <w:div w:id="2044817490">
          <w:marLeft w:val="0"/>
          <w:marRight w:val="0"/>
          <w:marTop w:val="0"/>
          <w:marBottom w:val="0"/>
          <w:divBdr>
            <w:top w:val="none" w:sz="0" w:space="0" w:color="auto"/>
            <w:left w:val="none" w:sz="0" w:space="0" w:color="auto"/>
            <w:bottom w:val="none" w:sz="0" w:space="0" w:color="auto"/>
            <w:right w:val="none" w:sz="0" w:space="0" w:color="auto"/>
          </w:divBdr>
        </w:div>
        <w:div w:id="441262873">
          <w:marLeft w:val="0"/>
          <w:marRight w:val="0"/>
          <w:marTop w:val="0"/>
          <w:marBottom w:val="0"/>
          <w:divBdr>
            <w:top w:val="none" w:sz="0" w:space="0" w:color="auto"/>
            <w:left w:val="none" w:sz="0" w:space="0" w:color="auto"/>
            <w:bottom w:val="none" w:sz="0" w:space="0" w:color="auto"/>
            <w:right w:val="none" w:sz="0" w:space="0" w:color="auto"/>
          </w:divBdr>
        </w:div>
        <w:div w:id="370112693">
          <w:marLeft w:val="0"/>
          <w:marRight w:val="0"/>
          <w:marTop w:val="0"/>
          <w:marBottom w:val="0"/>
          <w:divBdr>
            <w:top w:val="none" w:sz="0" w:space="0" w:color="auto"/>
            <w:left w:val="none" w:sz="0" w:space="0" w:color="auto"/>
            <w:bottom w:val="none" w:sz="0" w:space="0" w:color="auto"/>
            <w:right w:val="none" w:sz="0" w:space="0" w:color="auto"/>
          </w:divBdr>
        </w:div>
        <w:div w:id="1909612312">
          <w:marLeft w:val="0"/>
          <w:marRight w:val="0"/>
          <w:marTop w:val="0"/>
          <w:marBottom w:val="0"/>
          <w:divBdr>
            <w:top w:val="none" w:sz="0" w:space="0" w:color="auto"/>
            <w:left w:val="none" w:sz="0" w:space="0" w:color="auto"/>
            <w:bottom w:val="none" w:sz="0" w:space="0" w:color="auto"/>
            <w:right w:val="none" w:sz="0" w:space="0" w:color="auto"/>
          </w:divBdr>
        </w:div>
        <w:div w:id="1087267339">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466116516">
          <w:marLeft w:val="0"/>
          <w:marRight w:val="0"/>
          <w:marTop w:val="0"/>
          <w:marBottom w:val="0"/>
          <w:divBdr>
            <w:top w:val="none" w:sz="0" w:space="0" w:color="auto"/>
            <w:left w:val="none" w:sz="0" w:space="0" w:color="auto"/>
            <w:bottom w:val="none" w:sz="0" w:space="0" w:color="auto"/>
            <w:right w:val="none" w:sz="0" w:space="0" w:color="auto"/>
          </w:divBdr>
        </w:div>
        <w:div w:id="2140217768">
          <w:marLeft w:val="0"/>
          <w:marRight w:val="0"/>
          <w:marTop w:val="0"/>
          <w:marBottom w:val="0"/>
          <w:divBdr>
            <w:top w:val="none" w:sz="0" w:space="0" w:color="auto"/>
            <w:left w:val="none" w:sz="0" w:space="0" w:color="auto"/>
            <w:bottom w:val="none" w:sz="0" w:space="0" w:color="auto"/>
            <w:right w:val="none" w:sz="0" w:space="0" w:color="auto"/>
          </w:divBdr>
        </w:div>
        <w:div w:id="906956285">
          <w:marLeft w:val="0"/>
          <w:marRight w:val="0"/>
          <w:marTop w:val="0"/>
          <w:marBottom w:val="0"/>
          <w:divBdr>
            <w:top w:val="none" w:sz="0" w:space="0" w:color="auto"/>
            <w:left w:val="none" w:sz="0" w:space="0" w:color="auto"/>
            <w:bottom w:val="none" w:sz="0" w:space="0" w:color="auto"/>
            <w:right w:val="none" w:sz="0" w:space="0" w:color="auto"/>
          </w:divBdr>
        </w:div>
        <w:div w:id="765423371">
          <w:marLeft w:val="0"/>
          <w:marRight w:val="0"/>
          <w:marTop w:val="0"/>
          <w:marBottom w:val="0"/>
          <w:divBdr>
            <w:top w:val="none" w:sz="0" w:space="0" w:color="auto"/>
            <w:left w:val="none" w:sz="0" w:space="0" w:color="auto"/>
            <w:bottom w:val="none" w:sz="0" w:space="0" w:color="auto"/>
            <w:right w:val="none" w:sz="0" w:space="0" w:color="auto"/>
          </w:divBdr>
        </w:div>
        <w:div w:id="456215365">
          <w:marLeft w:val="0"/>
          <w:marRight w:val="0"/>
          <w:marTop w:val="0"/>
          <w:marBottom w:val="0"/>
          <w:divBdr>
            <w:top w:val="none" w:sz="0" w:space="0" w:color="auto"/>
            <w:left w:val="none" w:sz="0" w:space="0" w:color="auto"/>
            <w:bottom w:val="none" w:sz="0" w:space="0" w:color="auto"/>
            <w:right w:val="none" w:sz="0" w:space="0" w:color="auto"/>
          </w:divBdr>
        </w:div>
        <w:div w:id="562759417">
          <w:marLeft w:val="0"/>
          <w:marRight w:val="0"/>
          <w:marTop w:val="0"/>
          <w:marBottom w:val="0"/>
          <w:divBdr>
            <w:top w:val="none" w:sz="0" w:space="0" w:color="auto"/>
            <w:left w:val="none" w:sz="0" w:space="0" w:color="auto"/>
            <w:bottom w:val="none" w:sz="0" w:space="0" w:color="auto"/>
            <w:right w:val="none" w:sz="0" w:space="0" w:color="auto"/>
          </w:divBdr>
        </w:div>
        <w:div w:id="4677880">
          <w:marLeft w:val="0"/>
          <w:marRight w:val="0"/>
          <w:marTop w:val="0"/>
          <w:marBottom w:val="0"/>
          <w:divBdr>
            <w:top w:val="none" w:sz="0" w:space="0" w:color="auto"/>
            <w:left w:val="none" w:sz="0" w:space="0" w:color="auto"/>
            <w:bottom w:val="none" w:sz="0" w:space="0" w:color="auto"/>
            <w:right w:val="none" w:sz="0" w:space="0" w:color="auto"/>
          </w:divBdr>
        </w:div>
        <w:div w:id="884637662">
          <w:marLeft w:val="0"/>
          <w:marRight w:val="0"/>
          <w:marTop w:val="0"/>
          <w:marBottom w:val="0"/>
          <w:divBdr>
            <w:top w:val="none" w:sz="0" w:space="0" w:color="auto"/>
            <w:left w:val="none" w:sz="0" w:space="0" w:color="auto"/>
            <w:bottom w:val="none" w:sz="0" w:space="0" w:color="auto"/>
            <w:right w:val="none" w:sz="0" w:space="0" w:color="auto"/>
          </w:divBdr>
        </w:div>
        <w:div w:id="79375118">
          <w:marLeft w:val="0"/>
          <w:marRight w:val="0"/>
          <w:marTop w:val="0"/>
          <w:marBottom w:val="0"/>
          <w:divBdr>
            <w:top w:val="none" w:sz="0" w:space="0" w:color="auto"/>
            <w:left w:val="none" w:sz="0" w:space="0" w:color="auto"/>
            <w:bottom w:val="none" w:sz="0" w:space="0" w:color="auto"/>
            <w:right w:val="none" w:sz="0" w:space="0" w:color="auto"/>
          </w:divBdr>
        </w:div>
        <w:div w:id="1219703109">
          <w:marLeft w:val="0"/>
          <w:marRight w:val="0"/>
          <w:marTop w:val="0"/>
          <w:marBottom w:val="0"/>
          <w:divBdr>
            <w:top w:val="none" w:sz="0" w:space="0" w:color="auto"/>
            <w:left w:val="none" w:sz="0" w:space="0" w:color="auto"/>
            <w:bottom w:val="none" w:sz="0" w:space="0" w:color="auto"/>
            <w:right w:val="none" w:sz="0" w:space="0" w:color="auto"/>
          </w:divBdr>
        </w:div>
        <w:div w:id="1299536014">
          <w:marLeft w:val="0"/>
          <w:marRight w:val="0"/>
          <w:marTop w:val="0"/>
          <w:marBottom w:val="0"/>
          <w:divBdr>
            <w:top w:val="none" w:sz="0" w:space="0" w:color="auto"/>
            <w:left w:val="none" w:sz="0" w:space="0" w:color="auto"/>
            <w:bottom w:val="none" w:sz="0" w:space="0" w:color="auto"/>
            <w:right w:val="none" w:sz="0" w:space="0" w:color="auto"/>
          </w:divBdr>
        </w:div>
        <w:div w:id="1945067620">
          <w:marLeft w:val="0"/>
          <w:marRight w:val="0"/>
          <w:marTop w:val="0"/>
          <w:marBottom w:val="0"/>
          <w:divBdr>
            <w:top w:val="none" w:sz="0" w:space="0" w:color="auto"/>
            <w:left w:val="none" w:sz="0" w:space="0" w:color="auto"/>
            <w:bottom w:val="none" w:sz="0" w:space="0" w:color="auto"/>
            <w:right w:val="none" w:sz="0" w:space="0" w:color="auto"/>
          </w:divBdr>
        </w:div>
        <w:div w:id="270018651">
          <w:marLeft w:val="0"/>
          <w:marRight w:val="0"/>
          <w:marTop w:val="0"/>
          <w:marBottom w:val="0"/>
          <w:divBdr>
            <w:top w:val="none" w:sz="0" w:space="0" w:color="auto"/>
            <w:left w:val="none" w:sz="0" w:space="0" w:color="auto"/>
            <w:bottom w:val="none" w:sz="0" w:space="0" w:color="auto"/>
            <w:right w:val="none" w:sz="0" w:space="0" w:color="auto"/>
          </w:divBdr>
        </w:div>
        <w:div w:id="1076128184">
          <w:marLeft w:val="0"/>
          <w:marRight w:val="0"/>
          <w:marTop w:val="0"/>
          <w:marBottom w:val="0"/>
          <w:divBdr>
            <w:top w:val="none" w:sz="0" w:space="0" w:color="auto"/>
            <w:left w:val="none" w:sz="0" w:space="0" w:color="auto"/>
            <w:bottom w:val="none" w:sz="0" w:space="0" w:color="auto"/>
            <w:right w:val="none" w:sz="0" w:space="0" w:color="auto"/>
          </w:divBdr>
        </w:div>
        <w:div w:id="1430932188">
          <w:marLeft w:val="0"/>
          <w:marRight w:val="0"/>
          <w:marTop w:val="0"/>
          <w:marBottom w:val="0"/>
          <w:divBdr>
            <w:top w:val="none" w:sz="0" w:space="0" w:color="auto"/>
            <w:left w:val="none" w:sz="0" w:space="0" w:color="auto"/>
            <w:bottom w:val="none" w:sz="0" w:space="0" w:color="auto"/>
            <w:right w:val="none" w:sz="0" w:space="0" w:color="auto"/>
          </w:divBdr>
        </w:div>
        <w:div w:id="1841192082">
          <w:marLeft w:val="0"/>
          <w:marRight w:val="0"/>
          <w:marTop w:val="0"/>
          <w:marBottom w:val="0"/>
          <w:divBdr>
            <w:top w:val="none" w:sz="0" w:space="0" w:color="auto"/>
            <w:left w:val="none" w:sz="0" w:space="0" w:color="auto"/>
            <w:bottom w:val="none" w:sz="0" w:space="0" w:color="auto"/>
            <w:right w:val="none" w:sz="0" w:space="0" w:color="auto"/>
          </w:divBdr>
        </w:div>
        <w:div w:id="1613249406">
          <w:marLeft w:val="0"/>
          <w:marRight w:val="0"/>
          <w:marTop w:val="0"/>
          <w:marBottom w:val="0"/>
          <w:divBdr>
            <w:top w:val="none" w:sz="0" w:space="0" w:color="auto"/>
            <w:left w:val="none" w:sz="0" w:space="0" w:color="auto"/>
            <w:bottom w:val="none" w:sz="0" w:space="0" w:color="auto"/>
            <w:right w:val="none" w:sz="0" w:space="0" w:color="auto"/>
          </w:divBdr>
        </w:div>
        <w:div w:id="1901594818">
          <w:marLeft w:val="0"/>
          <w:marRight w:val="0"/>
          <w:marTop w:val="0"/>
          <w:marBottom w:val="0"/>
          <w:divBdr>
            <w:top w:val="none" w:sz="0" w:space="0" w:color="auto"/>
            <w:left w:val="none" w:sz="0" w:space="0" w:color="auto"/>
            <w:bottom w:val="none" w:sz="0" w:space="0" w:color="auto"/>
            <w:right w:val="none" w:sz="0" w:space="0" w:color="auto"/>
          </w:divBdr>
        </w:div>
        <w:div w:id="2083024362">
          <w:marLeft w:val="0"/>
          <w:marRight w:val="0"/>
          <w:marTop w:val="0"/>
          <w:marBottom w:val="0"/>
          <w:divBdr>
            <w:top w:val="none" w:sz="0" w:space="0" w:color="auto"/>
            <w:left w:val="none" w:sz="0" w:space="0" w:color="auto"/>
            <w:bottom w:val="none" w:sz="0" w:space="0" w:color="auto"/>
            <w:right w:val="none" w:sz="0" w:space="0" w:color="auto"/>
          </w:divBdr>
        </w:div>
        <w:div w:id="1286082525">
          <w:marLeft w:val="0"/>
          <w:marRight w:val="0"/>
          <w:marTop w:val="0"/>
          <w:marBottom w:val="0"/>
          <w:divBdr>
            <w:top w:val="none" w:sz="0" w:space="0" w:color="auto"/>
            <w:left w:val="none" w:sz="0" w:space="0" w:color="auto"/>
            <w:bottom w:val="none" w:sz="0" w:space="0" w:color="auto"/>
            <w:right w:val="none" w:sz="0" w:space="0" w:color="auto"/>
          </w:divBdr>
        </w:div>
        <w:div w:id="475148932">
          <w:marLeft w:val="0"/>
          <w:marRight w:val="0"/>
          <w:marTop w:val="0"/>
          <w:marBottom w:val="0"/>
          <w:divBdr>
            <w:top w:val="none" w:sz="0" w:space="0" w:color="auto"/>
            <w:left w:val="none" w:sz="0" w:space="0" w:color="auto"/>
            <w:bottom w:val="none" w:sz="0" w:space="0" w:color="auto"/>
            <w:right w:val="none" w:sz="0" w:space="0" w:color="auto"/>
          </w:divBdr>
        </w:div>
        <w:div w:id="91780824">
          <w:marLeft w:val="0"/>
          <w:marRight w:val="0"/>
          <w:marTop w:val="0"/>
          <w:marBottom w:val="0"/>
          <w:divBdr>
            <w:top w:val="none" w:sz="0" w:space="0" w:color="auto"/>
            <w:left w:val="none" w:sz="0" w:space="0" w:color="auto"/>
            <w:bottom w:val="none" w:sz="0" w:space="0" w:color="auto"/>
            <w:right w:val="none" w:sz="0" w:space="0" w:color="auto"/>
          </w:divBdr>
        </w:div>
        <w:div w:id="1628510069">
          <w:marLeft w:val="0"/>
          <w:marRight w:val="0"/>
          <w:marTop w:val="0"/>
          <w:marBottom w:val="0"/>
          <w:divBdr>
            <w:top w:val="none" w:sz="0" w:space="0" w:color="auto"/>
            <w:left w:val="none" w:sz="0" w:space="0" w:color="auto"/>
            <w:bottom w:val="none" w:sz="0" w:space="0" w:color="auto"/>
            <w:right w:val="none" w:sz="0" w:space="0" w:color="auto"/>
          </w:divBdr>
        </w:div>
        <w:div w:id="1866404763">
          <w:marLeft w:val="0"/>
          <w:marRight w:val="0"/>
          <w:marTop w:val="0"/>
          <w:marBottom w:val="0"/>
          <w:divBdr>
            <w:top w:val="none" w:sz="0" w:space="0" w:color="auto"/>
            <w:left w:val="none" w:sz="0" w:space="0" w:color="auto"/>
            <w:bottom w:val="none" w:sz="0" w:space="0" w:color="auto"/>
            <w:right w:val="none" w:sz="0" w:space="0" w:color="auto"/>
          </w:divBdr>
        </w:div>
        <w:div w:id="719135698">
          <w:marLeft w:val="0"/>
          <w:marRight w:val="0"/>
          <w:marTop w:val="0"/>
          <w:marBottom w:val="0"/>
          <w:divBdr>
            <w:top w:val="none" w:sz="0" w:space="0" w:color="auto"/>
            <w:left w:val="none" w:sz="0" w:space="0" w:color="auto"/>
            <w:bottom w:val="none" w:sz="0" w:space="0" w:color="auto"/>
            <w:right w:val="none" w:sz="0" w:space="0" w:color="auto"/>
          </w:divBdr>
        </w:div>
        <w:div w:id="1423798057">
          <w:marLeft w:val="0"/>
          <w:marRight w:val="0"/>
          <w:marTop w:val="0"/>
          <w:marBottom w:val="0"/>
          <w:divBdr>
            <w:top w:val="none" w:sz="0" w:space="0" w:color="auto"/>
            <w:left w:val="none" w:sz="0" w:space="0" w:color="auto"/>
            <w:bottom w:val="none" w:sz="0" w:space="0" w:color="auto"/>
            <w:right w:val="none" w:sz="0" w:space="0" w:color="auto"/>
          </w:divBdr>
        </w:div>
        <w:div w:id="343480315">
          <w:marLeft w:val="0"/>
          <w:marRight w:val="0"/>
          <w:marTop w:val="0"/>
          <w:marBottom w:val="0"/>
          <w:divBdr>
            <w:top w:val="none" w:sz="0" w:space="0" w:color="auto"/>
            <w:left w:val="none" w:sz="0" w:space="0" w:color="auto"/>
            <w:bottom w:val="none" w:sz="0" w:space="0" w:color="auto"/>
            <w:right w:val="none" w:sz="0" w:space="0" w:color="auto"/>
          </w:divBdr>
        </w:div>
        <w:div w:id="300428471">
          <w:marLeft w:val="0"/>
          <w:marRight w:val="0"/>
          <w:marTop w:val="0"/>
          <w:marBottom w:val="0"/>
          <w:divBdr>
            <w:top w:val="none" w:sz="0" w:space="0" w:color="auto"/>
            <w:left w:val="none" w:sz="0" w:space="0" w:color="auto"/>
            <w:bottom w:val="none" w:sz="0" w:space="0" w:color="auto"/>
            <w:right w:val="none" w:sz="0" w:space="0" w:color="auto"/>
          </w:divBdr>
        </w:div>
        <w:div w:id="1800806019">
          <w:marLeft w:val="0"/>
          <w:marRight w:val="0"/>
          <w:marTop w:val="0"/>
          <w:marBottom w:val="0"/>
          <w:divBdr>
            <w:top w:val="none" w:sz="0" w:space="0" w:color="auto"/>
            <w:left w:val="none" w:sz="0" w:space="0" w:color="auto"/>
            <w:bottom w:val="none" w:sz="0" w:space="0" w:color="auto"/>
            <w:right w:val="none" w:sz="0" w:space="0" w:color="auto"/>
          </w:divBdr>
        </w:div>
        <w:div w:id="335764936">
          <w:marLeft w:val="0"/>
          <w:marRight w:val="0"/>
          <w:marTop w:val="0"/>
          <w:marBottom w:val="0"/>
          <w:divBdr>
            <w:top w:val="none" w:sz="0" w:space="0" w:color="auto"/>
            <w:left w:val="none" w:sz="0" w:space="0" w:color="auto"/>
            <w:bottom w:val="none" w:sz="0" w:space="0" w:color="auto"/>
            <w:right w:val="none" w:sz="0" w:space="0" w:color="auto"/>
          </w:divBdr>
        </w:div>
        <w:div w:id="2000380017">
          <w:marLeft w:val="0"/>
          <w:marRight w:val="0"/>
          <w:marTop w:val="0"/>
          <w:marBottom w:val="0"/>
          <w:divBdr>
            <w:top w:val="none" w:sz="0" w:space="0" w:color="auto"/>
            <w:left w:val="none" w:sz="0" w:space="0" w:color="auto"/>
            <w:bottom w:val="none" w:sz="0" w:space="0" w:color="auto"/>
            <w:right w:val="none" w:sz="0" w:space="0" w:color="auto"/>
          </w:divBdr>
        </w:div>
        <w:div w:id="1980842563">
          <w:marLeft w:val="0"/>
          <w:marRight w:val="0"/>
          <w:marTop w:val="0"/>
          <w:marBottom w:val="0"/>
          <w:divBdr>
            <w:top w:val="none" w:sz="0" w:space="0" w:color="auto"/>
            <w:left w:val="none" w:sz="0" w:space="0" w:color="auto"/>
            <w:bottom w:val="none" w:sz="0" w:space="0" w:color="auto"/>
            <w:right w:val="none" w:sz="0" w:space="0" w:color="auto"/>
          </w:divBdr>
        </w:div>
        <w:div w:id="618797368">
          <w:marLeft w:val="0"/>
          <w:marRight w:val="0"/>
          <w:marTop w:val="0"/>
          <w:marBottom w:val="0"/>
          <w:divBdr>
            <w:top w:val="none" w:sz="0" w:space="0" w:color="auto"/>
            <w:left w:val="none" w:sz="0" w:space="0" w:color="auto"/>
            <w:bottom w:val="none" w:sz="0" w:space="0" w:color="auto"/>
            <w:right w:val="none" w:sz="0" w:space="0" w:color="auto"/>
          </w:divBdr>
        </w:div>
        <w:div w:id="226690772">
          <w:marLeft w:val="0"/>
          <w:marRight w:val="0"/>
          <w:marTop w:val="0"/>
          <w:marBottom w:val="0"/>
          <w:divBdr>
            <w:top w:val="none" w:sz="0" w:space="0" w:color="auto"/>
            <w:left w:val="none" w:sz="0" w:space="0" w:color="auto"/>
            <w:bottom w:val="none" w:sz="0" w:space="0" w:color="auto"/>
            <w:right w:val="none" w:sz="0" w:space="0" w:color="auto"/>
          </w:divBdr>
        </w:div>
        <w:div w:id="1928687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1034</Characters>
  <Application>Microsoft Office Word</Application>
  <DocSecurity>4</DocSecurity>
  <Lines>8</Lines>
  <Paragraphs>2</Paragraphs>
  <ScaleCrop>false</ScaleCrop>
  <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dengmo</dc:creator>
  <cp:lastModifiedBy>ZHONGM</cp:lastModifiedBy>
  <cp:revision>2</cp:revision>
  <dcterms:created xsi:type="dcterms:W3CDTF">2017-09-01T16:31:00Z</dcterms:created>
  <dcterms:modified xsi:type="dcterms:W3CDTF">2017-09-01T16:31:00Z</dcterms:modified>
</cp:coreProperties>
</file>