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BD" w:rsidRDefault="00FE3BFB" w:rsidP="00FE3BFB">
      <w:pPr>
        <w:adjustRightInd w:val="0"/>
        <w:snapToGrid w:val="0"/>
        <w:jc w:val="center"/>
        <w:rPr>
          <w:rFonts w:asciiTheme="minorEastAsia" w:hAnsiTheme="minorEastAsia" w:cs="Times New Roman"/>
          <w:b/>
          <w:sz w:val="28"/>
          <w:szCs w:val="28"/>
        </w:rPr>
      </w:pPr>
      <w:r w:rsidRPr="00FE3BFB">
        <w:rPr>
          <w:rFonts w:asciiTheme="minorEastAsia" w:hAnsiTheme="minorEastAsia" w:cs="Times New Roman" w:hint="eastAsia"/>
          <w:b/>
          <w:sz w:val="28"/>
          <w:szCs w:val="28"/>
        </w:rPr>
        <w:t>信诚添金分级债券型证券投资基金</w:t>
      </w:r>
      <w:r w:rsidR="00324C2A" w:rsidRPr="00E538C0">
        <w:rPr>
          <w:rFonts w:asciiTheme="minorEastAsia" w:hAnsiTheme="minorEastAsia" w:cs="Times New Roman" w:hint="eastAsia"/>
          <w:b/>
          <w:sz w:val="28"/>
          <w:szCs w:val="28"/>
        </w:rPr>
        <w:t>基金名称变更及</w:t>
      </w:r>
    </w:p>
    <w:p w:rsidR="00324C2A" w:rsidRPr="00E538C0" w:rsidRDefault="00FE3BFB" w:rsidP="00FE3BFB">
      <w:pPr>
        <w:adjustRightInd w:val="0"/>
        <w:snapToGrid w:val="0"/>
        <w:jc w:val="center"/>
        <w:rPr>
          <w:rFonts w:asciiTheme="minorEastAsia" w:hAnsiTheme="minorEastAsia" w:cs="Times New Roman"/>
          <w:b/>
          <w:sz w:val="28"/>
          <w:szCs w:val="28"/>
        </w:rPr>
      </w:pPr>
      <w:r>
        <w:rPr>
          <w:rFonts w:asciiTheme="minorEastAsia" w:hAnsiTheme="minorEastAsia" w:cs="Times New Roman" w:hint="eastAsia"/>
          <w:b/>
          <w:sz w:val="28"/>
          <w:szCs w:val="28"/>
        </w:rPr>
        <w:t>实施转型</w:t>
      </w:r>
      <w:r w:rsidR="00324C2A" w:rsidRPr="00E538C0">
        <w:rPr>
          <w:rFonts w:asciiTheme="minorEastAsia" w:hAnsiTheme="minorEastAsia" w:cs="Times New Roman" w:hint="eastAsia"/>
          <w:b/>
          <w:sz w:val="28"/>
          <w:szCs w:val="28"/>
        </w:rPr>
        <w:t>的</w:t>
      </w:r>
      <w:r>
        <w:rPr>
          <w:rFonts w:asciiTheme="minorEastAsia" w:hAnsiTheme="minorEastAsia" w:cs="Times New Roman" w:hint="eastAsia"/>
          <w:b/>
          <w:sz w:val="28"/>
          <w:szCs w:val="28"/>
        </w:rPr>
        <w:t>提示性</w:t>
      </w:r>
      <w:r w:rsidR="00324C2A" w:rsidRPr="00E538C0">
        <w:rPr>
          <w:rFonts w:asciiTheme="minorEastAsia" w:hAnsiTheme="minorEastAsia" w:cs="Times New Roman" w:hint="eastAsia"/>
          <w:b/>
          <w:sz w:val="28"/>
          <w:szCs w:val="28"/>
        </w:rPr>
        <w:t xml:space="preserve">公告 </w:t>
      </w:r>
    </w:p>
    <w:p w:rsidR="00324C2A" w:rsidRPr="00E538C0" w:rsidRDefault="00324C2A" w:rsidP="00E538C0">
      <w:pPr>
        <w:adjustRightInd w:val="0"/>
        <w:snapToGrid w:val="0"/>
        <w:jc w:val="center"/>
        <w:rPr>
          <w:rFonts w:asciiTheme="minorEastAsia" w:hAnsiTheme="minorEastAsia" w:cs="Times New Roman"/>
          <w:b/>
          <w:sz w:val="28"/>
          <w:szCs w:val="28"/>
        </w:rPr>
      </w:pPr>
    </w:p>
    <w:p w:rsidR="00E059DD" w:rsidRPr="00405CF3" w:rsidRDefault="00471C91" w:rsidP="00405CF3">
      <w:pPr>
        <w:spacing w:line="360" w:lineRule="auto"/>
        <w:ind w:firstLineChars="200" w:firstLine="420"/>
        <w:rPr>
          <w:rFonts w:asciiTheme="minorEastAsia" w:hAnsiTheme="minorEastAsia"/>
          <w:szCs w:val="21"/>
        </w:rPr>
      </w:pPr>
      <w:r w:rsidRPr="00405CF3">
        <w:rPr>
          <w:rFonts w:asciiTheme="minorEastAsia" w:hAnsiTheme="minorEastAsia" w:hint="eastAsia"/>
          <w:szCs w:val="21"/>
        </w:rPr>
        <w:t>根据</w:t>
      </w:r>
      <w:r w:rsidR="00405CF3" w:rsidRPr="00405CF3">
        <w:rPr>
          <w:rFonts w:asciiTheme="minorEastAsia" w:hAnsiTheme="minorEastAsia" w:hint="eastAsia"/>
          <w:szCs w:val="21"/>
        </w:rPr>
        <w:t>《信诚基金管理有限公司关于以现场方式召开信诚添金分级债券型证券投资基金基金份额持有人大会的公告》、《信诚基金管理有限公司关于以现场方式二次召开信诚添金分级债券型证券投资基金基金份额持有人大会的公告》、《关于信诚添金分级债券型证券投资基金转型有关事项的议案》、</w:t>
      </w:r>
      <w:r w:rsidRPr="00405CF3">
        <w:rPr>
          <w:rFonts w:asciiTheme="minorEastAsia" w:hAnsiTheme="minorEastAsia" w:hint="eastAsia"/>
          <w:szCs w:val="21"/>
        </w:rPr>
        <w:t>《</w:t>
      </w:r>
      <w:r w:rsidR="00405CF3" w:rsidRPr="00405CF3">
        <w:rPr>
          <w:rFonts w:asciiTheme="minorEastAsia" w:hAnsiTheme="minorEastAsia" w:hint="eastAsia"/>
          <w:szCs w:val="21"/>
        </w:rPr>
        <w:t>信诚基金管理有限公司关于信诚添金分级债券型证券投资基金基金份额持有人大会重新表决结果暨决议生效的公告</w:t>
      </w:r>
      <w:r w:rsidRPr="00405CF3">
        <w:rPr>
          <w:rFonts w:asciiTheme="minorEastAsia" w:hAnsiTheme="minorEastAsia" w:hint="eastAsia"/>
          <w:szCs w:val="21"/>
        </w:rPr>
        <w:t>》，</w:t>
      </w:r>
      <w:r w:rsidR="00405CF3" w:rsidRPr="00405CF3">
        <w:rPr>
          <w:rFonts w:asciiTheme="minorEastAsia" w:hAnsiTheme="minorEastAsia" w:hint="eastAsia"/>
          <w:szCs w:val="21"/>
        </w:rPr>
        <w:t>2017年8月3日至2017年8月30日为信诚添金分级债券型证券投资基金（以下简称“本基金”）的集中赎回选择期，在集中赎回选择期间，投资人可以办理本基金之季季添金、岁岁添金份额的赎回、转换转出业务，不可以办理申购、转换转入</w:t>
      </w:r>
      <w:r w:rsidR="004E1747" w:rsidRPr="00405CF3">
        <w:rPr>
          <w:rFonts w:asciiTheme="minorEastAsia" w:hAnsiTheme="minorEastAsia" w:hint="eastAsia"/>
          <w:szCs w:val="21"/>
        </w:rPr>
        <w:t>业务</w:t>
      </w:r>
      <w:r w:rsidR="00405CF3" w:rsidRPr="00405CF3">
        <w:rPr>
          <w:rFonts w:asciiTheme="minorEastAsia" w:hAnsiTheme="minorEastAsia" w:hint="eastAsia"/>
          <w:szCs w:val="21"/>
        </w:rPr>
        <w:t>。自本基金集中赎回选择期结束之日的次日，即</w:t>
      </w:r>
      <w:r w:rsidR="00EA2E25" w:rsidRPr="00405CF3">
        <w:rPr>
          <w:rFonts w:asciiTheme="minorEastAsia" w:hAnsiTheme="minorEastAsia" w:hint="eastAsia"/>
          <w:szCs w:val="21"/>
        </w:rPr>
        <w:t>自</w:t>
      </w:r>
      <w:r w:rsidR="00EA2E25" w:rsidRPr="00405CF3">
        <w:rPr>
          <w:rFonts w:asciiTheme="minorEastAsia" w:hAnsiTheme="minorEastAsia"/>
          <w:szCs w:val="21"/>
        </w:rPr>
        <w:t>2017</w:t>
      </w:r>
      <w:r w:rsidR="00EA2E25" w:rsidRPr="00405CF3">
        <w:rPr>
          <w:rFonts w:asciiTheme="minorEastAsia" w:hAnsiTheme="minorEastAsia" w:hint="eastAsia"/>
          <w:szCs w:val="21"/>
        </w:rPr>
        <w:t>年</w:t>
      </w:r>
      <w:r w:rsidR="00EA2E25" w:rsidRPr="00405CF3">
        <w:rPr>
          <w:rFonts w:asciiTheme="minorEastAsia" w:hAnsiTheme="minorEastAsia"/>
          <w:szCs w:val="21"/>
        </w:rPr>
        <w:t>8</w:t>
      </w:r>
      <w:r w:rsidR="00EA2E25" w:rsidRPr="00405CF3">
        <w:rPr>
          <w:rFonts w:asciiTheme="minorEastAsia" w:hAnsiTheme="minorEastAsia" w:hint="eastAsia"/>
          <w:szCs w:val="21"/>
        </w:rPr>
        <w:t>月</w:t>
      </w:r>
      <w:r w:rsidR="00EA2E25" w:rsidRPr="00405CF3">
        <w:rPr>
          <w:rFonts w:asciiTheme="minorEastAsia" w:hAnsiTheme="minorEastAsia"/>
          <w:szCs w:val="21"/>
        </w:rPr>
        <w:t>31</w:t>
      </w:r>
      <w:r w:rsidR="00EA2E25" w:rsidRPr="00405CF3">
        <w:rPr>
          <w:rFonts w:asciiTheme="minorEastAsia" w:hAnsiTheme="minorEastAsia" w:hint="eastAsia"/>
          <w:szCs w:val="21"/>
        </w:rPr>
        <w:t>日起，本基金的基金名称</w:t>
      </w:r>
      <w:r w:rsidR="00E53C30" w:rsidRPr="00405CF3">
        <w:rPr>
          <w:rFonts w:asciiTheme="minorEastAsia" w:hAnsiTheme="minorEastAsia" w:hint="eastAsia"/>
          <w:szCs w:val="21"/>
        </w:rPr>
        <w:t>将</w:t>
      </w:r>
      <w:r w:rsidR="00EA2E25" w:rsidRPr="00405CF3">
        <w:rPr>
          <w:rFonts w:asciiTheme="minorEastAsia" w:hAnsiTheme="minorEastAsia" w:hint="eastAsia"/>
          <w:szCs w:val="21"/>
        </w:rPr>
        <w:t>由</w:t>
      </w:r>
      <w:r w:rsidR="00EA2E25" w:rsidRPr="00405CF3">
        <w:rPr>
          <w:rFonts w:asciiTheme="minorEastAsia" w:hAnsiTheme="minorEastAsia"/>
          <w:szCs w:val="21"/>
        </w:rPr>
        <w:t>“</w:t>
      </w:r>
      <w:r w:rsidR="00EA2E25" w:rsidRPr="00405CF3">
        <w:rPr>
          <w:rFonts w:asciiTheme="minorEastAsia" w:hAnsiTheme="minorEastAsia" w:hint="eastAsia"/>
          <w:szCs w:val="21"/>
        </w:rPr>
        <w:t>信诚添金分级债券型证券投资基金</w:t>
      </w:r>
      <w:r w:rsidR="00EA2E25" w:rsidRPr="00405CF3">
        <w:rPr>
          <w:rFonts w:asciiTheme="minorEastAsia" w:hAnsiTheme="minorEastAsia"/>
          <w:szCs w:val="21"/>
        </w:rPr>
        <w:t>”</w:t>
      </w:r>
      <w:r w:rsidR="00EA2E25" w:rsidRPr="00405CF3">
        <w:rPr>
          <w:rFonts w:asciiTheme="minorEastAsia" w:hAnsiTheme="minorEastAsia" w:hint="eastAsia"/>
          <w:szCs w:val="21"/>
        </w:rPr>
        <w:t>变更为</w:t>
      </w:r>
      <w:r w:rsidR="00EA2E25" w:rsidRPr="00405CF3">
        <w:rPr>
          <w:rFonts w:asciiTheme="minorEastAsia" w:hAnsiTheme="minorEastAsia"/>
          <w:szCs w:val="21"/>
        </w:rPr>
        <w:t>“</w:t>
      </w:r>
      <w:r w:rsidR="00EA2E25" w:rsidRPr="00405CF3">
        <w:rPr>
          <w:rFonts w:asciiTheme="minorEastAsia" w:hAnsiTheme="minorEastAsia" w:hint="eastAsia"/>
          <w:szCs w:val="21"/>
        </w:rPr>
        <w:t>信诚至远灵活配置混合型证券投资基金</w:t>
      </w:r>
      <w:r w:rsidR="00EA2E25" w:rsidRPr="00405CF3">
        <w:rPr>
          <w:rFonts w:asciiTheme="minorEastAsia" w:hAnsiTheme="minorEastAsia"/>
          <w:szCs w:val="21"/>
        </w:rPr>
        <w:t>”</w:t>
      </w:r>
      <w:r w:rsidR="00EA2E25" w:rsidRPr="00405CF3">
        <w:rPr>
          <w:rFonts w:asciiTheme="minorEastAsia" w:hAnsiTheme="minorEastAsia" w:hint="eastAsia"/>
          <w:szCs w:val="21"/>
        </w:rPr>
        <w:t>，并</w:t>
      </w:r>
      <w:r w:rsidR="00E059DD" w:rsidRPr="00405CF3">
        <w:rPr>
          <w:rFonts w:asciiTheme="minorEastAsia" w:hAnsiTheme="minorEastAsia" w:hint="eastAsia"/>
          <w:szCs w:val="21"/>
        </w:rPr>
        <w:t>正式实施基金转型。</w:t>
      </w:r>
      <w:r w:rsidR="00405CF3" w:rsidRPr="00405CF3">
        <w:rPr>
          <w:rFonts w:asciiTheme="minorEastAsia" w:hAnsiTheme="minorEastAsia" w:hint="eastAsia"/>
          <w:szCs w:val="21"/>
        </w:rPr>
        <w:t>现将相关事宜作提示性公告如下：</w:t>
      </w:r>
    </w:p>
    <w:p w:rsidR="0013533A" w:rsidRPr="0013533A" w:rsidRDefault="00FB446F" w:rsidP="0013533A">
      <w:pPr>
        <w:widowControl/>
        <w:numPr>
          <w:ilvl w:val="0"/>
          <w:numId w:val="2"/>
        </w:numPr>
        <w:spacing w:before="100" w:beforeAutospacing="1" w:after="100" w:afterAutospacing="1" w:line="360" w:lineRule="auto"/>
        <w:ind w:left="0" w:firstLineChars="200" w:firstLine="482"/>
        <w:rPr>
          <w:rFonts w:ascii="宋体" w:eastAsia="宋体" w:hAnsi="宋体" w:cs="Times New Roman"/>
          <w:b/>
          <w:bCs/>
          <w:kern w:val="0"/>
          <w:sz w:val="24"/>
          <w:szCs w:val="24"/>
        </w:rPr>
      </w:pPr>
      <w:r w:rsidRPr="00973807">
        <w:rPr>
          <w:rFonts w:ascii="宋体" w:eastAsia="宋体" w:hAnsi="宋体" w:cs="Times New Roman" w:hint="eastAsia"/>
          <w:b/>
          <w:bCs/>
          <w:kern w:val="0"/>
          <w:sz w:val="24"/>
          <w:szCs w:val="24"/>
        </w:rPr>
        <w:t>基金名称变更及转型事宜</w:t>
      </w:r>
    </w:p>
    <w:p w:rsidR="00F70506" w:rsidRDefault="00E53C30" w:rsidP="00557640">
      <w:pPr>
        <w:spacing w:line="360" w:lineRule="auto"/>
        <w:ind w:firstLineChars="200" w:firstLine="420"/>
        <w:rPr>
          <w:rFonts w:asciiTheme="minorEastAsia" w:hAnsiTheme="minorEastAsia"/>
          <w:szCs w:val="21"/>
        </w:rPr>
      </w:pPr>
      <w:r w:rsidRPr="0013533A">
        <w:rPr>
          <w:rFonts w:asciiTheme="minorEastAsia" w:hAnsiTheme="minorEastAsia" w:hint="eastAsia"/>
          <w:szCs w:val="21"/>
        </w:rPr>
        <w:t>根据</w:t>
      </w:r>
      <w:r w:rsidR="00FD6294" w:rsidRPr="0013533A">
        <w:rPr>
          <w:rFonts w:asciiTheme="minorEastAsia" w:hAnsiTheme="minorEastAsia" w:hint="eastAsia"/>
          <w:szCs w:val="21"/>
        </w:rPr>
        <w:t>本基金</w:t>
      </w:r>
      <w:r w:rsidRPr="0013533A">
        <w:rPr>
          <w:rFonts w:asciiTheme="minorEastAsia" w:hAnsiTheme="minorEastAsia" w:hint="eastAsia"/>
          <w:szCs w:val="21"/>
        </w:rPr>
        <w:t>基金份额持有人大会表决通过的《关于信诚添金分级债券型证券投资基金转型有关事项的议案》，</w:t>
      </w:r>
      <w:r w:rsidR="00EA2E25" w:rsidRPr="0013533A">
        <w:rPr>
          <w:rFonts w:asciiTheme="minorEastAsia" w:hAnsiTheme="minorEastAsia" w:hint="eastAsia"/>
          <w:szCs w:val="21"/>
        </w:rPr>
        <w:t>自</w:t>
      </w:r>
      <w:r w:rsidR="00EA2E25" w:rsidRPr="0013533A">
        <w:rPr>
          <w:rFonts w:asciiTheme="minorEastAsia" w:hAnsiTheme="minorEastAsia"/>
          <w:szCs w:val="21"/>
        </w:rPr>
        <w:t>2017</w:t>
      </w:r>
      <w:r w:rsidR="00EA2E25" w:rsidRPr="0013533A">
        <w:rPr>
          <w:rFonts w:asciiTheme="minorEastAsia" w:hAnsiTheme="minorEastAsia" w:hint="eastAsia"/>
          <w:szCs w:val="21"/>
        </w:rPr>
        <w:t>年</w:t>
      </w:r>
      <w:r w:rsidR="00EA2E25" w:rsidRPr="0013533A">
        <w:rPr>
          <w:rFonts w:asciiTheme="minorEastAsia" w:hAnsiTheme="minorEastAsia"/>
          <w:szCs w:val="21"/>
        </w:rPr>
        <w:t>8</w:t>
      </w:r>
      <w:r w:rsidR="00EA2E25" w:rsidRPr="0013533A">
        <w:rPr>
          <w:rFonts w:asciiTheme="minorEastAsia" w:hAnsiTheme="minorEastAsia" w:hint="eastAsia"/>
          <w:szCs w:val="21"/>
        </w:rPr>
        <w:t>月</w:t>
      </w:r>
      <w:r w:rsidR="00EA2E25" w:rsidRPr="0013533A">
        <w:rPr>
          <w:rFonts w:asciiTheme="minorEastAsia" w:hAnsiTheme="minorEastAsia"/>
          <w:szCs w:val="21"/>
        </w:rPr>
        <w:t>31</w:t>
      </w:r>
      <w:r w:rsidR="00EA2E25" w:rsidRPr="0013533A">
        <w:rPr>
          <w:rFonts w:asciiTheme="minorEastAsia" w:hAnsiTheme="minorEastAsia" w:hint="eastAsia"/>
          <w:szCs w:val="21"/>
        </w:rPr>
        <w:t>日起，本基金的基金名称</w:t>
      </w:r>
      <w:r w:rsidR="00401089" w:rsidRPr="0013533A">
        <w:rPr>
          <w:rFonts w:asciiTheme="minorEastAsia" w:hAnsiTheme="minorEastAsia" w:hint="eastAsia"/>
          <w:szCs w:val="21"/>
        </w:rPr>
        <w:t>将</w:t>
      </w:r>
      <w:r w:rsidR="00EA2E25" w:rsidRPr="0013533A">
        <w:rPr>
          <w:rFonts w:asciiTheme="minorEastAsia" w:hAnsiTheme="minorEastAsia" w:hint="eastAsia"/>
          <w:szCs w:val="21"/>
        </w:rPr>
        <w:t>由“信诚添金分级债券型证券投资基金”变更为“信诚至远灵活配置混合型证券投资基金”</w:t>
      </w:r>
      <w:r w:rsidR="00401089" w:rsidRPr="0013533A">
        <w:rPr>
          <w:rFonts w:asciiTheme="minorEastAsia" w:hAnsiTheme="minorEastAsia" w:hint="eastAsia"/>
          <w:szCs w:val="21"/>
        </w:rPr>
        <w:t>，</w:t>
      </w:r>
      <w:r w:rsidRPr="0013533A">
        <w:rPr>
          <w:rFonts w:asciiTheme="minorEastAsia" w:hAnsiTheme="minorEastAsia" w:hint="eastAsia"/>
          <w:szCs w:val="21"/>
        </w:rPr>
        <w:t>本基金正式实施基金转型</w:t>
      </w:r>
      <w:r w:rsidR="00401089" w:rsidRPr="0013533A">
        <w:rPr>
          <w:rFonts w:asciiTheme="minorEastAsia" w:hAnsiTheme="minorEastAsia" w:hint="eastAsia"/>
          <w:szCs w:val="21"/>
        </w:rPr>
        <w:t>。</w:t>
      </w:r>
      <w:r w:rsidRPr="0013533A">
        <w:rPr>
          <w:rFonts w:asciiTheme="minorEastAsia" w:hAnsiTheme="minorEastAsia" w:hint="eastAsia"/>
          <w:szCs w:val="21"/>
        </w:rPr>
        <w:t>基金类别由债券型基金转型为混合型，运作方式由原“运作周年滚动”运作方式改为常规契约型开放式，取消分级运作机制</w:t>
      </w:r>
      <w:r w:rsidR="00401089" w:rsidRPr="0013533A">
        <w:rPr>
          <w:rFonts w:asciiTheme="minorEastAsia" w:hAnsiTheme="minorEastAsia" w:hint="eastAsia"/>
          <w:szCs w:val="21"/>
        </w:rPr>
        <w:t>，同时将</w:t>
      </w:r>
      <w:r w:rsidRPr="0013533A">
        <w:rPr>
          <w:rFonts w:asciiTheme="minorEastAsia" w:hAnsiTheme="minorEastAsia" w:hint="eastAsia"/>
          <w:szCs w:val="21"/>
        </w:rPr>
        <w:t>对信诚添金分级债券型证券投资基金原《基金合同》中投资目标、投资范围、投资策略、投资限制、业绩比较基准、风险收益特征等内容进行调整。</w:t>
      </w:r>
    </w:p>
    <w:p w:rsidR="0013533A" w:rsidRPr="00557640" w:rsidRDefault="008B042F" w:rsidP="00557640">
      <w:pPr>
        <w:spacing w:line="360" w:lineRule="auto"/>
        <w:ind w:firstLineChars="200" w:firstLine="420"/>
        <w:rPr>
          <w:rFonts w:asciiTheme="minorEastAsia" w:hAnsiTheme="minorEastAsia" w:cs="Times New Roman"/>
          <w:szCs w:val="21"/>
        </w:rPr>
      </w:pPr>
      <w:r w:rsidRPr="009B6D10">
        <w:rPr>
          <w:rFonts w:asciiTheme="minorEastAsia" w:hAnsiTheme="minorEastAsia"/>
          <w:szCs w:val="21"/>
        </w:rPr>
        <w:t>2017</w:t>
      </w:r>
      <w:r w:rsidRPr="009B6D10">
        <w:rPr>
          <w:rFonts w:asciiTheme="minorEastAsia" w:hAnsiTheme="minorEastAsia" w:hint="eastAsia"/>
          <w:szCs w:val="21"/>
        </w:rPr>
        <w:t>年</w:t>
      </w:r>
      <w:r w:rsidRPr="009B6D10">
        <w:rPr>
          <w:rFonts w:asciiTheme="minorEastAsia" w:hAnsiTheme="minorEastAsia"/>
          <w:szCs w:val="21"/>
        </w:rPr>
        <w:t>8</w:t>
      </w:r>
      <w:r w:rsidRPr="009B6D10">
        <w:rPr>
          <w:rFonts w:asciiTheme="minorEastAsia" w:hAnsiTheme="minorEastAsia" w:hint="eastAsia"/>
          <w:szCs w:val="21"/>
        </w:rPr>
        <w:t>月</w:t>
      </w:r>
      <w:r w:rsidRPr="009B6D10">
        <w:rPr>
          <w:rFonts w:asciiTheme="minorEastAsia" w:hAnsiTheme="minorEastAsia"/>
          <w:szCs w:val="21"/>
        </w:rPr>
        <w:t>31</w:t>
      </w:r>
      <w:r w:rsidRPr="009B6D10">
        <w:rPr>
          <w:rFonts w:asciiTheme="minorEastAsia" w:hAnsiTheme="minorEastAsia" w:hint="eastAsia"/>
          <w:szCs w:val="21"/>
        </w:rPr>
        <w:t>日为本基金正式</w:t>
      </w:r>
      <w:r w:rsidR="00A53D7E" w:rsidRPr="009B6D10">
        <w:rPr>
          <w:rFonts w:asciiTheme="minorEastAsia" w:hAnsiTheme="minorEastAsia" w:hint="eastAsia"/>
          <w:szCs w:val="21"/>
        </w:rPr>
        <w:t>实施</w:t>
      </w:r>
      <w:r w:rsidRPr="009B6D10">
        <w:rPr>
          <w:rFonts w:asciiTheme="minorEastAsia" w:hAnsiTheme="minorEastAsia" w:hint="eastAsia"/>
          <w:szCs w:val="21"/>
        </w:rPr>
        <w:t>转型日，</w:t>
      </w:r>
      <w:r w:rsidR="00F60C75" w:rsidRPr="009B6D10">
        <w:rPr>
          <w:rFonts w:asciiTheme="minorEastAsia" w:hAnsiTheme="minorEastAsia" w:cs="Times New Roman"/>
          <w:szCs w:val="21"/>
        </w:rPr>
        <w:t>本基金</w:t>
      </w:r>
      <w:r w:rsidR="00FD6294">
        <w:rPr>
          <w:rFonts w:asciiTheme="minorEastAsia" w:hAnsiTheme="minorEastAsia" w:cs="Times New Roman" w:hint="eastAsia"/>
          <w:szCs w:val="21"/>
        </w:rPr>
        <w:t>之</w:t>
      </w:r>
      <w:r w:rsidR="00806383" w:rsidRPr="009B6D10">
        <w:rPr>
          <w:rFonts w:asciiTheme="minorEastAsia" w:hAnsiTheme="minorEastAsia" w:cs="Times New Roman" w:hint="eastAsia"/>
          <w:szCs w:val="21"/>
        </w:rPr>
        <w:t>季季添金</w:t>
      </w:r>
      <w:r w:rsidR="00806383">
        <w:rPr>
          <w:rFonts w:asciiTheme="minorEastAsia" w:hAnsiTheme="minorEastAsia" w:cs="Times New Roman" w:hint="eastAsia"/>
          <w:szCs w:val="21"/>
        </w:rPr>
        <w:t>份额</w:t>
      </w:r>
      <w:r w:rsidR="00F60C75" w:rsidRPr="009B6D10">
        <w:rPr>
          <w:rFonts w:asciiTheme="minorEastAsia" w:hAnsiTheme="minorEastAsia" w:cs="Times New Roman"/>
          <w:szCs w:val="21"/>
        </w:rPr>
        <w:t>（</w:t>
      </w:r>
      <w:r w:rsidR="00F60C75" w:rsidRPr="009B6D10">
        <w:rPr>
          <w:rFonts w:asciiTheme="minorEastAsia" w:hAnsiTheme="minorEastAsia" w:cs="Times New Roman" w:hint="eastAsia"/>
          <w:szCs w:val="21"/>
        </w:rPr>
        <w:t>基金代码：</w:t>
      </w:r>
      <w:r w:rsidR="00F60C75" w:rsidRPr="009B6D10">
        <w:rPr>
          <w:rFonts w:asciiTheme="minorEastAsia" w:hAnsiTheme="minorEastAsia" w:cs="Times New Roman"/>
          <w:szCs w:val="21"/>
        </w:rPr>
        <w:t>550015</w:t>
      </w:r>
      <w:r w:rsidR="00F60C75" w:rsidRPr="009B6D10">
        <w:rPr>
          <w:rFonts w:asciiTheme="minorEastAsia" w:hAnsiTheme="minorEastAsia" w:cs="Times New Roman" w:hint="eastAsia"/>
          <w:szCs w:val="21"/>
        </w:rPr>
        <w:t>）和</w:t>
      </w:r>
      <w:r w:rsidR="00806383" w:rsidRPr="009B6D10">
        <w:rPr>
          <w:rFonts w:asciiTheme="minorEastAsia" w:hAnsiTheme="minorEastAsia" w:cs="Times New Roman" w:hint="eastAsia"/>
          <w:szCs w:val="21"/>
        </w:rPr>
        <w:t>岁岁添金</w:t>
      </w:r>
      <w:r w:rsidR="00FD6294">
        <w:rPr>
          <w:rFonts w:asciiTheme="minorEastAsia" w:hAnsiTheme="minorEastAsia" w:cs="Times New Roman" w:hint="eastAsia"/>
          <w:szCs w:val="21"/>
        </w:rPr>
        <w:t>份额</w:t>
      </w:r>
      <w:r w:rsidR="00F60C75" w:rsidRPr="009B6D10">
        <w:rPr>
          <w:rFonts w:asciiTheme="minorEastAsia" w:hAnsiTheme="minorEastAsia" w:cs="Times New Roman"/>
          <w:szCs w:val="21"/>
        </w:rPr>
        <w:t>（</w:t>
      </w:r>
      <w:r w:rsidR="00F60C75" w:rsidRPr="009B6D10">
        <w:rPr>
          <w:rFonts w:asciiTheme="minorEastAsia" w:hAnsiTheme="minorEastAsia" w:cs="Times New Roman" w:hint="eastAsia"/>
          <w:szCs w:val="21"/>
        </w:rPr>
        <w:t>基金代码：</w:t>
      </w:r>
      <w:r w:rsidR="00F60C75" w:rsidRPr="009B6D10">
        <w:rPr>
          <w:rFonts w:asciiTheme="minorEastAsia" w:hAnsiTheme="minorEastAsia" w:cs="Times New Roman"/>
          <w:szCs w:val="21"/>
        </w:rPr>
        <w:t>550016）将转</w:t>
      </w:r>
      <w:r w:rsidR="00312E0B">
        <w:rPr>
          <w:rFonts w:asciiTheme="minorEastAsia" w:hAnsiTheme="minorEastAsia" w:cs="Times New Roman" w:hint="eastAsia"/>
          <w:szCs w:val="21"/>
        </w:rPr>
        <w:t>换</w:t>
      </w:r>
      <w:r w:rsidR="00F60C75" w:rsidRPr="009B6D10">
        <w:rPr>
          <w:rFonts w:asciiTheme="minorEastAsia" w:hAnsiTheme="minorEastAsia" w:cs="Times New Roman"/>
          <w:szCs w:val="21"/>
        </w:rPr>
        <w:t>为</w:t>
      </w:r>
      <w:r w:rsidR="00F60C75" w:rsidRPr="009B6D10">
        <w:rPr>
          <w:rFonts w:asciiTheme="minorEastAsia" w:hAnsiTheme="minorEastAsia" w:cs="Times New Roman" w:hint="eastAsia"/>
          <w:szCs w:val="21"/>
        </w:rPr>
        <w:t>信诚至远灵活配置混合型证券</w:t>
      </w:r>
      <w:r w:rsidR="00F60C75" w:rsidRPr="0056224D">
        <w:rPr>
          <w:rFonts w:asciiTheme="minorEastAsia" w:hAnsiTheme="minorEastAsia" w:cs="Times New Roman" w:hint="eastAsia"/>
          <w:szCs w:val="21"/>
        </w:rPr>
        <w:t>投资基金</w:t>
      </w:r>
      <w:r w:rsidR="00F60C75" w:rsidRPr="0056224D">
        <w:rPr>
          <w:rFonts w:asciiTheme="minorEastAsia" w:hAnsiTheme="minorEastAsia" w:cs="Times New Roman"/>
          <w:szCs w:val="21"/>
        </w:rPr>
        <w:t>的</w:t>
      </w:r>
      <w:r w:rsidR="00F60C75" w:rsidRPr="0056224D">
        <w:rPr>
          <w:rFonts w:asciiTheme="minorEastAsia" w:hAnsiTheme="minorEastAsia" w:cs="Times New Roman" w:hint="eastAsia"/>
          <w:szCs w:val="21"/>
        </w:rPr>
        <w:t>A类</w:t>
      </w:r>
      <w:r w:rsidR="00F60C75" w:rsidRPr="0056224D">
        <w:rPr>
          <w:rFonts w:asciiTheme="minorEastAsia" w:hAnsiTheme="minorEastAsia" w:cs="Times New Roman"/>
          <w:szCs w:val="21"/>
        </w:rPr>
        <w:t>基金份额</w:t>
      </w:r>
      <w:r w:rsidR="005120CD" w:rsidRPr="00350E1D">
        <w:rPr>
          <w:rFonts w:hAnsi="宋体" w:cs="Times New Roman" w:hint="eastAsia"/>
          <w:szCs w:val="21"/>
        </w:rPr>
        <w:t>（基金简称：</w:t>
      </w:r>
      <w:r w:rsidR="005120CD" w:rsidRPr="00714BC1">
        <w:rPr>
          <w:rFonts w:ascii="宋体" w:eastAsia="宋体" w:hAnsi="宋体" w:cs="Times New Roman" w:hint="eastAsia"/>
          <w:szCs w:val="21"/>
        </w:rPr>
        <w:t>信诚至远A，基金代码：</w:t>
      </w:r>
      <w:r w:rsidR="005120CD" w:rsidRPr="00714BC1">
        <w:rPr>
          <w:rFonts w:ascii="宋体" w:eastAsia="宋体" w:hAnsi="宋体" w:cs="Times New Roman" w:hint="eastAsia"/>
          <w:color w:val="000000"/>
          <w:szCs w:val="21"/>
        </w:rPr>
        <w:t>550015</w:t>
      </w:r>
      <w:r w:rsidR="005120CD" w:rsidRPr="00350E1D">
        <w:rPr>
          <w:rFonts w:hAnsi="宋体" w:cs="Times New Roman" w:hint="eastAsia"/>
          <w:szCs w:val="21"/>
        </w:rPr>
        <w:t>）</w:t>
      </w:r>
      <w:r w:rsidRPr="0056224D">
        <w:rPr>
          <w:rFonts w:asciiTheme="minorEastAsia" w:hAnsiTheme="minorEastAsia" w:hint="eastAsia"/>
          <w:szCs w:val="21"/>
        </w:rPr>
        <w:t>。</w:t>
      </w:r>
      <w:r w:rsidR="00557640" w:rsidRPr="009B6D10">
        <w:rPr>
          <w:rFonts w:asciiTheme="minorEastAsia" w:hAnsiTheme="minorEastAsia"/>
          <w:szCs w:val="21"/>
        </w:rPr>
        <w:t>基金管理人将进行登记变更、账户更名等操作。在基金管理人办理登记信息完成后，本基金的基金份额将使用变更后的基金名称和对应的基金代</w:t>
      </w:r>
      <w:r w:rsidR="00557640" w:rsidRPr="00973807">
        <w:rPr>
          <w:rFonts w:asciiTheme="minorEastAsia" w:hAnsiTheme="minorEastAsia" w:cs="Times New Roman"/>
          <w:szCs w:val="21"/>
        </w:rPr>
        <w:t>码。</w:t>
      </w:r>
    </w:p>
    <w:p w:rsidR="00471C91" w:rsidRPr="00471C91" w:rsidRDefault="00471C91" w:rsidP="00471C91">
      <w:pPr>
        <w:spacing w:line="360" w:lineRule="auto"/>
        <w:ind w:firstLineChars="200" w:firstLine="420"/>
        <w:rPr>
          <w:rFonts w:asciiTheme="minorEastAsia" w:hAnsiTheme="minorEastAsia"/>
          <w:szCs w:val="21"/>
        </w:rPr>
      </w:pPr>
      <w:r w:rsidRPr="00471C91">
        <w:rPr>
          <w:rFonts w:asciiTheme="minorEastAsia" w:hAnsiTheme="minorEastAsia"/>
          <w:szCs w:val="21"/>
        </w:rPr>
        <w:t xml:space="preserve">1. </w:t>
      </w:r>
      <w:r w:rsidRPr="00471C91">
        <w:rPr>
          <w:rFonts w:asciiTheme="minorEastAsia" w:hAnsiTheme="minorEastAsia" w:hint="eastAsia"/>
          <w:szCs w:val="21"/>
        </w:rPr>
        <w:t>基金</w:t>
      </w:r>
      <w:r w:rsidR="004D4694" w:rsidRPr="0056224D">
        <w:rPr>
          <w:rFonts w:asciiTheme="minorEastAsia" w:hAnsiTheme="minorEastAsia" w:hint="eastAsia"/>
          <w:szCs w:val="21"/>
        </w:rPr>
        <w:t>份额</w:t>
      </w:r>
      <w:r w:rsidR="00312E0B" w:rsidRPr="0056224D">
        <w:rPr>
          <w:rFonts w:asciiTheme="minorEastAsia" w:hAnsiTheme="minorEastAsia" w:hint="eastAsia"/>
          <w:szCs w:val="21"/>
        </w:rPr>
        <w:t>转换</w:t>
      </w:r>
      <w:r w:rsidR="004D4694" w:rsidRPr="0056224D">
        <w:rPr>
          <w:rFonts w:asciiTheme="minorEastAsia" w:hAnsiTheme="minorEastAsia" w:hint="eastAsia"/>
          <w:szCs w:val="21"/>
        </w:rPr>
        <w:t>基准日</w:t>
      </w:r>
    </w:p>
    <w:p w:rsidR="00471C91" w:rsidRPr="00471C91" w:rsidRDefault="004D4694" w:rsidP="00471C91">
      <w:pPr>
        <w:spacing w:line="360" w:lineRule="auto"/>
        <w:ind w:firstLineChars="200" w:firstLine="420"/>
        <w:rPr>
          <w:rFonts w:asciiTheme="minorEastAsia" w:hAnsiTheme="minorEastAsia"/>
          <w:szCs w:val="21"/>
        </w:rPr>
      </w:pPr>
      <w:r w:rsidRPr="0056224D">
        <w:rPr>
          <w:rFonts w:asciiTheme="minorEastAsia" w:hAnsiTheme="minorEastAsia" w:hint="eastAsia"/>
          <w:szCs w:val="21"/>
        </w:rPr>
        <w:t>季季添金</w:t>
      </w:r>
      <w:r w:rsidR="00471C91" w:rsidRPr="00471C91">
        <w:rPr>
          <w:rFonts w:asciiTheme="minorEastAsia" w:hAnsiTheme="minorEastAsia" w:hint="eastAsia"/>
          <w:szCs w:val="21"/>
        </w:rPr>
        <w:t>、</w:t>
      </w:r>
      <w:r w:rsidRPr="0056224D">
        <w:rPr>
          <w:rFonts w:asciiTheme="minorEastAsia" w:hAnsiTheme="minorEastAsia" w:hint="eastAsia"/>
          <w:szCs w:val="21"/>
        </w:rPr>
        <w:t>岁岁添金</w:t>
      </w:r>
      <w:r w:rsidR="00471C91" w:rsidRPr="00471C91">
        <w:rPr>
          <w:rFonts w:asciiTheme="minorEastAsia" w:hAnsiTheme="minorEastAsia" w:hint="eastAsia"/>
          <w:szCs w:val="21"/>
        </w:rPr>
        <w:t>份额的基金份</w:t>
      </w:r>
      <w:r w:rsidRPr="0056224D">
        <w:rPr>
          <w:rFonts w:asciiTheme="minorEastAsia" w:hAnsiTheme="minorEastAsia" w:hint="eastAsia"/>
          <w:szCs w:val="21"/>
        </w:rPr>
        <w:t>额</w:t>
      </w:r>
      <w:r w:rsidR="00312E0B" w:rsidRPr="0056224D">
        <w:rPr>
          <w:rFonts w:asciiTheme="minorEastAsia" w:hAnsiTheme="minorEastAsia" w:hint="eastAsia"/>
          <w:szCs w:val="21"/>
        </w:rPr>
        <w:t>转换</w:t>
      </w:r>
      <w:r w:rsidR="00471C91" w:rsidRPr="00471C91">
        <w:rPr>
          <w:rFonts w:asciiTheme="minorEastAsia" w:hAnsiTheme="minorEastAsia" w:hint="eastAsia"/>
          <w:szCs w:val="21"/>
        </w:rPr>
        <w:t>基准日为</w:t>
      </w:r>
      <w:r w:rsidR="00471C91" w:rsidRPr="00471C91">
        <w:rPr>
          <w:rFonts w:asciiTheme="minorEastAsia" w:hAnsiTheme="minorEastAsia"/>
          <w:szCs w:val="21"/>
        </w:rPr>
        <w:t>2017</w:t>
      </w:r>
      <w:r w:rsidR="00471C91" w:rsidRPr="00471C91">
        <w:rPr>
          <w:rFonts w:asciiTheme="minorEastAsia" w:hAnsiTheme="minorEastAsia" w:hint="eastAsia"/>
          <w:szCs w:val="21"/>
        </w:rPr>
        <w:t>年</w:t>
      </w:r>
      <w:r w:rsidRPr="0056224D">
        <w:rPr>
          <w:rFonts w:asciiTheme="minorEastAsia" w:hAnsiTheme="minorEastAsia" w:hint="eastAsia"/>
          <w:szCs w:val="21"/>
        </w:rPr>
        <w:t>8</w:t>
      </w:r>
      <w:r w:rsidR="00471C91" w:rsidRPr="00471C91">
        <w:rPr>
          <w:rFonts w:asciiTheme="minorEastAsia" w:hAnsiTheme="minorEastAsia" w:hint="eastAsia"/>
          <w:szCs w:val="21"/>
        </w:rPr>
        <w:t>月</w:t>
      </w:r>
      <w:r w:rsidRPr="0056224D">
        <w:rPr>
          <w:rFonts w:asciiTheme="minorEastAsia" w:hAnsiTheme="minorEastAsia" w:hint="eastAsia"/>
          <w:szCs w:val="21"/>
        </w:rPr>
        <w:t>31</w:t>
      </w:r>
      <w:r w:rsidR="00471C91" w:rsidRPr="00471C91">
        <w:rPr>
          <w:rFonts w:asciiTheme="minorEastAsia" w:hAnsiTheme="minorEastAsia" w:hint="eastAsia"/>
          <w:szCs w:val="21"/>
        </w:rPr>
        <w:t>日。</w:t>
      </w:r>
    </w:p>
    <w:p w:rsidR="00471C91" w:rsidRPr="00471C91" w:rsidRDefault="00471C91" w:rsidP="00471C91">
      <w:pPr>
        <w:spacing w:line="360" w:lineRule="auto"/>
        <w:ind w:firstLineChars="200" w:firstLine="420"/>
        <w:rPr>
          <w:rFonts w:asciiTheme="minorEastAsia" w:hAnsiTheme="minorEastAsia"/>
          <w:szCs w:val="21"/>
        </w:rPr>
      </w:pPr>
      <w:r w:rsidRPr="00471C91">
        <w:rPr>
          <w:rFonts w:asciiTheme="minorEastAsia" w:hAnsiTheme="minorEastAsia"/>
          <w:szCs w:val="21"/>
        </w:rPr>
        <w:t xml:space="preserve">2. </w:t>
      </w:r>
      <w:r w:rsidR="004D4694" w:rsidRPr="0056224D">
        <w:rPr>
          <w:rFonts w:asciiTheme="minorEastAsia" w:hAnsiTheme="minorEastAsia" w:hint="eastAsia"/>
          <w:szCs w:val="21"/>
        </w:rPr>
        <w:t>转换</w:t>
      </w:r>
      <w:r w:rsidRPr="00471C91">
        <w:rPr>
          <w:rFonts w:asciiTheme="minorEastAsia" w:hAnsiTheme="minorEastAsia" w:hint="eastAsia"/>
          <w:szCs w:val="21"/>
        </w:rPr>
        <w:t>对象</w:t>
      </w:r>
    </w:p>
    <w:p w:rsidR="00471C91" w:rsidRPr="00471C91" w:rsidRDefault="004D4694" w:rsidP="00471C91">
      <w:pPr>
        <w:spacing w:line="360" w:lineRule="auto"/>
        <w:ind w:firstLineChars="200" w:firstLine="420"/>
        <w:rPr>
          <w:rFonts w:asciiTheme="minorEastAsia" w:hAnsiTheme="minorEastAsia"/>
          <w:szCs w:val="21"/>
        </w:rPr>
      </w:pPr>
      <w:r w:rsidRPr="00471C91">
        <w:rPr>
          <w:rFonts w:asciiTheme="minorEastAsia" w:hAnsiTheme="minorEastAsia" w:hint="eastAsia"/>
          <w:szCs w:val="21"/>
        </w:rPr>
        <w:lastRenderedPageBreak/>
        <w:t>基金份</w:t>
      </w:r>
      <w:r w:rsidRPr="0056224D">
        <w:rPr>
          <w:rFonts w:asciiTheme="minorEastAsia" w:hAnsiTheme="minorEastAsia" w:hint="eastAsia"/>
          <w:szCs w:val="21"/>
        </w:rPr>
        <w:t>额</w:t>
      </w:r>
      <w:r w:rsidR="004E1747">
        <w:rPr>
          <w:rFonts w:asciiTheme="minorEastAsia" w:hAnsiTheme="minorEastAsia" w:hint="eastAsia"/>
          <w:kern w:val="0"/>
          <w:szCs w:val="21"/>
        </w:rPr>
        <w:t>转换</w:t>
      </w:r>
      <w:r w:rsidRPr="00471C91">
        <w:rPr>
          <w:rFonts w:asciiTheme="minorEastAsia" w:hAnsiTheme="minorEastAsia" w:hint="eastAsia"/>
          <w:szCs w:val="21"/>
        </w:rPr>
        <w:t>基准日</w:t>
      </w:r>
      <w:r w:rsidR="00471C91" w:rsidRPr="00471C91">
        <w:rPr>
          <w:rFonts w:asciiTheme="minorEastAsia" w:hAnsiTheme="minorEastAsia" w:hint="eastAsia"/>
          <w:szCs w:val="21"/>
        </w:rPr>
        <w:t>登记在册的</w:t>
      </w:r>
      <w:r w:rsidRPr="0056224D">
        <w:rPr>
          <w:rFonts w:asciiTheme="minorEastAsia" w:hAnsiTheme="minorEastAsia" w:hint="eastAsia"/>
          <w:szCs w:val="21"/>
        </w:rPr>
        <w:t>季季添金</w:t>
      </w:r>
      <w:r w:rsidR="00471C91" w:rsidRPr="00471C91">
        <w:rPr>
          <w:rFonts w:asciiTheme="minorEastAsia" w:hAnsiTheme="minorEastAsia" w:hint="eastAsia"/>
          <w:szCs w:val="21"/>
        </w:rPr>
        <w:t>、</w:t>
      </w:r>
      <w:r w:rsidRPr="0056224D">
        <w:rPr>
          <w:rFonts w:asciiTheme="minorEastAsia" w:hAnsiTheme="minorEastAsia" w:hint="eastAsia"/>
          <w:szCs w:val="21"/>
        </w:rPr>
        <w:t>岁岁添金</w:t>
      </w:r>
      <w:r w:rsidR="00471C91" w:rsidRPr="00471C91">
        <w:rPr>
          <w:rFonts w:asciiTheme="minorEastAsia" w:hAnsiTheme="minorEastAsia" w:hint="eastAsia"/>
          <w:szCs w:val="21"/>
        </w:rPr>
        <w:t>份额所有份额。</w:t>
      </w:r>
    </w:p>
    <w:p w:rsidR="00471C91" w:rsidRPr="00471C91" w:rsidRDefault="00471C91" w:rsidP="00471C91">
      <w:pPr>
        <w:spacing w:line="360" w:lineRule="auto"/>
        <w:ind w:firstLineChars="200" w:firstLine="420"/>
        <w:rPr>
          <w:rFonts w:asciiTheme="minorEastAsia" w:hAnsiTheme="minorEastAsia"/>
          <w:szCs w:val="21"/>
        </w:rPr>
      </w:pPr>
      <w:r w:rsidRPr="00471C91">
        <w:rPr>
          <w:rFonts w:asciiTheme="minorEastAsia" w:hAnsiTheme="minorEastAsia"/>
          <w:szCs w:val="21"/>
        </w:rPr>
        <w:t xml:space="preserve">3. </w:t>
      </w:r>
      <w:r w:rsidR="00312E0B" w:rsidRPr="0056224D">
        <w:rPr>
          <w:rFonts w:asciiTheme="minorEastAsia" w:hAnsiTheme="minorEastAsia" w:hint="eastAsia"/>
          <w:szCs w:val="21"/>
        </w:rPr>
        <w:t>转换</w:t>
      </w:r>
      <w:r w:rsidRPr="00471C91">
        <w:rPr>
          <w:rFonts w:asciiTheme="minorEastAsia" w:hAnsiTheme="minorEastAsia" w:hint="eastAsia"/>
          <w:szCs w:val="21"/>
        </w:rPr>
        <w:t>方式</w:t>
      </w:r>
    </w:p>
    <w:p w:rsidR="00471C91" w:rsidRPr="00471C91" w:rsidRDefault="0013533A" w:rsidP="00471C91">
      <w:pPr>
        <w:spacing w:line="360" w:lineRule="auto"/>
        <w:ind w:firstLineChars="200" w:firstLine="420"/>
        <w:rPr>
          <w:rFonts w:asciiTheme="minorEastAsia" w:hAnsiTheme="minorEastAsia"/>
          <w:szCs w:val="21"/>
        </w:rPr>
      </w:pPr>
      <w:r w:rsidRPr="00471C91">
        <w:rPr>
          <w:rFonts w:asciiTheme="minorEastAsia" w:hAnsiTheme="minorEastAsia" w:hint="eastAsia"/>
          <w:szCs w:val="21"/>
        </w:rPr>
        <w:t>基金份</w:t>
      </w:r>
      <w:r w:rsidRPr="0056224D">
        <w:rPr>
          <w:rFonts w:asciiTheme="minorEastAsia" w:hAnsiTheme="minorEastAsia" w:hint="eastAsia"/>
          <w:szCs w:val="21"/>
        </w:rPr>
        <w:t>额</w:t>
      </w:r>
      <w:r w:rsidR="00F70506">
        <w:rPr>
          <w:rFonts w:asciiTheme="minorEastAsia" w:hAnsiTheme="minorEastAsia" w:hint="eastAsia"/>
          <w:szCs w:val="21"/>
        </w:rPr>
        <w:t>转换</w:t>
      </w:r>
      <w:r w:rsidRPr="00471C91">
        <w:rPr>
          <w:rFonts w:asciiTheme="minorEastAsia" w:hAnsiTheme="minorEastAsia" w:hint="eastAsia"/>
          <w:szCs w:val="21"/>
        </w:rPr>
        <w:t>基准日</w:t>
      </w:r>
      <w:r w:rsidR="00471C91" w:rsidRPr="00471C91">
        <w:rPr>
          <w:rFonts w:asciiTheme="minorEastAsia" w:hAnsiTheme="minorEastAsia" w:hint="eastAsia"/>
          <w:szCs w:val="21"/>
        </w:rPr>
        <w:t>日终，</w:t>
      </w:r>
      <w:r w:rsidR="00312E0B" w:rsidRPr="0056224D">
        <w:rPr>
          <w:rFonts w:asciiTheme="minorEastAsia" w:hAnsiTheme="minorEastAsia" w:hint="eastAsia"/>
          <w:szCs w:val="21"/>
        </w:rPr>
        <w:t>季季添金</w:t>
      </w:r>
      <w:r w:rsidR="00471C91" w:rsidRPr="00471C91">
        <w:rPr>
          <w:rFonts w:asciiTheme="minorEastAsia" w:hAnsiTheme="minorEastAsia" w:hint="eastAsia"/>
          <w:szCs w:val="21"/>
        </w:rPr>
        <w:t>、</w:t>
      </w:r>
      <w:r w:rsidR="00312E0B" w:rsidRPr="0056224D">
        <w:rPr>
          <w:rFonts w:asciiTheme="minorEastAsia" w:hAnsiTheme="minorEastAsia" w:hint="eastAsia"/>
          <w:szCs w:val="21"/>
        </w:rPr>
        <w:t>岁岁添金</w:t>
      </w:r>
      <w:r w:rsidR="00471C91" w:rsidRPr="00471C91">
        <w:rPr>
          <w:rFonts w:asciiTheme="minorEastAsia" w:hAnsiTheme="minorEastAsia" w:hint="eastAsia"/>
          <w:szCs w:val="21"/>
        </w:rPr>
        <w:t>份额的基金份额净值调整为</w:t>
      </w:r>
      <w:r w:rsidR="00471C91" w:rsidRPr="00471C91">
        <w:rPr>
          <w:rFonts w:asciiTheme="minorEastAsia" w:hAnsiTheme="minorEastAsia"/>
          <w:szCs w:val="21"/>
        </w:rPr>
        <w:t>1.0000</w:t>
      </w:r>
      <w:r w:rsidR="00312E0B" w:rsidRPr="0056224D">
        <w:rPr>
          <w:rFonts w:asciiTheme="minorEastAsia" w:hAnsiTheme="minorEastAsia" w:hint="eastAsia"/>
          <w:szCs w:val="21"/>
        </w:rPr>
        <w:t>元，</w:t>
      </w:r>
      <w:r w:rsidR="00F70506">
        <w:rPr>
          <w:rFonts w:asciiTheme="minorEastAsia" w:hAnsiTheme="minorEastAsia" w:hint="eastAsia"/>
          <w:szCs w:val="21"/>
        </w:rPr>
        <w:t>转换</w:t>
      </w:r>
      <w:r w:rsidR="00471C91" w:rsidRPr="00471C91">
        <w:rPr>
          <w:rFonts w:asciiTheme="minorEastAsia" w:hAnsiTheme="minorEastAsia" w:hint="eastAsia"/>
          <w:szCs w:val="21"/>
        </w:rPr>
        <w:t>后，基金份额持有人持有的</w:t>
      </w:r>
      <w:r w:rsidR="00312E0B" w:rsidRPr="0056224D">
        <w:rPr>
          <w:rFonts w:asciiTheme="minorEastAsia" w:hAnsiTheme="minorEastAsia" w:hint="eastAsia"/>
          <w:szCs w:val="21"/>
        </w:rPr>
        <w:t>季季添金</w:t>
      </w:r>
      <w:r w:rsidR="00312E0B" w:rsidRPr="00471C91">
        <w:rPr>
          <w:rFonts w:asciiTheme="minorEastAsia" w:hAnsiTheme="minorEastAsia" w:hint="eastAsia"/>
          <w:szCs w:val="21"/>
        </w:rPr>
        <w:t>、</w:t>
      </w:r>
      <w:r w:rsidR="00312E0B" w:rsidRPr="0056224D">
        <w:rPr>
          <w:rFonts w:asciiTheme="minorEastAsia" w:hAnsiTheme="minorEastAsia" w:hint="eastAsia"/>
          <w:szCs w:val="21"/>
        </w:rPr>
        <w:t>岁岁添金</w:t>
      </w:r>
      <w:r w:rsidR="00471C91" w:rsidRPr="00471C91">
        <w:rPr>
          <w:rFonts w:asciiTheme="minorEastAsia" w:hAnsiTheme="minorEastAsia" w:hint="eastAsia"/>
          <w:szCs w:val="21"/>
        </w:rPr>
        <w:t>份额的份额数按照比例相应增减。</w:t>
      </w:r>
    </w:p>
    <w:p w:rsidR="00471C91" w:rsidRPr="00471C91" w:rsidRDefault="0056224D" w:rsidP="00471C91">
      <w:pPr>
        <w:spacing w:line="360" w:lineRule="auto"/>
        <w:ind w:firstLineChars="200" w:firstLine="420"/>
        <w:rPr>
          <w:szCs w:val="21"/>
        </w:rPr>
      </w:pPr>
      <w:r w:rsidRPr="0056224D">
        <w:rPr>
          <w:rFonts w:hint="eastAsia"/>
          <w:szCs w:val="21"/>
        </w:rPr>
        <w:t>（</w:t>
      </w:r>
      <w:r w:rsidRPr="0056224D">
        <w:rPr>
          <w:rFonts w:hint="eastAsia"/>
          <w:szCs w:val="21"/>
        </w:rPr>
        <w:t>1</w:t>
      </w:r>
      <w:r w:rsidRPr="0056224D">
        <w:rPr>
          <w:rFonts w:hint="eastAsia"/>
          <w:szCs w:val="21"/>
        </w:rPr>
        <w:t>）</w:t>
      </w:r>
      <w:r w:rsidR="00312E0B" w:rsidRPr="0056224D">
        <w:rPr>
          <w:rFonts w:hint="eastAsia"/>
          <w:szCs w:val="21"/>
        </w:rPr>
        <w:t>季季添金</w:t>
      </w:r>
      <w:r w:rsidR="004D4694" w:rsidRPr="0056224D">
        <w:rPr>
          <w:rFonts w:hint="eastAsia"/>
          <w:szCs w:val="21"/>
        </w:rPr>
        <w:t>份额的基金份额</w:t>
      </w:r>
      <w:r w:rsidRPr="0056224D">
        <w:rPr>
          <w:rFonts w:hint="eastAsia"/>
          <w:szCs w:val="21"/>
        </w:rPr>
        <w:t>转换</w:t>
      </w:r>
      <w:r w:rsidR="00471C91" w:rsidRPr="00471C91">
        <w:rPr>
          <w:rFonts w:hint="eastAsia"/>
          <w:szCs w:val="21"/>
        </w:rPr>
        <w:t>公式如下：</w:t>
      </w:r>
    </w:p>
    <w:p w:rsidR="00471C91" w:rsidRPr="00471C91" w:rsidRDefault="00312E0B" w:rsidP="00471C91">
      <w:pPr>
        <w:spacing w:line="360" w:lineRule="auto"/>
        <w:ind w:firstLineChars="200" w:firstLine="420"/>
        <w:rPr>
          <w:szCs w:val="21"/>
        </w:rPr>
      </w:pPr>
      <w:r w:rsidRPr="0056224D">
        <w:rPr>
          <w:rFonts w:hint="eastAsia"/>
          <w:szCs w:val="21"/>
        </w:rPr>
        <w:t>季季添金</w:t>
      </w:r>
      <w:r w:rsidR="00471C91" w:rsidRPr="00471C91">
        <w:rPr>
          <w:rFonts w:hint="eastAsia"/>
          <w:szCs w:val="21"/>
        </w:rPr>
        <w:t>份额的</w:t>
      </w:r>
      <w:r w:rsidR="0056224D" w:rsidRPr="0056224D">
        <w:rPr>
          <w:rFonts w:hint="eastAsia"/>
          <w:szCs w:val="21"/>
        </w:rPr>
        <w:t>转换</w:t>
      </w:r>
      <w:r w:rsidR="00471C91" w:rsidRPr="00471C91">
        <w:rPr>
          <w:rFonts w:hint="eastAsia"/>
          <w:szCs w:val="21"/>
        </w:rPr>
        <w:t>比例＝基金份额</w:t>
      </w:r>
      <w:r w:rsidR="0056224D" w:rsidRPr="0056224D">
        <w:rPr>
          <w:rFonts w:hint="eastAsia"/>
          <w:szCs w:val="21"/>
        </w:rPr>
        <w:t>转换</w:t>
      </w:r>
      <w:r w:rsidR="00471C91" w:rsidRPr="00471C91">
        <w:rPr>
          <w:rFonts w:hint="eastAsia"/>
          <w:szCs w:val="21"/>
        </w:rPr>
        <w:t>基准日</w:t>
      </w:r>
      <w:r w:rsidR="0056224D" w:rsidRPr="0056224D">
        <w:rPr>
          <w:rFonts w:hint="eastAsia"/>
          <w:szCs w:val="21"/>
        </w:rPr>
        <w:t>转换</w:t>
      </w:r>
      <w:r w:rsidR="00471C91" w:rsidRPr="00471C91">
        <w:rPr>
          <w:rFonts w:hint="eastAsia"/>
          <w:szCs w:val="21"/>
        </w:rPr>
        <w:t>前</w:t>
      </w:r>
      <w:r w:rsidR="0056224D" w:rsidRPr="0056224D">
        <w:rPr>
          <w:rFonts w:hint="eastAsia"/>
          <w:szCs w:val="21"/>
        </w:rPr>
        <w:t>季季添金</w:t>
      </w:r>
      <w:r w:rsidR="00471C91" w:rsidRPr="00471C91">
        <w:rPr>
          <w:rFonts w:hint="eastAsia"/>
          <w:szCs w:val="21"/>
        </w:rPr>
        <w:t>份额的基金份额净值</w:t>
      </w:r>
      <w:r w:rsidR="00471C91" w:rsidRPr="00471C91">
        <w:rPr>
          <w:szCs w:val="21"/>
        </w:rPr>
        <w:t>/1.0000</w:t>
      </w:r>
    </w:p>
    <w:p w:rsidR="0056224D" w:rsidRPr="0056224D" w:rsidRDefault="0056224D" w:rsidP="0056224D">
      <w:pPr>
        <w:spacing w:line="360" w:lineRule="auto"/>
        <w:ind w:firstLineChars="200" w:firstLine="420"/>
        <w:rPr>
          <w:szCs w:val="21"/>
        </w:rPr>
      </w:pPr>
      <w:r w:rsidRPr="0056224D">
        <w:rPr>
          <w:rFonts w:hint="eastAsia"/>
          <w:szCs w:val="21"/>
        </w:rPr>
        <w:t>季季添金</w:t>
      </w:r>
      <w:r w:rsidRPr="0056224D">
        <w:rPr>
          <w:szCs w:val="21"/>
        </w:rPr>
        <w:t>份额经</w:t>
      </w:r>
      <w:r w:rsidRPr="0056224D">
        <w:rPr>
          <w:rFonts w:hint="eastAsia"/>
          <w:szCs w:val="21"/>
        </w:rPr>
        <w:t>转换</w:t>
      </w:r>
      <w:r w:rsidRPr="0056224D">
        <w:rPr>
          <w:szCs w:val="21"/>
        </w:rPr>
        <w:t>后的份额数＝</w:t>
      </w:r>
      <w:r>
        <w:rPr>
          <w:rFonts w:hint="eastAsia"/>
          <w:szCs w:val="21"/>
        </w:rPr>
        <w:t>转换</w:t>
      </w:r>
      <w:r w:rsidRPr="0056224D">
        <w:rPr>
          <w:szCs w:val="21"/>
        </w:rPr>
        <w:t>前</w:t>
      </w:r>
      <w:r w:rsidRPr="0056224D">
        <w:rPr>
          <w:rFonts w:hint="eastAsia"/>
          <w:szCs w:val="21"/>
        </w:rPr>
        <w:t>季季添金</w:t>
      </w:r>
      <w:r w:rsidRPr="0056224D">
        <w:rPr>
          <w:szCs w:val="21"/>
        </w:rPr>
        <w:t>份额的份额数</w:t>
      </w:r>
      <w:r w:rsidRPr="0056224D">
        <w:rPr>
          <w:szCs w:val="21"/>
        </w:rPr>
        <w:t>×</w:t>
      </w:r>
      <w:r w:rsidRPr="0056224D">
        <w:rPr>
          <w:rFonts w:hint="eastAsia"/>
          <w:szCs w:val="21"/>
        </w:rPr>
        <w:t>季季添金</w:t>
      </w:r>
      <w:r w:rsidRPr="0056224D">
        <w:rPr>
          <w:szCs w:val="21"/>
        </w:rPr>
        <w:t>份额的</w:t>
      </w:r>
      <w:r w:rsidRPr="0056224D">
        <w:rPr>
          <w:rFonts w:hint="eastAsia"/>
          <w:szCs w:val="21"/>
        </w:rPr>
        <w:t>转换</w:t>
      </w:r>
      <w:r w:rsidRPr="0056224D">
        <w:rPr>
          <w:szCs w:val="21"/>
        </w:rPr>
        <w:t>比例</w:t>
      </w:r>
    </w:p>
    <w:p w:rsidR="0056224D" w:rsidRPr="0056224D" w:rsidRDefault="0056224D" w:rsidP="0056224D">
      <w:pPr>
        <w:spacing w:line="360" w:lineRule="auto"/>
        <w:ind w:firstLineChars="200" w:firstLine="420"/>
        <w:rPr>
          <w:szCs w:val="21"/>
        </w:rPr>
      </w:pPr>
      <w:r>
        <w:rPr>
          <w:rFonts w:asciiTheme="minorEastAsia" w:hAnsiTheme="minorEastAsia" w:hint="eastAsia"/>
          <w:szCs w:val="21"/>
        </w:rPr>
        <w:t>（2）</w:t>
      </w:r>
      <w:r w:rsidRPr="009B6D10">
        <w:rPr>
          <w:rFonts w:asciiTheme="minorEastAsia" w:hAnsiTheme="minorEastAsia" w:hint="eastAsia"/>
          <w:szCs w:val="21"/>
        </w:rPr>
        <w:t>岁岁添金</w:t>
      </w:r>
      <w:r w:rsidRPr="0056224D">
        <w:rPr>
          <w:szCs w:val="21"/>
        </w:rPr>
        <w:t>份额的基金份额</w:t>
      </w:r>
      <w:r>
        <w:rPr>
          <w:rFonts w:hint="eastAsia"/>
          <w:szCs w:val="21"/>
        </w:rPr>
        <w:t>转换</w:t>
      </w:r>
      <w:r w:rsidRPr="0056224D">
        <w:rPr>
          <w:szCs w:val="21"/>
        </w:rPr>
        <w:t>公式如下：</w:t>
      </w:r>
    </w:p>
    <w:p w:rsidR="0056224D" w:rsidRPr="0056224D" w:rsidRDefault="0056224D" w:rsidP="0056224D">
      <w:pPr>
        <w:spacing w:line="360" w:lineRule="auto"/>
        <w:ind w:firstLineChars="200" w:firstLine="420"/>
        <w:rPr>
          <w:szCs w:val="21"/>
        </w:rPr>
      </w:pPr>
      <w:r w:rsidRPr="009B6D10">
        <w:rPr>
          <w:rFonts w:asciiTheme="minorEastAsia" w:hAnsiTheme="minorEastAsia" w:hint="eastAsia"/>
          <w:szCs w:val="21"/>
        </w:rPr>
        <w:t>岁岁添金</w:t>
      </w:r>
      <w:r w:rsidRPr="0056224D">
        <w:rPr>
          <w:szCs w:val="21"/>
        </w:rPr>
        <w:t>份额的</w:t>
      </w:r>
      <w:r>
        <w:rPr>
          <w:rFonts w:hint="eastAsia"/>
          <w:szCs w:val="21"/>
        </w:rPr>
        <w:t>转换</w:t>
      </w:r>
      <w:r w:rsidRPr="0056224D">
        <w:rPr>
          <w:szCs w:val="21"/>
        </w:rPr>
        <w:t>比例＝基金份额</w:t>
      </w:r>
      <w:r>
        <w:rPr>
          <w:rFonts w:hint="eastAsia"/>
          <w:szCs w:val="21"/>
        </w:rPr>
        <w:t>转换</w:t>
      </w:r>
      <w:r w:rsidRPr="0056224D">
        <w:rPr>
          <w:szCs w:val="21"/>
        </w:rPr>
        <w:t>基准日</w:t>
      </w:r>
      <w:r w:rsidR="004E1747">
        <w:rPr>
          <w:rFonts w:hint="eastAsia"/>
          <w:kern w:val="0"/>
          <w:szCs w:val="21"/>
        </w:rPr>
        <w:t>转换</w:t>
      </w:r>
      <w:r w:rsidRPr="0056224D">
        <w:rPr>
          <w:szCs w:val="21"/>
        </w:rPr>
        <w:t>前</w:t>
      </w:r>
      <w:r w:rsidRPr="009B6D10">
        <w:rPr>
          <w:rFonts w:asciiTheme="minorEastAsia" w:hAnsiTheme="minorEastAsia" w:hint="eastAsia"/>
          <w:szCs w:val="21"/>
        </w:rPr>
        <w:t>岁岁添金</w:t>
      </w:r>
      <w:r w:rsidRPr="0056224D">
        <w:rPr>
          <w:szCs w:val="21"/>
        </w:rPr>
        <w:t>份额的基金份额净值</w:t>
      </w:r>
      <w:r w:rsidRPr="0056224D">
        <w:rPr>
          <w:szCs w:val="21"/>
        </w:rPr>
        <w:t>/1.0000</w:t>
      </w:r>
    </w:p>
    <w:p w:rsidR="0056224D" w:rsidRPr="0056224D" w:rsidRDefault="0056224D" w:rsidP="0056224D">
      <w:pPr>
        <w:spacing w:line="360" w:lineRule="auto"/>
        <w:ind w:firstLineChars="200" w:firstLine="420"/>
        <w:rPr>
          <w:szCs w:val="21"/>
        </w:rPr>
      </w:pPr>
      <w:r w:rsidRPr="009B6D10">
        <w:rPr>
          <w:rFonts w:asciiTheme="minorEastAsia" w:hAnsiTheme="minorEastAsia" w:hint="eastAsia"/>
          <w:szCs w:val="21"/>
        </w:rPr>
        <w:t>岁岁添金</w:t>
      </w:r>
      <w:r w:rsidRPr="0056224D">
        <w:rPr>
          <w:szCs w:val="21"/>
        </w:rPr>
        <w:t>份额经</w:t>
      </w:r>
      <w:r>
        <w:rPr>
          <w:rFonts w:hint="eastAsia"/>
          <w:szCs w:val="21"/>
        </w:rPr>
        <w:t>转换</w:t>
      </w:r>
      <w:r w:rsidRPr="0056224D">
        <w:rPr>
          <w:szCs w:val="21"/>
        </w:rPr>
        <w:t>后的份额数＝</w:t>
      </w:r>
      <w:r>
        <w:rPr>
          <w:rFonts w:hint="eastAsia"/>
          <w:szCs w:val="21"/>
        </w:rPr>
        <w:t>转换</w:t>
      </w:r>
      <w:r w:rsidRPr="0056224D">
        <w:rPr>
          <w:szCs w:val="21"/>
        </w:rPr>
        <w:t>前</w:t>
      </w:r>
      <w:r w:rsidRPr="009B6D10">
        <w:rPr>
          <w:rFonts w:asciiTheme="minorEastAsia" w:hAnsiTheme="minorEastAsia" w:hint="eastAsia"/>
          <w:szCs w:val="21"/>
        </w:rPr>
        <w:t>岁岁添金</w:t>
      </w:r>
      <w:r w:rsidRPr="0056224D">
        <w:rPr>
          <w:szCs w:val="21"/>
        </w:rPr>
        <w:t>份额的份额数</w:t>
      </w:r>
      <w:r w:rsidRPr="0056224D">
        <w:rPr>
          <w:szCs w:val="21"/>
        </w:rPr>
        <w:t>×</w:t>
      </w:r>
      <w:r w:rsidRPr="009B6D10">
        <w:rPr>
          <w:rFonts w:asciiTheme="minorEastAsia" w:hAnsiTheme="minorEastAsia" w:hint="eastAsia"/>
          <w:szCs w:val="21"/>
        </w:rPr>
        <w:t>岁岁添金</w:t>
      </w:r>
      <w:r w:rsidRPr="0056224D">
        <w:rPr>
          <w:szCs w:val="21"/>
        </w:rPr>
        <w:t>份额的</w:t>
      </w:r>
      <w:r>
        <w:rPr>
          <w:rFonts w:hint="eastAsia"/>
          <w:szCs w:val="21"/>
        </w:rPr>
        <w:t>转换</w:t>
      </w:r>
      <w:r w:rsidRPr="0056224D">
        <w:rPr>
          <w:szCs w:val="21"/>
        </w:rPr>
        <w:t>比例</w:t>
      </w:r>
    </w:p>
    <w:p w:rsidR="0056224D" w:rsidRPr="0056224D" w:rsidRDefault="0056224D" w:rsidP="0056224D">
      <w:pPr>
        <w:spacing w:line="360" w:lineRule="auto"/>
        <w:ind w:firstLineChars="200" w:firstLine="420"/>
        <w:rPr>
          <w:szCs w:val="21"/>
        </w:rPr>
      </w:pPr>
      <w:r w:rsidRPr="0056224D">
        <w:rPr>
          <w:rFonts w:hint="eastAsia"/>
          <w:szCs w:val="21"/>
        </w:rPr>
        <w:t>季季添金</w:t>
      </w:r>
      <w:r w:rsidRPr="0056224D">
        <w:rPr>
          <w:szCs w:val="21"/>
        </w:rPr>
        <w:t>、</w:t>
      </w:r>
      <w:r w:rsidRPr="009B6D10">
        <w:rPr>
          <w:rFonts w:asciiTheme="minorEastAsia" w:hAnsiTheme="minorEastAsia" w:hint="eastAsia"/>
          <w:szCs w:val="21"/>
        </w:rPr>
        <w:t>岁岁添金</w:t>
      </w:r>
      <w:r w:rsidRPr="0056224D">
        <w:rPr>
          <w:szCs w:val="21"/>
        </w:rPr>
        <w:t>份额经</w:t>
      </w:r>
      <w:r>
        <w:rPr>
          <w:rFonts w:hint="eastAsia"/>
          <w:szCs w:val="21"/>
        </w:rPr>
        <w:t>转换</w:t>
      </w:r>
      <w:r w:rsidRPr="0056224D">
        <w:rPr>
          <w:szCs w:val="21"/>
        </w:rPr>
        <w:t>后的份额数采用四舍五入的方式保留到小数点后两位，由此产生的误差计入基金财产。</w:t>
      </w:r>
    </w:p>
    <w:p w:rsidR="0056224D" w:rsidRPr="0056224D" w:rsidRDefault="0056224D" w:rsidP="0056224D">
      <w:pPr>
        <w:spacing w:line="360" w:lineRule="auto"/>
        <w:ind w:firstLineChars="200" w:firstLine="420"/>
        <w:rPr>
          <w:szCs w:val="21"/>
        </w:rPr>
      </w:pPr>
      <w:r w:rsidRPr="00A90181">
        <w:rPr>
          <w:rFonts w:asciiTheme="minorEastAsia" w:hAnsiTheme="minorEastAsia" w:cs="Times New Roman"/>
          <w:kern w:val="0"/>
          <w:szCs w:val="21"/>
        </w:rPr>
        <w:t>在本基金</w:t>
      </w:r>
      <w:r w:rsidRPr="00A90181">
        <w:rPr>
          <w:rFonts w:asciiTheme="minorEastAsia" w:hAnsiTheme="minorEastAsia" w:cs="Times New Roman" w:hint="eastAsia"/>
          <w:kern w:val="0"/>
          <w:szCs w:val="21"/>
        </w:rPr>
        <w:t>完成</w:t>
      </w:r>
      <w:r>
        <w:rPr>
          <w:rFonts w:asciiTheme="minorEastAsia" w:hAnsiTheme="minorEastAsia" w:cs="Times New Roman" w:hint="eastAsia"/>
          <w:kern w:val="0"/>
          <w:szCs w:val="21"/>
        </w:rPr>
        <w:t>份额</w:t>
      </w:r>
      <w:r w:rsidR="007E3C26">
        <w:rPr>
          <w:rFonts w:asciiTheme="minorEastAsia" w:hAnsiTheme="minorEastAsia" w:cs="Times New Roman" w:hint="eastAsia"/>
          <w:kern w:val="0"/>
          <w:szCs w:val="21"/>
        </w:rPr>
        <w:t>转换</w:t>
      </w:r>
      <w:r w:rsidRPr="00A90181">
        <w:rPr>
          <w:rFonts w:asciiTheme="minorEastAsia" w:hAnsiTheme="minorEastAsia" w:cs="Times New Roman"/>
          <w:kern w:val="0"/>
          <w:szCs w:val="21"/>
        </w:rPr>
        <w:t>后，投资者可通过销售机构查询</w:t>
      </w:r>
      <w:r w:rsidR="007E3C26">
        <w:rPr>
          <w:rFonts w:asciiTheme="minorEastAsia" w:hAnsiTheme="minorEastAsia" w:cs="Times New Roman" w:hint="eastAsia"/>
          <w:kern w:val="0"/>
          <w:szCs w:val="21"/>
        </w:rPr>
        <w:t>份额转换</w:t>
      </w:r>
      <w:r w:rsidRPr="00A90181">
        <w:rPr>
          <w:rFonts w:asciiTheme="minorEastAsia" w:hAnsiTheme="minorEastAsia" w:cs="Times New Roman"/>
          <w:kern w:val="0"/>
          <w:szCs w:val="21"/>
        </w:rPr>
        <w:t>后持有的</w:t>
      </w:r>
      <w:r w:rsidR="004E1747">
        <w:rPr>
          <w:rFonts w:asciiTheme="minorEastAsia" w:hAnsiTheme="minorEastAsia" w:cs="Times New Roman" w:hint="eastAsia"/>
          <w:kern w:val="0"/>
          <w:szCs w:val="21"/>
        </w:rPr>
        <w:t>信诚至远灵活配置混合型证券投资基金的A类</w:t>
      </w:r>
      <w:r w:rsidRPr="00A90181">
        <w:rPr>
          <w:rFonts w:asciiTheme="minorEastAsia" w:hAnsiTheme="minorEastAsia" w:cs="Times New Roman"/>
          <w:kern w:val="0"/>
          <w:szCs w:val="21"/>
        </w:rPr>
        <w:t>基金份额</w:t>
      </w:r>
      <w:r>
        <w:rPr>
          <w:rFonts w:asciiTheme="minorEastAsia" w:hAnsiTheme="minorEastAsia" w:cs="Times New Roman" w:hint="eastAsia"/>
          <w:kern w:val="0"/>
          <w:szCs w:val="21"/>
        </w:rPr>
        <w:t>。</w:t>
      </w:r>
      <w:r w:rsidRPr="00973807">
        <w:rPr>
          <w:rFonts w:asciiTheme="minorEastAsia" w:hAnsiTheme="minorEastAsia" w:cs="Times New Roman"/>
          <w:szCs w:val="21"/>
        </w:rPr>
        <w:t>基金份额</w:t>
      </w:r>
      <w:r>
        <w:rPr>
          <w:rFonts w:asciiTheme="minorEastAsia" w:hAnsiTheme="minorEastAsia" w:cs="Times New Roman" w:hint="eastAsia"/>
          <w:szCs w:val="21"/>
        </w:rPr>
        <w:t>转换</w:t>
      </w:r>
      <w:r w:rsidRPr="00973807">
        <w:rPr>
          <w:rFonts w:asciiTheme="minorEastAsia" w:hAnsiTheme="minorEastAsia" w:cs="Times New Roman"/>
          <w:szCs w:val="21"/>
        </w:rPr>
        <w:t>结果</w:t>
      </w:r>
      <w:r>
        <w:rPr>
          <w:rFonts w:hint="eastAsia"/>
          <w:szCs w:val="21"/>
        </w:rPr>
        <w:t>详</w:t>
      </w:r>
      <w:r w:rsidRPr="0056224D">
        <w:rPr>
          <w:szCs w:val="21"/>
        </w:rPr>
        <w:t>见基金管理人届时发布的相关公告。</w:t>
      </w:r>
    </w:p>
    <w:p w:rsidR="0013533A" w:rsidRPr="00471C91" w:rsidRDefault="0056224D" w:rsidP="00471C91">
      <w:pPr>
        <w:spacing w:line="360" w:lineRule="auto"/>
        <w:ind w:firstLineChars="200" w:firstLine="420"/>
        <w:rPr>
          <w:rFonts w:asciiTheme="minorEastAsia" w:hAnsiTheme="minorEastAsia"/>
          <w:szCs w:val="21"/>
        </w:rPr>
      </w:pPr>
      <w:r>
        <w:rPr>
          <w:szCs w:val="21"/>
        </w:rPr>
        <w:t>除保留位数因素影响外，基金份额的折算对</w:t>
      </w:r>
      <w:r w:rsidRPr="0056224D">
        <w:rPr>
          <w:rFonts w:hint="eastAsia"/>
          <w:szCs w:val="21"/>
        </w:rPr>
        <w:t>季季添金</w:t>
      </w:r>
      <w:r w:rsidRPr="0056224D">
        <w:rPr>
          <w:szCs w:val="21"/>
        </w:rPr>
        <w:t>、</w:t>
      </w:r>
      <w:r w:rsidRPr="009B6D10">
        <w:rPr>
          <w:rFonts w:asciiTheme="minorEastAsia" w:hAnsiTheme="minorEastAsia" w:hint="eastAsia"/>
          <w:szCs w:val="21"/>
        </w:rPr>
        <w:t>岁岁添金</w:t>
      </w:r>
      <w:r>
        <w:rPr>
          <w:szCs w:val="21"/>
        </w:rPr>
        <w:t>份额基金份额持有人的权益无实质性影响。</w:t>
      </w:r>
    </w:p>
    <w:p w:rsidR="00471C91" w:rsidRPr="0013533A" w:rsidRDefault="00471C91" w:rsidP="00973807">
      <w:pPr>
        <w:adjustRightInd w:val="0"/>
        <w:snapToGrid w:val="0"/>
        <w:spacing w:line="360" w:lineRule="auto"/>
        <w:ind w:firstLineChars="200" w:firstLine="420"/>
        <w:rPr>
          <w:rFonts w:asciiTheme="minorEastAsia" w:hAnsiTheme="minorEastAsia" w:cs="Times New Roman"/>
          <w:szCs w:val="21"/>
        </w:rPr>
      </w:pPr>
    </w:p>
    <w:p w:rsidR="00676704" w:rsidRDefault="004737D2" w:rsidP="00973807">
      <w:pPr>
        <w:adjustRightInd w:val="0"/>
        <w:snapToGrid w:val="0"/>
        <w:spacing w:line="360" w:lineRule="auto"/>
        <w:ind w:firstLineChars="200" w:firstLine="420"/>
        <w:rPr>
          <w:rFonts w:asciiTheme="minorEastAsia" w:hAnsiTheme="minorEastAsia" w:cs="Times New Roman"/>
          <w:szCs w:val="21"/>
        </w:rPr>
      </w:pPr>
      <w:r w:rsidRPr="009B6D10">
        <w:rPr>
          <w:rFonts w:asciiTheme="minorEastAsia" w:hAnsiTheme="minorEastAsia" w:cs="Times New Roman"/>
          <w:szCs w:val="21"/>
        </w:rPr>
        <w:t>转型</w:t>
      </w:r>
      <w:r w:rsidR="00E057F1" w:rsidRPr="009B6D10">
        <w:rPr>
          <w:rFonts w:asciiTheme="minorEastAsia" w:hAnsiTheme="minorEastAsia" w:cs="Times New Roman" w:hint="eastAsia"/>
          <w:szCs w:val="21"/>
        </w:rPr>
        <w:t>后的</w:t>
      </w:r>
      <w:r w:rsidRPr="009B6D10">
        <w:rPr>
          <w:rFonts w:asciiTheme="minorEastAsia" w:hAnsiTheme="minorEastAsia" w:cs="Times New Roman" w:hint="eastAsia"/>
          <w:szCs w:val="21"/>
        </w:rPr>
        <w:t>信诚至远灵活配置混合型证券投资基金根据申购费、销售服务费等费率收费差异，将基金份额分为不同的类别，分别设置代码、分别计算和公告基金份额净值和基金份额累计净值。信诚至远灵活配置混合型证券投资基金</w:t>
      </w:r>
      <w:r w:rsidRPr="009B6D10">
        <w:rPr>
          <w:rFonts w:asciiTheme="minorEastAsia" w:hAnsiTheme="minorEastAsia" w:cs="Times New Roman"/>
          <w:szCs w:val="21"/>
        </w:rPr>
        <w:t>的基金份额类别包括A类和C类</w:t>
      </w:r>
      <w:r w:rsidR="00E057F1" w:rsidRPr="00557640">
        <w:rPr>
          <w:rFonts w:asciiTheme="minorEastAsia" w:hAnsiTheme="minorEastAsia" w:cs="Times New Roman" w:hint="eastAsia"/>
          <w:szCs w:val="21"/>
        </w:rPr>
        <w:t>（</w:t>
      </w:r>
      <w:r w:rsidR="00F60C75" w:rsidRPr="00557640">
        <w:rPr>
          <w:rFonts w:asciiTheme="minorEastAsia" w:hAnsiTheme="minorEastAsia" w:cs="Times New Roman" w:hint="eastAsia"/>
          <w:szCs w:val="21"/>
        </w:rPr>
        <w:t>基金简称“信诚至远”，</w:t>
      </w:r>
      <w:r w:rsidR="00E057F1" w:rsidRPr="00557640">
        <w:rPr>
          <w:rFonts w:asciiTheme="minorEastAsia" w:hAnsiTheme="minorEastAsia" w:cs="Times New Roman" w:hint="eastAsia"/>
          <w:szCs w:val="21"/>
        </w:rPr>
        <w:t>基金代码：A类：</w:t>
      </w:r>
      <w:r w:rsidR="00557640" w:rsidRPr="00557640">
        <w:rPr>
          <w:rFonts w:asciiTheme="minorEastAsia" w:hAnsiTheme="minorEastAsia" w:cs="Times New Roman" w:hint="eastAsia"/>
          <w:szCs w:val="21"/>
        </w:rPr>
        <w:t>550015</w:t>
      </w:r>
      <w:r w:rsidR="00E057F1" w:rsidRPr="00557640">
        <w:rPr>
          <w:rFonts w:asciiTheme="minorEastAsia" w:hAnsiTheme="minorEastAsia" w:cs="Times New Roman" w:hint="eastAsia"/>
          <w:szCs w:val="21"/>
        </w:rPr>
        <w:t>，</w:t>
      </w:r>
      <w:r w:rsidR="00F60C75" w:rsidRPr="00557640">
        <w:rPr>
          <w:rFonts w:asciiTheme="minorEastAsia" w:hAnsiTheme="minorEastAsia" w:cs="Times New Roman" w:hint="eastAsia"/>
          <w:szCs w:val="21"/>
        </w:rPr>
        <w:t>C</w:t>
      </w:r>
      <w:r w:rsidR="00E057F1" w:rsidRPr="00557640">
        <w:rPr>
          <w:rFonts w:asciiTheme="minorEastAsia" w:hAnsiTheme="minorEastAsia" w:cs="Times New Roman" w:hint="eastAsia"/>
          <w:szCs w:val="21"/>
        </w:rPr>
        <w:t>类：</w:t>
      </w:r>
      <w:r w:rsidR="00557640" w:rsidRPr="00557640">
        <w:rPr>
          <w:rFonts w:asciiTheme="minorEastAsia" w:hAnsiTheme="minorEastAsia" w:cs="Times New Roman" w:hint="eastAsia"/>
          <w:szCs w:val="21"/>
        </w:rPr>
        <w:t>550016</w:t>
      </w:r>
      <w:r w:rsidR="00E057F1" w:rsidRPr="00557640">
        <w:rPr>
          <w:rFonts w:asciiTheme="minorEastAsia" w:hAnsiTheme="minorEastAsia" w:cs="Times New Roman" w:hint="eastAsia"/>
          <w:szCs w:val="21"/>
        </w:rPr>
        <w:t>）</w:t>
      </w:r>
      <w:r w:rsidRPr="009B6D10">
        <w:rPr>
          <w:rFonts w:asciiTheme="minorEastAsia" w:hAnsiTheme="minorEastAsia" w:cs="Times New Roman"/>
          <w:szCs w:val="21"/>
        </w:rPr>
        <w:t>。</w:t>
      </w:r>
    </w:p>
    <w:p w:rsidR="00973807" w:rsidRDefault="00973807" w:rsidP="00973807">
      <w:pPr>
        <w:adjustRightInd w:val="0"/>
        <w:snapToGrid w:val="0"/>
        <w:spacing w:line="360" w:lineRule="auto"/>
        <w:ind w:firstLineChars="200" w:firstLine="420"/>
        <w:rPr>
          <w:rFonts w:asciiTheme="minorEastAsia" w:hAnsiTheme="minorEastAsia" w:cs="Times New Roman"/>
          <w:szCs w:val="21"/>
        </w:rPr>
      </w:pPr>
    </w:p>
    <w:p w:rsidR="00973807" w:rsidRPr="00973807" w:rsidRDefault="00E2678A" w:rsidP="00973807">
      <w:pPr>
        <w:widowControl/>
        <w:numPr>
          <w:ilvl w:val="0"/>
          <w:numId w:val="2"/>
        </w:numPr>
        <w:spacing w:before="100" w:beforeAutospacing="1" w:after="100" w:afterAutospacing="1" w:line="360" w:lineRule="auto"/>
        <w:ind w:left="0"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基金</w:t>
      </w:r>
      <w:r w:rsidR="00973807" w:rsidRPr="00973807">
        <w:rPr>
          <w:rFonts w:ascii="Times New Roman" w:eastAsia="宋体" w:hAnsi="Times New Roman" w:cs="Times New Roman"/>
          <w:b/>
          <w:bCs/>
          <w:kern w:val="0"/>
          <w:sz w:val="24"/>
          <w:szCs w:val="24"/>
        </w:rPr>
        <w:t>转型后申购、赎回等业务安排</w:t>
      </w:r>
    </w:p>
    <w:p w:rsidR="00973807" w:rsidRDefault="00973807" w:rsidP="00973807">
      <w:pPr>
        <w:adjustRightInd w:val="0"/>
        <w:snapToGrid w:val="0"/>
        <w:spacing w:line="360" w:lineRule="auto"/>
        <w:ind w:firstLineChars="200" w:firstLine="420"/>
        <w:rPr>
          <w:rFonts w:asciiTheme="minorEastAsia" w:hAnsiTheme="minorEastAsia" w:cs="Times New Roman"/>
          <w:szCs w:val="21"/>
        </w:rPr>
      </w:pPr>
      <w:r w:rsidRPr="00973807">
        <w:rPr>
          <w:rFonts w:asciiTheme="minorEastAsia" w:hAnsiTheme="minorEastAsia" w:cs="Times New Roman"/>
          <w:szCs w:val="21"/>
        </w:rPr>
        <w:t>为保护基金份额持有人利益，本基金将自本基金</w:t>
      </w:r>
      <w:r w:rsidR="00832499">
        <w:rPr>
          <w:rFonts w:asciiTheme="minorEastAsia" w:hAnsiTheme="minorEastAsia" w:cs="Times New Roman" w:hint="eastAsia"/>
          <w:szCs w:val="21"/>
        </w:rPr>
        <w:t>份额</w:t>
      </w:r>
      <w:bookmarkStart w:id="0" w:name="_GoBack"/>
      <w:bookmarkEnd w:id="0"/>
      <w:r w:rsidR="00A23868">
        <w:rPr>
          <w:rFonts w:asciiTheme="minorEastAsia" w:hAnsiTheme="minorEastAsia" w:cs="Times New Roman" w:hint="eastAsia"/>
          <w:kern w:val="0"/>
          <w:szCs w:val="21"/>
        </w:rPr>
        <w:t>转换</w:t>
      </w:r>
      <w:r w:rsidRPr="00973807">
        <w:rPr>
          <w:rFonts w:asciiTheme="minorEastAsia" w:hAnsiTheme="minorEastAsia" w:cs="Times New Roman"/>
          <w:szCs w:val="21"/>
        </w:rPr>
        <w:t>基准日（即201</w:t>
      </w:r>
      <w:r w:rsidRPr="00973807">
        <w:rPr>
          <w:rFonts w:asciiTheme="minorEastAsia" w:hAnsiTheme="minorEastAsia" w:cs="Times New Roman" w:hint="eastAsia"/>
          <w:szCs w:val="21"/>
        </w:rPr>
        <w:t>7</w:t>
      </w:r>
      <w:r w:rsidRPr="00973807">
        <w:rPr>
          <w:rFonts w:asciiTheme="minorEastAsia" w:hAnsiTheme="minorEastAsia" w:cs="Times New Roman"/>
          <w:szCs w:val="21"/>
        </w:rPr>
        <w:t>年</w:t>
      </w:r>
      <w:r w:rsidRPr="00973807">
        <w:rPr>
          <w:rFonts w:asciiTheme="minorEastAsia" w:hAnsiTheme="minorEastAsia" w:cs="Times New Roman" w:hint="eastAsia"/>
          <w:szCs w:val="21"/>
        </w:rPr>
        <w:t>8</w:t>
      </w:r>
      <w:r w:rsidRPr="00973807">
        <w:rPr>
          <w:rFonts w:asciiTheme="minorEastAsia" w:hAnsiTheme="minorEastAsia" w:cs="Times New Roman"/>
          <w:szCs w:val="21"/>
        </w:rPr>
        <w:t>月</w:t>
      </w:r>
      <w:r w:rsidRPr="00973807">
        <w:rPr>
          <w:rFonts w:asciiTheme="minorEastAsia" w:hAnsiTheme="minorEastAsia" w:cs="Times New Roman" w:hint="eastAsia"/>
          <w:szCs w:val="21"/>
        </w:rPr>
        <w:t>31</w:t>
      </w:r>
      <w:r w:rsidRPr="00973807">
        <w:rPr>
          <w:rFonts w:asciiTheme="minorEastAsia" w:hAnsiTheme="minorEastAsia" w:cs="Times New Roman"/>
          <w:szCs w:val="21"/>
        </w:rPr>
        <w:lastRenderedPageBreak/>
        <w:t>日）起暂停办理申购、赎回、转换业务</w:t>
      </w:r>
      <w:r w:rsidRPr="00973807">
        <w:rPr>
          <w:rFonts w:asciiTheme="minorEastAsia" w:hAnsiTheme="minorEastAsia" w:cs="Times New Roman" w:hint="eastAsia"/>
          <w:szCs w:val="21"/>
        </w:rPr>
        <w:t>。信诚至远灵活配置混合型证券投资基金在《信诚至远灵活配置混合型证券投资基金基金合同》生效日起不超过3个月开始办理申购、赎回业务，具体业务办理时间基金管理人将在届时的申购/赎回开始公告中规定。</w:t>
      </w:r>
    </w:p>
    <w:p w:rsidR="00973807" w:rsidRPr="00973807" w:rsidRDefault="00973807" w:rsidP="00973807">
      <w:pPr>
        <w:adjustRightInd w:val="0"/>
        <w:snapToGrid w:val="0"/>
        <w:spacing w:line="360" w:lineRule="auto"/>
        <w:ind w:firstLineChars="200" w:firstLine="420"/>
        <w:rPr>
          <w:rFonts w:asciiTheme="minorEastAsia" w:hAnsiTheme="minorEastAsia" w:cs="Times New Roman"/>
          <w:szCs w:val="21"/>
        </w:rPr>
      </w:pPr>
    </w:p>
    <w:p w:rsidR="00FB446F" w:rsidRPr="00973807" w:rsidRDefault="00FB446F" w:rsidP="00973807">
      <w:pPr>
        <w:widowControl/>
        <w:numPr>
          <w:ilvl w:val="0"/>
          <w:numId w:val="2"/>
        </w:numPr>
        <w:spacing w:before="100" w:beforeAutospacing="1" w:after="100" w:afterAutospacing="1" w:line="360" w:lineRule="auto"/>
        <w:ind w:left="0" w:firstLineChars="200" w:firstLine="482"/>
        <w:rPr>
          <w:rFonts w:ascii="Times New Roman" w:eastAsia="宋体" w:hAnsi="Times New Roman" w:cs="Times New Roman"/>
          <w:b/>
          <w:bCs/>
          <w:kern w:val="0"/>
          <w:sz w:val="24"/>
          <w:szCs w:val="24"/>
        </w:rPr>
      </w:pPr>
      <w:r w:rsidRPr="00973807">
        <w:rPr>
          <w:rFonts w:ascii="Times New Roman" w:eastAsia="宋体" w:hAnsi="Times New Roman" w:cs="Times New Roman" w:hint="eastAsia"/>
          <w:b/>
          <w:bCs/>
          <w:kern w:val="0"/>
          <w:sz w:val="24"/>
          <w:szCs w:val="24"/>
        </w:rPr>
        <w:t>关于基金合同等法律文件的修订</w:t>
      </w:r>
    </w:p>
    <w:p w:rsidR="0030105B" w:rsidRDefault="00401089" w:rsidP="00973807">
      <w:pPr>
        <w:adjustRightInd w:val="0"/>
        <w:snapToGrid w:val="0"/>
        <w:spacing w:line="360" w:lineRule="auto"/>
        <w:ind w:firstLineChars="200" w:firstLine="420"/>
        <w:rPr>
          <w:rFonts w:asciiTheme="minorEastAsia" w:hAnsiTheme="minorEastAsia" w:cs="Times New Roman"/>
          <w:szCs w:val="21"/>
        </w:rPr>
      </w:pPr>
      <w:r w:rsidRPr="00FB446F">
        <w:rPr>
          <w:rFonts w:asciiTheme="minorEastAsia" w:hAnsiTheme="minorEastAsia" w:cs="Times New Roman" w:hint="eastAsia"/>
          <w:szCs w:val="21"/>
        </w:rPr>
        <w:t>基金管理人根据基金份额持有人大会决议，</w:t>
      </w:r>
      <w:r w:rsidR="00A23868">
        <w:rPr>
          <w:rFonts w:asciiTheme="minorEastAsia" w:hAnsiTheme="minorEastAsia" w:cs="Times New Roman" w:hint="eastAsia"/>
          <w:kern w:val="0"/>
          <w:szCs w:val="21"/>
        </w:rPr>
        <w:t>将</w:t>
      </w:r>
      <w:r w:rsidRPr="00FB446F">
        <w:rPr>
          <w:rFonts w:asciiTheme="minorEastAsia" w:hAnsiTheme="minorEastAsia" w:cs="Times New Roman" w:hint="eastAsia"/>
          <w:szCs w:val="21"/>
        </w:rPr>
        <w:t>《信诚添金分级债券型证券投资基金基金合同》</w:t>
      </w:r>
      <w:r w:rsidRPr="00973807">
        <w:rPr>
          <w:rFonts w:asciiTheme="minorEastAsia" w:hAnsiTheme="minorEastAsia" w:cs="Times New Roman" w:hint="eastAsia"/>
          <w:szCs w:val="21"/>
        </w:rPr>
        <w:t>、《信诚添金分级债券型证券投资基金托管协议》、《信诚添金分级债券型证券投资基金招募说明书》分别修改为《信诚至远灵活配置混合型证券投资基金基金合同》、《信诚至远灵活配置混合型证券投资基金托管协议》、《信诚至远灵活配置混合型证券投资基金招募说明书》，并经中国证监会证监许可</w:t>
      </w:r>
      <w:r w:rsidRPr="00973807">
        <w:rPr>
          <w:rFonts w:asciiTheme="minorEastAsia" w:hAnsiTheme="minorEastAsia" w:cs="Times New Roman"/>
          <w:szCs w:val="21"/>
        </w:rPr>
        <w:t>[201</w:t>
      </w:r>
      <w:r w:rsidRPr="00973807">
        <w:rPr>
          <w:rFonts w:asciiTheme="minorEastAsia" w:hAnsiTheme="minorEastAsia" w:cs="Times New Roman" w:hint="eastAsia"/>
          <w:szCs w:val="21"/>
        </w:rPr>
        <w:t>7</w:t>
      </w:r>
      <w:r w:rsidRPr="00973807">
        <w:rPr>
          <w:rFonts w:asciiTheme="minorEastAsia" w:hAnsiTheme="minorEastAsia" w:cs="Times New Roman"/>
          <w:szCs w:val="21"/>
        </w:rPr>
        <w:t>]</w:t>
      </w:r>
      <w:r w:rsidRPr="00973807">
        <w:rPr>
          <w:rFonts w:asciiTheme="minorEastAsia" w:hAnsiTheme="minorEastAsia" w:cs="Times New Roman" w:hint="eastAsia"/>
          <w:szCs w:val="21"/>
        </w:rPr>
        <w:t>573号《关于准予信诚添金分级债券型证券投资基金变更注册的批复》准予变更注册。</w:t>
      </w:r>
      <w:r w:rsidR="00EA2E25" w:rsidRPr="009B6D10">
        <w:rPr>
          <w:rFonts w:asciiTheme="minorEastAsia" w:hAnsiTheme="minorEastAsia" w:cs="Times New Roman" w:hint="eastAsia"/>
          <w:szCs w:val="21"/>
        </w:rPr>
        <w:t>自</w:t>
      </w:r>
      <w:r w:rsidR="00EA2E25" w:rsidRPr="009B6D10">
        <w:rPr>
          <w:rFonts w:asciiTheme="minorEastAsia" w:hAnsiTheme="minorEastAsia" w:cs="Times New Roman"/>
          <w:szCs w:val="21"/>
        </w:rPr>
        <w:t>201</w:t>
      </w:r>
      <w:r w:rsidR="00E057F1" w:rsidRPr="009B6D10">
        <w:rPr>
          <w:rFonts w:asciiTheme="minorEastAsia" w:hAnsiTheme="minorEastAsia" w:cs="Times New Roman" w:hint="eastAsia"/>
          <w:szCs w:val="21"/>
        </w:rPr>
        <w:t>7</w:t>
      </w:r>
      <w:r w:rsidR="00EA2E25" w:rsidRPr="009B6D10">
        <w:rPr>
          <w:rFonts w:asciiTheme="minorEastAsia" w:hAnsiTheme="minorEastAsia" w:cs="Times New Roman" w:hint="eastAsia"/>
          <w:szCs w:val="21"/>
        </w:rPr>
        <w:t>年</w:t>
      </w:r>
      <w:r w:rsidR="00EA2E25" w:rsidRPr="009B6D10">
        <w:rPr>
          <w:rFonts w:asciiTheme="minorEastAsia" w:hAnsiTheme="minorEastAsia" w:cs="Times New Roman"/>
          <w:szCs w:val="21"/>
        </w:rPr>
        <w:t>8</w:t>
      </w:r>
      <w:r w:rsidR="00EA2E25" w:rsidRPr="009B6D10">
        <w:rPr>
          <w:rFonts w:asciiTheme="minorEastAsia" w:hAnsiTheme="minorEastAsia" w:cs="Times New Roman" w:hint="eastAsia"/>
          <w:szCs w:val="21"/>
        </w:rPr>
        <w:t>月</w:t>
      </w:r>
      <w:r w:rsidR="00EA2E25" w:rsidRPr="009B6D10">
        <w:rPr>
          <w:rFonts w:asciiTheme="minorEastAsia" w:hAnsiTheme="minorEastAsia" w:cs="Times New Roman"/>
          <w:szCs w:val="21"/>
        </w:rPr>
        <w:t>31</w:t>
      </w:r>
      <w:r w:rsidR="00EA2E25" w:rsidRPr="009B6D10">
        <w:rPr>
          <w:rFonts w:asciiTheme="minorEastAsia" w:hAnsiTheme="minorEastAsia" w:cs="Times New Roman" w:hint="eastAsia"/>
          <w:szCs w:val="21"/>
        </w:rPr>
        <w:t>日起《信诚至远灵活配置混合型证券投资基金基金合同》、《信诚至远灵活配置混合型证券投资基金托管协议》、《信诚至远灵活配置混合型证券投资基金招募说明书》生效，原《信诚添金分级债券型证券投资基金基金合同》、《信诚添金分级债券型证券投资基金托管协议》、《信诚添金分级债券型证券投资基金招募说明书》将自同一日起失效。</w:t>
      </w:r>
      <w:r w:rsidR="0030105B">
        <w:rPr>
          <w:szCs w:val="21"/>
        </w:rPr>
        <w:t>本基金的基金合同当事人将按照《</w:t>
      </w:r>
      <w:r w:rsidR="0030105B" w:rsidRPr="009B6D10">
        <w:rPr>
          <w:rFonts w:asciiTheme="minorEastAsia" w:hAnsiTheme="minorEastAsia" w:cs="Times New Roman" w:hint="eastAsia"/>
          <w:szCs w:val="21"/>
        </w:rPr>
        <w:t>信诚至远灵活配置混合型证券投资基金基金合同</w:t>
      </w:r>
      <w:r w:rsidR="0030105B">
        <w:rPr>
          <w:szCs w:val="21"/>
        </w:rPr>
        <w:t>》享有权利并承担义务。</w:t>
      </w:r>
    </w:p>
    <w:p w:rsidR="009B6D10" w:rsidRPr="00A90181" w:rsidRDefault="00401089" w:rsidP="00973807">
      <w:pPr>
        <w:adjustRightInd w:val="0"/>
        <w:snapToGrid w:val="0"/>
        <w:spacing w:line="360" w:lineRule="auto"/>
        <w:ind w:firstLineChars="200" w:firstLine="420"/>
        <w:rPr>
          <w:rFonts w:asciiTheme="minorEastAsia" w:hAnsiTheme="minorEastAsia" w:cs="Times New Roman"/>
          <w:szCs w:val="21"/>
        </w:rPr>
      </w:pPr>
      <w:r w:rsidRPr="00A90181">
        <w:rPr>
          <w:rFonts w:asciiTheme="minorEastAsia" w:hAnsiTheme="minorEastAsia" w:cs="Times New Roman"/>
          <w:szCs w:val="21"/>
        </w:rPr>
        <w:t>本基金管理人将在网站上公布经修改后的</w:t>
      </w:r>
      <w:r w:rsidRPr="00A90181">
        <w:rPr>
          <w:rFonts w:asciiTheme="minorEastAsia" w:hAnsiTheme="minorEastAsia" w:cs="Times New Roman" w:hint="eastAsia"/>
          <w:szCs w:val="21"/>
        </w:rPr>
        <w:t>上述</w:t>
      </w:r>
      <w:r w:rsidRPr="00A90181">
        <w:rPr>
          <w:rFonts w:asciiTheme="minorEastAsia" w:hAnsiTheme="minorEastAsia" w:cs="Times New Roman"/>
          <w:szCs w:val="21"/>
        </w:rPr>
        <w:t>基金</w:t>
      </w:r>
      <w:r w:rsidRPr="00A90181">
        <w:rPr>
          <w:rFonts w:asciiTheme="minorEastAsia" w:hAnsiTheme="minorEastAsia" w:cs="Times New Roman" w:hint="eastAsia"/>
          <w:szCs w:val="21"/>
        </w:rPr>
        <w:t>的基金合同、托管协议、招募说明书。</w:t>
      </w:r>
      <w:r w:rsidR="009B6D10" w:rsidRPr="00A90181">
        <w:rPr>
          <w:rFonts w:asciiTheme="minorEastAsia" w:hAnsiTheme="minorEastAsia" w:cs="Times New Roman"/>
          <w:szCs w:val="21"/>
        </w:rPr>
        <w:t>敬请投资者详阅</w:t>
      </w:r>
      <w:r w:rsidR="009B6D10" w:rsidRPr="00A90181">
        <w:rPr>
          <w:rFonts w:asciiTheme="minorEastAsia" w:hAnsiTheme="minorEastAsia" w:cs="Times New Roman" w:hint="eastAsia"/>
          <w:szCs w:val="21"/>
        </w:rPr>
        <w:t>信诚至远灵活配置混合型证券投资基金</w:t>
      </w:r>
      <w:r w:rsidR="009B6D10" w:rsidRPr="00A90181">
        <w:rPr>
          <w:rFonts w:asciiTheme="minorEastAsia" w:hAnsiTheme="minorEastAsia" w:cs="Times New Roman"/>
          <w:szCs w:val="21"/>
        </w:rPr>
        <w:t>相关法律文件，妥善做出投资安排。</w:t>
      </w:r>
    </w:p>
    <w:p w:rsidR="00FB446F" w:rsidRDefault="00E538C0" w:rsidP="00973807">
      <w:pPr>
        <w:pStyle w:val="a8"/>
        <w:adjustRightInd w:val="0"/>
        <w:snapToGrid w:val="0"/>
        <w:spacing w:before="0" w:beforeAutospacing="0" w:after="0" w:afterAutospacing="0" w:line="360" w:lineRule="auto"/>
        <w:ind w:firstLineChars="200" w:firstLine="420"/>
        <w:jc w:val="both"/>
        <w:rPr>
          <w:rFonts w:asciiTheme="minorEastAsia" w:eastAsiaTheme="minorEastAsia" w:hAnsiTheme="minorEastAsia" w:cs="Times New Roman"/>
          <w:sz w:val="21"/>
          <w:szCs w:val="21"/>
        </w:rPr>
      </w:pPr>
      <w:r w:rsidRPr="00A90181">
        <w:rPr>
          <w:rFonts w:asciiTheme="minorEastAsia" w:eastAsiaTheme="minorEastAsia" w:hAnsiTheme="minorEastAsia" w:cs="Times New Roman" w:hint="eastAsia"/>
          <w:sz w:val="21"/>
          <w:szCs w:val="21"/>
        </w:rPr>
        <w:t>投资者欲了解详情，请登录本基金管理人网站：</w:t>
      </w:r>
      <w:r w:rsidRPr="00A90181">
        <w:rPr>
          <w:rFonts w:asciiTheme="minorEastAsia" w:eastAsiaTheme="minorEastAsia" w:hAnsiTheme="minorEastAsia" w:cs="Times New Roman"/>
          <w:sz w:val="21"/>
          <w:szCs w:val="21"/>
        </w:rPr>
        <w:t>www.xcfunds.com或拨打客服电话：400-666-0066进行咨询。</w:t>
      </w:r>
    </w:p>
    <w:p w:rsidR="00E538C0" w:rsidRPr="00FB446F" w:rsidRDefault="00E538C0" w:rsidP="00973807">
      <w:pPr>
        <w:pStyle w:val="a8"/>
        <w:adjustRightInd w:val="0"/>
        <w:snapToGrid w:val="0"/>
        <w:spacing w:before="0" w:beforeAutospacing="0" w:after="0" w:afterAutospacing="0" w:line="360" w:lineRule="auto"/>
        <w:ind w:firstLineChars="200" w:firstLine="420"/>
        <w:jc w:val="both"/>
        <w:rPr>
          <w:rFonts w:asciiTheme="minorEastAsia" w:eastAsiaTheme="minorEastAsia" w:hAnsiTheme="minorEastAsia" w:cs="Times New Roman"/>
          <w:sz w:val="21"/>
          <w:szCs w:val="21"/>
        </w:rPr>
      </w:pPr>
    </w:p>
    <w:p w:rsidR="00FB446F" w:rsidRPr="00FB446F" w:rsidRDefault="00FB446F" w:rsidP="00973807">
      <w:pPr>
        <w:pStyle w:val="a8"/>
        <w:adjustRightInd w:val="0"/>
        <w:snapToGrid w:val="0"/>
        <w:spacing w:before="0" w:beforeAutospacing="0" w:after="0" w:afterAutospacing="0" w:line="360" w:lineRule="auto"/>
        <w:ind w:firstLineChars="200" w:firstLine="420"/>
        <w:jc w:val="both"/>
        <w:rPr>
          <w:rFonts w:asciiTheme="minorEastAsia" w:eastAsiaTheme="minorEastAsia" w:hAnsiTheme="minorEastAsia" w:cs="Times New Roman"/>
          <w:sz w:val="21"/>
          <w:szCs w:val="21"/>
        </w:rPr>
      </w:pPr>
      <w:r w:rsidRPr="00FB446F">
        <w:rPr>
          <w:rFonts w:asciiTheme="minorEastAsia" w:eastAsiaTheme="minorEastAsia" w:hAnsiTheme="minorEastAsia" w:cs="Times New Roman" w:hint="eastAsia"/>
          <w:sz w:val="21"/>
          <w:szCs w:val="21"/>
        </w:rPr>
        <w:t>风险提示：</w:t>
      </w:r>
    </w:p>
    <w:p w:rsidR="00FB446F" w:rsidRPr="00FB446F" w:rsidRDefault="00FB446F" w:rsidP="00973807">
      <w:pPr>
        <w:pStyle w:val="a8"/>
        <w:adjustRightInd w:val="0"/>
        <w:snapToGrid w:val="0"/>
        <w:spacing w:before="0" w:beforeAutospacing="0" w:after="0" w:afterAutospacing="0" w:line="360" w:lineRule="auto"/>
        <w:ind w:firstLineChars="200" w:firstLine="420"/>
        <w:jc w:val="both"/>
        <w:rPr>
          <w:rFonts w:asciiTheme="minorEastAsia" w:eastAsiaTheme="minorEastAsia" w:hAnsiTheme="minorEastAsia" w:cs="Times New Roman"/>
          <w:sz w:val="21"/>
          <w:szCs w:val="21"/>
        </w:rPr>
      </w:pPr>
      <w:r w:rsidRPr="00FB446F">
        <w:rPr>
          <w:rFonts w:asciiTheme="minorEastAsia" w:eastAsiaTheme="minorEastAsia" w:hAnsiTheme="minorEastAsia" w:cs="Times New Roman" w:hint="eastAsia"/>
          <w:sz w:val="21"/>
          <w:szCs w:val="21"/>
        </w:rPr>
        <w:t>基金管理人承诺依照诚实信用、勤勉尽职的原则管理和运用基金资产，但不保证基金一定盈利，也不保证最低收益。基金的过往业绩及其净值高低并不预示其未来业绩表现。基金管理人提醒投资者基金投资的</w:t>
      </w:r>
      <w:r w:rsidRPr="00FB446F">
        <w:rPr>
          <w:rFonts w:asciiTheme="minorEastAsia" w:eastAsiaTheme="minorEastAsia" w:hAnsiTheme="minorEastAsia" w:cs="Times New Roman"/>
          <w:sz w:val="21"/>
          <w:szCs w:val="21"/>
        </w:rPr>
        <w:t>“</w:t>
      </w:r>
      <w:r w:rsidRPr="00FB446F">
        <w:rPr>
          <w:rFonts w:asciiTheme="minorEastAsia" w:eastAsiaTheme="minorEastAsia" w:hAnsiTheme="minorEastAsia" w:cs="Times New Roman" w:hint="eastAsia"/>
          <w:sz w:val="21"/>
          <w:szCs w:val="21"/>
        </w:rPr>
        <w:t>买者自负</w:t>
      </w:r>
      <w:r w:rsidRPr="00FB446F">
        <w:rPr>
          <w:rFonts w:asciiTheme="minorEastAsia" w:eastAsiaTheme="minorEastAsia" w:hAnsiTheme="minorEastAsia" w:cs="Times New Roman"/>
          <w:sz w:val="21"/>
          <w:szCs w:val="21"/>
        </w:rPr>
        <w:t>”</w:t>
      </w:r>
      <w:r w:rsidRPr="00FB446F">
        <w:rPr>
          <w:rFonts w:asciiTheme="minorEastAsia" w:eastAsiaTheme="minorEastAsia" w:hAnsiTheme="minorEastAsia" w:cs="Times New Roman" w:hint="eastAsia"/>
          <w:sz w:val="21"/>
          <w:szCs w:val="21"/>
        </w:rPr>
        <w:t>原则，在做出投资决策后，基金运营状况与基金净值变化引致的投资风险，由投资者自行负担。</w:t>
      </w:r>
    </w:p>
    <w:p w:rsidR="00324C2A" w:rsidRPr="00FB446F" w:rsidRDefault="00FB446F" w:rsidP="00973807">
      <w:pPr>
        <w:pStyle w:val="a8"/>
        <w:adjustRightInd w:val="0"/>
        <w:snapToGrid w:val="0"/>
        <w:spacing w:before="0" w:beforeAutospacing="0" w:after="0" w:afterAutospacing="0" w:line="360" w:lineRule="auto"/>
        <w:ind w:firstLineChars="200" w:firstLine="420"/>
        <w:jc w:val="both"/>
        <w:rPr>
          <w:rFonts w:asciiTheme="minorEastAsia" w:eastAsiaTheme="minorEastAsia" w:hAnsiTheme="minorEastAsia" w:cs="Times New Roman"/>
          <w:sz w:val="21"/>
          <w:szCs w:val="21"/>
        </w:rPr>
      </w:pPr>
      <w:r w:rsidRPr="00FB446F">
        <w:rPr>
          <w:rFonts w:asciiTheme="minorEastAsia" w:eastAsiaTheme="minorEastAsia" w:hAnsiTheme="minorEastAsia" w:cs="Times New Roman" w:hint="eastAsia"/>
          <w:sz w:val="21"/>
          <w:szCs w:val="21"/>
        </w:rPr>
        <w:t>投资者投资基金前应认真阅读《信诚添金分级债券型证券投资基金基金合同》、最新的《信诚添金分级债券型证券投资基金招募说明书》等法律文件以及《信诚基金管理有限公司关于以现场方式召开信诚添金分级债券型证券投资基金基金份额持有人大会的公告》</w:t>
      </w:r>
      <w:r w:rsidR="0074599E">
        <w:rPr>
          <w:rFonts w:asciiTheme="minorEastAsia" w:eastAsiaTheme="minorEastAsia" w:hAnsiTheme="minorEastAsia" w:cs="Times New Roman" w:hint="eastAsia"/>
          <w:sz w:val="21"/>
          <w:szCs w:val="21"/>
        </w:rPr>
        <w:t>、</w:t>
      </w:r>
      <w:r w:rsidRPr="00FB446F">
        <w:rPr>
          <w:rFonts w:asciiTheme="minorEastAsia" w:eastAsiaTheme="minorEastAsia" w:hAnsiTheme="minorEastAsia" w:cs="Times New Roman" w:hint="eastAsia"/>
          <w:sz w:val="21"/>
          <w:szCs w:val="21"/>
        </w:rPr>
        <w:t>《信诚基金管理有限公司关于以现场方式二次召开信诚添金分级债券型证券投资基金基金份额持有人大会的公告》、《关于信诚添金分级债券型证券投资基金转型有关事项的议案》、《信诚基金管理有限公司关于信诚添金分级债券型证券投资基金基金份额持有人大会重新表决结果暨决议生效的公告》的相关规定，了解拟投资基金的风险收益特征和转型安排，并根据自身投资目的、投资期限、投资经验、资产状况等判断基金是否和投资者的风险承受能力相匹配。</w:t>
      </w:r>
    </w:p>
    <w:p w:rsidR="00324C2A" w:rsidRPr="00FB446F" w:rsidRDefault="00324C2A" w:rsidP="00973807">
      <w:pPr>
        <w:pStyle w:val="a8"/>
        <w:adjustRightInd w:val="0"/>
        <w:snapToGrid w:val="0"/>
        <w:spacing w:before="0" w:beforeAutospacing="0" w:after="0" w:afterAutospacing="0" w:line="360" w:lineRule="auto"/>
        <w:ind w:firstLineChars="200" w:firstLine="420"/>
        <w:jc w:val="both"/>
        <w:rPr>
          <w:rFonts w:asciiTheme="minorEastAsia" w:eastAsiaTheme="minorEastAsia" w:hAnsiTheme="minorEastAsia" w:cs="Times New Roman"/>
          <w:sz w:val="21"/>
          <w:szCs w:val="21"/>
        </w:rPr>
      </w:pPr>
      <w:r w:rsidRPr="00FB446F">
        <w:rPr>
          <w:rFonts w:asciiTheme="minorEastAsia" w:eastAsiaTheme="minorEastAsia" w:hAnsiTheme="minorEastAsia" w:cs="Times New Roman"/>
          <w:sz w:val="21"/>
          <w:szCs w:val="21"/>
        </w:rPr>
        <w:t>特此公告。</w:t>
      </w:r>
    </w:p>
    <w:p w:rsidR="00324C2A" w:rsidRDefault="00324C2A" w:rsidP="00FB446F">
      <w:pPr>
        <w:pStyle w:val="a8"/>
        <w:adjustRightInd w:val="0"/>
        <w:snapToGrid w:val="0"/>
        <w:spacing w:before="0" w:beforeAutospacing="0" w:after="0" w:afterAutospacing="0" w:line="360" w:lineRule="auto"/>
        <w:ind w:firstLineChars="200" w:firstLine="420"/>
        <w:jc w:val="both"/>
        <w:rPr>
          <w:rFonts w:asciiTheme="minorEastAsia" w:eastAsiaTheme="minorEastAsia" w:hAnsiTheme="minorEastAsia" w:cs="Times New Roman"/>
          <w:sz w:val="21"/>
          <w:szCs w:val="21"/>
        </w:rPr>
      </w:pPr>
      <w:r w:rsidRPr="00FB446F">
        <w:rPr>
          <w:rFonts w:asciiTheme="minorEastAsia" w:eastAsiaTheme="minorEastAsia" w:hAnsiTheme="minorEastAsia" w:cs="Times New Roman"/>
          <w:sz w:val="21"/>
          <w:szCs w:val="21"/>
        </w:rPr>
        <w:t> </w:t>
      </w:r>
    </w:p>
    <w:p w:rsidR="00973807" w:rsidRPr="00FB446F" w:rsidRDefault="00973807" w:rsidP="00FB446F">
      <w:pPr>
        <w:pStyle w:val="a8"/>
        <w:adjustRightInd w:val="0"/>
        <w:snapToGrid w:val="0"/>
        <w:spacing w:before="0" w:beforeAutospacing="0" w:after="0" w:afterAutospacing="0" w:line="360" w:lineRule="auto"/>
        <w:ind w:firstLineChars="200" w:firstLine="420"/>
        <w:jc w:val="both"/>
        <w:rPr>
          <w:rFonts w:asciiTheme="minorEastAsia" w:eastAsiaTheme="minorEastAsia" w:hAnsiTheme="minorEastAsia" w:cs="Times New Roman"/>
          <w:sz w:val="21"/>
          <w:szCs w:val="21"/>
        </w:rPr>
      </w:pPr>
    </w:p>
    <w:p w:rsidR="00324C2A" w:rsidRPr="00973807" w:rsidRDefault="00324C2A" w:rsidP="00973807">
      <w:pPr>
        <w:pStyle w:val="a8"/>
        <w:adjustRightInd w:val="0"/>
        <w:snapToGrid w:val="0"/>
        <w:spacing w:before="0" w:beforeAutospacing="0" w:after="0" w:afterAutospacing="0" w:line="360" w:lineRule="auto"/>
        <w:ind w:firstLineChars="200" w:firstLine="420"/>
        <w:jc w:val="both"/>
        <w:rPr>
          <w:rFonts w:asciiTheme="minorEastAsia" w:eastAsiaTheme="minorEastAsia" w:hAnsiTheme="minorEastAsia" w:cs="Times New Roman"/>
          <w:sz w:val="21"/>
          <w:szCs w:val="21"/>
        </w:rPr>
      </w:pPr>
      <w:r w:rsidRPr="00973807">
        <w:rPr>
          <w:rFonts w:asciiTheme="minorEastAsia" w:eastAsiaTheme="minorEastAsia" w:hAnsiTheme="minorEastAsia" w:cs="Times New Roman"/>
          <w:sz w:val="21"/>
          <w:szCs w:val="21"/>
        </w:rPr>
        <w:t> </w:t>
      </w:r>
    </w:p>
    <w:p w:rsidR="00E538C0" w:rsidRPr="004D3465" w:rsidRDefault="00E538C0" w:rsidP="00903DB4">
      <w:pPr>
        <w:spacing w:line="440" w:lineRule="exact"/>
        <w:ind w:firstLineChars="200" w:firstLine="420"/>
        <w:jc w:val="right"/>
        <w:rPr>
          <w:rFonts w:ascii="宋体" w:eastAsia="宋体" w:hAnsi="宋体" w:cs="Times New Roman"/>
          <w:kern w:val="0"/>
          <w:szCs w:val="21"/>
        </w:rPr>
      </w:pPr>
      <w:r w:rsidRPr="004D3465">
        <w:rPr>
          <w:rFonts w:ascii="宋体" w:eastAsia="宋体" w:hAnsi="宋体" w:cs="Times New Roman"/>
          <w:kern w:val="0"/>
          <w:szCs w:val="21"/>
        </w:rPr>
        <w:t>信诚基金管理有限公司</w:t>
      </w:r>
    </w:p>
    <w:p w:rsidR="00324C2A" w:rsidRPr="00E538C0" w:rsidRDefault="00E538C0" w:rsidP="00903DB4">
      <w:pPr>
        <w:spacing w:line="440" w:lineRule="exact"/>
        <w:ind w:firstLineChars="200" w:firstLine="420"/>
        <w:jc w:val="right"/>
        <w:rPr>
          <w:rFonts w:ascii="宋体" w:eastAsia="宋体" w:hAnsi="宋体" w:cs="Times New Roman"/>
          <w:kern w:val="0"/>
          <w:szCs w:val="21"/>
        </w:rPr>
      </w:pPr>
      <w:r w:rsidRPr="00E538C0">
        <w:rPr>
          <w:rFonts w:ascii="宋体" w:eastAsia="宋体" w:hAnsi="宋体" w:cs="Times New Roman" w:hint="eastAsia"/>
          <w:kern w:val="0"/>
          <w:szCs w:val="21"/>
        </w:rPr>
        <w:t>201</w:t>
      </w:r>
      <w:r w:rsidR="009B6D10">
        <w:rPr>
          <w:rFonts w:ascii="宋体" w:eastAsia="宋体" w:hAnsi="宋体" w:cs="Times New Roman" w:hint="eastAsia"/>
          <w:kern w:val="0"/>
          <w:szCs w:val="21"/>
        </w:rPr>
        <w:t>7</w:t>
      </w:r>
      <w:r w:rsidRPr="00E538C0">
        <w:rPr>
          <w:rFonts w:ascii="宋体" w:eastAsia="宋体" w:hAnsi="宋体" w:cs="Times New Roman" w:hint="eastAsia"/>
          <w:kern w:val="0"/>
          <w:szCs w:val="21"/>
        </w:rPr>
        <w:t>年</w:t>
      </w:r>
      <w:r w:rsidR="009B6D10">
        <w:rPr>
          <w:rFonts w:ascii="宋体" w:eastAsia="宋体" w:hAnsi="宋体" w:cs="Times New Roman" w:hint="eastAsia"/>
          <w:kern w:val="0"/>
          <w:szCs w:val="21"/>
        </w:rPr>
        <w:t>8</w:t>
      </w:r>
      <w:r w:rsidRPr="00E538C0">
        <w:rPr>
          <w:rFonts w:ascii="宋体" w:eastAsia="宋体" w:hAnsi="宋体" w:cs="Times New Roman" w:hint="eastAsia"/>
          <w:kern w:val="0"/>
          <w:szCs w:val="21"/>
        </w:rPr>
        <w:t>月</w:t>
      </w:r>
      <w:r w:rsidR="009B6D10">
        <w:rPr>
          <w:rFonts w:ascii="宋体" w:eastAsia="宋体" w:hAnsi="宋体" w:cs="Times New Roman" w:hint="eastAsia"/>
          <w:kern w:val="0"/>
          <w:szCs w:val="21"/>
        </w:rPr>
        <w:t>29</w:t>
      </w:r>
      <w:r w:rsidRPr="00E538C0">
        <w:rPr>
          <w:rFonts w:ascii="宋体" w:eastAsia="宋体" w:hAnsi="宋体" w:cs="Times New Roman" w:hint="eastAsia"/>
          <w:kern w:val="0"/>
          <w:szCs w:val="21"/>
        </w:rPr>
        <w:t>日</w:t>
      </w:r>
    </w:p>
    <w:sectPr w:rsidR="00324C2A" w:rsidRPr="00E538C0" w:rsidSect="00CF7B1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5D7" w:rsidRDefault="005F75D7" w:rsidP="002C3A00">
      <w:r>
        <w:separator/>
      </w:r>
    </w:p>
  </w:endnote>
  <w:endnote w:type="continuationSeparator" w:id="1">
    <w:p w:rsidR="005F75D7" w:rsidRDefault="005F75D7" w:rsidP="002C3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615357"/>
      <w:docPartObj>
        <w:docPartGallery w:val="Page Numbers (Bottom of Page)"/>
        <w:docPartUnique/>
      </w:docPartObj>
    </w:sdtPr>
    <w:sdtContent>
      <w:p w:rsidR="00F75245" w:rsidRDefault="00BC02F9">
        <w:pPr>
          <w:pStyle w:val="a5"/>
          <w:jc w:val="right"/>
        </w:pPr>
        <w:r>
          <w:fldChar w:fldCharType="begin"/>
        </w:r>
        <w:r w:rsidR="00F75245">
          <w:instrText>PAGE   \* MERGEFORMAT</w:instrText>
        </w:r>
        <w:r>
          <w:fldChar w:fldCharType="separate"/>
        </w:r>
        <w:r w:rsidR="003E2346" w:rsidRPr="003E2346">
          <w:rPr>
            <w:noProof/>
            <w:lang w:val="zh-CN"/>
          </w:rPr>
          <w:t>1</w:t>
        </w:r>
        <w:r>
          <w:fldChar w:fldCharType="end"/>
        </w:r>
      </w:p>
    </w:sdtContent>
  </w:sdt>
  <w:p w:rsidR="00F75245" w:rsidRDefault="00F752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5D7" w:rsidRDefault="005F75D7" w:rsidP="002C3A00">
      <w:r>
        <w:separator/>
      </w:r>
    </w:p>
  </w:footnote>
  <w:footnote w:type="continuationSeparator" w:id="1">
    <w:p w:rsidR="005F75D7" w:rsidRDefault="005F75D7" w:rsidP="002C3A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419"/>
    <w:multiLevelType w:val="hybridMultilevel"/>
    <w:tmpl w:val="C3E0DD64"/>
    <w:lvl w:ilvl="0" w:tplc="C4E89A9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527645C"/>
    <w:multiLevelType w:val="hybridMultilevel"/>
    <w:tmpl w:val="42E0F3F8"/>
    <w:lvl w:ilvl="0" w:tplc="3F12F21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EBD6033"/>
    <w:multiLevelType w:val="hybridMultilevel"/>
    <w:tmpl w:val="308A6B3E"/>
    <w:lvl w:ilvl="0" w:tplc="7F58F18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4C2A"/>
    <w:rsid w:val="000302BD"/>
    <w:rsid w:val="0013533A"/>
    <w:rsid w:val="0018574B"/>
    <w:rsid w:val="00185A3B"/>
    <w:rsid w:val="001E1F69"/>
    <w:rsid w:val="00296189"/>
    <w:rsid w:val="002C3A00"/>
    <w:rsid w:val="002E1719"/>
    <w:rsid w:val="0030105B"/>
    <w:rsid w:val="00312E0B"/>
    <w:rsid w:val="00324C2A"/>
    <w:rsid w:val="00347973"/>
    <w:rsid w:val="0038437A"/>
    <w:rsid w:val="003C39D8"/>
    <w:rsid w:val="003E2346"/>
    <w:rsid w:val="003F0DCD"/>
    <w:rsid w:val="00401089"/>
    <w:rsid w:val="00405CF3"/>
    <w:rsid w:val="00471C91"/>
    <w:rsid w:val="004737D2"/>
    <w:rsid w:val="004B66C6"/>
    <w:rsid w:val="004D4694"/>
    <w:rsid w:val="004E1747"/>
    <w:rsid w:val="005120CD"/>
    <w:rsid w:val="00557640"/>
    <w:rsid w:val="0056224D"/>
    <w:rsid w:val="00572A27"/>
    <w:rsid w:val="005D627D"/>
    <w:rsid w:val="005F75D7"/>
    <w:rsid w:val="00676704"/>
    <w:rsid w:val="00716F4F"/>
    <w:rsid w:val="0074599E"/>
    <w:rsid w:val="007E3C26"/>
    <w:rsid w:val="007F775E"/>
    <w:rsid w:val="00806383"/>
    <w:rsid w:val="00832499"/>
    <w:rsid w:val="008B042F"/>
    <w:rsid w:val="008C6CE7"/>
    <w:rsid w:val="00900FA9"/>
    <w:rsid w:val="00903DB4"/>
    <w:rsid w:val="00916323"/>
    <w:rsid w:val="009622A8"/>
    <w:rsid w:val="00973807"/>
    <w:rsid w:val="00974B88"/>
    <w:rsid w:val="009B6D10"/>
    <w:rsid w:val="00A23868"/>
    <w:rsid w:val="00A4033C"/>
    <w:rsid w:val="00A53D7E"/>
    <w:rsid w:val="00A90181"/>
    <w:rsid w:val="00AC5DED"/>
    <w:rsid w:val="00B626CE"/>
    <w:rsid w:val="00BC02F9"/>
    <w:rsid w:val="00BD6C31"/>
    <w:rsid w:val="00C119E1"/>
    <w:rsid w:val="00C6579C"/>
    <w:rsid w:val="00CD3E77"/>
    <w:rsid w:val="00CF7B12"/>
    <w:rsid w:val="00D3213C"/>
    <w:rsid w:val="00D61BBC"/>
    <w:rsid w:val="00D65F5A"/>
    <w:rsid w:val="00D76316"/>
    <w:rsid w:val="00D87E28"/>
    <w:rsid w:val="00DD0125"/>
    <w:rsid w:val="00DD3C2C"/>
    <w:rsid w:val="00E0555A"/>
    <w:rsid w:val="00E057F1"/>
    <w:rsid w:val="00E059DD"/>
    <w:rsid w:val="00E2678A"/>
    <w:rsid w:val="00E42441"/>
    <w:rsid w:val="00E538C0"/>
    <w:rsid w:val="00E53C30"/>
    <w:rsid w:val="00EA2E25"/>
    <w:rsid w:val="00EB7CFF"/>
    <w:rsid w:val="00F60C75"/>
    <w:rsid w:val="00F70506"/>
    <w:rsid w:val="00F75245"/>
    <w:rsid w:val="00FB446F"/>
    <w:rsid w:val="00FD6294"/>
    <w:rsid w:val="00FE3B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2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4C2A"/>
    <w:rPr>
      <w:strike w:val="0"/>
      <w:dstrike w:val="0"/>
      <w:color w:val="58595B"/>
      <w:u w:val="none"/>
      <w:effect w:val="none"/>
    </w:rPr>
  </w:style>
  <w:style w:type="paragraph" w:styleId="a4">
    <w:name w:val="header"/>
    <w:basedOn w:val="a"/>
    <w:link w:val="Char"/>
    <w:uiPriority w:val="99"/>
    <w:unhideWhenUsed/>
    <w:rsid w:val="002C3A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C3A00"/>
    <w:rPr>
      <w:sz w:val="18"/>
      <w:szCs w:val="18"/>
    </w:rPr>
  </w:style>
  <w:style w:type="paragraph" w:styleId="a5">
    <w:name w:val="footer"/>
    <w:basedOn w:val="a"/>
    <w:link w:val="Char0"/>
    <w:uiPriority w:val="99"/>
    <w:unhideWhenUsed/>
    <w:rsid w:val="002C3A00"/>
    <w:pPr>
      <w:tabs>
        <w:tab w:val="center" w:pos="4153"/>
        <w:tab w:val="right" w:pos="8306"/>
      </w:tabs>
      <w:snapToGrid w:val="0"/>
      <w:jc w:val="left"/>
    </w:pPr>
    <w:rPr>
      <w:sz w:val="18"/>
      <w:szCs w:val="18"/>
    </w:rPr>
  </w:style>
  <w:style w:type="character" w:customStyle="1" w:styleId="Char0">
    <w:name w:val="页脚 Char"/>
    <w:basedOn w:val="a0"/>
    <w:link w:val="a5"/>
    <w:uiPriority w:val="99"/>
    <w:rsid w:val="002C3A00"/>
    <w:rPr>
      <w:sz w:val="18"/>
      <w:szCs w:val="18"/>
    </w:rPr>
  </w:style>
  <w:style w:type="paragraph" w:styleId="a6">
    <w:name w:val="Balloon Text"/>
    <w:basedOn w:val="a"/>
    <w:link w:val="Char1"/>
    <w:uiPriority w:val="99"/>
    <w:semiHidden/>
    <w:unhideWhenUsed/>
    <w:rsid w:val="002C3A00"/>
    <w:rPr>
      <w:sz w:val="18"/>
      <w:szCs w:val="18"/>
    </w:rPr>
  </w:style>
  <w:style w:type="character" w:customStyle="1" w:styleId="Char1">
    <w:name w:val="批注框文本 Char"/>
    <w:basedOn w:val="a0"/>
    <w:link w:val="a6"/>
    <w:uiPriority w:val="99"/>
    <w:semiHidden/>
    <w:rsid w:val="002C3A00"/>
    <w:rPr>
      <w:sz w:val="18"/>
      <w:szCs w:val="18"/>
    </w:rPr>
  </w:style>
  <w:style w:type="paragraph" w:styleId="a7">
    <w:name w:val="List Paragraph"/>
    <w:basedOn w:val="a"/>
    <w:uiPriority w:val="34"/>
    <w:qFormat/>
    <w:rsid w:val="00EA2E25"/>
    <w:pPr>
      <w:ind w:firstLineChars="200" w:firstLine="420"/>
    </w:pPr>
  </w:style>
  <w:style w:type="paragraph" w:styleId="a8">
    <w:name w:val="Normal (Web)"/>
    <w:basedOn w:val="a"/>
    <w:uiPriority w:val="99"/>
    <w:unhideWhenUsed/>
    <w:rsid w:val="00EA2E25"/>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FB446F"/>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4C2A"/>
    <w:rPr>
      <w:strike w:val="0"/>
      <w:dstrike w:val="0"/>
      <w:color w:val="58595B"/>
      <w:u w:val="none"/>
      <w:effect w:val="none"/>
    </w:rPr>
  </w:style>
  <w:style w:type="paragraph" w:styleId="a4">
    <w:name w:val="header"/>
    <w:basedOn w:val="a"/>
    <w:link w:val="Char"/>
    <w:uiPriority w:val="99"/>
    <w:unhideWhenUsed/>
    <w:rsid w:val="002C3A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C3A00"/>
    <w:rPr>
      <w:sz w:val="18"/>
      <w:szCs w:val="18"/>
    </w:rPr>
  </w:style>
  <w:style w:type="paragraph" w:styleId="a5">
    <w:name w:val="footer"/>
    <w:basedOn w:val="a"/>
    <w:link w:val="Char0"/>
    <w:uiPriority w:val="99"/>
    <w:unhideWhenUsed/>
    <w:rsid w:val="002C3A00"/>
    <w:pPr>
      <w:tabs>
        <w:tab w:val="center" w:pos="4153"/>
        <w:tab w:val="right" w:pos="8306"/>
      </w:tabs>
      <w:snapToGrid w:val="0"/>
      <w:jc w:val="left"/>
    </w:pPr>
    <w:rPr>
      <w:sz w:val="18"/>
      <w:szCs w:val="18"/>
    </w:rPr>
  </w:style>
  <w:style w:type="character" w:customStyle="1" w:styleId="Char0">
    <w:name w:val="页脚 Char"/>
    <w:basedOn w:val="a0"/>
    <w:link w:val="a5"/>
    <w:uiPriority w:val="99"/>
    <w:rsid w:val="002C3A00"/>
    <w:rPr>
      <w:sz w:val="18"/>
      <w:szCs w:val="18"/>
    </w:rPr>
  </w:style>
  <w:style w:type="paragraph" w:styleId="a6">
    <w:name w:val="Balloon Text"/>
    <w:basedOn w:val="a"/>
    <w:link w:val="Char1"/>
    <w:uiPriority w:val="99"/>
    <w:semiHidden/>
    <w:unhideWhenUsed/>
    <w:rsid w:val="002C3A00"/>
    <w:rPr>
      <w:sz w:val="18"/>
      <w:szCs w:val="18"/>
    </w:rPr>
  </w:style>
  <w:style w:type="character" w:customStyle="1" w:styleId="Char1">
    <w:name w:val="批注框文本 Char"/>
    <w:basedOn w:val="a0"/>
    <w:link w:val="a6"/>
    <w:uiPriority w:val="99"/>
    <w:semiHidden/>
    <w:rsid w:val="002C3A00"/>
    <w:rPr>
      <w:sz w:val="18"/>
      <w:szCs w:val="18"/>
    </w:rPr>
  </w:style>
  <w:style w:type="paragraph" w:styleId="a7">
    <w:name w:val="List Paragraph"/>
    <w:basedOn w:val="a"/>
    <w:uiPriority w:val="34"/>
    <w:qFormat/>
    <w:rsid w:val="00EA2E25"/>
    <w:pPr>
      <w:ind w:firstLineChars="200" w:firstLine="420"/>
    </w:pPr>
  </w:style>
  <w:style w:type="paragraph" w:styleId="a8">
    <w:name w:val="Normal (Web)"/>
    <w:basedOn w:val="a"/>
    <w:uiPriority w:val="99"/>
    <w:unhideWhenUsed/>
    <w:rsid w:val="00EA2E25"/>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FB446F"/>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22945545">
      <w:bodyDiv w:val="1"/>
      <w:marLeft w:val="0"/>
      <w:marRight w:val="0"/>
      <w:marTop w:val="0"/>
      <w:marBottom w:val="0"/>
      <w:divBdr>
        <w:top w:val="none" w:sz="0" w:space="0" w:color="auto"/>
        <w:left w:val="none" w:sz="0" w:space="0" w:color="auto"/>
        <w:bottom w:val="none" w:sz="0" w:space="0" w:color="auto"/>
        <w:right w:val="none" w:sz="0" w:space="0" w:color="auto"/>
      </w:divBdr>
    </w:div>
    <w:div w:id="296301014">
      <w:bodyDiv w:val="1"/>
      <w:marLeft w:val="0"/>
      <w:marRight w:val="0"/>
      <w:marTop w:val="0"/>
      <w:marBottom w:val="0"/>
      <w:divBdr>
        <w:top w:val="none" w:sz="0" w:space="0" w:color="auto"/>
        <w:left w:val="none" w:sz="0" w:space="0" w:color="auto"/>
        <w:bottom w:val="none" w:sz="0" w:space="0" w:color="auto"/>
        <w:right w:val="none" w:sz="0" w:space="0" w:color="auto"/>
      </w:divBdr>
    </w:div>
    <w:div w:id="910312019">
      <w:bodyDiv w:val="1"/>
      <w:marLeft w:val="0"/>
      <w:marRight w:val="0"/>
      <w:marTop w:val="0"/>
      <w:marBottom w:val="0"/>
      <w:divBdr>
        <w:top w:val="none" w:sz="0" w:space="0" w:color="auto"/>
        <w:left w:val="none" w:sz="0" w:space="0" w:color="auto"/>
        <w:bottom w:val="none" w:sz="0" w:space="0" w:color="auto"/>
        <w:right w:val="none" w:sz="0" w:space="0" w:color="auto"/>
      </w:divBdr>
    </w:div>
    <w:div w:id="1694185372">
      <w:bodyDiv w:val="1"/>
      <w:marLeft w:val="0"/>
      <w:marRight w:val="0"/>
      <w:marTop w:val="0"/>
      <w:marBottom w:val="0"/>
      <w:divBdr>
        <w:top w:val="none" w:sz="0" w:space="0" w:color="auto"/>
        <w:left w:val="none" w:sz="0" w:space="0" w:color="auto"/>
        <w:bottom w:val="none" w:sz="0" w:space="0" w:color="auto"/>
        <w:right w:val="none" w:sz="0" w:space="0" w:color="auto"/>
      </w:divBdr>
    </w:div>
    <w:div w:id="1822653339">
      <w:bodyDiv w:val="1"/>
      <w:marLeft w:val="0"/>
      <w:marRight w:val="0"/>
      <w:marTop w:val="0"/>
      <w:marBottom w:val="0"/>
      <w:divBdr>
        <w:top w:val="none" w:sz="0" w:space="0" w:color="auto"/>
        <w:left w:val="none" w:sz="0" w:space="0" w:color="auto"/>
        <w:bottom w:val="none" w:sz="0" w:space="0" w:color="auto"/>
        <w:right w:val="none" w:sz="0" w:space="0" w:color="auto"/>
      </w:divBdr>
      <w:divsChild>
        <w:div w:id="219559909">
          <w:marLeft w:val="150"/>
          <w:marRight w:val="0"/>
          <w:marTop w:val="0"/>
          <w:marBottom w:val="0"/>
          <w:divBdr>
            <w:top w:val="none" w:sz="0" w:space="0" w:color="auto"/>
            <w:left w:val="none" w:sz="0" w:space="0" w:color="auto"/>
            <w:bottom w:val="none" w:sz="0" w:space="0" w:color="auto"/>
            <w:right w:val="none" w:sz="0" w:space="0" w:color="auto"/>
          </w:divBdr>
          <w:divsChild>
            <w:div w:id="1677346194">
              <w:marLeft w:val="0"/>
              <w:marRight w:val="0"/>
              <w:marTop w:val="0"/>
              <w:marBottom w:val="0"/>
              <w:divBdr>
                <w:top w:val="none" w:sz="0" w:space="0" w:color="auto"/>
                <w:left w:val="none" w:sz="0" w:space="0" w:color="auto"/>
                <w:bottom w:val="none" w:sz="0" w:space="0" w:color="auto"/>
                <w:right w:val="none" w:sz="0" w:space="0" w:color="auto"/>
              </w:divBdr>
              <w:divsChild>
                <w:div w:id="796799926">
                  <w:marLeft w:val="0"/>
                  <w:marRight w:val="0"/>
                  <w:marTop w:val="0"/>
                  <w:marBottom w:val="0"/>
                  <w:divBdr>
                    <w:top w:val="none" w:sz="0" w:space="0" w:color="auto"/>
                    <w:left w:val="none" w:sz="0" w:space="0" w:color="auto"/>
                    <w:bottom w:val="none" w:sz="0" w:space="0" w:color="auto"/>
                    <w:right w:val="none" w:sz="0" w:space="0" w:color="auto"/>
                  </w:divBdr>
                  <w:divsChild>
                    <w:div w:id="1152285718">
                      <w:marLeft w:val="0"/>
                      <w:marRight w:val="0"/>
                      <w:marTop w:val="0"/>
                      <w:marBottom w:val="0"/>
                      <w:divBdr>
                        <w:top w:val="none" w:sz="0" w:space="0" w:color="auto"/>
                        <w:left w:val="none" w:sz="0" w:space="0" w:color="auto"/>
                        <w:bottom w:val="double" w:sz="2" w:space="0" w:color="DCDDDE"/>
                        <w:right w:val="none" w:sz="0" w:space="0" w:color="auto"/>
                      </w:divBdr>
                    </w:div>
                    <w:div w:id="967709345">
                      <w:marLeft w:val="0"/>
                      <w:marRight w:val="0"/>
                      <w:marTop w:val="0"/>
                      <w:marBottom w:val="0"/>
                      <w:divBdr>
                        <w:top w:val="none" w:sz="0" w:space="0" w:color="auto"/>
                        <w:left w:val="none" w:sz="0" w:space="0" w:color="auto"/>
                        <w:bottom w:val="single" w:sz="6" w:space="15" w:color="DCDDDE"/>
                        <w:right w:val="none" w:sz="0" w:space="0" w:color="auto"/>
                      </w:divBdr>
                      <w:divsChild>
                        <w:div w:id="2026053063">
                          <w:marLeft w:val="0"/>
                          <w:marRight w:val="0"/>
                          <w:marTop w:val="0"/>
                          <w:marBottom w:val="0"/>
                          <w:divBdr>
                            <w:top w:val="none" w:sz="0" w:space="0" w:color="auto"/>
                            <w:left w:val="none" w:sz="0" w:space="0" w:color="auto"/>
                            <w:bottom w:val="none" w:sz="0" w:space="0" w:color="auto"/>
                            <w:right w:val="none" w:sz="0" w:space="0" w:color="auto"/>
                          </w:divBdr>
                        </w:div>
                        <w:div w:id="1751734988">
                          <w:marLeft w:val="0"/>
                          <w:marRight w:val="0"/>
                          <w:marTop w:val="0"/>
                          <w:marBottom w:val="0"/>
                          <w:divBdr>
                            <w:top w:val="none" w:sz="0" w:space="0" w:color="auto"/>
                            <w:left w:val="none" w:sz="0" w:space="0" w:color="auto"/>
                            <w:bottom w:val="none" w:sz="0" w:space="0" w:color="auto"/>
                            <w:right w:val="none" w:sz="0" w:space="0" w:color="auto"/>
                          </w:divBdr>
                        </w:div>
                        <w:div w:id="1632904298">
                          <w:marLeft w:val="0"/>
                          <w:marRight w:val="0"/>
                          <w:marTop w:val="0"/>
                          <w:marBottom w:val="0"/>
                          <w:divBdr>
                            <w:top w:val="none" w:sz="0" w:space="0" w:color="auto"/>
                            <w:left w:val="none" w:sz="0" w:space="0" w:color="auto"/>
                            <w:bottom w:val="none" w:sz="0" w:space="0" w:color="auto"/>
                            <w:right w:val="none" w:sz="0" w:space="0" w:color="auto"/>
                          </w:divBdr>
                        </w:div>
                        <w:div w:id="2128502425">
                          <w:marLeft w:val="0"/>
                          <w:marRight w:val="0"/>
                          <w:marTop w:val="0"/>
                          <w:marBottom w:val="0"/>
                          <w:divBdr>
                            <w:top w:val="none" w:sz="0" w:space="0" w:color="auto"/>
                            <w:left w:val="none" w:sz="0" w:space="0" w:color="auto"/>
                            <w:bottom w:val="none" w:sz="0" w:space="0" w:color="auto"/>
                            <w:right w:val="none" w:sz="0" w:space="0" w:color="auto"/>
                          </w:divBdr>
                        </w:div>
                        <w:div w:id="744105643">
                          <w:marLeft w:val="0"/>
                          <w:marRight w:val="0"/>
                          <w:marTop w:val="0"/>
                          <w:marBottom w:val="0"/>
                          <w:divBdr>
                            <w:top w:val="none" w:sz="0" w:space="0" w:color="auto"/>
                            <w:left w:val="none" w:sz="0" w:space="0" w:color="auto"/>
                            <w:bottom w:val="none" w:sz="0" w:space="0" w:color="auto"/>
                            <w:right w:val="none" w:sz="0" w:space="0" w:color="auto"/>
                          </w:divBdr>
                        </w:div>
                        <w:div w:id="310137093">
                          <w:marLeft w:val="0"/>
                          <w:marRight w:val="0"/>
                          <w:marTop w:val="0"/>
                          <w:marBottom w:val="0"/>
                          <w:divBdr>
                            <w:top w:val="none" w:sz="0" w:space="0" w:color="auto"/>
                            <w:left w:val="none" w:sz="0" w:space="0" w:color="auto"/>
                            <w:bottom w:val="none" w:sz="0" w:space="0" w:color="auto"/>
                            <w:right w:val="none" w:sz="0" w:space="0" w:color="auto"/>
                          </w:divBdr>
                        </w:div>
                        <w:div w:id="1243491263">
                          <w:marLeft w:val="0"/>
                          <w:marRight w:val="0"/>
                          <w:marTop w:val="0"/>
                          <w:marBottom w:val="0"/>
                          <w:divBdr>
                            <w:top w:val="none" w:sz="0" w:space="0" w:color="auto"/>
                            <w:left w:val="none" w:sz="0" w:space="0" w:color="auto"/>
                            <w:bottom w:val="none" w:sz="0" w:space="0" w:color="auto"/>
                            <w:right w:val="none" w:sz="0" w:space="0" w:color="auto"/>
                          </w:divBdr>
                        </w:div>
                        <w:div w:id="1686518720">
                          <w:marLeft w:val="0"/>
                          <w:marRight w:val="0"/>
                          <w:marTop w:val="0"/>
                          <w:marBottom w:val="0"/>
                          <w:divBdr>
                            <w:top w:val="none" w:sz="0" w:space="0" w:color="auto"/>
                            <w:left w:val="none" w:sz="0" w:space="0" w:color="auto"/>
                            <w:bottom w:val="none" w:sz="0" w:space="0" w:color="auto"/>
                            <w:right w:val="none" w:sz="0" w:space="0" w:color="auto"/>
                          </w:divBdr>
                        </w:div>
                        <w:div w:id="9963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2445</Characters>
  <Application>Microsoft Office Word</Application>
  <DocSecurity>4</DocSecurity>
  <Lines>20</Lines>
  <Paragraphs>5</Paragraphs>
  <ScaleCrop>false</ScaleCrop>
  <Company>Lenovo</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ZHONGM</cp:lastModifiedBy>
  <cp:revision>2</cp:revision>
  <dcterms:created xsi:type="dcterms:W3CDTF">2017-08-28T16:35:00Z</dcterms:created>
  <dcterms:modified xsi:type="dcterms:W3CDTF">2017-08-28T16:35:00Z</dcterms:modified>
</cp:coreProperties>
</file>