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16" w:rsidRDefault="00F96C16" w:rsidP="00F96C16">
      <w:pPr>
        <w:rPr>
          <w:rFonts w:ascii="宋体" w:eastAsia="宋体" w:hAnsi="宋体" w:cs="宋体"/>
          <w:color w:val="000000"/>
          <w:kern w:val="0"/>
          <w:szCs w:val="21"/>
        </w:rPr>
      </w:pPr>
      <w:bookmarkStart w:id="0" w:name="_GoBack"/>
      <w:bookmarkEnd w:id="0"/>
    </w:p>
    <w:p w:rsidR="00F96C16" w:rsidRDefault="00F96C16" w:rsidP="00F96C16">
      <w:pPr>
        <w:jc w:val="center"/>
        <w:rPr>
          <w:rFonts w:ascii="宋体" w:eastAsia="宋体" w:hAnsi="宋体" w:cs="宋体"/>
          <w:b/>
          <w:color w:val="000000"/>
          <w:kern w:val="0"/>
          <w:sz w:val="28"/>
          <w:szCs w:val="28"/>
        </w:rPr>
      </w:pPr>
      <w:r w:rsidRPr="006C0876">
        <w:rPr>
          <w:rFonts w:ascii="宋体" w:eastAsia="宋体" w:hAnsi="宋体" w:cs="宋体" w:hint="eastAsia"/>
          <w:b/>
          <w:color w:val="000000"/>
          <w:kern w:val="0"/>
          <w:sz w:val="28"/>
          <w:szCs w:val="28"/>
        </w:rPr>
        <w:t>关于国联安</w:t>
      </w:r>
      <w:r>
        <w:rPr>
          <w:rFonts w:ascii="宋体" w:eastAsia="宋体" w:hAnsi="宋体" w:cs="宋体" w:hint="eastAsia"/>
          <w:b/>
          <w:color w:val="000000"/>
          <w:kern w:val="0"/>
          <w:sz w:val="28"/>
          <w:szCs w:val="28"/>
        </w:rPr>
        <w:t>鑫利混合型</w:t>
      </w:r>
      <w:r w:rsidRPr="006C0876">
        <w:rPr>
          <w:rFonts w:ascii="宋体" w:eastAsia="宋体" w:hAnsi="宋体" w:cs="宋体" w:hint="eastAsia"/>
          <w:b/>
          <w:color w:val="000000"/>
          <w:kern w:val="0"/>
          <w:sz w:val="28"/>
          <w:szCs w:val="28"/>
        </w:rPr>
        <w:t>证券投资基金可能触发基金合同终止</w:t>
      </w:r>
    </w:p>
    <w:p w:rsidR="00F96C16" w:rsidRPr="006C0876" w:rsidRDefault="00F96C16" w:rsidP="00F96C16">
      <w:pPr>
        <w:jc w:val="center"/>
        <w:rPr>
          <w:rFonts w:ascii="宋体" w:eastAsia="宋体" w:hAnsi="宋体" w:cs="宋体"/>
          <w:b/>
          <w:color w:val="000000"/>
          <w:kern w:val="0"/>
          <w:sz w:val="28"/>
          <w:szCs w:val="28"/>
        </w:rPr>
      </w:pPr>
      <w:r w:rsidRPr="006C0876">
        <w:rPr>
          <w:rFonts w:ascii="宋体" w:eastAsia="宋体" w:hAnsi="宋体" w:cs="宋体" w:hint="eastAsia"/>
          <w:b/>
          <w:color w:val="000000"/>
          <w:kern w:val="0"/>
          <w:sz w:val="28"/>
          <w:szCs w:val="28"/>
        </w:rPr>
        <w:t>情形的提示性公告</w:t>
      </w:r>
    </w:p>
    <w:p w:rsidR="00F96C16" w:rsidRDefault="00F96C16" w:rsidP="00F96C16">
      <w:pPr>
        <w:rPr>
          <w:rFonts w:ascii="宋体" w:eastAsia="宋体" w:hAnsi="宋体" w:cs="宋体"/>
          <w:color w:val="000000"/>
          <w:kern w:val="0"/>
          <w:szCs w:val="21"/>
        </w:rPr>
      </w:pPr>
    </w:p>
    <w:p w:rsidR="00F96C16" w:rsidRDefault="00F96C16" w:rsidP="00F96C16">
      <w:pPr>
        <w:rPr>
          <w:rFonts w:ascii="宋体" w:eastAsia="宋体" w:hAnsi="宋体" w:cs="宋体"/>
          <w:color w:val="000000"/>
          <w:kern w:val="0"/>
          <w:szCs w:val="21"/>
        </w:rPr>
      </w:pP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根据《中华人民共和国证券投资基金法》、《公开募集证券投资基金运作管理办法》、《</w:t>
      </w:r>
      <w:r>
        <w:rPr>
          <w:rFonts w:asciiTheme="minorEastAsia" w:hAnsiTheme="minorEastAsia" w:hint="eastAsia"/>
          <w:sz w:val="24"/>
          <w:szCs w:val="24"/>
        </w:rPr>
        <w:t>国联安鑫利混合型证券投资基金</w:t>
      </w:r>
      <w:r w:rsidRPr="00794B2F">
        <w:rPr>
          <w:rFonts w:asciiTheme="minorEastAsia" w:hAnsiTheme="minorEastAsia" w:hint="eastAsia"/>
          <w:sz w:val="24"/>
          <w:szCs w:val="24"/>
        </w:rPr>
        <w:t>基金合同》(以下简称“基金合同”)的有关规定</w:t>
      </w:r>
      <w:r>
        <w:rPr>
          <w:rFonts w:asciiTheme="minorEastAsia" w:hAnsiTheme="minorEastAsia" w:hint="eastAsia"/>
          <w:sz w:val="24"/>
          <w:szCs w:val="24"/>
        </w:rPr>
        <w:t>，国联安鑫利混合型证券投资基金</w:t>
      </w:r>
      <w:r w:rsidRPr="00794B2F">
        <w:rPr>
          <w:rFonts w:asciiTheme="minorEastAsia" w:hAnsiTheme="minorEastAsia" w:hint="eastAsia"/>
          <w:sz w:val="24"/>
          <w:szCs w:val="24"/>
        </w:rPr>
        <w:t>（以下简称“本基金”）可能触发基金合同终止情形，现将相关事项提示公告如下：</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一、本基金基本信息</w:t>
      </w:r>
      <w:r>
        <w:rPr>
          <w:rFonts w:asciiTheme="minorEastAsia" w:hAnsiTheme="minorEastAsia" w:hint="eastAsia"/>
          <w:sz w:val="24"/>
          <w:szCs w:val="24"/>
        </w:rPr>
        <w:t xml:space="preserve"> </w:t>
      </w:r>
    </w:p>
    <w:p w:rsidR="00F96C16" w:rsidRPr="00794B2F"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基金名称：</w:t>
      </w:r>
      <w:r>
        <w:rPr>
          <w:rFonts w:asciiTheme="minorEastAsia" w:hAnsiTheme="minorEastAsia" w:hint="eastAsia"/>
          <w:sz w:val="24"/>
          <w:szCs w:val="24"/>
        </w:rPr>
        <w:t>国联安鑫利混合型证券投资基金</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基金简称：国联安</w:t>
      </w:r>
      <w:r>
        <w:rPr>
          <w:rFonts w:asciiTheme="minorEastAsia" w:hAnsiTheme="minorEastAsia" w:hint="eastAsia"/>
          <w:sz w:val="24"/>
          <w:szCs w:val="24"/>
        </w:rPr>
        <w:t>鑫利混合</w:t>
      </w:r>
      <w:r w:rsidRPr="00794B2F">
        <w:rPr>
          <w:rFonts w:asciiTheme="minorEastAsia" w:hAnsiTheme="minorEastAsia" w:hint="eastAsia"/>
          <w:sz w:val="24"/>
          <w:szCs w:val="24"/>
        </w:rPr>
        <w:t>        </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基金交易代码：国联安</w:t>
      </w:r>
      <w:r w:rsidR="002A7568">
        <w:rPr>
          <w:rFonts w:asciiTheme="minorEastAsia" w:hAnsiTheme="minorEastAsia" w:hint="eastAsia"/>
          <w:sz w:val="24"/>
          <w:szCs w:val="24"/>
        </w:rPr>
        <w:t>鑫利</w:t>
      </w:r>
      <w:r>
        <w:rPr>
          <w:rFonts w:asciiTheme="minorEastAsia" w:hAnsiTheme="minorEastAsia" w:hint="eastAsia"/>
          <w:sz w:val="24"/>
          <w:szCs w:val="24"/>
        </w:rPr>
        <w:t>A:</w:t>
      </w:r>
      <w:r w:rsidR="003211F2">
        <w:rPr>
          <w:rFonts w:asciiTheme="minorEastAsia" w:hAnsiTheme="minorEastAsia" w:hint="eastAsia"/>
          <w:sz w:val="24"/>
          <w:szCs w:val="24"/>
        </w:rPr>
        <w:t>003774</w:t>
      </w:r>
      <w:r>
        <w:rPr>
          <w:rFonts w:asciiTheme="minorEastAsia" w:hAnsiTheme="minorEastAsia" w:hint="eastAsia"/>
          <w:sz w:val="24"/>
          <w:szCs w:val="24"/>
        </w:rPr>
        <w:t xml:space="preserve">  </w:t>
      </w:r>
      <w:r w:rsidRPr="00794B2F">
        <w:rPr>
          <w:rFonts w:asciiTheme="minorEastAsia" w:hAnsiTheme="minorEastAsia" w:hint="eastAsia"/>
          <w:sz w:val="24"/>
          <w:szCs w:val="24"/>
        </w:rPr>
        <w:t>国联安</w:t>
      </w:r>
      <w:r w:rsidR="002A7568">
        <w:rPr>
          <w:rFonts w:asciiTheme="minorEastAsia" w:hAnsiTheme="minorEastAsia" w:hint="eastAsia"/>
          <w:sz w:val="24"/>
          <w:szCs w:val="24"/>
        </w:rPr>
        <w:t>鑫利</w:t>
      </w:r>
      <w:r>
        <w:rPr>
          <w:rFonts w:asciiTheme="minorEastAsia" w:hAnsiTheme="minorEastAsia" w:hint="eastAsia"/>
          <w:sz w:val="24"/>
          <w:szCs w:val="24"/>
        </w:rPr>
        <w:t>C:00</w:t>
      </w:r>
      <w:r w:rsidR="003211F2">
        <w:rPr>
          <w:rFonts w:asciiTheme="minorEastAsia" w:hAnsiTheme="minorEastAsia" w:hint="eastAsia"/>
          <w:sz w:val="24"/>
          <w:szCs w:val="24"/>
        </w:rPr>
        <w:t>3775</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基金运作方式：契约型开放式</w:t>
      </w:r>
      <w:r>
        <w:rPr>
          <w:rFonts w:asciiTheme="minorEastAsia" w:hAnsiTheme="minorEastAsia" w:hint="eastAsia"/>
          <w:sz w:val="24"/>
          <w:szCs w:val="24"/>
        </w:rPr>
        <w:t xml:space="preserve"> </w:t>
      </w:r>
      <w:r>
        <w:rPr>
          <w:rFonts w:asciiTheme="minorEastAsia" w:hAnsiTheme="minorEastAsia" w:hint="eastAsia"/>
          <w:sz w:val="24"/>
          <w:szCs w:val="24"/>
        </w:rPr>
        <w:br/>
        <w:t>  </w:t>
      </w:r>
      <w:r w:rsidRPr="00794B2F">
        <w:rPr>
          <w:rFonts w:asciiTheme="minorEastAsia" w:hAnsiTheme="minorEastAsia" w:hint="eastAsia"/>
          <w:sz w:val="24"/>
          <w:szCs w:val="24"/>
        </w:rPr>
        <w:t>基金合同生效日：201</w:t>
      </w:r>
      <w:r w:rsidR="003211F2">
        <w:rPr>
          <w:rFonts w:asciiTheme="minorEastAsia" w:hAnsiTheme="minorEastAsia" w:hint="eastAsia"/>
          <w:sz w:val="24"/>
          <w:szCs w:val="24"/>
        </w:rPr>
        <w:t>6</w:t>
      </w:r>
      <w:r w:rsidRPr="00794B2F">
        <w:rPr>
          <w:rFonts w:asciiTheme="minorEastAsia" w:hAnsiTheme="minorEastAsia" w:hint="eastAsia"/>
          <w:sz w:val="24"/>
          <w:szCs w:val="24"/>
        </w:rPr>
        <w:t>年12月1</w:t>
      </w:r>
      <w:r w:rsidR="003211F2">
        <w:rPr>
          <w:rFonts w:asciiTheme="minorEastAsia" w:hAnsiTheme="minorEastAsia" w:hint="eastAsia"/>
          <w:sz w:val="24"/>
          <w:szCs w:val="24"/>
        </w:rPr>
        <w:t>5</w:t>
      </w:r>
      <w:r w:rsidRPr="00794B2F">
        <w:rPr>
          <w:rFonts w:asciiTheme="minorEastAsia" w:hAnsiTheme="minorEastAsia" w:hint="eastAsia"/>
          <w:sz w:val="24"/>
          <w:szCs w:val="24"/>
        </w:rPr>
        <w:t>日</w:t>
      </w:r>
      <w:r>
        <w:rPr>
          <w:rFonts w:asciiTheme="minorEastAsia" w:hAnsiTheme="minorEastAsia" w:hint="eastAsia"/>
          <w:sz w:val="24"/>
          <w:szCs w:val="24"/>
        </w:rPr>
        <w:t xml:space="preserve"> </w:t>
      </w:r>
      <w:r>
        <w:rPr>
          <w:rFonts w:asciiTheme="minorEastAsia" w:hAnsiTheme="minorEastAsia" w:hint="eastAsia"/>
          <w:sz w:val="24"/>
          <w:szCs w:val="24"/>
        </w:rPr>
        <w:br/>
        <w:t>  </w:t>
      </w:r>
      <w:r w:rsidRPr="00794B2F">
        <w:rPr>
          <w:rFonts w:asciiTheme="minorEastAsia" w:hAnsiTheme="minorEastAsia" w:hint="eastAsia"/>
          <w:sz w:val="24"/>
          <w:szCs w:val="24"/>
        </w:rPr>
        <w:t>基金管理人名称：国联安基金管理有限公司</w:t>
      </w:r>
      <w:r>
        <w:rPr>
          <w:rFonts w:asciiTheme="minorEastAsia" w:hAnsiTheme="minorEastAsia" w:hint="eastAsia"/>
          <w:sz w:val="24"/>
          <w:szCs w:val="24"/>
        </w:rPr>
        <w:t xml:space="preserve"> </w:t>
      </w:r>
      <w:r>
        <w:rPr>
          <w:rFonts w:asciiTheme="minorEastAsia" w:hAnsiTheme="minorEastAsia" w:hint="eastAsia"/>
          <w:sz w:val="24"/>
          <w:szCs w:val="24"/>
        </w:rPr>
        <w:br/>
        <w:t>  </w:t>
      </w:r>
      <w:r w:rsidRPr="00794B2F">
        <w:rPr>
          <w:rFonts w:asciiTheme="minorEastAsia" w:hAnsiTheme="minorEastAsia" w:hint="eastAsia"/>
          <w:sz w:val="24"/>
          <w:szCs w:val="24"/>
        </w:rPr>
        <w:t>基金托管人名称：上海浦东发展银行股份有限公司</w:t>
      </w:r>
      <w:r>
        <w:rPr>
          <w:rFonts w:asciiTheme="minorEastAsia" w:hAnsiTheme="minorEastAsia" w:hint="eastAsia"/>
          <w:sz w:val="24"/>
          <w:szCs w:val="24"/>
        </w:rPr>
        <w:t xml:space="preserve"> </w:t>
      </w:r>
      <w:r>
        <w:rPr>
          <w:rFonts w:asciiTheme="minorEastAsia" w:hAnsiTheme="minorEastAsia" w:hint="eastAsia"/>
          <w:sz w:val="24"/>
          <w:szCs w:val="24"/>
        </w:rPr>
        <w:br/>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二、可能触发基金合同终止的情形说明</w:t>
      </w:r>
      <w:r>
        <w:rPr>
          <w:rFonts w:asciiTheme="minorEastAsia" w:hAnsiTheme="minorEastAsia" w:hint="eastAsia"/>
          <w:sz w:val="24"/>
          <w:szCs w:val="24"/>
        </w:rPr>
        <w:t xml:space="preserve"> </w:t>
      </w:r>
    </w:p>
    <w:p w:rsidR="00F96C16" w:rsidRDefault="00F96C16" w:rsidP="00F96C1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根据《基金合同》“</w:t>
      </w:r>
      <w:r w:rsidRPr="00794B2F">
        <w:rPr>
          <w:rFonts w:asciiTheme="minorEastAsia" w:hAnsiTheme="minorEastAsia" w:hint="eastAsia"/>
          <w:sz w:val="24"/>
          <w:szCs w:val="24"/>
        </w:rPr>
        <w:t>第五部分</w:t>
      </w:r>
      <w:r>
        <w:rPr>
          <w:rFonts w:asciiTheme="minorEastAsia" w:hAnsiTheme="minorEastAsia" w:hint="eastAsia"/>
          <w:sz w:val="24"/>
          <w:szCs w:val="24"/>
        </w:rPr>
        <w:t xml:space="preserve"> </w:t>
      </w:r>
      <w:r w:rsidRPr="00794B2F">
        <w:rPr>
          <w:rFonts w:asciiTheme="minorEastAsia" w:hAnsiTheme="minorEastAsia" w:hint="eastAsia"/>
          <w:sz w:val="24"/>
          <w:szCs w:val="24"/>
        </w:rPr>
        <w:t>基金备案</w:t>
      </w:r>
      <w:r>
        <w:rPr>
          <w:rFonts w:asciiTheme="minorEastAsia" w:hAnsiTheme="minorEastAsia"/>
          <w:sz w:val="24"/>
          <w:szCs w:val="24"/>
        </w:rPr>
        <w:t>”</w:t>
      </w:r>
      <w:r w:rsidR="00BB2E31">
        <w:rPr>
          <w:rFonts w:asciiTheme="minorEastAsia" w:hAnsiTheme="minorEastAsia" w:hint="eastAsia"/>
          <w:sz w:val="24"/>
          <w:szCs w:val="24"/>
        </w:rPr>
        <w:t>中</w:t>
      </w:r>
      <w:r w:rsidRPr="00794B2F">
        <w:rPr>
          <w:rFonts w:asciiTheme="minorEastAsia" w:hAnsiTheme="minorEastAsia" w:hint="eastAsia"/>
          <w:sz w:val="24"/>
          <w:szCs w:val="24"/>
        </w:rPr>
        <w:t>“三、基金存续期内的基金份额持有人数量和资产规模”及</w:t>
      </w:r>
      <w:r>
        <w:rPr>
          <w:rFonts w:asciiTheme="minorEastAsia" w:hAnsiTheme="minorEastAsia" w:hint="eastAsia"/>
          <w:sz w:val="24"/>
          <w:szCs w:val="24"/>
        </w:rPr>
        <w:t>“</w:t>
      </w:r>
      <w:r w:rsidRPr="00794B2F">
        <w:rPr>
          <w:rFonts w:asciiTheme="minorEastAsia" w:hAnsiTheme="minorEastAsia" w:hint="eastAsia"/>
          <w:sz w:val="24"/>
          <w:szCs w:val="24"/>
        </w:rPr>
        <w:t>第十九部分</w:t>
      </w:r>
      <w:r>
        <w:rPr>
          <w:rFonts w:asciiTheme="minorEastAsia" w:hAnsiTheme="minorEastAsia" w:hint="eastAsia"/>
          <w:sz w:val="24"/>
          <w:szCs w:val="24"/>
        </w:rPr>
        <w:t xml:space="preserve"> </w:t>
      </w:r>
      <w:r w:rsidRPr="00794B2F">
        <w:rPr>
          <w:rFonts w:asciiTheme="minorEastAsia" w:hAnsiTheme="minorEastAsia" w:hint="eastAsia"/>
          <w:sz w:val="24"/>
          <w:szCs w:val="24"/>
        </w:rPr>
        <w:t>基金合同的变更、终止与基金财产的清算</w:t>
      </w:r>
      <w:r>
        <w:rPr>
          <w:rFonts w:asciiTheme="minorEastAsia" w:hAnsiTheme="minorEastAsia" w:hint="eastAsia"/>
          <w:sz w:val="24"/>
          <w:szCs w:val="24"/>
        </w:rPr>
        <w:t>”</w:t>
      </w:r>
      <w:r w:rsidR="00BB2E31">
        <w:rPr>
          <w:rFonts w:asciiTheme="minorEastAsia" w:hAnsiTheme="minorEastAsia" w:hint="eastAsia"/>
          <w:sz w:val="24"/>
          <w:szCs w:val="24"/>
        </w:rPr>
        <w:t>中</w:t>
      </w:r>
      <w:r w:rsidRPr="00794B2F">
        <w:rPr>
          <w:rFonts w:asciiTheme="minorEastAsia" w:hAnsiTheme="minorEastAsia" w:hint="eastAsia"/>
          <w:sz w:val="24"/>
          <w:szCs w:val="24"/>
        </w:rPr>
        <w:t>“二、《基金合同》的终止事由”的约定：</w:t>
      </w:r>
    </w:p>
    <w:p w:rsidR="00DD65E0" w:rsidRDefault="00DD65E0" w:rsidP="00DD65E0">
      <w:pPr>
        <w:spacing w:line="360" w:lineRule="auto"/>
        <w:ind w:firstLineChars="200" w:firstLine="480"/>
        <w:rPr>
          <w:rFonts w:ascii="Arial" w:hAnsi="Arial" w:cs="Arial"/>
          <w:kern w:val="0"/>
          <w:sz w:val="24"/>
        </w:rPr>
      </w:pPr>
      <w:r>
        <w:rPr>
          <w:bCs/>
          <w:sz w:val="24"/>
        </w:rPr>
        <w:t>《基金合同》生效后，</w:t>
      </w:r>
      <w:r w:rsidRPr="00BF4FF0">
        <w:rPr>
          <w:rFonts w:hint="eastAsia"/>
          <w:sz w:val="24"/>
        </w:rPr>
        <w:t>连续</w:t>
      </w:r>
      <w:r>
        <w:rPr>
          <w:rFonts w:hint="eastAsia"/>
          <w:sz w:val="24"/>
        </w:rPr>
        <w:t>6</w:t>
      </w:r>
      <w:r w:rsidRPr="00BF4FF0">
        <w:rPr>
          <w:rFonts w:hint="eastAsia"/>
          <w:sz w:val="24"/>
        </w:rPr>
        <w:t>0</w:t>
      </w:r>
      <w:r w:rsidRPr="00BF4FF0">
        <w:rPr>
          <w:rFonts w:hint="eastAsia"/>
          <w:sz w:val="24"/>
        </w:rPr>
        <w:t>个工作日出现基金份额持有人数量不满</w:t>
      </w:r>
      <w:r w:rsidRPr="00BF4FF0">
        <w:rPr>
          <w:rFonts w:hint="eastAsia"/>
          <w:sz w:val="24"/>
        </w:rPr>
        <w:t>200</w:t>
      </w:r>
      <w:r w:rsidRPr="00BF4FF0">
        <w:rPr>
          <w:rFonts w:hint="eastAsia"/>
          <w:sz w:val="24"/>
        </w:rPr>
        <w:t>人或者基金资产净值低于</w:t>
      </w:r>
      <w:r w:rsidRPr="00BF4FF0">
        <w:rPr>
          <w:rFonts w:hint="eastAsia"/>
          <w:sz w:val="24"/>
        </w:rPr>
        <w:t>5000</w:t>
      </w:r>
      <w:r w:rsidRPr="00BF4FF0">
        <w:rPr>
          <w:rFonts w:hint="eastAsia"/>
          <w:sz w:val="24"/>
        </w:rPr>
        <w:t>万元情形的，</w:t>
      </w:r>
      <w:r w:rsidRPr="00293FFD">
        <w:rPr>
          <w:rFonts w:ascii="Arial" w:hAnsi="Arial" w:cs="Arial" w:hint="eastAsia"/>
          <w:kern w:val="0"/>
          <w:sz w:val="24"/>
        </w:rPr>
        <w:t>本基金应当根据基金合同的约定进入清算程序并终止，无需召开基金份额持有人大会审议。</w:t>
      </w:r>
    </w:p>
    <w:p w:rsidR="00F96C16" w:rsidRDefault="007A1B9C" w:rsidP="00F96C1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截至2017年8月24日，本基金</w:t>
      </w:r>
      <w:r w:rsidR="008156BA">
        <w:rPr>
          <w:rFonts w:asciiTheme="minorEastAsia" w:hAnsiTheme="minorEastAsia" w:hint="eastAsia"/>
          <w:sz w:val="24"/>
          <w:szCs w:val="24"/>
        </w:rPr>
        <w:t>已</w:t>
      </w:r>
      <w:r>
        <w:rPr>
          <w:rFonts w:asciiTheme="minorEastAsia" w:hAnsiTheme="minorEastAsia" w:hint="eastAsia"/>
          <w:sz w:val="24"/>
          <w:szCs w:val="24"/>
        </w:rPr>
        <w:t>连续50个工作日出现</w:t>
      </w:r>
      <w:r w:rsidRPr="00BF4FF0">
        <w:rPr>
          <w:rFonts w:hint="eastAsia"/>
          <w:sz w:val="24"/>
        </w:rPr>
        <w:t>基金资产净值低于</w:t>
      </w:r>
      <w:r w:rsidRPr="00BF4FF0">
        <w:rPr>
          <w:rFonts w:hint="eastAsia"/>
          <w:sz w:val="24"/>
        </w:rPr>
        <w:t>5000</w:t>
      </w:r>
      <w:r w:rsidRPr="00BF4FF0">
        <w:rPr>
          <w:rFonts w:hint="eastAsia"/>
          <w:sz w:val="24"/>
        </w:rPr>
        <w:t>万元情形</w:t>
      </w:r>
      <w:r>
        <w:rPr>
          <w:rFonts w:hint="eastAsia"/>
          <w:sz w:val="24"/>
        </w:rPr>
        <w:t>。</w:t>
      </w:r>
      <w:r w:rsidR="00F96C16">
        <w:rPr>
          <w:rFonts w:asciiTheme="minorEastAsia" w:hAnsiTheme="minorEastAsia" w:hint="eastAsia"/>
          <w:sz w:val="24"/>
          <w:szCs w:val="24"/>
        </w:rPr>
        <w:t>据此，</w:t>
      </w:r>
      <w:r w:rsidR="00F96C16" w:rsidRPr="00794B2F">
        <w:rPr>
          <w:rFonts w:asciiTheme="minorEastAsia" w:hAnsiTheme="minorEastAsia" w:hint="eastAsia"/>
          <w:sz w:val="24"/>
          <w:szCs w:val="24"/>
        </w:rPr>
        <w:t>若本</w:t>
      </w:r>
      <w:r w:rsidR="00F96C16">
        <w:rPr>
          <w:rFonts w:asciiTheme="minorEastAsia" w:hAnsiTheme="minorEastAsia" w:hint="eastAsia"/>
          <w:sz w:val="24"/>
          <w:szCs w:val="24"/>
        </w:rPr>
        <w:t>基金</w:t>
      </w:r>
      <w:r w:rsidR="00F96C16" w:rsidRPr="00794B2F">
        <w:rPr>
          <w:rFonts w:asciiTheme="minorEastAsia" w:hAnsiTheme="minorEastAsia" w:hint="eastAsia"/>
          <w:sz w:val="24"/>
          <w:szCs w:val="24"/>
        </w:rPr>
        <w:t>基金合同生效</w:t>
      </w:r>
      <w:r w:rsidR="00DD65E0">
        <w:rPr>
          <w:rFonts w:asciiTheme="minorEastAsia" w:hAnsiTheme="minorEastAsia" w:hint="eastAsia"/>
          <w:sz w:val="24"/>
          <w:szCs w:val="24"/>
        </w:rPr>
        <w:t>后</w:t>
      </w:r>
      <w:r w:rsidR="00F96C16" w:rsidRPr="00794B2F">
        <w:rPr>
          <w:rFonts w:asciiTheme="minorEastAsia" w:hAnsiTheme="minorEastAsia" w:hint="eastAsia"/>
          <w:sz w:val="24"/>
          <w:szCs w:val="24"/>
        </w:rPr>
        <w:t>出现触发基金合同终止的上述情形，经履行相应程序后，本基金将</w:t>
      </w:r>
      <w:r w:rsidR="00432FFB">
        <w:rPr>
          <w:rFonts w:asciiTheme="minorEastAsia" w:hAnsiTheme="minorEastAsia" w:hint="eastAsia"/>
          <w:sz w:val="24"/>
          <w:szCs w:val="24"/>
        </w:rPr>
        <w:t>进入清算程序</w:t>
      </w:r>
      <w:r w:rsidR="00F96C16" w:rsidRPr="00794B2F">
        <w:rPr>
          <w:rFonts w:asciiTheme="minorEastAsia" w:hAnsiTheme="minorEastAsia" w:hint="eastAsia"/>
          <w:sz w:val="24"/>
          <w:szCs w:val="24"/>
        </w:rPr>
        <w:t>。</w:t>
      </w:r>
      <w:r w:rsidR="00F96C16">
        <w:rPr>
          <w:rFonts w:asciiTheme="minorEastAsia" w:hAnsiTheme="minorEastAsia" w:hint="eastAsia"/>
          <w:sz w:val="24"/>
          <w:szCs w:val="24"/>
        </w:rPr>
        <w:t xml:space="preserve"> </w:t>
      </w:r>
    </w:p>
    <w:p w:rsidR="00F96C16" w:rsidRPr="00794B2F"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 xml:space="preserve">三、其他需要提示的事项 </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1、若本基金基金合同发生终止情形，</w:t>
      </w:r>
      <w:r w:rsidR="00432FFB">
        <w:rPr>
          <w:rFonts w:asciiTheme="minorEastAsia" w:hAnsiTheme="minorEastAsia" w:hint="eastAsia"/>
          <w:sz w:val="24"/>
          <w:szCs w:val="24"/>
        </w:rPr>
        <w:t>本基金进入清算程序</w:t>
      </w:r>
      <w:r w:rsidRPr="00794B2F">
        <w:rPr>
          <w:rFonts w:asciiTheme="minorEastAsia" w:hAnsiTheme="minorEastAsia" w:hint="eastAsia"/>
          <w:sz w:val="24"/>
          <w:szCs w:val="24"/>
        </w:rPr>
        <w:t>后</w:t>
      </w:r>
      <w:r w:rsidR="00432FFB">
        <w:rPr>
          <w:rFonts w:asciiTheme="minorEastAsia" w:hAnsiTheme="minorEastAsia" w:hint="eastAsia"/>
          <w:sz w:val="24"/>
          <w:szCs w:val="24"/>
        </w:rPr>
        <w:t>,</w:t>
      </w:r>
      <w:r w:rsidRPr="00794B2F">
        <w:rPr>
          <w:rFonts w:asciiTheme="minorEastAsia" w:hAnsiTheme="minorEastAsia" w:hint="eastAsia"/>
          <w:sz w:val="24"/>
          <w:szCs w:val="24"/>
        </w:rPr>
        <w:t>本基金将不开</w:t>
      </w:r>
      <w:r w:rsidRPr="00794B2F">
        <w:rPr>
          <w:rFonts w:asciiTheme="minorEastAsia" w:hAnsiTheme="minorEastAsia" w:hint="eastAsia"/>
          <w:sz w:val="24"/>
          <w:szCs w:val="24"/>
        </w:rPr>
        <w:lastRenderedPageBreak/>
        <w:t xml:space="preserve">放申购、赎回和转换业务。 </w:t>
      </w:r>
    </w:p>
    <w:p w:rsidR="00F96C16" w:rsidRPr="002E5524" w:rsidRDefault="00F96C16" w:rsidP="00F96C16">
      <w:pPr>
        <w:autoSpaceDE w:val="0"/>
        <w:autoSpaceDN w:val="0"/>
        <w:adjustRightIn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2、自出现基金合同</w:t>
      </w:r>
      <w:r w:rsidRPr="002E5524">
        <w:rPr>
          <w:rFonts w:asciiTheme="minorEastAsia" w:hAnsiTheme="minorEastAsia" w:hint="eastAsia"/>
          <w:sz w:val="24"/>
          <w:szCs w:val="24"/>
        </w:rPr>
        <w:t>终止事由之日起</w:t>
      </w:r>
      <w:r w:rsidRPr="002E5524">
        <w:rPr>
          <w:rFonts w:asciiTheme="minorEastAsia" w:hAnsiTheme="minorEastAsia"/>
          <w:sz w:val="24"/>
          <w:szCs w:val="24"/>
        </w:rPr>
        <w:t>30</w:t>
      </w:r>
      <w:r w:rsidRPr="002E5524">
        <w:rPr>
          <w:rFonts w:asciiTheme="minorEastAsia" w:hAnsiTheme="minorEastAsia" w:hint="eastAsia"/>
          <w:sz w:val="24"/>
          <w:szCs w:val="24"/>
        </w:rPr>
        <w:t>个工作日内成立清算小组，基金管理人组织基金财产清算小组并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F96C16" w:rsidRDefault="00F96C16" w:rsidP="00F96C1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794B2F">
        <w:rPr>
          <w:rFonts w:asciiTheme="minorEastAsia" w:hAnsiTheme="minorEastAsia" w:hint="eastAsia"/>
          <w:sz w:val="24"/>
          <w:szCs w:val="24"/>
        </w:rPr>
        <w:t>、投资者欲了解本基金的详细情况，请认真阅读本基金基金合同及本基金招募说明书，投资者可通过以下途径咨询</w:t>
      </w:r>
      <w:r>
        <w:rPr>
          <w:rFonts w:asciiTheme="minorEastAsia" w:hAnsiTheme="minorEastAsia" w:hint="eastAsia"/>
          <w:sz w:val="24"/>
          <w:szCs w:val="24"/>
        </w:rPr>
        <w:t xml:space="preserve">: </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基金管理人网站：</w:t>
      </w:r>
      <w:r w:rsidRPr="00794B2F">
        <w:rPr>
          <w:rFonts w:asciiTheme="minorEastAsia" w:hAnsiTheme="minorEastAsia"/>
          <w:color w:val="000000"/>
          <w:sz w:val="24"/>
          <w:szCs w:val="24"/>
        </w:rPr>
        <w:t>www.gtja-allianz.com</w:t>
      </w:r>
      <w:r>
        <w:rPr>
          <w:rFonts w:asciiTheme="minorEastAsia" w:hAnsiTheme="minorEastAsia" w:hint="eastAsia"/>
          <w:sz w:val="24"/>
          <w:szCs w:val="24"/>
        </w:rPr>
        <w:t xml:space="preserve"> </w:t>
      </w: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客服电话：</w:t>
      </w:r>
      <w:r w:rsidRPr="00794B2F">
        <w:rPr>
          <w:rFonts w:asciiTheme="minorEastAsia" w:hAnsiTheme="minorEastAsia"/>
          <w:color w:val="000000"/>
          <w:sz w:val="24"/>
          <w:szCs w:val="24"/>
        </w:rPr>
        <w:t>021-38784766</w:t>
      </w:r>
      <w:r w:rsidRPr="00794B2F">
        <w:rPr>
          <w:rFonts w:asciiTheme="minorEastAsia" w:hAnsiTheme="minorEastAsia" w:hint="eastAsia"/>
          <w:color w:val="000000"/>
          <w:sz w:val="24"/>
          <w:szCs w:val="24"/>
        </w:rPr>
        <w:t>或</w:t>
      </w:r>
      <w:r w:rsidRPr="00794B2F">
        <w:rPr>
          <w:rFonts w:asciiTheme="minorEastAsia" w:hAnsiTheme="minorEastAsia"/>
          <w:color w:val="000000"/>
          <w:sz w:val="24"/>
          <w:szCs w:val="24"/>
        </w:rPr>
        <w:t>400-7000-365（免长途话费）</w:t>
      </w:r>
    </w:p>
    <w:p w:rsidR="00F96C16" w:rsidRDefault="00F96C16" w:rsidP="00F96C16">
      <w:pPr>
        <w:spacing w:line="360" w:lineRule="auto"/>
        <w:ind w:firstLineChars="200" w:firstLine="480"/>
        <w:rPr>
          <w:rFonts w:asciiTheme="minorEastAsia" w:hAnsiTheme="minorEastAsia"/>
          <w:sz w:val="24"/>
          <w:szCs w:val="24"/>
        </w:rPr>
      </w:pPr>
    </w:p>
    <w:p w:rsidR="00F96C16" w:rsidRDefault="00F96C16" w:rsidP="00F96C16">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 xml:space="preserve">特此公告。 </w:t>
      </w:r>
      <w:r w:rsidRPr="00794B2F">
        <w:rPr>
          <w:rFonts w:asciiTheme="minorEastAsia" w:hAnsiTheme="minorEastAsia" w:hint="eastAsia"/>
          <w:sz w:val="24"/>
          <w:szCs w:val="24"/>
        </w:rPr>
        <w:br/>
        <w:t>    </w:t>
      </w:r>
    </w:p>
    <w:p w:rsidR="00F96C16" w:rsidRDefault="00F96C16" w:rsidP="00F96C16">
      <w:pPr>
        <w:spacing w:line="360" w:lineRule="auto"/>
        <w:ind w:firstLineChars="200" w:firstLine="480"/>
        <w:rPr>
          <w:rFonts w:asciiTheme="minorEastAsia" w:hAnsiTheme="minorEastAsia"/>
          <w:sz w:val="24"/>
          <w:szCs w:val="24"/>
        </w:rPr>
      </w:pPr>
    </w:p>
    <w:p w:rsidR="00F96C16" w:rsidRDefault="00F96C16" w:rsidP="00F96C16">
      <w:pPr>
        <w:spacing w:line="360" w:lineRule="auto"/>
        <w:ind w:firstLineChars="200" w:firstLine="480"/>
        <w:rPr>
          <w:rFonts w:asciiTheme="minorEastAsia" w:hAnsiTheme="minorEastAsia"/>
          <w:sz w:val="24"/>
          <w:szCs w:val="24"/>
        </w:rPr>
      </w:pPr>
    </w:p>
    <w:p w:rsidR="00F96C16" w:rsidRPr="00794B2F" w:rsidRDefault="00F96C16" w:rsidP="00F96C16">
      <w:pPr>
        <w:spacing w:line="360" w:lineRule="auto"/>
        <w:ind w:firstLineChars="2150" w:firstLine="5160"/>
        <w:rPr>
          <w:rFonts w:asciiTheme="minorEastAsia" w:hAnsiTheme="minorEastAsia"/>
          <w:sz w:val="24"/>
          <w:szCs w:val="24"/>
        </w:rPr>
      </w:pPr>
      <w:r w:rsidRPr="00794B2F">
        <w:rPr>
          <w:rFonts w:asciiTheme="minorEastAsia" w:hAnsiTheme="minorEastAsia" w:hint="eastAsia"/>
          <w:sz w:val="24"/>
          <w:szCs w:val="24"/>
        </w:rPr>
        <w:t xml:space="preserve">国联安基金管理有限公司 </w:t>
      </w:r>
      <w:r w:rsidRPr="00794B2F">
        <w:rPr>
          <w:rFonts w:asciiTheme="minorEastAsia" w:hAnsiTheme="minorEastAsia" w:hint="eastAsia"/>
          <w:sz w:val="24"/>
          <w:szCs w:val="24"/>
        </w:rPr>
        <w:br/>
        <w:t>    </w:t>
      </w:r>
      <w:r>
        <w:rPr>
          <w:rFonts w:asciiTheme="minorEastAsia" w:hAnsiTheme="minorEastAsia" w:hint="eastAsia"/>
          <w:sz w:val="24"/>
          <w:szCs w:val="24"/>
        </w:rPr>
        <w:t xml:space="preserve">                                      </w:t>
      </w:r>
      <w:r w:rsidRPr="00794B2F">
        <w:rPr>
          <w:rFonts w:asciiTheme="minorEastAsia" w:hAnsiTheme="minorEastAsia" w:hint="eastAsia"/>
          <w:sz w:val="24"/>
          <w:szCs w:val="24"/>
        </w:rPr>
        <w:t>201</w:t>
      </w:r>
      <w:r w:rsidR="009D7932">
        <w:rPr>
          <w:rFonts w:asciiTheme="minorEastAsia" w:hAnsiTheme="minorEastAsia" w:hint="eastAsia"/>
          <w:sz w:val="24"/>
          <w:szCs w:val="24"/>
        </w:rPr>
        <w:t>7</w:t>
      </w:r>
      <w:r w:rsidRPr="00794B2F">
        <w:rPr>
          <w:rFonts w:asciiTheme="minorEastAsia" w:hAnsiTheme="minorEastAsia" w:hint="eastAsia"/>
          <w:sz w:val="24"/>
          <w:szCs w:val="24"/>
        </w:rPr>
        <w:t>年</w:t>
      </w:r>
      <w:r w:rsidR="009D7932">
        <w:rPr>
          <w:rFonts w:asciiTheme="minorEastAsia" w:hAnsiTheme="minorEastAsia" w:hint="eastAsia"/>
          <w:sz w:val="24"/>
          <w:szCs w:val="24"/>
        </w:rPr>
        <w:t>8</w:t>
      </w:r>
      <w:r w:rsidRPr="00794B2F">
        <w:rPr>
          <w:rFonts w:asciiTheme="minorEastAsia" w:hAnsiTheme="minorEastAsia" w:hint="eastAsia"/>
          <w:sz w:val="24"/>
          <w:szCs w:val="24"/>
        </w:rPr>
        <w:t>月</w:t>
      </w:r>
      <w:r w:rsidR="009D7932">
        <w:rPr>
          <w:rFonts w:asciiTheme="minorEastAsia" w:hAnsiTheme="minorEastAsia" w:hint="eastAsia"/>
          <w:sz w:val="24"/>
          <w:szCs w:val="24"/>
        </w:rPr>
        <w:t>2</w:t>
      </w:r>
      <w:r w:rsidR="008156BA">
        <w:rPr>
          <w:rFonts w:asciiTheme="minorEastAsia" w:hAnsiTheme="minorEastAsia" w:hint="eastAsia"/>
          <w:sz w:val="24"/>
          <w:szCs w:val="24"/>
        </w:rPr>
        <w:t>5</w:t>
      </w:r>
      <w:r w:rsidRPr="00794B2F">
        <w:rPr>
          <w:rFonts w:asciiTheme="minorEastAsia" w:hAnsiTheme="minorEastAsia" w:hint="eastAsia"/>
          <w:sz w:val="24"/>
          <w:szCs w:val="24"/>
        </w:rPr>
        <w:t>日</w:t>
      </w:r>
    </w:p>
    <w:p w:rsidR="00F96C16" w:rsidRPr="00F96C16" w:rsidRDefault="00F96C16"/>
    <w:sectPr w:rsidR="00F96C16" w:rsidRPr="00F96C16" w:rsidSect="00A521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0FA" w:rsidRDefault="006B60FA" w:rsidP="00BB2E31">
      <w:r>
        <w:separator/>
      </w:r>
    </w:p>
  </w:endnote>
  <w:endnote w:type="continuationSeparator" w:id="1">
    <w:p w:rsidR="006B60FA" w:rsidRDefault="006B60FA" w:rsidP="00BB2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0FA" w:rsidRDefault="006B60FA" w:rsidP="00BB2E31">
      <w:r>
        <w:separator/>
      </w:r>
    </w:p>
  </w:footnote>
  <w:footnote w:type="continuationSeparator" w:id="1">
    <w:p w:rsidR="006B60FA" w:rsidRDefault="006B60FA" w:rsidP="00BB2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C16"/>
    <w:rsid w:val="002A7568"/>
    <w:rsid w:val="002D69B6"/>
    <w:rsid w:val="003211F2"/>
    <w:rsid w:val="00432FFB"/>
    <w:rsid w:val="0064476A"/>
    <w:rsid w:val="006B60FA"/>
    <w:rsid w:val="007A1B9C"/>
    <w:rsid w:val="008156BA"/>
    <w:rsid w:val="008B69BB"/>
    <w:rsid w:val="0090418C"/>
    <w:rsid w:val="009D7932"/>
    <w:rsid w:val="00A25813"/>
    <w:rsid w:val="00A52156"/>
    <w:rsid w:val="00B45258"/>
    <w:rsid w:val="00B56D59"/>
    <w:rsid w:val="00BB2E31"/>
    <w:rsid w:val="00BF428D"/>
    <w:rsid w:val="00DD65E0"/>
    <w:rsid w:val="00E503D6"/>
    <w:rsid w:val="00F96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DD65E0"/>
    <w:rPr>
      <w:rFonts w:ascii="Times New Roman" w:eastAsia="宋体" w:hAnsi="Times New Roman" w:cs="Times New Roman"/>
      <w:szCs w:val="20"/>
    </w:rPr>
  </w:style>
  <w:style w:type="paragraph" w:styleId="a3">
    <w:name w:val="header"/>
    <w:basedOn w:val="a"/>
    <w:link w:val="Char"/>
    <w:uiPriority w:val="99"/>
    <w:unhideWhenUsed/>
    <w:rsid w:val="00BB2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2E31"/>
    <w:rPr>
      <w:sz w:val="18"/>
      <w:szCs w:val="18"/>
    </w:rPr>
  </w:style>
  <w:style w:type="paragraph" w:styleId="a4">
    <w:name w:val="footer"/>
    <w:basedOn w:val="a"/>
    <w:link w:val="Char0"/>
    <w:uiPriority w:val="99"/>
    <w:unhideWhenUsed/>
    <w:rsid w:val="00BB2E31"/>
    <w:pPr>
      <w:tabs>
        <w:tab w:val="center" w:pos="4153"/>
        <w:tab w:val="right" w:pos="8306"/>
      </w:tabs>
      <w:snapToGrid w:val="0"/>
      <w:jc w:val="left"/>
    </w:pPr>
    <w:rPr>
      <w:sz w:val="18"/>
      <w:szCs w:val="18"/>
    </w:rPr>
  </w:style>
  <w:style w:type="character" w:customStyle="1" w:styleId="Char0">
    <w:name w:val="页脚 Char"/>
    <w:basedOn w:val="a0"/>
    <w:link w:val="a4"/>
    <w:uiPriority w:val="99"/>
    <w:rsid w:val="00BB2E31"/>
    <w:rPr>
      <w:sz w:val="18"/>
      <w:szCs w:val="18"/>
    </w:rPr>
  </w:style>
  <w:style w:type="paragraph" w:styleId="a5">
    <w:name w:val="Balloon Text"/>
    <w:basedOn w:val="a"/>
    <w:link w:val="Char1"/>
    <w:uiPriority w:val="99"/>
    <w:semiHidden/>
    <w:unhideWhenUsed/>
    <w:rsid w:val="00432FFB"/>
    <w:rPr>
      <w:sz w:val="18"/>
      <w:szCs w:val="18"/>
    </w:rPr>
  </w:style>
  <w:style w:type="character" w:customStyle="1" w:styleId="Char1">
    <w:name w:val="批注框文本 Char"/>
    <w:basedOn w:val="a0"/>
    <w:link w:val="a5"/>
    <w:uiPriority w:val="99"/>
    <w:semiHidden/>
    <w:rsid w:val="00432F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DD65E0"/>
    <w:rPr>
      <w:rFonts w:ascii="Times New Roman" w:eastAsia="宋体" w:hAnsi="Times New Roman" w:cs="Times New Roman"/>
      <w:szCs w:val="20"/>
    </w:rPr>
  </w:style>
  <w:style w:type="paragraph" w:styleId="a3">
    <w:name w:val="header"/>
    <w:basedOn w:val="a"/>
    <w:link w:val="Char"/>
    <w:uiPriority w:val="99"/>
    <w:unhideWhenUsed/>
    <w:rsid w:val="00BB2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2E31"/>
    <w:rPr>
      <w:sz w:val="18"/>
      <w:szCs w:val="18"/>
    </w:rPr>
  </w:style>
  <w:style w:type="paragraph" w:styleId="a4">
    <w:name w:val="footer"/>
    <w:basedOn w:val="a"/>
    <w:link w:val="Char0"/>
    <w:uiPriority w:val="99"/>
    <w:unhideWhenUsed/>
    <w:rsid w:val="00BB2E31"/>
    <w:pPr>
      <w:tabs>
        <w:tab w:val="center" w:pos="4153"/>
        <w:tab w:val="right" w:pos="8306"/>
      </w:tabs>
      <w:snapToGrid w:val="0"/>
      <w:jc w:val="left"/>
    </w:pPr>
    <w:rPr>
      <w:sz w:val="18"/>
      <w:szCs w:val="18"/>
    </w:rPr>
  </w:style>
  <w:style w:type="character" w:customStyle="1" w:styleId="Char0">
    <w:name w:val="页脚 Char"/>
    <w:basedOn w:val="a0"/>
    <w:link w:val="a4"/>
    <w:uiPriority w:val="99"/>
    <w:rsid w:val="00BB2E31"/>
    <w:rPr>
      <w:sz w:val="18"/>
      <w:szCs w:val="18"/>
    </w:rPr>
  </w:style>
  <w:style w:type="paragraph" w:styleId="a5">
    <w:name w:val="Balloon Text"/>
    <w:basedOn w:val="a"/>
    <w:link w:val="Char1"/>
    <w:uiPriority w:val="99"/>
    <w:semiHidden/>
    <w:unhideWhenUsed/>
    <w:rsid w:val="00432FFB"/>
    <w:rPr>
      <w:sz w:val="18"/>
      <w:szCs w:val="18"/>
    </w:rPr>
  </w:style>
  <w:style w:type="character" w:customStyle="1" w:styleId="Char1">
    <w:name w:val="批注框文本 Char"/>
    <w:basedOn w:val="a0"/>
    <w:link w:val="a5"/>
    <w:uiPriority w:val="99"/>
    <w:semiHidden/>
    <w:rsid w:val="00432FF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4</DocSecurity>
  <Lines>7</Lines>
  <Paragraphs>2</Paragraphs>
  <ScaleCrop>false</ScaleCrop>
  <Company>Microsoft</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吴有生</dc:creator>
  <cp:lastModifiedBy>ZHONGM</cp:lastModifiedBy>
  <cp:revision>2</cp:revision>
  <dcterms:created xsi:type="dcterms:W3CDTF">2017-08-24T14:03:00Z</dcterms:created>
  <dcterms:modified xsi:type="dcterms:W3CDTF">2017-08-24T14:03:00Z</dcterms:modified>
</cp:coreProperties>
</file>