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06" w:rsidRPr="000561C0" w:rsidRDefault="00A17D06" w:rsidP="00024E12">
      <w:pPr>
        <w:spacing w:line="360" w:lineRule="auto"/>
        <w:jc w:val="center"/>
        <w:rPr>
          <w:rFonts w:ascii="宋体" w:eastAsia="宋体" w:hAnsi="宋体"/>
          <w:b/>
          <w:sz w:val="24"/>
          <w:szCs w:val="24"/>
        </w:rPr>
      </w:pPr>
      <w:r w:rsidRPr="000561C0">
        <w:rPr>
          <w:rFonts w:ascii="宋体" w:eastAsia="宋体" w:hAnsi="宋体" w:hint="eastAsia"/>
          <w:b/>
          <w:sz w:val="24"/>
          <w:szCs w:val="24"/>
        </w:rPr>
        <w:t>广发基金管理有限公司</w:t>
      </w:r>
    </w:p>
    <w:p w:rsidR="00024E12" w:rsidRPr="000561C0" w:rsidRDefault="00024E12" w:rsidP="000561C0">
      <w:pPr>
        <w:spacing w:line="360" w:lineRule="auto"/>
        <w:jc w:val="center"/>
        <w:rPr>
          <w:rFonts w:ascii="宋体" w:eastAsia="宋体" w:hAnsi="宋体"/>
          <w:b/>
          <w:sz w:val="24"/>
          <w:szCs w:val="24"/>
        </w:rPr>
      </w:pPr>
      <w:r w:rsidRPr="000561C0">
        <w:rPr>
          <w:rFonts w:ascii="宋体" w:eastAsia="宋体" w:hAnsi="宋体" w:hint="eastAsia"/>
          <w:b/>
          <w:sz w:val="24"/>
          <w:szCs w:val="24"/>
        </w:rPr>
        <w:t>关于</w:t>
      </w:r>
      <w:r w:rsidR="00A17D06" w:rsidRPr="000561C0">
        <w:rPr>
          <w:rFonts w:ascii="宋体" w:eastAsia="宋体" w:hAnsi="宋体" w:hint="eastAsia"/>
          <w:b/>
          <w:sz w:val="24"/>
          <w:szCs w:val="24"/>
        </w:rPr>
        <w:t>广发安富回报灵活配置混合型证券投资基金基金</w:t>
      </w:r>
      <w:r w:rsidRPr="000561C0">
        <w:rPr>
          <w:rFonts w:ascii="宋体" w:eastAsia="宋体" w:hAnsi="宋体" w:hint="eastAsia"/>
          <w:b/>
          <w:sz w:val="24"/>
          <w:szCs w:val="24"/>
        </w:rPr>
        <w:t>合同终止及基金财产清算的</w:t>
      </w:r>
      <w:r w:rsidR="007E2700">
        <w:rPr>
          <w:rFonts w:ascii="宋体" w:eastAsia="宋体" w:hAnsi="宋体" w:hint="eastAsia"/>
          <w:b/>
          <w:sz w:val="24"/>
          <w:szCs w:val="24"/>
        </w:rPr>
        <w:t>提示性</w:t>
      </w:r>
      <w:r w:rsidRPr="000561C0">
        <w:rPr>
          <w:rFonts w:ascii="宋体" w:eastAsia="宋体" w:hAnsi="宋体" w:hint="eastAsia"/>
          <w:b/>
          <w:sz w:val="24"/>
          <w:szCs w:val="24"/>
        </w:rPr>
        <w:t>公告</w:t>
      </w:r>
    </w:p>
    <w:p w:rsidR="007E2700" w:rsidRDefault="007E2700" w:rsidP="00024E12">
      <w:pPr>
        <w:spacing w:line="360" w:lineRule="auto"/>
        <w:ind w:firstLine="420"/>
        <w:rPr>
          <w:szCs w:val="21"/>
        </w:rPr>
      </w:pPr>
      <w:r>
        <w:rPr>
          <w:rFonts w:ascii="宋体" w:eastAsia="宋体" w:hAnsi="宋体"/>
          <w:sz w:val="24"/>
          <w:szCs w:val="24"/>
        </w:rPr>
        <w:t>广发</w:t>
      </w:r>
      <w:r w:rsidRPr="007E2700">
        <w:rPr>
          <w:rFonts w:ascii="宋体" w:eastAsia="宋体" w:hAnsi="宋体"/>
          <w:sz w:val="24"/>
          <w:szCs w:val="24"/>
        </w:rPr>
        <w:t>基金管理有限公司（以下简称“本</w:t>
      </w:r>
      <w:r>
        <w:rPr>
          <w:rFonts w:ascii="宋体" w:eastAsia="宋体" w:hAnsi="宋体" w:hint="eastAsia"/>
          <w:sz w:val="24"/>
          <w:szCs w:val="24"/>
        </w:rPr>
        <w:t>公司</w:t>
      </w:r>
      <w:r w:rsidRPr="007E2700">
        <w:rPr>
          <w:rFonts w:ascii="宋体" w:eastAsia="宋体" w:hAnsi="宋体"/>
          <w:sz w:val="24"/>
          <w:szCs w:val="24"/>
        </w:rPr>
        <w:t>”）已于2017年</w:t>
      </w:r>
      <w:r>
        <w:rPr>
          <w:rFonts w:ascii="宋体" w:eastAsia="宋体" w:hAnsi="宋体" w:hint="eastAsia"/>
          <w:sz w:val="24"/>
          <w:szCs w:val="24"/>
        </w:rPr>
        <w:t>8</w:t>
      </w:r>
      <w:r w:rsidRPr="007E2700">
        <w:rPr>
          <w:rFonts w:ascii="宋体" w:eastAsia="宋体" w:hAnsi="宋体"/>
          <w:sz w:val="24"/>
          <w:szCs w:val="24"/>
        </w:rPr>
        <w:t>月</w:t>
      </w:r>
      <w:r>
        <w:rPr>
          <w:rFonts w:ascii="宋体" w:eastAsia="宋体" w:hAnsi="宋体" w:hint="eastAsia"/>
          <w:sz w:val="24"/>
          <w:szCs w:val="24"/>
        </w:rPr>
        <w:t>18</w:t>
      </w:r>
      <w:r w:rsidRPr="007E2700">
        <w:rPr>
          <w:rFonts w:ascii="宋体" w:eastAsia="宋体" w:hAnsi="宋体"/>
          <w:sz w:val="24"/>
          <w:szCs w:val="24"/>
        </w:rPr>
        <w:t>日在《中国证券报》、《上海证券报》、《证券时报》及公司网站刊登了《</w:t>
      </w:r>
      <w:r w:rsidRPr="007E2700">
        <w:rPr>
          <w:rFonts w:ascii="宋体" w:eastAsia="宋体" w:hAnsi="宋体" w:hint="eastAsia"/>
          <w:sz w:val="24"/>
          <w:szCs w:val="24"/>
        </w:rPr>
        <w:t>关于广发安富回报灵活配置混合型证券投资基金基金合同终止及基金财产清算的公告</w:t>
      </w:r>
      <w:r w:rsidRPr="007E2700">
        <w:rPr>
          <w:rFonts w:ascii="宋体" w:eastAsia="宋体" w:hAnsi="宋体"/>
          <w:sz w:val="24"/>
          <w:szCs w:val="24"/>
        </w:rPr>
        <w:t>》。为保护基金份额持有人的利益，现发布</w:t>
      </w:r>
      <w:r w:rsidRPr="007E2700">
        <w:rPr>
          <w:rFonts w:ascii="宋体" w:eastAsia="宋体" w:hAnsi="宋体" w:hint="eastAsia"/>
          <w:sz w:val="24"/>
          <w:szCs w:val="24"/>
        </w:rPr>
        <w:t>广发安富回报灵活配置混合型证券投资基金</w:t>
      </w:r>
      <w:r w:rsidRPr="007E2700">
        <w:rPr>
          <w:rFonts w:ascii="宋体" w:eastAsia="宋体" w:hAnsi="宋体"/>
          <w:sz w:val="24"/>
          <w:szCs w:val="24"/>
        </w:rPr>
        <w:t>基金合同终止及基金财产清算的提示性公告。</w:t>
      </w:r>
      <w:r w:rsidRPr="007E2700">
        <w:rPr>
          <w:rFonts w:ascii="宋体" w:eastAsia="宋体" w:hAnsi="宋体"/>
          <w:sz w:val="24"/>
          <w:szCs w:val="24"/>
        </w:rPr>
        <w:br/>
        <w:t>根据《中华人民共和国证券投资基金法》、《公开募集证券投资基金运作管理办法》、《</w:t>
      </w:r>
      <w:r>
        <w:rPr>
          <w:rFonts w:ascii="宋体" w:eastAsia="宋体" w:hAnsi="宋体"/>
          <w:sz w:val="24"/>
          <w:szCs w:val="24"/>
        </w:rPr>
        <w:t>广发安富回报灵活配置混合型证券投资基金</w:t>
      </w:r>
      <w:r w:rsidRPr="007E2700">
        <w:rPr>
          <w:rFonts w:ascii="宋体" w:eastAsia="宋体" w:hAnsi="宋体"/>
          <w:sz w:val="24"/>
          <w:szCs w:val="24"/>
        </w:rPr>
        <w:t>基金合同》（以下简称“基金合同”或“《基金合同》”）的有关规定，</w:t>
      </w:r>
      <w:r>
        <w:rPr>
          <w:rFonts w:ascii="宋体" w:eastAsia="宋体" w:hAnsi="宋体"/>
          <w:sz w:val="24"/>
          <w:szCs w:val="24"/>
        </w:rPr>
        <w:t>广发安富回报灵活配置混合型证券投资基金</w:t>
      </w:r>
      <w:r w:rsidRPr="007E2700">
        <w:rPr>
          <w:rFonts w:ascii="宋体" w:eastAsia="宋体" w:hAnsi="宋体"/>
          <w:sz w:val="24"/>
          <w:szCs w:val="24"/>
        </w:rPr>
        <w:t>（以下简称“本基金”）出现了基金合同终止事由，应终止基金合同并进入基金财产清算程序，此事项无需召开基金份额持有人大会审议。本基金的最后运作日定为2017年</w:t>
      </w:r>
      <w:r>
        <w:rPr>
          <w:rFonts w:ascii="宋体" w:eastAsia="宋体" w:hAnsi="宋体" w:hint="eastAsia"/>
          <w:sz w:val="24"/>
          <w:szCs w:val="24"/>
        </w:rPr>
        <w:t>8</w:t>
      </w:r>
      <w:r w:rsidRPr="007E2700">
        <w:rPr>
          <w:rFonts w:ascii="宋体" w:eastAsia="宋体" w:hAnsi="宋体"/>
          <w:sz w:val="24"/>
          <w:szCs w:val="24"/>
        </w:rPr>
        <w:t>月</w:t>
      </w:r>
      <w:r>
        <w:rPr>
          <w:rFonts w:ascii="宋体" w:eastAsia="宋体" w:hAnsi="宋体" w:hint="eastAsia"/>
          <w:sz w:val="24"/>
          <w:szCs w:val="24"/>
        </w:rPr>
        <w:t>22</w:t>
      </w:r>
      <w:r w:rsidRPr="007E2700">
        <w:rPr>
          <w:rFonts w:ascii="宋体" w:eastAsia="宋体" w:hAnsi="宋体"/>
          <w:sz w:val="24"/>
          <w:szCs w:val="24"/>
        </w:rPr>
        <w:t>日，并于2017年</w:t>
      </w:r>
      <w:r>
        <w:rPr>
          <w:rFonts w:ascii="宋体" w:eastAsia="宋体" w:hAnsi="宋体" w:hint="eastAsia"/>
          <w:sz w:val="24"/>
          <w:szCs w:val="24"/>
        </w:rPr>
        <w:t>8</w:t>
      </w:r>
      <w:r w:rsidRPr="007E2700">
        <w:rPr>
          <w:rFonts w:ascii="宋体" w:eastAsia="宋体" w:hAnsi="宋体"/>
          <w:sz w:val="24"/>
          <w:szCs w:val="24"/>
        </w:rPr>
        <w:t>月</w:t>
      </w:r>
      <w:r>
        <w:rPr>
          <w:rFonts w:ascii="宋体" w:eastAsia="宋体" w:hAnsi="宋体" w:hint="eastAsia"/>
          <w:sz w:val="24"/>
          <w:szCs w:val="24"/>
        </w:rPr>
        <w:t>23</w:t>
      </w:r>
      <w:r w:rsidRPr="007E2700">
        <w:rPr>
          <w:rFonts w:ascii="宋体" w:eastAsia="宋体" w:hAnsi="宋体"/>
          <w:sz w:val="24"/>
          <w:szCs w:val="24"/>
        </w:rPr>
        <w:t>日进入基金财产清算程序。</w:t>
      </w:r>
      <w:r>
        <w:rPr>
          <w:szCs w:val="21"/>
        </w:rPr>
        <w:br/>
      </w:r>
      <w:r w:rsidRPr="007E2700">
        <w:rPr>
          <w:rFonts w:ascii="宋体" w:eastAsia="宋体" w:hAnsi="宋体"/>
          <w:sz w:val="24"/>
          <w:szCs w:val="24"/>
        </w:rPr>
        <w:t>现将相关事宜公告如下：</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一、本基金基本信息</w:t>
      </w:r>
    </w:p>
    <w:p w:rsidR="00024E12" w:rsidRPr="00024E12" w:rsidRDefault="00A17D06" w:rsidP="00024E12">
      <w:pPr>
        <w:spacing w:line="360" w:lineRule="auto"/>
        <w:ind w:firstLine="420"/>
        <w:rPr>
          <w:rFonts w:ascii="宋体" w:eastAsia="宋体" w:hAnsi="宋体"/>
          <w:sz w:val="24"/>
          <w:szCs w:val="24"/>
        </w:rPr>
      </w:pPr>
      <w:r>
        <w:rPr>
          <w:rFonts w:ascii="宋体" w:eastAsia="宋体" w:hAnsi="宋体" w:hint="eastAsia"/>
          <w:sz w:val="24"/>
          <w:szCs w:val="24"/>
        </w:rPr>
        <w:t>基金全</w:t>
      </w:r>
      <w:r w:rsidR="00024E12" w:rsidRPr="00024E12">
        <w:rPr>
          <w:rFonts w:ascii="宋体" w:eastAsia="宋体" w:hAnsi="宋体" w:hint="eastAsia"/>
          <w:sz w:val="24"/>
          <w:szCs w:val="24"/>
        </w:rPr>
        <w:t>称：</w:t>
      </w:r>
      <w:r>
        <w:rPr>
          <w:rFonts w:ascii="宋体" w:eastAsia="宋体" w:hAnsi="宋体" w:hint="eastAsia"/>
          <w:sz w:val="24"/>
          <w:szCs w:val="24"/>
        </w:rPr>
        <w:t>广发安富回报灵活配置混合型证券投资基金</w:t>
      </w:r>
    </w:p>
    <w:p w:rsidR="00A17D06" w:rsidRDefault="00A17D06" w:rsidP="00024E12">
      <w:pPr>
        <w:spacing w:line="360" w:lineRule="auto"/>
        <w:ind w:firstLine="420"/>
        <w:rPr>
          <w:rFonts w:ascii="宋体" w:eastAsia="宋体" w:hAnsi="宋体"/>
          <w:sz w:val="24"/>
          <w:szCs w:val="24"/>
        </w:rPr>
      </w:pPr>
      <w:r>
        <w:rPr>
          <w:rFonts w:ascii="宋体" w:eastAsia="宋体" w:hAnsi="宋体" w:hint="eastAsia"/>
          <w:sz w:val="24"/>
          <w:szCs w:val="24"/>
        </w:rPr>
        <w:t>基金简称:广发安富回报混合</w:t>
      </w:r>
    </w:p>
    <w:p w:rsidR="00024E12" w:rsidRPr="00024E12" w:rsidRDefault="00A17D06" w:rsidP="00024E12">
      <w:pPr>
        <w:spacing w:line="360" w:lineRule="auto"/>
        <w:ind w:firstLine="420"/>
        <w:rPr>
          <w:rFonts w:ascii="宋体" w:eastAsia="宋体" w:hAnsi="宋体"/>
          <w:sz w:val="24"/>
          <w:szCs w:val="24"/>
        </w:rPr>
      </w:pPr>
      <w:r>
        <w:rPr>
          <w:rFonts w:ascii="宋体" w:eastAsia="宋体" w:hAnsi="宋体" w:hint="eastAsia"/>
          <w:sz w:val="24"/>
          <w:szCs w:val="24"/>
        </w:rPr>
        <w:t>基金</w:t>
      </w:r>
      <w:r w:rsidR="00024E12" w:rsidRPr="00024E12">
        <w:rPr>
          <w:rFonts w:ascii="宋体" w:eastAsia="宋体" w:hAnsi="宋体" w:hint="eastAsia"/>
          <w:sz w:val="24"/>
          <w:szCs w:val="24"/>
        </w:rPr>
        <w:t>代码：</w:t>
      </w:r>
      <w:r>
        <w:rPr>
          <w:rFonts w:ascii="宋体" w:eastAsia="宋体" w:hAnsi="宋体" w:hint="eastAsia"/>
          <w:sz w:val="24"/>
          <w:szCs w:val="24"/>
        </w:rPr>
        <w:t>A类基金份额:</w:t>
      </w:r>
      <w:r w:rsidRPr="00A17D06">
        <w:rPr>
          <w:rFonts w:ascii="宋体" w:eastAsia="宋体" w:hAnsi="宋体"/>
          <w:sz w:val="24"/>
          <w:szCs w:val="24"/>
        </w:rPr>
        <w:t>002107</w:t>
      </w:r>
      <w:r>
        <w:rPr>
          <w:rFonts w:ascii="宋体" w:eastAsia="宋体" w:hAnsi="宋体" w:hint="eastAsia"/>
          <w:sz w:val="24"/>
          <w:szCs w:val="24"/>
        </w:rPr>
        <w:t>,C类基金份额:</w:t>
      </w:r>
      <w:r>
        <w:rPr>
          <w:rFonts w:ascii="宋体" w:eastAsia="宋体" w:hAnsi="宋体"/>
          <w:sz w:val="24"/>
          <w:szCs w:val="24"/>
        </w:rPr>
        <w:t>00210</w:t>
      </w:r>
      <w:r>
        <w:rPr>
          <w:rFonts w:ascii="宋体" w:eastAsia="宋体" w:hAnsi="宋体" w:hint="eastAsia"/>
          <w:sz w:val="24"/>
          <w:szCs w:val="24"/>
        </w:rPr>
        <w:t>8</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基金运作方式：契约型开放式</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基金合同生效日：201</w:t>
      </w:r>
      <w:r w:rsidR="00A17D06">
        <w:rPr>
          <w:rFonts w:ascii="宋体" w:eastAsia="宋体" w:hAnsi="宋体" w:hint="eastAsia"/>
          <w:sz w:val="24"/>
          <w:szCs w:val="24"/>
        </w:rPr>
        <w:t>5</w:t>
      </w:r>
      <w:r w:rsidRPr="00024E12">
        <w:rPr>
          <w:rFonts w:ascii="宋体" w:eastAsia="宋体" w:hAnsi="宋体" w:hint="eastAsia"/>
          <w:sz w:val="24"/>
          <w:szCs w:val="24"/>
        </w:rPr>
        <w:t>年12月</w:t>
      </w:r>
      <w:r w:rsidR="00A17D06">
        <w:rPr>
          <w:rFonts w:ascii="宋体" w:eastAsia="宋体" w:hAnsi="宋体" w:hint="eastAsia"/>
          <w:sz w:val="24"/>
          <w:szCs w:val="24"/>
        </w:rPr>
        <w:t>29</w:t>
      </w:r>
      <w:r w:rsidRPr="00024E12">
        <w:rPr>
          <w:rFonts w:ascii="宋体" w:eastAsia="宋体" w:hAnsi="宋体" w:hint="eastAsia"/>
          <w:sz w:val="24"/>
          <w:szCs w:val="24"/>
        </w:rPr>
        <w:t>日</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基金管理人名称：</w:t>
      </w:r>
      <w:r w:rsidR="00A17D06">
        <w:rPr>
          <w:rFonts w:ascii="宋体" w:eastAsia="宋体" w:hAnsi="宋体" w:hint="eastAsia"/>
          <w:sz w:val="24"/>
          <w:szCs w:val="24"/>
        </w:rPr>
        <w:t>广发</w:t>
      </w:r>
      <w:r w:rsidRPr="00024E12">
        <w:rPr>
          <w:rFonts w:ascii="宋体" w:eastAsia="宋体" w:hAnsi="宋体" w:hint="eastAsia"/>
          <w:sz w:val="24"/>
          <w:szCs w:val="24"/>
        </w:rPr>
        <w:t>基金管理有限公司</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基金托管人名称：中国</w:t>
      </w:r>
      <w:r w:rsidR="00AF0A14" w:rsidRPr="00AF0A14">
        <w:rPr>
          <w:rFonts w:ascii="宋体" w:eastAsia="宋体" w:hAnsi="宋体" w:hint="eastAsia"/>
          <w:sz w:val="24"/>
          <w:szCs w:val="24"/>
        </w:rPr>
        <w:t>邮政储蓄银行</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公告依据：《中华人民共和国证券投资基金法》、《公开募集证券投资基金运作管理办法》、《证券投资基金信息披露管理办法》、《</w:t>
      </w:r>
      <w:r w:rsidR="00A17D06">
        <w:rPr>
          <w:rFonts w:ascii="宋体" w:eastAsia="宋体" w:hAnsi="宋体" w:hint="eastAsia"/>
          <w:sz w:val="24"/>
          <w:szCs w:val="24"/>
        </w:rPr>
        <w:t>基金</w:t>
      </w:r>
      <w:r w:rsidRPr="00024E12">
        <w:rPr>
          <w:rFonts w:ascii="宋体" w:eastAsia="宋体" w:hAnsi="宋体" w:hint="eastAsia"/>
          <w:sz w:val="24"/>
          <w:szCs w:val="24"/>
        </w:rPr>
        <w:t>合同》、《</w:t>
      </w:r>
      <w:r w:rsidR="00A17D06">
        <w:rPr>
          <w:rFonts w:ascii="宋体" w:eastAsia="宋体" w:hAnsi="宋体" w:hint="eastAsia"/>
          <w:sz w:val="24"/>
          <w:szCs w:val="24"/>
        </w:rPr>
        <w:t>广发安富回报灵活配置混合型证券投资基金</w:t>
      </w:r>
      <w:r w:rsidRPr="00024E12">
        <w:rPr>
          <w:rFonts w:ascii="宋体" w:eastAsia="宋体" w:hAnsi="宋体" w:hint="eastAsia"/>
          <w:sz w:val="24"/>
          <w:szCs w:val="24"/>
        </w:rPr>
        <w:t>招募说明书》。</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二、基金合同终止事由</w:t>
      </w:r>
    </w:p>
    <w:p w:rsidR="00024E12" w:rsidRPr="00024E12" w:rsidRDefault="00AF0A14" w:rsidP="00024E12">
      <w:pPr>
        <w:spacing w:line="360" w:lineRule="auto"/>
        <w:ind w:firstLine="420"/>
        <w:rPr>
          <w:rFonts w:ascii="宋体" w:eastAsia="宋体" w:hAnsi="宋体"/>
          <w:sz w:val="24"/>
          <w:szCs w:val="24"/>
        </w:rPr>
      </w:pPr>
      <w:r>
        <w:rPr>
          <w:rFonts w:ascii="宋体" w:eastAsia="宋体" w:hAnsi="宋体" w:hint="eastAsia"/>
          <w:sz w:val="24"/>
          <w:szCs w:val="24"/>
        </w:rPr>
        <w:t>《基金合同》</w:t>
      </w:r>
      <w:r w:rsidR="00024E12" w:rsidRPr="00024E12">
        <w:rPr>
          <w:rFonts w:ascii="宋体" w:eastAsia="宋体" w:hAnsi="宋体" w:hint="eastAsia"/>
          <w:sz w:val="24"/>
          <w:szCs w:val="24"/>
        </w:rPr>
        <w:t>第</w:t>
      </w:r>
      <w:r>
        <w:rPr>
          <w:rFonts w:ascii="宋体" w:eastAsia="宋体" w:hAnsi="宋体" w:hint="eastAsia"/>
          <w:sz w:val="24"/>
          <w:szCs w:val="24"/>
        </w:rPr>
        <w:t>五</w:t>
      </w:r>
      <w:r w:rsidR="00024E12" w:rsidRPr="00024E12">
        <w:rPr>
          <w:rFonts w:ascii="宋体" w:eastAsia="宋体" w:hAnsi="宋体" w:hint="eastAsia"/>
          <w:sz w:val="24"/>
          <w:szCs w:val="24"/>
        </w:rPr>
        <w:t>部分</w:t>
      </w:r>
      <w:r>
        <w:rPr>
          <w:rFonts w:ascii="宋体" w:eastAsia="宋体" w:hAnsi="宋体" w:hint="eastAsia"/>
          <w:sz w:val="24"/>
          <w:szCs w:val="24"/>
        </w:rPr>
        <w:t>“</w:t>
      </w:r>
      <w:r w:rsidR="00024E12" w:rsidRPr="00024E12">
        <w:rPr>
          <w:rFonts w:ascii="宋体" w:eastAsia="宋体" w:hAnsi="宋体" w:hint="eastAsia"/>
          <w:sz w:val="24"/>
          <w:szCs w:val="24"/>
        </w:rPr>
        <w:t>基金的</w:t>
      </w:r>
      <w:r>
        <w:rPr>
          <w:rFonts w:ascii="宋体" w:eastAsia="宋体" w:hAnsi="宋体" w:hint="eastAsia"/>
          <w:sz w:val="24"/>
          <w:szCs w:val="24"/>
        </w:rPr>
        <w:t>备案</w:t>
      </w:r>
      <w:r w:rsidR="00024E12" w:rsidRPr="00024E12">
        <w:rPr>
          <w:rFonts w:ascii="宋体" w:eastAsia="宋体" w:hAnsi="宋体" w:hint="eastAsia"/>
          <w:sz w:val="24"/>
          <w:szCs w:val="24"/>
        </w:rPr>
        <w:t>”第</w:t>
      </w:r>
      <w:r>
        <w:rPr>
          <w:rFonts w:ascii="宋体" w:eastAsia="宋体" w:hAnsi="宋体" w:hint="eastAsia"/>
          <w:sz w:val="24"/>
          <w:szCs w:val="24"/>
        </w:rPr>
        <w:t>三</w:t>
      </w:r>
      <w:r w:rsidR="00024E12" w:rsidRPr="00024E12">
        <w:rPr>
          <w:rFonts w:ascii="宋体" w:eastAsia="宋体" w:hAnsi="宋体" w:hint="eastAsia"/>
          <w:sz w:val="24"/>
          <w:szCs w:val="24"/>
        </w:rPr>
        <w:t>条约定：“</w:t>
      </w:r>
      <w:r w:rsidRPr="00AF0A14">
        <w:rPr>
          <w:rFonts w:ascii="宋体" w:eastAsia="宋体" w:hAnsi="宋体" w:hint="eastAsia"/>
          <w:sz w:val="24"/>
          <w:szCs w:val="24"/>
        </w:rPr>
        <w:t>《基金合同》生效后，连续二十个工作日出现基金份额持有人数量不满200人或者基金资产净值低于</w:t>
      </w:r>
      <w:r w:rsidRPr="00AF0A14">
        <w:rPr>
          <w:rFonts w:ascii="宋体" w:eastAsia="宋体" w:hAnsi="宋体" w:hint="eastAsia"/>
          <w:sz w:val="24"/>
          <w:szCs w:val="24"/>
        </w:rPr>
        <w:lastRenderedPageBreak/>
        <w:t>5000万元人民币情形的，基金管理人应在定期报告中予以披露；连续六十个工作日出现前述情形的，基金管理人应当终止《基金合同》，不需要召开基金份额持有人大会。</w:t>
      </w:r>
      <w:r w:rsidR="00024E12" w:rsidRPr="00024E12">
        <w:rPr>
          <w:rFonts w:ascii="宋体" w:eastAsia="宋体" w:hAnsi="宋体" w:hint="eastAsia"/>
          <w:sz w:val="24"/>
          <w:szCs w:val="24"/>
        </w:rPr>
        <w:t>”</w:t>
      </w:r>
    </w:p>
    <w:p w:rsidR="00024E12" w:rsidRPr="00024E12" w:rsidRDefault="00024E12" w:rsidP="00A46482">
      <w:pPr>
        <w:spacing w:line="360" w:lineRule="auto"/>
        <w:ind w:firstLine="420"/>
        <w:rPr>
          <w:rFonts w:ascii="宋体" w:eastAsia="宋体" w:hAnsi="宋体"/>
          <w:sz w:val="24"/>
          <w:szCs w:val="24"/>
        </w:rPr>
      </w:pPr>
      <w:r w:rsidRPr="00024E12">
        <w:rPr>
          <w:rFonts w:ascii="宋体" w:eastAsia="宋体" w:hAnsi="宋体" w:hint="eastAsia"/>
          <w:sz w:val="24"/>
          <w:szCs w:val="24"/>
        </w:rPr>
        <w:t>鉴于自《基金合同》生效后，</w:t>
      </w:r>
      <w:r w:rsidR="00381847">
        <w:rPr>
          <w:rFonts w:ascii="宋体" w:eastAsia="宋体" w:hAnsi="宋体" w:hint="eastAsia"/>
          <w:sz w:val="24"/>
          <w:szCs w:val="24"/>
        </w:rPr>
        <w:t>截至</w:t>
      </w:r>
      <w:r w:rsidR="005B6B2D">
        <w:rPr>
          <w:rFonts w:ascii="宋体" w:eastAsia="宋体" w:hAnsi="宋体" w:hint="eastAsia"/>
          <w:sz w:val="24"/>
          <w:szCs w:val="24"/>
        </w:rPr>
        <w:t>2017</w:t>
      </w:r>
      <w:r w:rsidR="00381847">
        <w:rPr>
          <w:rFonts w:ascii="宋体" w:eastAsia="宋体" w:hAnsi="宋体" w:hint="eastAsia"/>
          <w:sz w:val="24"/>
          <w:szCs w:val="24"/>
        </w:rPr>
        <w:t>年</w:t>
      </w:r>
      <w:r w:rsidR="005B6B2D">
        <w:rPr>
          <w:rFonts w:ascii="宋体" w:eastAsia="宋体" w:hAnsi="宋体" w:hint="eastAsia"/>
          <w:sz w:val="24"/>
          <w:szCs w:val="24"/>
        </w:rPr>
        <w:t>8</w:t>
      </w:r>
      <w:r w:rsidR="00381847">
        <w:rPr>
          <w:rFonts w:ascii="宋体" w:eastAsia="宋体" w:hAnsi="宋体" w:hint="eastAsia"/>
          <w:sz w:val="24"/>
          <w:szCs w:val="24"/>
        </w:rPr>
        <w:t>月</w:t>
      </w:r>
      <w:r w:rsidR="005B6B2D">
        <w:rPr>
          <w:rFonts w:ascii="宋体" w:eastAsia="宋体" w:hAnsi="宋体" w:hint="eastAsia"/>
          <w:sz w:val="24"/>
          <w:szCs w:val="24"/>
        </w:rPr>
        <w:t>10</w:t>
      </w:r>
      <w:r w:rsidR="00381847">
        <w:rPr>
          <w:rFonts w:ascii="宋体" w:eastAsia="宋体" w:hAnsi="宋体" w:hint="eastAsia"/>
          <w:sz w:val="24"/>
          <w:szCs w:val="24"/>
        </w:rPr>
        <w:t>日，</w:t>
      </w:r>
      <w:r w:rsidRPr="00024E12">
        <w:rPr>
          <w:rFonts w:ascii="宋体" w:eastAsia="宋体" w:hAnsi="宋体" w:hint="eastAsia"/>
          <w:sz w:val="24"/>
          <w:szCs w:val="24"/>
        </w:rPr>
        <w:t>本基金已出现连续60 个工作日基金资产净值低于5000 万元的情形，为维护基金份额持有人利益，根据基金合同约定，无需召开基金份额持有人大会，</w:t>
      </w:r>
      <w:r w:rsidR="00535A24">
        <w:rPr>
          <w:rFonts w:ascii="宋体" w:eastAsia="宋体" w:hAnsi="宋体" w:hint="eastAsia"/>
          <w:sz w:val="24"/>
          <w:szCs w:val="24"/>
        </w:rPr>
        <w:t>本基金管理人拟</w:t>
      </w:r>
      <w:r w:rsidRPr="00024E12">
        <w:rPr>
          <w:rFonts w:ascii="宋体" w:eastAsia="宋体" w:hAnsi="宋体" w:hint="eastAsia"/>
          <w:sz w:val="24"/>
          <w:szCs w:val="24"/>
        </w:rPr>
        <w:t>终止本基金合同并依法履行基金财产清算程序。</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三、终止《基金合同》技术可行性</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根据基金合同中有关基金财产清算的规定，将成立基金财产清算小组。基金财产清算小组成员由基金管理人、基金托管人、具有从事证券相关业务资格的注册会计师、律师以及中国证监会指定的人员组成。基金财产清算小组可以聘用必要的工作人员。本基金的基金管理人、基金托管人已就财产清算的有关事项进行充分准备。清算报告将由会计师事务所进行外部审计，律师事务所出具法律意见书，报中国证券监督管理委员会备案并公告。</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因此，终止《基金合同》不存在技术方面的障碍。</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四、终止《基金合同》主要风险及预备措施</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本基金进入清算程序前，部分基金份额持有人可能</w:t>
      </w:r>
      <w:r w:rsidR="00944256">
        <w:rPr>
          <w:rFonts w:ascii="宋体" w:eastAsia="宋体" w:hAnsi="宋体" w:hint="eastAsia"/>
          <w:sz w:val="24"/>
          <w:szCs w:val="24"/>
        </w:rPr>
        <w:t>已申请</w:t>
      </w:r>
      <w:r w:rsidRPr="00024E12">
        <w:rPr>
          <w:rFonts w:ascii="宋体" w:eastAsia="宋体" w:hAnsi="宋体" w:hint="eastAsia"/>
          <w:sz w:val="24"/>
          <w:szCs w:val="24"/>
        </w:rPr>
        <w:t>赎回其持有的基金份额。本基金进入清算程序前，基金份额持有人申请赎回其持有的基金份额仍需按照《基金合同》、《招募说明书》的约定进行。但如果发生了巨额赎回或可以暂停赎回的情形，基金管理人可以根据基金当时的资产组合状况决定全额赎回或部分延期赎回，或暂停接受基金的赎回申请。同时，基金管理人也会提前做好流动性安排，对资产进行变现以应对可能的赎回。</w:t>
      </w:r>
    </w:p>
    <w:p w:rsidR="00024E12" w:rsidRDefault="00024E12" w:rsidP="00612668">
      <w:pPr>
        <w:spacing w:line="360" w:lineRule="auto"/>
        <w:ind w:firstLine="420"/>
        <w:rPr>
          <w:rFonts w:ascii="宋体" w:eastAsia="宋体" w:hAnsi="宋体"/>
          <w:sz w:val="24"/>
          <w:szCs w:val="24"/>
        </w:rPr>
      </w:pPr>
      <w:r w:rsidRPr="00024E12">
        <w:rPr>
          <w:rFonts w:ascii="宋体" w:eastAsia="宋体" w:hAnsi="宋体" w:hint="eastAsia"/>
          <w:sz w:val="24"/>
          <w:szCs w:val="24"/>
        </w:rPr>
        <w:t>在全部基金份额均被赎回的情形下，本基金仍将进入财产清算程序。</w:t>
      </w:r>
      <w:r w:rsidR="00AF0A14" w:rsidRPr="00AF0A14">
        <w:rPr>
          <w:rFonts w:ascii="宋体" w:eastAsia="宋体" w:hAnsi="宋体" w:hint="eastAsia"/>
          <w:sz w:val="24"/>
          <w:szCs w:val="24"/>
        </w:rPr>
        <w:t>由于届时所有清算费用将不再由基金财产而改由基金管理人支付，因此即使是在待分配财产为零的情形下，也不会出现基金资产不足以支付清算费用的风险。</w:t>
      </w:r>
    </w:p>
    <w:p w:rsidR="001B269E" w:rsidRPr="001B269E" w:rsidRDefault="001B269E" w:rsidP="009E197F">
      <w:pPr>
        <w:spacing w:line="360" w:lineRule="auto"/>
        <w:ind w:firstLine="420"/>
        <w:rPr>
          <w:rFonts w:ascii="宋体" w:eastAsia="宋体" w:hAnsi="宋体"/>
          <w:sz w:val="24"/>
          <w:szCs w:val="24"/>
        </w:rPr>
      </w:pPr>
      <w:r w:rsidRPr="00AF0A14">
        <w:rPr>
          <w:rFonts w:ascii="宋体" w:eastAsia="宋体" w:hAnsi="宋体" w:hint="eastAsia"/>
          <w:sz w:val="24"/>
          <w:szCs w:val="24"/>
        </w:rPr>
        <w:t>基金进入清算程序后,如</w:t>
      </w:r>
      <w:r>
        <w:rPr>
          <w:rFonts w:ascii="宋体" w:eastAsia="宋体" w:hAnsi="宋体" w:hint="eastAsia"/>
          <w:sz w:val="24"/>
          <w:szCs w:val="24"/>
        </w:rPr>
        <w:t>因本基金所持证券的流动性受限等客观因素影响，</w:t>
      </w:r>
      <w:r w:rsidRPr="00AF0A14">
        <w:rPr>
          <w:rFonts w:ascii="宋体" w:eastAsia="宋体" w:hAnsi="宋体" w:hint="eastAsia"/>
          <w:sz w:val="24"/>
          <w:szCs w:val="24"/>
        </w:rPr>
        <w:t>本基金将先以已变现基金资产为限进行分配，待</w:t>
      </w:r>
      <w:r w:rsidRPr="00E6517F">
        <w:rPr>
          <w:rFonts w:ascii="宋体" w:eastAsia="宋体" w:hAnsi="宋体" w:hint="eastAsia"/>
          <w:sz w:val="24"/>
          <w:szCs w:val="24"/>
        </w:rPr>
        <w:t>本基金所持证券</w:t>
      </w:r>
      <w:r w:rsidRPr="00AF0A14">
        <w:rPr>
          <w:rFonts w:ascii="宋体" w:eastAsia="宋体" w:hAnsi="宋体" w:hint="eastAsia"/>
          <w:sz w:val="24"/>
          <w:szCs w:val="24"/>
        </w:rPr>
        <w:t>全部变现后进行再次分配。</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五、相关业务办理情况</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lastRenderedPageBreak/>
        <w:t>自2017年</w:t>
      </w:r>
      <w:r w:rsidR="000561C0">
        <w:rPr>
          <w:rFonts w:ascii="宋体" w:eastAsia="宋体" w:hAnsi="宋体" w:hint="eastAsia"/>
          <w:sz w:val="24"/>
          <w:szCs w:val="24"/>
        </w:rPr>
        <w:t>8</w:t>
      </w:r>
      <w:r w:rsidRPr="00024E12">
        <w:rPr>
          <w:rFonts w:ascii="宋体" w:eastAsia="宋体" w:hAnsi="宋体" w:hint="eastAsia"/>
          <w:sz w:val="24"/>
          <w:szCs w:val="24"/>
        </w:rPr>
        <w:t>月</w:t>
      </w:r>
      <w:r w:rsidR="005B6B2D">
        <w:rPr>
          <w:rFonts w:ascii="宋体" w:eastAsia="宋体" w:hAnsi="宋体" w:hint="eastAsia"/>
          <w:sz w:val="24"/>
          <w:szCs w:val="24"/>
        </w:rPr>
        <w:t>23</w:t>
      </w:r>
      <w:r w:rsidRPr="00024E12">
        <w:rPr>
          <w:rFonts w:ascii="宋体" w:eastAsia="宋体" w:hAnsi="宋体" w:hint="eastAsia"/>
          <w:sz w:val="24"/>
          <w:szCs w:val="24"/>
        </w:rPr>
        <w:t>日起，本基金进入清算程序，终止办理申购</w:t>
      </w:r>
      <w:r w:rsidR="000561C0">
        <w:rPr>
          <w:rFonts w:ascii="宋体" w:eastAsia="宋体" w:hAnsi="宋体" w:hint="eastAsia"/>
          <w:sz w:val="24"/>
          <w:szCs w:val="24"/>
        </w:rPr>
        <w:t>、</w:t>
      </w:r>
      <w:r w:rsidR="00147051">
        <w:rPr>
          <w:rFonts w:ascii="宋体" w:eastAsia="宋体" w:hAnsi="宋体" w:hint="eastAsia"/>
          <w:sz w:val="24"/>
          <w:szCs w:val="24"/>
        </w:rPr>
        <w:t>赎回、</w:t>
      </w:r>
      <w:r w:rsidRPr="00024E12">
        <w:rPr>
          <w:rFonts w:ascii="宋体" w:eastAsia="宋体" w:hAnsi="宋体" w:hint="eastAsia"/>
          <w:sz w:val="24"/>
          <w:szCs w:val="24"/>
        </w:rPr>
        <w:t>转换（转入和转出）</w:t>
      </w:r>
      <w:r w:rsidR="00147051">
        <w:rPr>
          <w:rFonts w:ascii="宋体" w:eastAsia="宋体" w:hAnsi="宋体" w:hint="eastAsia"/>
          <w:sz w:val="24"/>
          <w:szCs w:val="24"/>
        </w:rPr>
        <w:t>以及</w:t>
      </w:r>
      <w:r w:rsidR="00147051" w:rsidRPr="00147051">
        <w:rPr>
          <w:rFonts w:ascii="宋体" w:eastAsia="宋体" w:hAnsi="宋体" w:hint="eastAsia"/>
          <w:sz w:val="24"/>
          <w:szCs w:val="24"/>
        </w:rPr>
        <w:t>定期定额及不定额投资</w:t>
      </w:r>
      <w:r w:rsidRPr="00024E12">
        <w:rPr>
          <w:rFonts w:ascii="宋体" w:eastAsia="宋体" w:hAnsi="宋体" w:hint="eastAsia"/>
          <w:sz w:val="24"/>
          <w:szCs w:val="24"/>
        </w:rPr>
        <w:t>等业务，基金财产将在清算完毕后进行分配。</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本基金进入清算程序后，停止收取基金管理费、基金托管费。</w:t>
      </w:r>
    </w:p>
    <w:p w:rsidR="00024E12" w:rsidRPr="00024E12" w:rsidRDefault="00024E12" w:rsidP="00024E12">
      <w:pPr>
        <w:spacing w:line="360" w:lineRule="auto"/>
        <w:ind w:firstLine="420"/>
        <w:rPr>
          <w:rFonts w:ascii="宋体" w:eastAsia="宋体" w:hAnsi="宋体"/>
          <w:sz w:val="24"/>
          <w:szCs w:val="24"/>
        </w:rPr>
      </w:pPr>
      <w:r w:rsidRPr="00024E12">
        <w:rPr>
          <w:rFonts w:ascii="宋体" w:eastAsia="宋体" w:hAnsi="宋体" w:hint="eastAsia"/>
          <w:sz w:val="24"/>
          <w:szCs w:val="24"/>
        </w:rPr>
        <w:t>本基金进入清算程序前，本基金仍按照《基金合同》的约定进行运作。</w:t>
      </w:r>
    </w:p>
    <w:p w:rsidR="000561C0" w:rsidRPr="000561C0" w:rsidRDefault="000561C0" w:rsidP="000561C0">
      <w:pPr>
        <w:spacing w:line="360" w:lineRule="auto"/>
        <w:ind w:firstLine="420"/>
        <w:rPr>
          <w:rFonts w:ascii="宋体" w:eastAsia="宋体" w:hAnsi="宋体"/>
          <w:sz w:val="24"/>
          <w:szCs w:val="24"/>
        </w:rPr>
      </w:pPr>
      <w:r>
        <w:rPr>
          <w:rFonts w:ascii="宋体" w:eastAsia="宋体" w:hAnsi="宋体" w:hint="eastAsia"/>
          <w:sz w:val="24"/>
          <w:szCs w:val="24"/>
        </w:rPr>
        <w:t>六</w:t>
      </w:r>
      <w:r w:rsidRPr="000561C0">
        <w:rPr>
          <w:rFonts w:ascii="宋体" w:eastAsia="宋体" w:hAnsi="宋体" w:hint="eastAsia"/>
          <w:sz w:val="24"/>
          <w:szCs w:val="24"/>
        </w:rPr>
        <w:t>、基金财产的清算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1、基金财产清算小组：自出现《基金合同》终止事由之日起30个工作日内成立清算小组，基金管理人组织基金财产清算小组并在中国证监会的监督下进行基金清算。</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3、基金财产清算小组职责：基金财产清算小组负责基金财产的保管、清理、估价、变现和分配。基金财产清算小组可以依法进行必要的民事活动。</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4、基金财产清算程序：</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（1）《基金合同》终止情形出现时，由基金财产清算小组统一接管基金；</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（2）对基金财产和债权债务进行清理和确认；</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（3）对基金财产进行估值和变现；</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（4）制作清算报告；</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（5）聘请会计师事务所对清算报告进行外部审计，聘请律师事务所对清算报告出具法律意见书；</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（6）将清算报告报中国证监会备案并确认后公告；</w:t>
      </w:r>
    </w:p>
    <w:p w:rsidR="000561C0" w:rsidRP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（7）对基金财产进行分配。</w:t>
      </w:r>
    </w:p>
    <w:p w:rsidR="000561C0" w:rsidRDefault="000561C0" w:rsidP="000561C0">
      <w:pPr>
        <w:spacing w:line="360" w:lineRule="auto"/>
        <w:ind w:firstLine="420"/>
        <w:rPr>
          <w:rFonts w:ascii="宋体" w:eastAsia="宋体" w:hAnsi="宋体"/>
          <w:sz w:val="24"/>
          <w:szCs w:val="24"/>
        </w:rPr>
      </w:pPr>
      <w:r w:rsidRPr="000561C0">
        <w:rPr>
          <w:rFonts w:ascii="宋体" w:eastAsia="宋体" w:hAnsi="宋体" w:hint="eastAsia"/>
          <w:sz w:val="24"/>
          <w:szCs w:val="24"/>
        </w:rPr>
        <w:t>5、基金财产清算的期限为6个月，基金财产清算小组可根据清算的具体情况适当延长清算期限，并提前公告。</w:t>
      </w:r>
    </w:p>
    <w:p w:rsidR="00024E12" w:rsidRPr="00024E12" w:rsidRDefault="000561C0" w:rsidP="000561C0">
      <w:pPr>
        <w:spacing w:line="360" w:lineRule="auto"/>
        <w:ind w:firstLine="420"/>
        <w:rPr>
          <w:rFonts w:ascii="宋体" w:eastAsia="宋体" w:hAnsi="宋体"/>
          <w:sz w:val="24"/>
          <w:szCs w:val="24"/>
        </w:rPr>
      </w:pPr>
      <w:r>
        <w:rPr>
          <w:rFonts w:ascii="宋体" w:eastAsia="宋体" w:hAnsi="宋体" w:hint="eastAsia"/>
          <w:sz w:val="24"/>
          <w:szCs w:val="24"/>
        </w:rPr>
        <w:t>6</w:t>
      </w:r>
      <w:r w:rsidR="00024E12" w:rsidRPr="00024E12">
        <w:rPr>
          <w:rFonts w:ascii="宋体" w:eastAsia="宋体" w:hAnsi="宋体" w:hint="eastAsia"/>
          <w:sz w:val="24"/>
          <w:szCs w:val="24"/>
        </w:rPr>
        <w:t>、清算费用</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按照《基金合同》“第十九部分 基金合同的变更、终止与基金财产的清算”的约定，清算费用是指基金财产清算小组在进行基金清算过程中发生的所有合理费用，清算费用由基金财产清算小组优先从基金剩余财产中支付。</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7</w:t>
      </w:r>
      <w:r w:rsidR="00024E12" w:rsidRPr="00024E12">
        <w:rPr>
          <w:rFonts w:ascii="宋体" w:eastAsia="宋体" w:hAnsi="宋体" w:hint="eastAsia"/>
          <w:sz w:val="24"/>
          <w:szCs w:val="24"/>
        </w:rPr>
        <w:t>、基金财产清算剩余资产的分配</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024E12" w:rsidRPr="00024E12" w:rsidRDefault="000561C0" w:rsidP="00024E12">
      <w:pPr>
        <w:spacing w:line="360" w:lineRule="auto"/>
        <w:ind w:firstLine="420"/>
        <w:rPr>
          <w:rFonts w:ascii="宋体" w:eastAsia="宋体" w:hAnsi="宋体"/>
          <w:sz w:val="24"/>
          <w:szCs w:val="24"/>
        </w:rPr>
      </w:pPr>
      <w:r>
        <w:rPr>
          <w:rFonts w:ascii="宋体" w:eastAsia="宋体" w:hAnsi="宋体" w:hint="eastAsia"/>
          <w:sz w:val="24"/>
          <w:szCs w:val="24"/>
        </w:rPr>
        <w:t>8</w:t>
      </w:r>
      <w:r w:rsidR="00024E12" w:rsidRPr="00024E12">
        <w:rPr>
          <w:rFonts w:ascii="宋体" w:eastAsia="宋体" w:hAnsi="宋体" w:hint="eastAsia"/>
          <w:sz w:val="24"/>
          <w:szCs w:val="24"/>
        </w:rPr>
        <w:t>、基金财产清算的公告</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024E12" w:rsidRPr="00024E12" w:rsidRDefault="000561C0" w:rsidP="00AF0A14">
      <w:pPr>
        <w:spacing w:line="360" w:lineRule="auto"/>
        <w:ind w:firstLine="420"/>
        <w:rPr>
          <w:rFonts w:ascii="宋体" w:eastAsia="宋体" w:hAnsi="宋体"/>
          <w:sz w:val="24"/>
          <w:szCs w:val="24"/>
        </w:rPr>
      </w:pPr>
      <w:r>
        <w:rPr>
          <w:rFonts w:ascii="宋体" w:eastAsia="宋体" w:hAnsi="宋体" w:hint="eastAsia"/>
          <w:sz w:val="24"/>
          <w:szCs w:val="24"/>
        </w:rPr>
        <w:t>9</w:t>
      </w:r>
      <w:r w:rsidR="00024E12" w:rsidRPr="00024E12">
        <w:rPr>
          <w:rFonts w:ascii="宋体" w:eastAsia="宋体" w:hAnsi="宋体" w:hint="eastAsia"/>
          <w:sz w:val="24"/>
          <w:szCs w:val="24"/>
        </w:rPr>
        <w:t>、基金财产清算账册及文件的保存</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基金财产清算账册及有关文件由基金托管人保存15年以上。</w:t>
      </w:r>
    </w:p>
    <w:p w:rsidR="00024E12" w:rsidRPr="00024E12" w:rsidRDefault="00024E12" w:rsidP="00CA0647">
      <w:pPr>
        <w:spacing w:line="360" w:lineRule="auto"/>
        <w:ind w:firstLine="420"/>
        <w:rPr>
          <w:rFonts w:ascii="宋体" w:eastAsia="宋体" w:hAnsi="宋体"/>
          <w:sz w:val="24"/>
          <w:szCs w:val="24"/>
        </w:rPr>
      </w:pPr>
      <w:r w:rsidRPr="00024E12">
        <w:rPr>
          <w:rFonts w:ascii="宋体" w:eastAsia="宋体" w:hAnsi="宋体" w:hint="eastAsia"/>
          <w:sz w:val="24"/>
          <w:szCs w:val="24"/>
        </w:rPr>
        <w:t>七、</w:t>
      </w:r>
      <w:r w:rsidR="00CA0647" w:rsidRPr="00CA0647">
        <w:rPr>
          <w:rStyle w:val="a5"/>
          <w:rFonts w:ascii="宋体" w:eastAsia="宋体" w:hAnsi="宋体" w:hint="eastAsia"/>
          <w:sz w:val="24"/>
          <w:szCs w:val="24"/>
        </w:rPr>
        <w:t>其</w:t>
      </w:r>
      <w:r w:rsidRPr="00CA0647">
        <w:rPr>
          <w:rFonts w:ascii="宋体" w:eastAsia="宋体" w:hAnsi="宋体" w:hint="eastAsia"/>
          <w:sz w:val="24"/>
          <w:szCs w:val="24"/>
        </w:rPr>
        <w:t>他</w:t>
      </w:r>
      <w:r w:rsidRPr="00024E12">
        <w:rPr>
          <w:rFonts w:ascii="宋体" w:eastAsia="宋体" w:hAnsi="宋体" w:hint="eastAsia"/>
          <w:sz w:val="24"/>
          <w:szCs w:val="24"/>
        </w:rPr>
        <w:t>需要提示的事项</w:t>
      </w:r>
    </w:p>
    <w:p w:rsidR="00024E12" w:rsidRPr="00024E12"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1、本基金自2017年</w:t>
      </w:r>
      <w:r w:rsidR="00AF0A14">
        <w:rPr>
          <w:rFonts w:ascii="宋体" w:eastAsia="宋体" w:hAnsi="宋体" w:hint="eastAsia"/>
          <w:sz w:val="24"/>
          <w:szCs w:val="24"/>
        </w:rPr>
        <w:t>8</w:t>
      </w:r>
      <w:r w:rsidRPr="00024E12">
        <w:rPr>
          <w:rFonts w:ascii="宋体" w:eastAsia="宋体" w:hAnsi="宋体" w:hint="eastAsia"/>
          <w:sz w:val="24"/>
          <w:szCs w:val="24"/>
        </w:rPr>
        <w:t>月</w:t>
      </w:r>
      <w:r w:rsidR="005B6B2D">
        <w:rPr>
          <w:rFonts w:ascii="宋体" w:eastAsia="宋体" w:hAnsi="宋体" w:hint="eastAsia"/>
          <w:sz w:val="24"/>
          <w:szCs w:val="24"/>
        </w:rPr>
        <w:t>23</w:t>
      </w:r>
      <w:r w:rsidRPr="00024E12">
        <w:rPr>
          <w:rFonts w:ascii="宋体" w:eastAsia="宋体" w:hAnsi="宋体" w:hint="eastAsia"/>
          <w:sz w:val="24"/>
          <w:szCs w:val="24"/>
        </w:rPr>
        <w:t>日起终止办理申购</w:t>
      </w:r>
      <w:r w:rsidR="00AF0A14">
        <w:rPr>
          <w:rFonts w:ascii="宋体" w:eastAsia="宋体" w:hAnsi="宋体" w:hint="eastAsia"/>
          <w:sz w:val="24"/>
          <w:szCs w:val="24"/>
        </w:rPr>
        <w:t>、赎回</w:t>
      </w:r>
      <w:r w:rsidR="00147051">
        <w:rPr>
          <w:rFonts w:ascii="宋体" w:eastAsia="宋体" w:hAnsi="宋体" w:hint="eastAsia"/>
          <w:sz w:val="24"/>
          <w:szCs w:val="24"/>
        </w:rPr>
        <w:t>、</w:t>
      </w:r>
      <w:r w:rsidRPr="00024E12">
        <w:rPr>
          <w:rFonts w:ascii="宋体" w:eastAsia="宋体" w:hAnsi="宋体" w:hint="eastAsia"/>
          <w:sz w:val="24"/>
          <w:szCs w:val="24"/>
        </w:rPr>
        <w:t>转换（转入和转出）</w:t>
      </w:r>
      <w:r w:rsidR="00147051">
        <w:rPr>
          <w:rFonts w:ascii="宋体" w:eastAsia="宋体" w:hAnsi="宋体" w:hint="eastAsia"/>
          <w:sz w:val="24"/>
          <w:szCs w:val="24"/>
        </w:rPr>
        <w:t>以及</w:t>
      </w:r>
      <w:r w:rsidR="00147051" w:rsidRPr="00147051">
        <w:rPr>
          <w:rFonts w:ascii="宋体" w:eastAsia="宋体" w:hAnsi="宋体" w:hint="eastAsia"/>
          <w:sz w:val="24"/>
          <w:szCs w:val="24"/>
        </w:rPr>
        <w:t>定期定额及不定额投资</w:t>
      </w:r>
      <w:r w:rsidRPr="00024E12">
        <w:rPr>
          <w:rFonts w:ascii="宋体" w:eastAsia="宋体" w:hAnsi="宋体" w:hint="eastAsia"/>
          <w:sz w:val="24"/>
          <w:szCs w:val="24"/>
        </w:rPr>
        <w:t>等业务，基金财产将在清算完毕后进行分配。敬请投资者予以关注。本公司承诺在清算过程中以诚实信用、勤勉尽责的原则履行相关职责。基金财产清算</w:t>
      </w:r>
      <w:r w:rsidR="001B269E">
        <w:rPr>
          <w:rFonts w:ascii="宋体" w:eastAsia="宋体" w:hAnsi="宋体" w:hint="eastAsia"/>
          <w:sz w:val="24"/>
          <w:szCs w:val="24"/>
        </w:rPr>
        <w:t>报告</w:t>
      </w:r>
      <w:r w:rsidRPr="00024E12">
        <w:rPr>
          <w:rFonts w:ascii="宋体" w:eastAsia="宋体" w:hAnsi="宋体" w:hint="eastAsia"/>
          <w:sz w:val="24"/>
          <w:szCs w:val="24"/>
        </w:rPr>
        <w:t>将在报中国证监会备案后公布，并将遵照法律法规、基金合同等规定及时进行分配，敬请投资者留意。</w:t>
      </w:r>
    </w:p>
    <w:p w:rsidR="00024E12" w:rsidRPr="00024E12" w:rsidRDefault="00AF0A14" w:rsidP="00AF0A14">
      <w:pPr>
        <w:spacing w:line="360" w:lineRule="auto"/>
        <w:ind w:firstLineChars="175" w:firstLine="420"/>
        <w:rPr>
          <w:rFonts w:ascii="宋体" w:eastAsia="宋体" w:hAnsi="宋体"/>
          <w:sz w:val="24"/>
          <w:szCs w:val="24"/>
        </w:rPr>
      </w:pPr>
      <w:r>
        <w:rPr>
          <w:rFonts w:ascii="宋体" w:eastAsia="宋体" w:hAnsi="宋体" w:hint="eastAsia"/>
          <w:sz w:val="24"/>
          <w:szCs w:val="24"/>
        </w:rPr>
        <w:t>2</w:t>
      </w:r>
      <w:r w:rsidR="00024E12" w:rsidRPr="00024E12">
        <w:rPr>
          <w:rFonts w:ascii="宋体" w:eastAsia="宋体" w:hAnsi="宋体" w:hint="eastAsia"/>
          <w:sz w:val="24"/>
          <w:szCs w:val="24"/>
        </w:rPr>
        <w:t>、投资者可以登陆</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基金管理有限公司网站（</w:t>
      </w:r>
      <w:r w:rsidR="00100CEC" w:rsidRPr="00100CEC">
        <w:rPr>
          <w:rFonts w:ascii="宋体" w:eastAsia="宋体" w:hAnsi="宋体"/>
          <w:sz w:val="24"/>
          <w:szCs w:val="24"/>
        </w:rPr>
        <w:t>www.gffunds.com.cn</w:t>
      </w:r>
      <w:r>
        <w:rPr>
          <w:rFonts w:ascii="宋体" w:eastAsia="宋体" w:hAnsi="宋体" w:hint="eastAsia"/>
          <w:sz w:val="24"/>
          <w:szCs w:val="24"/>
        </w:rPr>
        <w:t>）或拨</w:t>
      </w:r>
      <w:r w:rsidR="00024E12" w:rsidRPr="00024E12">
        <w:rPr>
          <w:rFonts w:ascii="宋体" w:eastAsia="宋体" w:hAnsi="宋体" w:hint="eastAsia"/>
          <w:sz w:val="24"/>
          <w:szCs w:val="24"/>
        </w:rPr>
        <w:t>打</w:t>
      </w:r>
      <w:r w:rsidR="00A17D06">
        <w:rPr>
          <w:rFonts w:ascii="宋体" w:eastAsia="宋体" w:hAnsi="宋体" w:hint="eastAsia"/>
          <w:sz w:val="24"/>
          <w:szCs w:val="24"/>
        </w:rPr>
        <w:t>广发</w:t>
      </w:r>
      <w:r w:rsidR="00024E12" w:rsidRPr="00024E12">
        <w:rPr>
          <w:rFonts w:ascii="宋体" w:eastAsia="宋体" w:hAnsi="宋体" w:hint="eastAsia"/>
          <w:sz w:val="24"/>
          <w:szCs w:val="24"/>
        </w:rPr>
        <w:t>基金管理有限公司全国统一客户服务号码</w:t>
      </w:r>
      <w:r w:rsidR="00100CEC" w:rsidRPr="00100CEC">
        <w:rPr>
          <w:rFonts w:ascii="宋体" w:eastAsia="宋体" w:hAnsi="宋体"/>
          <w:sz w:val="24"/>
          <w:szCs w:val="24"/>
        </w:rPr>
        <w:t>95105828</w:t>
      </w:r>
      <w:r w:rsidR="00024E12" w:rsidRPr="00024E12">
        <w:rPr>
          <w:rFonts w:ascii="宋体" w:eastAsia="宋体" w:hAnsi="宋体" w:hint="eastAsia"/>
          <w:sz w:val="24"/>
          <w:szCs w:val="24"/>
        </w:rPr>
        <w:t>（免长途话费）咨询相关情况。</w:t>
      </w:r>
    </w:p>
    <w:p w:rsidR="00AF0A14" w:rsidRDefault="00AF0A14" w:rsidP="00AF0A14">
      <w:pPr>
        <w:spacing w:line="360" w:lineRule="auto"/>
        <w:ind w:firstLine="420"/>
        <w:rPr>
          <w:rFonts w:ascii="宋体" w:eastAsia="宋体" w:hAnsi="宋体"/>
          <w:sz w:val="24"/>
          <w:szCs w:val="24"/>
        </w:rPr>
      </w:pPr>
    </w:p>
    <w:p w:rsidR="00AF0A14" w:rsidRDefault="00024E12" w:rsidP="00AF0A14">
      <w:pPr>
        <w:spacing w:line="360" w:lineRule="auto"/>
        <w:ind w:firstLine="420"/>
        <w:rPr>
          <w:rFonts w:ascii="宋体" w:eastAsia="宋体" w:hAnsi="宋体"/>
          <w:sz w:val="24"/>
          <w:szCs w:val="24"/>
        </w:rPr>
      </w:pPr>
      <w:r w:rsidRPr="00024E12">
        <w:rPr>
          <w:rFonts w:ascii="宋体" w:eastAsia="宋体" w:hAnsi="宋体" w:hint="eastAsia"/>
          <w:sz w:val="24"/>
          <w:szCs w:val="24"/>
        </w:rPr>
        <w:t xml:space="preserve">特此公告。 </w:t>
      </w:r>
    </w:p>
    <w:p w:rsidR="00AF0A14" w:rsidRDefault="00AF0A14" w:rsidP="00AF0A14">
      <w:pPr>
        <w:spacing w:line="360" w:lineRule="auto"/>
        <w:ind w:firstLine="420"/>
        <w:rPr>
          <w:rFonts w:ascii="宋体" w:eastAsia="宋体" w:hAnsi="宋体"/>
          <w:sz w:val="24"/>
          <w:szCs w:val="24"/>
        </w:rPr>
      </w:pPr>
    </w:p>
    <w:p w:rsidR="00AF0A14" w:rsidRDefault="00A17D06" w:rsidP="00AF0A14">
      <w:pPr>
        <w:spacing w:line="360" w:lineRule="auto"/>
        <w:ind w:firstLine="420"/>
        <w:jc w:val="right"/>
        <w:rPr>
          <w:rFonts w:ascii="宋体" w:eastAsia="宋体" w:hAnsi="宋体"/>
          <w:sz w:val="24"/>
          <w:szCs w:val="24"/>
        </w:rPr>
      </w:pPr>
      <w:r>
        <w:rPr>
          <w:rFonts w:ascii="宋体" w:eastAsia="宋体" w:hAnsi="宋体" w:hint="eastAsia"/>
          <w:sz w:val="24"/>
          <w:szCs w:val="24"/>
        </w:rPr>
        <w:t>广发</w:t>
      </w:r>
      <w:r w:rsidR="00024E12" w:rsidRPr="00024E12">
        <w:rPr>
          <w:rFonts w:ascii="宋体" w:eastAsia="宋体" w:hAnsi="宋体" w:hint="eastAsia"/>
          <w:sz w:val="24"/>
          <w:szCs w:val="24"/>
        </w:rPr>
        <w:t xml:space="preserve">基金管理有限公司 </w:t>
      </w:r>
    </w:p>
    <w:p w:rsidR="003861FA" w:rsidRPr="00024E12" w:rsidRDefault="00024E12" w:rsidP="00AF0A14">
      <w:pPr>
        <w:spacing w:line="360" w:lineRule="auto"/>
        <w:ind w:firstLine="420"/>
        <w:jc w:val="right"/>
        <w:rPr>
          <w:rFonts w:ascii="宋体" w:eastAsia="宋体" w:hAnsi="宋体"/>
          <w:sz w:val="24"/>
          <w:szCs w:val="24"/>
        </w:rPr>
      </w:pPr>
      <w:r w:rsidRPr="00024E12">
        <w:rPr>
          <w:rFonts w:ascii="宋体" w:eastAsia="宋体" w:hAnsi="宋体" w:hint="eastAsia"/>
          <w:sz w:val="24"/>
          <w:szCs w:val="24"/>
        </w:rPr>
        <w:t>2017年</w:t>
      </w:r>
      <w:r w:rsidR="00AF0A14">
        <w:rPr>
          <w:rFonts w:ascii="宋体" w:eastAsia="宋体" w:hAnsi="宋体" w:hint="eastAsia"/>
          <w:sz w:val="24"/>
          <w:szCs w:val="24"/>
        </w:rPr>
        <w:t>8</w:t>
      </w:r>
      <w:r w:rsidRPr="00024E12">
        <w:rPr>
          <w:rFonts w:ascii="宋体" w:eastAsia="宋体" w:hAnsi="宋体" w:hint="eastAsia"/>
          <w:sz w:val="24"/>
          <w:szCs w:val="24"/>
        </w:rPr>
        <w:t>月</w:t>
      </w:r>
      <w:r w:rsidR="001C2B26">
        <w:rPr>
          <w:rFonts w:ascii="宋体" w:eastAsia="宋体" w:hAnsi="宋体" w:hint="eastAsia"/>
          <w:sz w:val="24"/>
          <w:szCs w:val="24"/>
        </w:rPr>
        <w:t>22</w:t>
      </w:r>
      <w:bookmarkStart w:id="0" w:name="_GoBack"/>
      <w:bookmarkEnd w:id="0"/>
      <w:r w:rsidRPr="00024E12">
        <w:rPr>
          <w:rFonts w:ascii="宋体" w:eastAsia="宋体" w:hAnsi="宋体" w:hint="eastAsia"/>
          <w:sz w:val="24"/>
          <w:szCs w:val="24"/>
        </w:rPr>
        <w:t>日</w:t>
      </w:r>
    </w:p>
    <w:sectPr w:rsidR="003861FA" w:rsidRPr="00024E12" w:rsidSect="00130C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404" w:rsidRDefault="002D4404" w:rsidP="00612668">
      <w:r>
        <w:separator/>
      </w:r>
    </w:p>
  </w:endnote>
  <w:endnote w:type="continuationSeparator" w:id="1">
    <w:p w:rsidR="002D4404" w:rsidRDefault="002D4404" w:rsidP="006126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404" w:rsidRDefault="002D4404" w:rsidP="00612668">
      <w:r>
        <w:separator/>
      </w:r>
    </w:p>
  </w:footnote>
  <w:footnote w:type="continuationSeparator" w:id="1">
    <w:p w:rsidR="002D4404" w:rsidRDefault="002D4404" w:rsidP="006126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4E12"/>
    <w:rsid w:val="00024E12"/>
    <w:rsid w:val="00036039"/>
    <w:rsid w:val="000561C0"/>
    <w:rsid w:val="00100411"/>
    <w:rsid w:val="00100CEC"/>
    <w:rsid w:val="00130C5E"/>
    <w:rsid w:val="00147051"/>
    <w:rsid w:val="001B269E"/>
    <w:rsid w:val="001C2B26"/>
    <w:rsid w:val="002D4404"/>
    <w:rsid w:val="00381847"/>
    <w:rsid w:val="003861FA"/>
    <w:rsid w:val="00395886"/>
    <w:rsid w:val="00513DB5"/>
    <w:rsid w:val="00535A24"/>
    <w:rsid w:val="00580D24"/>
    <w:rsid w:val="005B6B2D"/>
    <w:rsid w:val="00612668"/>
    <w:rsid w:val="006411B1"/>
    <w:rsid w:val="007C3FF1"/>
    <w:rsid w:val="007E2700"/>
    <w:rsid w:val="008053D6"/>
    <w:rsid w:val="00944256"/>
    <w:rsid w:val="009E197F"/>
    <w:rsid w:val="00A17D06"/>
    <w:rsid w:val="00A46482"/>
    <w:rsid w:val="00AF0A14"/>
    <w:rsid w:val="00CA0647"/>
    <w:rsid w:val="00CE66B3"/>
    <w:rsid w:val="00E6517F"/>
    <w:rsid w:val="00EB18E0"/>
    <w:rsid w:val="00EC6255"/>
    <w:rsid w:val="00F40C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C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668"/>
    <w:rPr>
      <w:sz w:val="18"/>
      <w:szCs w:val="18"/>
    </w:rPr>
  </w:style>
  <w:style w:type="paragraph" w:styleId="a4">
    <w:name w:val="footer"/>
    <w:basedOn w:val="a"/>
    <w:link w:val="Char0"/>
    <w:uiPriority w:val="99"/>
    <w:unhideWhenUsed/>
    <w:rsid w:val="0061266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668"/>
    <w:rPr>
      <w:sz w:val="18"/>
      <w:szCs w:val="18"/>
    </w:rPr>
  </w:style>
  <w:style w:type="character" w:styleId="a5">
    <w:name w:val="annotation reference"/>
    <w:basedOn w:val="a0"/>
    <w:uiPriority w:val="99"/>
    <w:semiHidden/>
    <w:unhideWhenUsed/>
    <w:rsid w:val="00944256"/>
    <w:rPr>
      <w:sz w:val="21"/>
      <w:szCs w:val="21"/>
    </w:rPr>
  </w:style>
  <w:style w:type="paragraph" w:styleId="a6">
    <w:name w:val="annotation text"/>
    <w:basedOn w:val="a"/>
    <w:link w:val="Char1"/>
    <w:uiPriority w:val="99"/>
    <w:semiHidden/>
    <w:unhideWhenUsed/>
    <w:rsid w:val="00944256"/>
    <w:pPr>
      <w:jc w:val="left"/>
    </w:pPr>
  </w:style>
  <w:style w:type="character" w:customStyle="1" w:styleId="Char1">
    <w:name w:val="批注文字 Char"/>
    <w:basedOn w:val="a0"/>
    <w:link w:val="a6"/>
    <w:uiPriority w:val="99"/>
    <w:semiHidden/>
    <w:rsid w:val="00944256"/>
  </w:style>
  <w:style w:type="paragraph" w:styleId="a7">
    <w:name w:val="annotation subject"/>
    <w:basedOn w:val="a6"/>
    <w:next w:val="a6"/>
    <w:link w:val="Char2"/>
    <w:uiPriority w:val="99"/>
    <w:semiHidden/>
    <w:unhideWhenUsed/>
    <w:rsid w:val="00944256"/>
    <w:rPr>
      <w:b/>
      <w:bCs/>
    </w:rPr>
  </w:style>
  <w:style w:type="character" w:customStyle="1" w:styleId="Char2">
    <w:name w:val="批注主题 Char"/>
    <w:basedOn w:val="Char1"/>
    <w:link w:val="a7"/>
    <w:uiPriority w:val="99"/>
    <w:semiHidden/>
    <w:rsid w:val="00944256"/>
    <w:rPr>
      <w:b/>
      <w:bCs/>
    </w:rPr>
  </w:style>
  <w:style w:type="paragraph" w:styleId="a8">
    <w:name w:val="Balloon Text"/>
    <w:basedOn w:val="a"/>
    <w:link w:val="Char3"/>
    <w:uiPriority w:val="99"/>
    <w:semiHidden/>
    <w:unhideWhenUsed/>
    <w:rsid w:val="00944256"/>
    <w:rPr>
      <w:sz w:val="18"/>
      <w:szCs w:val="18"/>
    </w:rPr>
  </w:style>
  <w:style w:type="character" w:customStyle="1" w:styleId="Char3">
    <w:name w:val="批注框文本 Char"/>
    <w:basedOn w:val="a0"/>
    <w:link w:val="a8"/>
    <w:uiPriority w:val="99"/>
    <w:semiHidden/>
    <w:rsid w:val="009442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26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2668"/>
    <w:rPr>
      <w:sz w:val="18"/>
      <w:szCs w:val="18"/>
    </w:rPr>
  </w:style>
  <w:style w:type="paragraph" w:styleId="a4">
    <w:name w:val="footer"/>
    <w:basedOn w:val="a"/>
    <w:link w:val="Char0"/>
    <w:uiPriority w:val="99"/>
    <w:unhideWhenUsed/>
    <w:rsid w:val="00612668"/>
    <w:pPr>
      <w:tabs>
        <w:tab w:val="center" w:pos="4153"/>
        <w:tab w:val="right" w:pos="8306"/>
      </w:tabs>
      <w:snapToGrid w:val="0"/>
      <w:jc w:val="left"/>
    </w:pPr>
    <w:rPr>
      <w:sz w:val="18"/>
      <w:szCs w:val="18"/>
    </w:rPr>
  </w:style>
  <w:style w:type="character" w:customStyle="1" w:styleId="Char0">
    <w:name w:val="页脚 Char"/>
    <w:basedOn w:val="a0"/>
    <w:link w:val="a4"/>
    <w:uiPriority w:val="99"/>
    <w:rsid w:val="00612668"/>
    <w:rPr>
      <w:sz w:val="18"/>
      <w:szCs w:val="18"/>
    </w:rPr>
  </w:style>
  <w:style w:type="character" w:styleId="a5">
    <w:name w:val="annotation reference"/>
    <w:basedOn w:val="a0"/>
    <w:uiPriority w:val="99"/>
    <w:semiHidden/>
    <w:unhideWhenUsed/>
    <w:rsid w:val="00944256"/>
    <w:rPr>
      <w:sz w:val="21"/>
      <w:szCs w:val="21"/>
    </w:rPr>
  </w:style>
  <w:style w:type="paragraph" w:styleId="a6">
    <w:name w:val="annotation text"/>
    <w:basedOn w:val="a"/>
    <w:link w:val="Char1"/>
    <w:uiPriority w:val="99"/>
    <w:semiHidden/>
    <w:unhideWhenUsed/>
    <w:rsid w:val="00944256"/>
    <w:pPr>
      <w:jc w:val="left"/>
    </w:pPr>
  </w:style>
  <w:style w:type="character" w:customStyle="1" w:styleId="Char1">
    <w:name w:val="批注文字 Char"/>
    <w:basedOn w:val="a0"/>
    <w:link w:val="a6"/>
    <w:uiPriority w:val="99"/>
    <w:semiHidden/>
    <w:rsid w:val="00944256"/>
  </w:style>
  <w:style w:type="paragraph" w:styleId="a7">
    <w:name w:val="annotation subject"/>
    <w:basedOn w:val="a6"/>
    <w:next w:val="a6"/>
    <w:link w:val="Char2"/>
    <w:uiPriority w:val="99"/>
    <w:semiHidden/>
    <w:unhideWhenUsed/>
    <w:rsid w:val="00944256"/>
    <w:rPr>
      <w:b/>
      <w:bCs/>
    </w:rPr>
  </w:style>
  <w:style w:type="character" w:customStyle="1" w:styleId="Char2">
    <w:name w:val="批注主题 Char"/>
    <w:basedOn w:val="Char1"/>
    <w:link w:val="a7"/>
    <w:uiPriority w:val="99"/>
    <w:semiHidden/>
    <w:rsid w:val="00944256"/>
    <w:rPr>
      <w:b/>
      <w:bCs/>
    </w:rPr>
  </w:style>
  <w:style w:type="paragraph" w:styleId="a8">
    <w:name w:val="Balloon Text"/>
    <w:basedOn w:val="a"/>
    <w:link w:val="Char3"/>
    <w:uiPriority w:val="99"/>
    <w:semiHidden/>
    <w:unhideWhenUsed/>
    <w:rsid w:val="00944256"/>
    <w:rPr>
      <w:sz w:val="18"/>
      <w:szCs w:val="18"/>
    </w:rPr>
  </w:style>
  <w:style w:type="character" w:customStyle="1" w:styleId="Char3">
    <w:name w:val="批注框文本 Char"/>
    <w:basedOn w:val="a0"/>
    <w:link w:val="a8"/>
    <w:uiPriority w:val="99"/>
    <w:semiHidden/>
    <w:rsid w:val="0094425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4</DocSecurity>
  <Lines>20</Lines>
  <Paragraphs>5</Paragraphs>
  <ScaleCrop>false</ScaleCrop>
  <Company>Microsoft</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崔茗</dc:creator>
  <cp:lastModifiedBy>ZHONGM</cp:lastModifiedBy>
  <cp:revision>2</cp:revision>
  <dcterms:created xsi:type="dcterms:W3CDTF">2017-08-21T16:32:00Z</dcterms:created>
  <dcterms:modified xsi:type="dcterms:W3CDTF">2017-08-21T16:32:00Z</dcterms:modified>
</cp:coreProperties>
</file>