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B53" w:rsidRPr="00C012B0" w:rsidRDefault="00015B53" w:rsidP="00015B53">
      <w:pPr>
        <w:jc w:val="center"/>
        <w:rPr>
          <w:rStyle w:val="a5"/>
          <w:color w:val="FF0000"/>
          <w:sz w:val="30"/>
          <w:szCs w:val="30"/>
        </w:rPr>
      </w:pPr>
      <w:r w:rsidRPr="00C012B0">
        <w:rPr>
          <w:rStyle w:val="a5"/>
          <w:rFonts w:hint="eastAsia"/>
          <w:color w:val="FF0000"/>
          <w:sz w:val="30"/>
          <w:szCs w:val="30"/>
        </w:rPr>
        <w:t>嘉实基金管理有限公司关于调整旗下部分基金的申购、</w:t>
      </w:r>
      <w:r w:rsidR="00897102" w:rsidRPr="00C012B0">
        <w:rPr>
          <w:rStyle w:val="a5"/>
          <w:rFonts w:hint="eastAsia"/>
          <w:color w:val="FF0000"/>
          <w:sz w:val="30"/>
          <w:szCs w:val="30"/>
        </w:rPr>
        <w:t>赎回、</w:t>
      </w:r>
      <w:r w:rsidRPr="00C012B0">
        <w:rPr>
          <w:rStyle w:val="a5"/>
          <w:rFonts w:hint="eastAsia"/>
          <w:color w:val="FF0000"/>
          <w:sz w:val="30"/>
          <w:szCs w:val="30"/>
        </w:rPr>
        <w:t>定投、转换、最低持有数量限制的公告</w:t>
      </w:r>
    </w:p>
    <w:p w:rsidR="00015B53" w:rsidRDefault="00015B53" w:rsidP="00015B53"/>
    <w:p w:rsidR="00015B53" w:rsidRPr="00015B53" w:rsidRDefault="00015B53" w:rsidP="00015B53">
      <w:pPr>
        <w:widowControl/>
        <w:spacing w:before="100" w:beforeAutospacing="1" w:after="100" w:afterAutospacing="1"/>
        <w:ind w:firstLine="420"/>
        <w:jc w:val="left"/>
        <w:rPr>
          <w:rFonts w:ascii="宋体" w:eastAsia="宋体" w:hAnsi="宋体" w:cs="宋体"/>
          <w:kern w:val="0"/>
          <w:sz w:val="24"/>
          <w:szCs w:val="24"/>
        </w:rPr>
      </w:pPr>
      <w:r w:rsidRPr="00015B53">
        <w:rPr>
          <w:rFonts w:ascii="宋体" w:eastAsia="宋体" w:hAnsi="宋体" w:cs="宋体" w:hint="eastAsia"/>
          <w:kern w:val="0"/>
          <w:sz w:val="24"/>
          <w:szCs w:val="24"/>
        </w:rPr>
        <w:t>为了更好地满足投资者的理财需求，根据相关基金合同、招募说明书及其更新的有关规定，嘉实基金管理有限公司（以下简称“本公司”）决定自2017年</w:t>
      </w:r>
      <w:r w:rsidR="002A7677">
        <w:rPr>
          <w:rFonts w:ascii="宋体" w:eastAsia="宋体" w:hAnsi="宋体" w:cs="宋体" w:hint="eastAsia"/>
          <w:kern w:val="0"/>
          <w:sz w:val="24"/>
          <w:szCs w:val="24"/>
        </w:rPr>
        <w:t>8</w:t>
      </w:r>
      <w:r w:rsidRPr="00015B53">
        <w:rPr>
          <w:rFonts w:ascii="宋体" w:eastAsia="宋体" w:hAnsi="宋体" w:cs="宋体" w:hint="eastAsia"/>
          <w:kern w:val="0"/>
          <w:sz w:val="24"/>
          <w:szCs w:val="24"/>
        </w:rPr>
        <w:t>月</w:t>
      </w:r>
      <w:r w:rsidR="002A7677">
        <w:rPr>
          <w:rFonts w:ascii="宋体" w:eastAsia="宋体" w:hAnsi="宋体" w:cs="宋体" w:hint="eastAsia"/>
          <w:kern w:val="0"/>
          <w:sz w:val="24"/>
          <w:szCs w:val="24"/>
        </w:rPr>
        <w:t>15</w:t>
      </w:r>
      <w:r w:rsidRPr="00015B53">
        <w:rPr>
          <w:rFonts w:ascii="宋体" w:eastAsia="宋体" w:hAnsi="宋体" w:cs="宋体" w:hint="eastAsia"/>
          <w:kern w:val="0"/>
          <w:sz w:val="24"/>
          <w:szCs w:val="24"/>
        </w:rPr>
        <w:t>日起，降低旗下部分开放式基金申购、</w:t>
      </w:r>
      <w:r w:rsidR="00842261">
        <w:rPr>
          <w:rFonts w:ascii="宋体" w:eastAsia="宋体" w:hAnsi="宋体" w:cs="宋体" w:hint="eastAsia"/>
          <w:kern w:val="0"/>
          <w:sz w:val="24"/>
          <w:szCs w:val="24"/>
        </w:rPr>
        <w:t>定期定额申购、</w:t>
      </w:r>
      <w:r w:rsidRPr="00015B53">
        <w:rPr>
          <w:rFonts w:ascii="宋体" w:eastAsia="宋体" w:hAnsi="宋体" w:cs="宋体" w:hint="eastAsia"/>
          <w:kern w:val="0"/>
          <w:sz w:val="24"/>
          <w:szCs w:val="24"/>
        </w:rPr>
        <w:t>赎回、转换转出及最低持有份额的数额限制。</w:t>
      </w:r>
    </w:p>
    <w:p w:rsidR="00015B53" w:rsidRPr="00015B53" w:rsidRDefault="00015B53" w:rsidP="00015B53">
      <w:pPr>
        <w:widowControl/>
        <w:spacing w:before="100" w:beforeAutospacing="1" w:after="100" w:afterAutospacing="1"/>
        <w:ind w:firstLine="420"/>
        <w:jc w:val="left"/>
        <w:rPr>
          <w:rFonts w:ascii="宋体" w:eastAsia="宋体" w:hAnsi="宋体" w:cs="宋体"/>
          <w:kern w:val="0"/>
          <w:sz w:val="24"/>
          <w:szCs w:val="24"/>
        </w:rPr>
      </w:pPr>
      <w:r w:rsidRPr="00015B53">
        <w:rPr>
          <w:rFonts w:ascii="宋体" w:eastAsia="宋体" w:hAnsi="宋体" w:cs="宋体" w:hint="eastAsia"/>
          <w:kern w:val="0"/>
          <w:sz w:val="24"/>
          <w:szCs w:val="24"/>
        </w:rPr>
        <w:t>现将有关事项公告如下：</w:t>
      </w:r>
    </w:p>
    <w:p w:rsidR="00015B53" w:rsidRPr="00015B53" w:rsidRDefault="00015B53" w:rsidP="00015B53">
      <w:pPr>
        <w:widowControl/>
        <w:spacing w:before="100" w:beforeAutospacing="1" w:after="100" w:afterAutospacing="1"/>
        <w:ind w:firstLine="420"/>
        <w:jc w:val="left"/>
        <w:rPr>
          <w:rFonts w:ascii="宋体" w:eastAsia="宋体" w:hAnsi="宋体" w:cs="宋体"/>
          <w:kern w:val="0"/>
          <w:sz w:val="24"/>
          <w:szCs w:val="24"/>
        </w:rPr>
      </w:pPr>
      <w:r w:rsidRPr="00015B53">
        <w:rPr>
          <w:rFonts w:ascii="宋体" w:eastAsia="宋体" w:hAnsi="宋体" w:cs="宋体" w:hint="eastAsia"/>
          <w:kern w:val="0"/>
          <w:sz w:val="24"/>
          <w:szCs w:val="24"/>
        </w:rPr>
        <w:t>一、适用基金</w:t>
      </w:r>
      <w:bookmarkStart w:id="0" w:name="_GoBack"/>
      <w:bookmarkEnd w:id="0"/>
    </w:p>
    <w:p w:rsidR="00015B53" w:rsidRPr="00F531B6" w:rsidRDefault="00F531B6" w:rsidP="00F531B6">
      <w:pPr>
        <w:ind w:firstLineChars="350" w:firstLine="840"/>
        <w:rPr>
          <w:rFonts w:ascii="宋体" w:eastAsia="宋体" w:hAnsi="宋体" w:cs="宋体"/>
          <w:kern w:val="0"/>
          <w:sz w:val="24"/>
          <w:szCs w:val="24"/>
        </w:rPr>
      </w:pPr>
      <w:r w:rsidRPr="00F531B6">
        <w:rPr>
          <w:rFonts w:ascii="宋体" w:eastAsia="宋体" w:hAnsi="宋体" w:cs="宋体" w:hint="eastAsia"/>
          <w:kern w:val="0"/>
          <w:sz w:val="24"/>
          <w:szCs w:val="24"/>
        </w:rPr>
        <w:t>详见附表</w:t>
      </w:r>
      <w:r>
        <w:rPr>
          <w:rFonts w:ascii="宋体" w:eastAsia="宋体" w:hAnsi="宋体" w:cs="宋体" w:hint="eastAsia"/>
          <w:kern w:val="0"/>
          <w:sz w:val="24"/>
          <w:szCs w:val="24"/>
        </w:rPr>
        <w:t>。</w:t>
      </w:r>
    </w:p>
    <w:p w:rsidR="00015B53" w:rsidRPr="00015B53" w:rsidRDefault="00015B53" w:rsidP="00015B53">
      <w:pPr>
        <w:widowControl/>
        <w:spacing w:before="100" w:beforeAutospacing="1" w:after="100" w:afterAutospacing="1"/>
        <w:ind w:firstLine="420"/>
        <w:jc w:val="left"/>
        <w:rPr>
          <w:rFonts w:ascii="宋体" w:eastAsia="宋体" w:hAnsi="宋体" w:cs="宋体"/>
          <w:kern w:val="0"/>
          <w:sz w:val="24"/>
          <w:szCs w:val="24"/>
        </w:rPr>
      </w:pPr>
      <w:r w:rsidRPr="00015B53">
        <w:rPr>
          <w:rFonts w:ascii="宋体" w:eastAsia="宋体" w:hAnsi="宋体" w:cs="宋体" w:hint="eastAsia"/>
          <w:kern w:val="0"/>
          <w:sz w:val="24"/>
          <w:szCs w:val="24"/>
        </w:rPr>
        <w:t>二、调整方案</w:t>
      </w:r>
    </w:p>
    <w:p w:rsidR="00015B53" w:rsidRPr="00015B53" w:rsidRDefault="00015B53" w:rsidP="00015B53">
      <w:pPr>
        <w:widowControl/>
        <w:spacing w:before="100" w:beforeAutospacing="1" w:after="100" w:afterAutospacing="1"/>
        <w:ind w:firstLine="420"/>
        <w:jc w:val="left"/>
        <w:rPr>
          <w:rFonts w:ascii="宋体" w:eastAsia="宋体" w:hAnsi="宋体" w:cs="宋体"/>
          <w:kern w:val="0"/>
          <w:sz w:val="24"/>
          <w:szCs w:val="24"/>
        </w:rPr>
      </w:pPr>
      <w:r w:rsidRPr="00015B53">
        <w:rPr>
          <w:rFonts w:ascii="宋体" w:eastAsia="宋体" w:hAnsi="宋体" w:cs="宋体" w:hint="eastAsia"/>
          <w:kern w:val="0"/>
          <w:sz w:val="24"/>
          <w:szCs w:val="24"/>
        </w:rPr>
        <w:t>1、首次申购金额、追加申购</w:t>
      </w:r>
      <w:r w:rsidR="00842261">
        <w:rPr>
          <w:rFonts w:ascii="宋体" w:eastAsia="宋体" w:hAnsi="宋体" w:cs="宋体" w:hint="eastAsia"/>
          <w:kern w:val="0"/>
          <w:sz w:val="24"/>
          <w:szCs w:val="24"/>
        </w:rPr>
        <w:t>金额</w:t>
      </w:r>
      <w:r w:rsidRPr="00015B53">
        <w:rPr>
          <w:rFonts w:ascii="宋体" w:eastAsia="宋体" w:hAnsi="宋体" w:cs="宋体" w:hint="eastAsia"/>
          <w:kern w:val="0"/>
          <w:sz w:val="24"/>
          <w:szCs w:val="24"/>
        </w:rPr>
        <w:t>以及</w:t>
      </w:r>
      <w:r w:rsidR="00842261">
        <w:rPr>
          <w:rFonts w:ascii="宋体" w:eastAsia="宋体" w:hAnsi="宋体" w:cs="宋体" w:hint="eastAsia"/>
          <w:kern w:val="0"/>
          <w:sz w:val="24"/>
          <w:szCs w:val="24"/>
        </w:rPr>
        <w:t>定期定额申购</w:t>
      </w:r>
      <w:r w:rsidRPr="00015B53">
        <w:rPr>
          <w:rFonts w:ascii="宋体" w:eastAsia="宋体" w:hAnsi="宋体" w:cs="宋体" w:hint="eastAsia"/>
          <w:kern w:val="0"/>
          <w:sz w:val="24"/>
          <w:szCs w:val="24"/>
        </w:rPr>
        <w:t>最低金额调整</w:t>
      </w:r>
      <w:r w:rsidR="00A6372B">
        <w:rPr>
          <w:rFonts w:ascii="宋体" w:eastAsia="宋体" w:hAnsi="宋体" w:cs="宋体" w:hint="eastAsia"/>
          <w:kern w:val="0"/>
          <w:sz w:val="24"/>
          <w:szCs w:val="24"/>
        </w:rPr>
        <w:t>:</w:t>
      </w:r>
    </w:p>
    <w:p w:rsidR="00015B53" w:rsidRPr="00015B53" w:rsidRDefault="00CF456E" w:rsidP="00015B53">
      <w:pPr>
        <w:widowControl/>
        <w:spacing w:before="100" w:beforeAutospacing="1" w:after="100" w:afterAutospacing="1"/>
        <w:ind w:firstLine="420"/>
        <w:jc w:val="left"/>
        <w:rPr>
          <w:rFonts w:ascii="宋体" w:eastAsia="宋体" w:hAnsi="宋体" w:cs="宋体"/>
          <w:kern w:val="0"/>
          <w:sz w:val="24"/>
          <w:szCs w:val="24"/>
        </w:rPr>
      </w:pPr>
      <w:r>
        <w:rPr>
          <w:rFonts w:ascii="宋体" w:eastAsia="宋体" w:hAnsi="宋体" w:cs="宋体" w:hint="eastAsia"/>
          <w:kern w:val="0"/>
          <w:sz w:val="24"/>
          <w:szCs w:val="24"/>
        </w:rPr>
        <w:t>调整后，投资者通过代销机构及嘉实基金网上直销系统</w:t>
      </w:r>
      <w:r w:rsidR="00015B53" w:rsidRPr="00015B53">
        <w:rPr>
          <w:rFonts w:ascii="宋体" w:eastAsia="宋体" w:hAnsi="宋体" w:cs="宋体" w:hint="eastAsia"/>
          <w:kern w:val="0"/>
          <w:sz w:val="24"/>
          <w:szCs w:val="24"/>
        </w:rPr>
        <w:t>首次申购、追加申购上述货币类基金单笔最低申购金额为0.01元，投资者进行定期定额投资每期扣款最低金额为0.01元。</w:t>
      </w:r>
    </w:p>
    <w:p w:rsidR="00015B53" w:rsidRPr="00015B53" w:rsidRDefault="00015B53" w:rsidP="00015B53">
      <w:pPr>
        <w:widowControl/>
        <w:spacing w:before="100" w:beforeAutospacing="1" w:after="100" w:afterAutospacing="1"/>
        <w:ind w:firstLine="420"/>
        <w:jc w:val="left"/>
        <w:rPr>
          <w:rFonts w:ascii="宋体" w:eastAsia="宋体" w:hAnsi="宋体" w:cs="宋体"/>
          <w:kern w:val="0"/>
          <w:sz w:val="24"/>
          <w:szCs w:val="24"/>
        </w:rPr>
      </w:pPr>
      <w:r w:rsidRPr="00015B53">
        <w:rPr>
          <w:rFonts w:ascii="宋体" w:eastAsia="宋体" w:hAnsi="宋体" w:cs="宋体" w:hint="eastAsia"/>
          <w:kern w:val="0"/>
          <w:sz w:val="24"/>
          <w:szCs w:val="24"/>
        </w:rPr>
        <w:t>调整后，投资者通过</w:t>
      </w:r>
      <w:r w:rsidR="00CF456E">
        <w:rPr>
          <w:rFonts w:ascii="宋体" w:eastAsia="宋体" w:hAnsi="宋体" w:cs="宋体" w:hint="eastAsia"/>
          <w:kern w:val="0"/>
          <w:sz w:val="24"/>
          <w:szCs w:val="24"/>
        </w:rPr>
        <w:t>代销机构及嘉实基金网上直销系统</w:t>
      </w:r>
      <w:r w:rsidRPr="00015B53">
        <w:rPr>
          <w:rFonts w:ascii="宋体" w:eastAsia="宋体" w:hAnsi="宋体" w:cs="宋体" w:hint="eastAsia"/>
          <w:kern w:val="0"/>
          <w:sz w:val="24"/>
          <w:szCs w:val="24"/>
        </w:rPr>
        <w:t>首次申购、追加申购上述非货币类基金单笔最低申购金额为1元，投资者进行定期定额投资每期扣款最低金额为1元。</w:t>
      </w:r>
    </w:p>
    <w:p w:rsidR="00015B53" w:rsidRPr="00015B53" w:rsidRDefault="00015B53" w:rsidP="00015B53">
      <w:pPr>
        <w:widowControl/>
        <w:spacing w:before="100" w:beforeAutospacing="1" w:after="100" w:afterAutospacing="1"/>
        <w:ind w:firstLine="420"/>
        <w:jc w:val="left"/>
        <w:rPr>
          <w:rFonts w:ascii="宋体" w:eastAsia="宋体" w:hAnsi="宋体" w:cs="宋体"/>
          <w:kern w:val="0"/>
          <w:sz w:val="24"/>
          <w:szCs w:val="24"/>
        </w:rPr>
      </w:pPr>
      <w:r w:rsidRPr="00015B53">
        <w:rPr>
          <w:rFonts w:ascii="宋体" w:eastAsia="宋体" w:hAnsi="宋体" w:cs="宋体" w:hint="eastAsia"/>
          <w:kern w:val="0"/>
          <w:sz w:val="24"/>
          <w:szCs w:val="24"/>
        </w:rPr>
        <w:t>2、赎回、转换转出及最低持有的份额限制调整</w:t>
      </w:r>
    </w:p>
    <w:p w:rsidR="00015B53" w:rsidRPr="00015B53" w:rsidRDefault="00015B53" w:rsidP="00015B53">
      <w:pPr>
        <w:widowControl/>
        <w:spacing w:before="100" w:beforeAutospacing="1" w:after="100" w:afterAutospacing="1"/>
        <w:ind w:firstLine="420"/>
        <w:jc w:val="left"/>
        <w:rPr>
          <w:rFonts w:ascii="宋体" w:eastAsia="宋体" w:hAnsi="宋体" w:cs="宋体"/>
          <w:kern w:val="0"/>
          <w:sz w:val="24"/>
          <w:szCs w:val="24"/>
        </w:rPr>
      </w:pPr>
      <w:r w:rsidRPr="00015B53">
        <w:rPr>
          <w:rFonts w:ascii="宋体" w:eastAsia="宋体" w:hAnsi="宋体" w:cs="宋体" w:hint="eastAsia"/>
          <w:kern w:val="0"/>
          <w:sz w:val="24"/>
          <w:szCs w:val="24"/>
        </w:rPr>
        <w:t>调整后，投资者</w:t>
      </w:r>
      <w:r w:rsidR="00CF456E">
        <w:rPr>
          <w:rFonts w:ascii="宋体" w:eastAsia="宋体" w:hAnsi="宋体" w:cs="宋体" w:hint="eastAsia"/>
          <w:kern w:val="0"/>
          <w:sz w:val="24"/>
          <w:szCs w:val="24"/>
        </w:rPr>
        <w:t>通过代销机构及嘉实基金网上直销系统</w:t>
      </w:r>
      <w:r w:rsidRPr="00015B53">
        <w:rPr>
          <w:rFonts w:ascii="宋体" w:eastAsia="宋体" w:hAnsi="宋体" w:cs="宋体" w:hint="eastAsia"/>
          <w:kern w:val="0"/>
          <w:sz w:val="24"/>
          <w:szCs w:val="24"/>
        </w:rPr>
        <w:t>赎回、转换转出上述货币类基金，单笔最低赎回、单笔最低转换转出及最低持有份额的限额均为0.01份。</w:t>
      </w:r>
    </w:p>
    <w:p w:rsidR="00015B53" w:rsidRPr="00015B53" w:rsidRDefault="00015B53" w:rsidP="00015B53">
      <w:pPr>
        <w:widowControl/>
        <w:spacing w:before="100" w:beforeAutospacing="1" w:after="100" w:afterAutospacing="1"/>
        <w:ind w:firstLine="420"/>
        <w:jc w:val="left"/>
        <w:rPr>
          <w:rFonts w:ascii="宋体" w:eastAsia="宋体" w:hAnsi="宋体" w:cs="宋体"/>
          <w:kern w:val="0"/>
          <w:sz w:val="24"/>
          <w:szCs w:val="24"/>
        </w:rPr>
      </w:pPr>
      <w:r w:rsidRPr="00015B53">
        <w:rPr>
          <w:rFonts w:ascii="宋体" w:eastAsia="宋体" w:hAnsi="宋体" w:cs="宋体" w:hint="eastAsia"/>
          <w:kern w:val="0"/>
          <w:sz w:val="24"/>
          <w:szCs w:val="24"/>
        </w:rPr>
        <w:t>调整后，投资者</w:t>
      </w:r>
      <w:r w:rsidR="00CF456E">
        <w:rPr>
          <w:rFonts w:ascii="宋体" w:eastAsia="宋体" w:hAnsi="宋体" w:cs="宋体" w:hint="eastAsia"/>
          <w:kern w:val="0"/>
          <w:sz w:val="24"/>
          <w:szCs w:val="24"/>
        </w:rPr>
        <w:t>通过代销机构及嘉实基金网上直销系统</w:t>
      </w:r>
      <w:r w:rsidRPr="00015B53">
        <w:rPr>
          <w:rFonts w:ascii="宋体" w:eastAsia="宋体" w:hAnsi="宋体" w:cs="宋体" w:hint="eastAsia"/>
          <w:kern w:val="0"/>
          <w:sz w:val="24"/>
          <w:szCs w:val="24"/>
        </w:rPr>
        <w:t>赎回、转换转出上述非货币类基金，单笔最低赎回、单笔最低转换转出及最低持有份额的限额均为1份。(如该交易帐户在该销售机构托管的单只基金余额不足1份，则必须一次性赎回或转出该基金全部份额）；若某笔赎回、转换转出将导致投资者在销售机构托管的单只基金余额不足1份时，基金管理人有权将投资者在该销售机构托管的该基金剩余份额一次性全部赎回。</w:t>
      </w:r>
    </w:p>
    <w:p w:rsidR="00015B53" w:rsidRPr="00015B53" w:rsidRDefault="00015B53" w:rsidP="00015B53">
      <w:pPr>
        <w:widowControl/>
        <w:spacing w:before="100" w:beforeAutospacing="1" w:after="100" w:afterAutospacing="1"/>
        <w:ind w:firstLine="420"/>
        <w:jc w:val="left"/>
        <w:rPr>
          <w:rFonts w:ascii="宋体" w:eastAsia="宋体" w:hAnsi="宋体" w:cs="宋体"/>
          <w:kern w:val="0"/>
          <w:sz w:val="24"/>
          <w:szCs w:val="24"/>
        </w:rPr>
      </w:pPr>
      <w:r w:rsidRPr="00015B53">
        <w:rPr>
          <w:rFonts w:ascii="宋体" w:eastAsia="宋体" w:hAnsi="宋体" w:cs="宋体" w:hint="eastAsia"/>
          <w:kern w:val="0"/>
          <w:sz w:val="24"/>
          <w:szCs w:val="24"/>
        </w:rPr>
        <w:t>三、其他需要注意的事项</w:t>
      </w:r>
    </w:p>
    <w:p w:rsidR="00015B53" w:rsidRDefault="00015B53" w:rsidP="00015B53">
      <w:pPr>
        <w:widowControl/>
        <w:spacing w:before="100" w:beforeAutospacing="1" w:after="100" w:afterAutospacing="1"/>
        <w:ind w:firstLine="420"/>
        <w:jc w:val="left"/>
        <w:rPr>
          <w:rFonts w:ascii="宋体" w:eastAsia="宋体" w:hAnsi="宋体" w:cs="宋体"/>
          <w:kern w:val="0"/>
          <w:sz w:val="24"/>
          <w:szCs w:val="24"/>
        </w:rPr>
      </w:pPr>
      <w:r w:rsidRPr="00015B53">
        <w:rPr>
          <w:rFonts w:ascii="宋体" w:eastAsia="宋体" w:hAnsi="宋体" w:cs="宋体" w:hint="eastAsia"/>
          <w:kern w:val="0"/>
          <w:sz w:val="24"/>
          <w:szCs w:val="24"/>
        </w:rPr>
        <w:t>1、如适用基金开通证券交易所场内业务，则场内份额相关申赎数额限制需同时遵守登记机构和交易所相关规定，本次不进行调整。</w:t>
      </w:r>
    </w:p>
    <w:p w:rsidR="00F8317A" w:rsidRDefault="00F8317A" w:rsidP="00015B53">
      <w:pPr>
        <w:widowControl/>
        <w:spacing w:before="100" w:beforeAutospacing="1" w:after="100" w:afterAutospacing="1"/>
        <w:ind w:firstLine="420"/>
        <w:jc w:val="left"/>
        <w:rPr>
          <w:rFonts w:ascii="宋体" w:eastAsia="宋体" w:hAnsi="宋体" w:cs="宋体"/>
          <w:kern w:val="0"/>
          <w:sz w:val="24"/>
          <w:szCs w:val="24"/>
        </w:rPr>
      </w:pPr>
      <w:r>
        <w:rPr>
          <w:rFonts w:ascii="宋体" w:eastAsia="宋体" w:hAnsi="宋体" w:cs="宋体" w:hint="eastAsia"/>
          <w:kern w:val="0"/>
          <w:sz w:val="24"/>
          <w:szCs w:val="24"/>
        </w:rPr>
        <w:lastRenderedPageBreak/>
        <w:t>2、</w:t>
      </w:r>
      <w:r w:rsidRPr="00F8317A">
        <w:rPr>
          <w:rFonts w:ascii="宋体" w:eastAsia="宋体" w:hAnsi="宋体" w:cs="宋体" w:hint="eastAsia"/>
          <w:kern w:val="0"/>
          <w:sz w:val="24"/>
          <w:szCs w:val="24"/>
        </w:rPr>
        <w:t>销售机构在符合上述规定的前提下，可根据情况调高单笔最低定投金额的要求，具体以销售机构公布的为准，投资人需遵循销售机构的相关规定。</w:t>
      </w:r>
    </w:p>
    <w:p w:rsidR="00015B53" w:rsidRDefault="00F8317A" w:rsidP="00015B53">
      <w:pPr>
        <w:widowControl/>
        <w:spacing w:before="100" w:beforeAutospacing="1" w:after="100" w:afterAutospacing="1"/>
        <w:ind w:firstLine="420"/>
        <w:jc w:val="left"/>
        <w:rPr>
          <w:rFonts w:ascii="宋体" w:eastAsia="宋体" w:hAnsi="宋体" w:cs="宋体"/>
          <w:kern w:val="0"/>
          <w:sz w:val="24"/>
          <w:szCs w:val="24"/>
        </w:rPr>
      </w:pPr>
      <w:r>
        <w:rPr>
          <w:rFonts w:ascii="宋体" w:eastAsia="宋体" w:hAnsi="宋体" w:cs="宋体" w:hint="eastAsia"/>
          <w:kern w:val="0"/>
          <w:sz w:val="24"/>
          <w:szCs w:val="24"/>
        </w:rPr>
        <w:t>3</w:t>
      </w:r>
      <w:r w:rsidR="00015B53" w:rsidRPr="00015B53">
        <w:rPr>
          <w:rFonts w:ascii="宋体" w:eastAsia="宋体" w:hAnsi="宋体" w:cs="宋体" w:hint="eastAsia"/>
          <w:kern w:val="0"/>
          <w:sz w:val="24"/>
          <w:szCs w:val="24"/>
        </w:rPr>
        <w:t>、投资者通过本公司</w:t>
      </w:r>
      <w:r w:rsidR="00D94934">
        <w:rPr>
          <w:rFonts w:ascii="宋体" w:eastAsia="宋体" w:hAnsi="宋体" w:cs="宋体" w:hint="eastAsia"/>
          <w:kern w:val="0"/>
          <w:sz w:val="24"/>
          <w:szCs w:val="24"/>
        </w:rPr>
        <w:t>直销</w:t>
      </w:r>
      <w:r w:rsidR="00015B53" w:rsidRPr="00015B53">
        <w:rPr>
          <w:rFonts w:ascii="宋体" w:eastAsia="宋体" w:hAnsi="宋体" w:cs="宋体" w:hint="eastAsia"/>
          <w:kern w:val="0"/>
          <w:sz w:val="24"/>
          <w:szCs w:val="24"/>
        </w:rPr>
        <w:t>柜台进行申购、赎回、转换转出及最低持有份额的数额限制均不进行调整。</w:t>
      </w:r>
    </w:p>
    <w:p w:rsidR="00F8317A" w:rsidRPr="00015B53" w:rsidRDefault="00F8317A" w:rsidP="000D1784">
      <w:pPr>
        <w:widowControl/>
        <w:spacing w:before="100" w:beforeAutospacing="1" w:after="100" w:afterAutospacing="1"/>
        <w:ind w:firstLine="420"/>
        <w:rPr>
          <w:rFonts w:ascii="宋体" w:eastAsia="宋体" w:hAnsi="宋体" w:cs="宋体"/>
          <w:kern w:val="0"/>
          <w:sz w:val="24"/>
          <w:szCs w:val="24"/>
        </w:rPr>
      </w:pPr>
      <w:r>
        <w:rPr>
          <w:rFonts w:ascii="宋体" w:eastAsia="宋体" w:hAnsi="宋体" w:cs="宋体" w:hint="eastAsia"/>
          <w:kern w:val="0"/>
          <w:sz w:val="24"/>
          <w:szCs w:val="24"/>
        </w:rPr>
        <w:t>4、</w:t>
      </w:r>
      <w:r w:rsidR="003E3A3B" w:rsidRPr="00015B53">
        <w:rPr>
          <w:rFonts w:ascii="宋体" w:eastAsia="宋体" w:hAnsi="宋体" w:cs="宋体" w:hint="eastAsia"/>
          <w:kern w:val="0"/>
          <w:sz w:val="24"/>
          <w:szCs w:val="24"/>
        </w:rPr>
        <w:t>如适用基金</w:t>
      </w:r>
      <w:r w:rsidR="003E3A3B">
        <w:rPr>
          <w:rFonts w:ascii="宋体" w:eastAsia="宋体" w:hAnsi="宋体" w:cs="宋体" w:hint="eastAsia"/>
          <w:kern w:val="0"/>
          <w:sz w:val="24"/>
          <w:szCs w:val="24"/>
        </w:rPr>
        <w:t>涉及销售商</w:t>
      </w:r>
      <w:r w:rsidR="003E3A3B" w:rsidRPr="00015B53">
        <w:rPr>
          <w:rFonts w:ascii="宋体" w:eastAsia="宋体" w:hAnsi="宋体" w:cs="宋体" w:hint="eastAsia"/>
          <w:kern w:val="0"/>
          <w:sz w:val="24"/>
          <w:szCs w:val="24"/>
        </w:rPr>
        <w:t>首次申购金额、追加申购</w:t>
      </w:r>
      <w:r w:rsidR="00C50CB7">
        <w:rPr>
          <w:rFonts w:ascii="宋体" w:eastAsia="宋体" w:hAnsi="宋体" w:cs="宋体" w:hint="eastAsia"/>
          <w:kern w:val="0"/>
          <w:sz w:val="24"/>
          <w:szCs w:val="24"/>
        </w:rPr>
        <w:t>金额</w:t>
      </w:r>
      <w:r w:rsidR="003E3A3B">
        <w:rPr>
          <w:rFonts w:ascii="宋体" w:eastAsia="宋体" w:hAnsi="宋体" w:cs="宋体" w:hint="eastAsia"/>
          <w:kern w:val="0"/>
          <w:sz w:val="24"/>
          <w:szCs w:val="24"/>
        </w:rPr>
        <w:t>、</w:t>
      </w:r>
      <w:r w:rsidR="003E3A3B" w:rsidRPr="00015B53">
        <w:rPr>
          <w:rFonts w:ascii="宋体" w:eastAsia="宋体" w:hAnsi="宋体" w:cs="宋体" w:hint="eastAsia"/>
          <w:kern w:val="0"/>
          <w:sz w:val="24"/>
          <w:szCs w:val="24"/>
        </w:rPr>
        <w:t>定投最低金额</w:t>
      </w:r>
      <w:r w:rsidR="003E3A3B">
        <w:rPr>
          <w:rFonts w:ascii="宋体" w:eastAsia="宋体" w:hAnsi="宋体" w:cs="宋体" w:hint="eastAsia"/>
          <w:kern w:val="0"/>
          <w:sz w:val="24"/>
          <w:szCs w:val="24"/>
        </w:rPr>
        <w:t>及赎回、转换转出、最低持有</w:t>
      </w:r>
      <w:r w:rsidR="003E3A3B" w:rsidRPr="003E3A3B">
        <w:rPr>
          <w:rFonts w:ascii="宋体" w:eastAsia="宋体" w:hAnsi="宋体" w:cs="宋体" w:hint="eastAsia"/>
          <w:kern w:val="0"/>
          <w:sz w:val="24"/>
          <w:szCs w:val="24"/>
        </w:rPr>
        <w:t>份额</w:t>
      </w:r>
      <w:r w:rsidR="006259B2">
        <w:rPr>
          <w:rFonts w:ascii="宋体" w:eastAsia="宋体" w:hAnsi="宋体" w:cs="宋体" w:hint="eastAsia"/>
          <w:kern w:val="0"/>
          <w:sz w:val="24"/>
          <w:szCs w:val="24"/>
        </w:rPr>
        <w:t>已低于调整值，则不进行调整。</w:t>
      </w:r>
    </w:p>
    <w:p w:rsidR="00015B53" w:rsidRPr="00015B53" w:rsidRDefault="00F8317A" w:rsidP="00015B53">
      <w:pPr>
        <w:widowControl/>
        <w:spacing w:before="100" w:beforeAutospacing="1" w:after="100" w:afterAutospacing="1"/>
        <w:ind w:firstLine="420"/>
        <w:jc w:val="left"/>
        <w:rPr>
          <w:rFonts w:ascii="宋体" w:eastAsia="宋体" w:hAnsi="宋体" w:cs="宋体"/>
          <w:kern w:val="0"/>
          <w:sz w:val="24"/>
          <w:szCs w:val="24"/>
        </w:rPr>
      </w:pPr>
      <w:r>
        <w:rPr>
          <w:rFonts w:ascii="宋体" w:eastAsia="宋体" w:hAnsi="宋体" w:cs="宋体" w:hint="eastAsia"/>
          <w:kern w:val="0"/>
          <w:sz w:val="24"/>
          <w:szCs w:val="24"/>
        </w:rPr>
        <w:t>5</w:t>
      </w:r>
      <w:r w:rsidR="00015B53" w:rsidRPr="00015B53">
        <w:rPr>
          <w:rFonts w:ascii="宋体" w:eastAsia="宋体" w:hAnsi="宋体" w:cs="宋体" w:hint="eastAsia"/>
          <w:kern w:val="0"/>
          <w:sz w:val="24"/>
          <w:szCs w:val="24"/>
        </w:rPr>
        <w:t>、</w:t>
      </w:r>
      <w:r w:rsidR="00CE543E" w:rsidRPr="00015B53">
        <w:rPr>
          <w:rFonts w:ascii="宋体" w:eastAsia="宋体" w:hAnsi="宋体" w:cs="宋体" w:hint="eastAsia"/>
          <w:kern w:val="0"/>
          <w:sz w:val="24"/>
          <w:szCs w:val="24"/>
        </w:rPr>
        <w:t>如适用基金</w:t>
      </w:r>
      <w:r w:rsidR="00CE543E">
        <w:rPr>
          <w:rFonts w:ascii="宋体" w:eastAsia="宋体" w:hAnsi="宋体" w:cs="宋体" w:hint="eastAsia"/>
          <w:kern w:val="0"/>
          <w:sz w:val="24"/>
          <w:szCs w:val="24"/>
        </w:rPr>
        <w:t>未开通</w:t>
      </w:r>
      <w:r w:rsidR="00015B53" w:rsidRPr="00015B53">
        <w:rPr>
          <w:rFonts w:ascii="宋体" w:eastAsia="宋体" w:hAnsi="宋体" w:cs="宋体" w:hint="eastAsia"/>
          <w:kern w:val="0"/>
          <w:sz w:val="24"/>
          <w:szCs w:val="24"/>
        </w:rPr>
        <w:t>定期定额投资业务、转换转出业务</w:t>
      </w:r>
      <w:r w:rsidR="00CE543E">
        <w:rPr>
          <w:rFonts w:ascii="宋体" w:eastAsia="宋体" w:hAnsi="宋体" w:cs="宋体" w:hint="eastAsia"/>
          <w:kern w:val="0"/>
          <w:sz w:val="24"/>
          <w:szCs w:val="24"/>
        </w:rPr>
        <w:t>，需</w:t>
      </w:r>
      <w:r w:rsidR="00015B53" w:rsidRPr="00015B53">
        <w:rPr>
          <w:rFonts w:ascii="宋体" w:eastAsia="宋体" w:hAnsi="宋体" w:cs="宋体" w:hint="eastAsia"/>
          <w:kern w:val="0"/>
          <w:sz w:val="24"/>
          <w:szCs w:val="24"/>
        </w:rPr>
        <w:t>开通</w:t>
      </w:r>
      <w:r w:rsidR="00CE543E">
        <w:rPr>
          <w:rFonts w:ascii="宋体" w:eastAsia="宋体" w:hAnsi="宋体" w:cs="宋体" w:hint="eastAsia"/>
          <w:kern w:val="0"/>
          <w:sz w:val="24"/>
          <w:szCs w:val="24"/>
        </w:rPr>
        <w:t>该类</w:t>
      </w:r>
      <w:r w:rsidR="00015B53" w:rsidRPr="00015B53">
        <w:rPr>
          <w:rFonts w:ascii="宋体" w:eastAsia="宋体" w:hAnsi="宋体" w:cs="宋体" w:hint="eastAsia"/>
          <w:kern w:val="0"/>
          <w:sz w:val="24"/>
          <w:szCs w:val="24"/>
        </w:rPr>
        <w:t>业务</w:t>
      </w:r>
      <w:r w:rsidR="00CE543E">
        <w:rPr>
          <w:rFonts w:ascii="宋体" w:eastAsia="宋体" w:hAnsi="宋体" w:cs="宋体" w:hint="eastAsia"/>
          <w:kern w:val="0"/>
          <w:sz w:val="24"/>
          <w:szCs w:val="24"/>
        </w:rPr>
        <w:t>后生效，并以该基金产品</w:t>
      </w:r>
      <w:r w:rsidR="00D94934">
        <w:rPr>
          <w:rFonts w:ascii="宋体" w:eastAsia="宋体" w:hAnsi="宋体" w:cs="宋体" w:hint="eastAsia"/>
          <w:kern w:val="0"/>
          <w:sz w:val="24"/>
          <w:szCs w:val="24"/>
        </w:rPr>
        <w:t>相关业务</w:t>
      </w:r>
      <w:r w:rsidR="00CE543E">
        <w:rPr>
          <w:rFonts w:ascii="宋体" w:eastAsia="宋体" w:hAnsi="宋体" w:cs="宋体" w:hint="eastAsia"/>
          <w:kern w:val="0"/>
          <w:sz w:val="24"/>
          <w:szCs w:val="24"/>
        </w:rPr>
        <w:t>开通公告为准</w:t>
      </w:r>
      <w:r w:rsidR="00015B53" w:rsidRPr="00015B53">
        <w:rPr>
          <w:rFonts w:ascii="宋体" w:eastAsia="宋体" w:hAnsi="宋体" w:cs="宋体" w:hint="eastAsia"/>
          <w:kern w:val="0"/>
          <w:sz w:val="24"/>
          <w:szCs w:val="24"/>
        </w:rPr>
        <w:t xml:space="preserve">。 </w:t>
      </w:r>
    </w:p>
    <w:p w:rsidR="00015B53" w:rsidRPr="00015B53" w:rsidRDefault="00F8317A" w:rsidP="00015B53">
      <w:pPr>
        <w:widowControl/>
        <w:spacing w:before="100" w:beforeAutospacing="1" w:after="100" w:afterAutospacing="1"/>
        <w:ind w:firstLine="420"/>
        <w:jc w:val="left"/>
        <w:rPr>
          <w:rFonts w:ascii="宋体" w:eastAsia="宋体" w:hAnsi="宋体" w:cs="宋体"/>
          <w:kern w:val="0"/>
          <w:sz w:val="24"/>
          <w:szCs w:val="24"/>
        </w:rPr>
      </w:pPr>
      <w:r>
        <w:rPr>
          <w:rFonts w:ascii="宋体" w:eastAsia="宋体" w:hAnsi="宋体" w:cs="宋体" w:hint="eastAsia"/>
          <w:kern w:val="0"/>
          <w:sz w:val="24"/>
          <w:szCs w:val="24"/>
        </w:rPr>
        <w:t>6</w:t>
      </w:r>
      <w:r w:rsidR="00015B53" w:rsidRPr="00015B53">
        <w:rPr>
          <w:rFonts w:ascii="宋体" w:eastAsia="宋体" w:hAnsi="宋体" w:cs="宋体" w:hint="eastAsia"/>
          <w:kern w:val="0"/>
          <w:sz w:val="24"/>
          <w:szCs w:val="24"/>
        </w:rPr>
        <w:t>、本次调整方案所涉及的招募说明书相关内容，将在更新招募说明书时一并予以调整。</w:t>
      </w:r>
    </w:p>
    <w:p w:rsidR="00015B53" w:rsidRPr="00015B53" w:rsidRDefault="00F8317A" w:rsidP="00015B53">
      <w:pPr>
        <w:widowControl/>
        <w:spacing w:before="100" w:beforeAutospacing="1" w:after="100" w:afterAutospacing="1"/>
        <w:ind w:firstLine="420"/>
        <w:jc w:val="left"/>
        <w:rPr>
          <w:rFonts w:ascii="宋体" w:eastAsia="宋体" w:hAnsi="宋体" w:cs="宋体"/>
          <w:kern w:val="0"/>
          <w:sz w:val="24"/>
          <w:szCs w:val="24"/>
        </w:rPr>
      </w:pPr>
      <w:r>
        <w:rPr>
          <w:rFonts w:ascii="宋体" w:eastAsia="宋体" w:hAnsi="宋体" w:cs="宋体" w:hint="eastAsia"/>
          <w:kern w:val="0"/>
          <w:sz w:val="24"/>
          <w:szCs w:val="24"/>
        </w:rPr>
        <w:t>7</w:t>
      </w:r>
      <w:r w:rsidR="00015B53" w:rsidRPr="00015B53">
        <w:rPr>
          <w:rFonts w:ascii="宋体" w:eastAsia="宋体" w:hAnsi="宋体" w:cs="宋体" w:hint="eastAsia"/>
          <w:kern w:val="0"/>
          <w:sz w:val="24"/>
          <w:szCs w:val="24"/>
        </w:rPr>
        <w:t>、本公告涉及上述业务的最终解释权归本公司。</w:t>
      </w:r>
    </w:p>
    <w:p w:rsidR="00015B53" w:rsidRPr="00015B53" w:rsidRDefault="00F8317A" w:rsidP="00015B53">
      <w:pPr>
        <w:widowControl/>
        <w:spacing w:before="100" w:beforeAutospacing="1" w:after="100" w:afterAutospacing="1"/>
        <w:ind w:firstLine="420"/>
        <w:jc w:val="left"/>
        <w:rPr>
          <w:rFonts w:ascii="宋体" w:eastAsia="宋体" w:hAnsi="宋体" w:cs="宋体"/>
          <w:kern w:val="0"/>
          <w:sz w:val="24"/>
          <w:szCs w:val="24"/>
        </w:rPr>
      </w:pPr>
      <w:r>
        <w:rPr>
          <w:rFonts w:ascii="宋体" w:eastAsia="宋体" w:hAnsi="宋体" w:cs="宋体" w:hint="eastAsia"/>
          <w:kern w:val="0"/>
          <w:sz w:val="24"/>
          <w:szCs w:val="24"/>
        </w:rPr>
        <w:t>8</w:t>
      </w:r>
      <w:r w:rsidR="00015B53" w:rsidRPr="00015B53">
        <w:rPr>
          <w:rFonts w:ascii="宋体" w:eastAsia="宋体" w:hAnsi="宋体" w:cs="宋体" w:hint="eastAsia"/>
          <w:kern w:val="0"/>
          <w:sz w:val="24"/>
          <w:szCs w:val="24"/>
        </w:rPr>
        <w:t>、投资者可登陆本公司网站（www.jsfund.com）或拨打客户服务电话（400-600-8800）咨询有关事宜。</w:t>
      </w:r>
    </w:p>
    <w:p w:rsidR="00015B53" w:rsidRPr="00015B53" w:rsidRDefault="00015B53" w:rsidP="00015B53">
      <w:pPr>
        <w:widowControl/>
        <w:spacing w:before="100" w:beforeAutospacing="1" w:after="100" w:afterAutospacing="1"/>
        <w:ind w:firstLine="420"/>
        <w:jc w:val="left"/>
        <w:rPr>
          <w:rFonts w:ascii="宋体" w:eastAsia="宋体" w:hAnsi="宋体" w:cs="宋体"/>
          <w:kern w:val="0"/>
          <w:sz w:val="24"/>
          <w:szCs w:val="24"/>
        </w:rPr>
      </w:pPr>
      <w:r w:rsidRPr="00015B53">
        <w:rPr>
          <w:rFonts w:ascii="宋体" w:eastAsia="宋体" w:hAnsi="宋体" w:cs="宋体" w:hint="eastAsia"/>
          <w:kern w:val="0"/>
          <w:sz w:val="24"/>
          <w:szCs w:val="24"/>
        </w:rPr>
        <w:t>风险提示：基金管理人承诺以诚实信用、勤勉尽责的原则管理和运用基金资产，但不保证基金一定盈利，也不保证最低收益。投资者投资于本公司旗下基金前应认真阅读各基金的基金合同和招募说明书。敬请投资者注意投资风险。</w:t>
      </w:r>
    </w:p>
    <w:p w:rsidR="00015B53" w:rsidRDefault="00015B53" w:rsidP="00015B53">
      <w:pPr>
        <w:widowControl/>
        <w:spacing w:before="100" w:beforeAutospacing="1" w:after="100" w:afterAutospacing="1"/>
        <w:ind w:firstLine="420"/>
        <w:jc w:val="left"/>
      </w:pPr>
      <w:r w:rsidRPr="00015B53">
        <w:rPr>
          <w:rFonts w:ascii="宋体" w:eastAsia="宋体" w:hAnsi="宋体" w:cs="宋体" w:hint="eastAsia"/>
          <w:kern w:val="0"/>
          <w:sz w:val="24"/>
          <w:szCs w:val="24"/>
        </w:rPr>
        <w:t>特此公告。</w:t>
      </w:r>
    </w:p>
    <w:p w:rsidR="00587E72" w:rsidRDefault="00F531B6">
      <w:r>
        <w:rPr>
          <w:rFonts w:hint="eastAsia"/>
        </w:rPr>
        <w:t>附表：</w:t>
      </w:r>
    </w:p>
    <w:tbl>
      <w:tblPr>
        <w:tblW w:w="8369" w:type="dxa"/>
        <w:tblInd w:w="103" w:type="dxa"/>
        <w:tblLook w:val="04A0"/>
      </w:tblPr>
      <w:tblGrid>
        <w:gridCol w:w="3124"/>
        <w:gridCol w:w="5245"/>
      </w:tblGrid>
      <w:tr w:rsidR="008C2A30" w:rsidRPr="008C2A30" w:rsidTr="00A93066">
        <w:trPr>
          <w:trHeight w:val="270"/>
        </w:trPr>
        <w:tc>
          <w:tcPr>
            <w:tcW w:w="312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8C2A30" w:rsidRPr="008C2A30" w:rsidRDefault="008C2A30" w:rsidP="00A93066">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基金代码</w:t>
            </w:r>
          </w:p>
        </w:tc>
        <w:tc>
          <w:tcPr>
            <w:tcW w:w="5245" w:type="dxa"/>
            <w:tcBorders>
              <w:top w:val="single" w:sz="4" w:space="0" w:color="auto"/>
              <w:left w:val="nil"/>
              <w:bottom w:val="single" w:sz="4" w:space="0" w:color="auto"/>
              <w:right w:val="single" w:sz="4" w:space="0" w:color="auto"/>
            </w:tcBorders>
            <w:shd w:val="clear" w:color="000000" w:fill="C0C0C0"/>
            <w:vAlign w:val="center"/>
            <w:hideMark/>
          </w:tcPr>
          <w:p w:rsidR="008C2A30" w:rsidRPr="008C2A30" w:rsidRDefault="008C2A30" w:rsidP="00A93066">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基金名称</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000005</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嘉实增强信用定期债券</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000008</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嘉实中证500ETF联接</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000043</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嘉实美国成长股票（QDII）-人民币</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000044</w:t>
            </w:r>
          </w:p>
        </w:tc>
        <w:tc>
          <w:tcPr>
            <w:tcW w:w="5245" w:type="dxa"/>
            <w:tcBorders>
              <w:top w:val="nil"/>
              <w:left w:val="nil"/>
              <w:bottom w:val="single" w:sz="4" w:space="0" w:color="auto"/>
              <w:right w:val="single" w:sz="4" w:space="0" w:color="auto"/>
            </w:tcBorders>
            <w:shd w:val="clear" w:color="auto" w:fill="auto"/>
            <w:noWrap/>
            <w:vAlign w:val="center"/>
            <w:hideMark/>
          </w:tcPr>
          <w:p w:rsidR="00E86D24" w:rsidRPr="00E86D24"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嘉实美国成长股票（QDII）-美元</w:t>
            </w:r>
            <w:r w:rsidR="00E86D24">
              <w:rPr>
                <w:rFonts w:ascii="宋体" w:eastAsia="宋体" w:hAnsi="宋体" w:cs="宋体" w:hint="eastAsia"/>
                <w:color w:val="000000"/>
                <w:kern w:val="0"/>
                <w:sz w:val="22"/>
              </w:rPr>
              <w:t>现汇</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000082</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嘉实研究阿尔法股票</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000087</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嘉实中证金边中期国债ETF联接A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000088</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嘉实中证金边中期国债ETF联接C</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000113</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嘉实如意宝定期债券A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000115</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嘉实如意宝定期债券C</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000116</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嘉实丰益纯债定期债券</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000176</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嘉实沪深300指数研究增强</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000177</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嘉实丰益信用定期债券A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000183</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嘉实丰益策略定期债券</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000341</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嘉实新兴市场债券C2</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000342</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嘉实新兴市场债券A1</w:t>
            </w:r>
          </w:p>
        </w:tc>
      </w:tr>
      <w:tr w:rsidR="008C2A30" w:rsidRPr="00E86D24"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E86D24" w:rsidRDefault="008C2A30" w:rsidP="008C2A30">
            <w:pPr>
              <w:widowControl/>
              <w:jc w:val="center"/>
              <w:rPr>
                <w:rFonts w:ascii="宋体" w:eastAsia="宋体" w:hAnsi="宋体" w:cs="宋体"/>
                <w:color w:val="000000"/>
                <w:kern w:val="0"/>
                <w:sz w:val="22"/>
              </w:rPr>
            </w:pPr>
            <w:r w:rsidRPr="00E86D24">
              <w:rPr>
                <w:rFonts w:ascii="宋体" w:eastAsia="宋体" w:hAnsi="宋体" w:cs="宋体" w:hint="eastAsia"/>
                <w:color w:val="000000"/>
                <w:kern w:val="0"/>
                <w:sz w:val="22"/>
              </w:rPr>
              <w:t>000414</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E86D24" w:rsidRDefault="008C2A30" w:rsidP="008C2A30">
            <w:pPr>
              <w:widowControl/>
              <w:jc w:val="left"/>
              <w:rPr>
                <w:rFonts w:ascii="宋体" w:eastAsia="宋体" w:hAnsi="宋体" w:cs="宋体"/>
                <w:color w:val="000000"/>
                <w:kern w:val="0"/>
                <w:sz w:val="22"/>
              </w:rPr>
            </w:pPr>
            <w:r w:rsidRPr="00E86D24">
              <w:rPr>
                <w:rFonts w:ascii="宋体" w:eastAsia="宋体" w:hAnsi="宋体" w:cs="宋体" w:hint="eastAsia"/>
                <w:color w:val="000000"/>
                <w:kern w:val="0"/>
                <w:sz w:val="22"/>
              </w:rPr>
              <w:t>嘉实绝对收益策略定期混合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000464</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嘉实活期宝货币</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lastRenderedPageBreak/>
              <w:t>000485</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嘉实1个月理财债券A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000486</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嘉实1个月理财债券E</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000487</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嘉实3个月理财债券A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000488</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嘉实3个月理财债券E</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000585</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嘉实对冲套利定期混合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000595</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嘉实泰和混合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000711</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嘉实医疗保健股票</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000751</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嘉实新兴产业股票</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000870</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嘉实新收益混合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000917</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嘉实快线货币A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000985</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嘉实逆向策略股票</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000988</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嘉实全球互联网股票-人民币</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000989</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嘉实全球互联网股票-美元现汇</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000990</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嘉实全球互联网股票-美元现钞</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001036</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嘉实企业变革股票</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001039</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嘉实先进制造股票</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001044</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嘉实新消费股票</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001416</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嘉实事件驱动股票</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001539</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嘉实中证金融地产ETF联接</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001577</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嘉实低价策略股票</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001616</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嘉实环保低碳股票</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001620</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嘉实新机遇混合发起式</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001637</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嘉实腾讯自选股大数据策略股票</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001639</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嘉实新常态混合A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001640</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嘉实新常态混合C</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001688</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嘉实新起点混合A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001755</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嘉实新思路混合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001756</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嘉实策略优选混合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001757</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嘉实主题增强混合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001758</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嘉实研究增强混合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001759</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嘉实成长增强混合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001760</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嘉实创新成长混合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001812</w:t>
            </w:r>
          </w:p>
        </w:tc>
        <w:tc>
          <w:tcPr>
            <w:tcW w:w="5245" w:type="dxa"/>
            <w:tcBorders>
              <w:top w:val="nil"/>
              <w:left w:val="nil"/>
              <w:bottom w:val="single" w:sz="4" w:space="0" w:color="auto"/>
              <w:right w:val="single" w:sz="4" w:space="0" w:color="auto"/>
            </w:tcBorders>
            <w:shd w:val="clear" w:color="auto" w:fill="auto"/>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嘉实货币E</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001872</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嘉实丰益信用定期债券C</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001873</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嘉实增强收益定期债券C</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001878</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嘉实沪港深精选股票</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002149</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嘉实新优选混合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002168</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嘉实智能汽车股票</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002178</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嘉实新起点混合C</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002211</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嘉实新财富混合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002212</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嘉实新起航混合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002221</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嘉实价值增强混合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002222</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嘉实新趋势混合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002548</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嘉实稳瑞纯债债券</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002549</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嘉实稳祥纯债债券A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002550</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嘉实稳荣债券</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002551</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嘉实稳泰债券</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002744</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嘉实稳丰纯债</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002749</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嘉实稳盛债券</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002991</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嘉实稳鑫纯债债券</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003053</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嘉实文体娱乐股票A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003054</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嘉实文体娱乐股票C</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003056</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嘉实稳泽纯债债券</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003187</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嘉实安益混合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003292</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嘉实优势成长混合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003298</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嘉实物流产业股票A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003299</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嘉实物流产业股票C</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003357</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嘉实稳祥纯债债券C</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003458</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嘉实稳宏债券A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003459</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嘉实稳宏债券C</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003460</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嘉实现金宝货币</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003461</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嘉实稳元纯债债券</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003634</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嘉实农业产业股票</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003879</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嘉实6个月理财债券A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003880</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嘉实定期宝6个月理财债券A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003984</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嘉实新能源新材料股票A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003985</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嘉实新能源新材料股票C</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004029</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嘉实稳康纯债债券</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004030</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嘉实丰安6个月定期债券</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004066</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嘉实稳熙纯债债券</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004115</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嘉实新添程混合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004116</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嘉实新添瑞混合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004173</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嘉实增益宝货币</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004353</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嘉实新添华定期混合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004355</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嘉实丰和灵活配置混合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004356</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嘉实6个月理财债券E</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004450</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嘉实前沿科技沪港深股票</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004477</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嘉实沪港深回报混合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004486</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嘉实稳怡债券</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004487</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嘉实稳愉债券</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004488</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嘉实富时中国A50ETF联接</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004501</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嘉实现金添利货币</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004536</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嘉实中小企业量化活力灵活配置混合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004544</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嘉实稳华纯债债券</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004775</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嘉实新添泽定期混合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070001</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嘉实成长收益混合A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070002</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嘉实增长混合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070003</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嘉实稳健混合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070005</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嘉实债券</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070006</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嘉实服务增值行业混合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070008</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嘉实货币A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070009</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嘉实超短债债券</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070010</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嘉实主题混合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070011</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嘉实策略混合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070012</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嘉实海外中国股票混合(QDII)</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070013</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嘉实研究精选混合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070015</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嘉实多元债券A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070016</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嘉实多元债券B</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070017</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嘉实量化阿尔法混合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070018</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嘉实回报混合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070019</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嘉实价值优势混合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070020</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嘉实稳固收益债券</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070021</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嘉实主题新动力混合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070022</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嘉实领先成长混合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070023</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嘉实深证基本面120ETF联接</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070025</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嘉实信用债券A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070026</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嘉实信用债券C</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070027</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嘉实周期优选混合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070028</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嘉实安心货币A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070030</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嘉实中创400ETF联接</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070031</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嘉实全球房地产（QDII）</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070032</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嘉实优化红利混合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070033</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嘉实增强收益定期债券A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070035</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嘉实理财宝7天债券A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070037</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嘉实纯债债券A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070038</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嘉实纯债债券C</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070099</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嘉实优质企业混合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960024</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嘉实成长收益混合H</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160706</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嘉实沪深300ETF联接(LOF)</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160716</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嘉实基本面50指数(LOF)</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160717</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嘉实H股指数（QDII-LOF）</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160718</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嘉实多利分级债券</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160719</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嘉实黄金（QDII-FOF-LOF）</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160720</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嘉实中证中期企业债指数(LOF)A</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160721</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嘉实中证中期企业债指数(LOF)C</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160722</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嘉实惠泽定增混合</w:t>
            </w:r>
          </w:p>
        </w:tc>
      </w:tr>
      <w:tr w:rsidR="008C2A30" w:rsidRPr="008C2A30" w:rsidTr="00A93066">
        <w:trPr>
          <w:trHeight w:val="27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8C2A30" w:rsidRPr="008C2A30" w:rsidRDefault="008C2A30" w:rsidP="008C2A30">
            <w:pPr>
              <w:widowControl/>
              <w:jc w:val="center"/>
              <w:rPr>
                <w:rFonts w:ascii="宋体" w:eastAsia="宋体" w:hAnsi="宋体" w:cs="宋体"/>
                <w:color w:val="000000"/>
                <w:kern w:val="0"/>
                <w:sz w:val="22"/>
              </w:rPr>
            </w:pPr>
            <w:r w:rsidRPr="008C2A30">
              <w:rPr>
                <w:rFonts w:ascii="宋体" w:eastAsia="宋体" w:hAnsi="宋体" w:cs="宋体" w:hint="eastAsia"/>
                <w:color w:val="000000"/>
                <w:kern w:val="0"/>
                <w:sz w:val="22"/>
              </w:rPr>
              <w:t>160723</w:t>
            </w:r>
          </w:p>
        </w:tc>
        <w:tc>
          <w:tcPr>
            <w:tcW w:w="5245" w:type="dxa"/>
            <w:tcBorders>
              <w:top w:val="nil"/>
              <w:left w:val="nil"/>
              <w:bottom w:val="single" w:sz="4" w:space="0" w:color="auto"/>
              <w:right w:val="single" w:sz="4" w:space="0" w:color="auto"/>
            </w:tcBorders>
            <w:shd w:val="clear" w:color="auto" w:fill="auto"/>
            <w:noWrap/>
            <w:vAlign w:val="center"/>
            <w:hideMark/>
          </w:tcPr>
          <w:p w:rsidR="008C2A30" w:rsidRPr="008C2A30" w:rsidRDefault="008C2A30" w:rsidP="008C2A30">
            <w:pPr>
              <w:widowControl/>
              <w:jc w:val="left"/>
              <w:rPr>
                <w:rFonts w:ascii="宋体" w:eastAsia="宋体" w:hAnsi="宋体" w:cs="宋体"/>
                <w:color w:val="000000"/>
                <w:kern w:val="0"/>
                <w:sz w:val="22"/>
              </w:rPr>
            </w:pPr>
            <w:r w:rsidRPr="008C2A30">
              <w:rPr>
                <w:rFonts w:ascii="宋体" w:eastAsia="宋体" w:hAnsi="宋体" w:cs="宋体" w:hint="eastAsia"/>
                <w:color w:val="000000"/>
                <w:kern w:val="0"/>
                <w:sz w:val="22"/>
              </w:rPr>
              <w:t>嘉实原油（QDII-LOF）</w:t>
            </w:r>
          </w:p>
        </w:tc>
      </w:tr>
    </w:tbl>
    <w:p w:rsidR="004C667A" w:rsidRPr="0049234A" w:rsidRDefault="004C667A" w:rsidP="0049234A"/>
    <w:sectPr w:rsidR="004C667A" w:rsidRPr="0049234A" w:rsidSect="003474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010" w:rsidRDefault="00420010" w:rsidP="00015B53">
      <w:r>
        <w:separator/>
      </w:r>
    </w:p>
  </w:endnote>
  <w:endnote w:type="continuationSeparator" w:id="1">
    <w:p w:rsidR="00420010" w:rsidRDefault="00420010" w:rsidP="00015B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010" w:rsidRDefault="00420010" w:rsidP="00015B53">
      <w:r>
        <w:separator/>
      </w:r>
    </w:p>
  </w:footnote>
  <w:footnote w:type="continuationSeparator" w:id="1">
    <w:p w:rsidR="00420010" w:rsidRDefault="00420010" w:rsidP="00015B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262B"/>
    <w:rsid w:val="0001308A"/>
    <w:rsid w:val="00015B53"/>
    <w:rsid w:val="000358C9"/>
    <w:rsid w:val="000D1784"/>
    <w:rsid w:val="00170ED3"/>
    <w:rsid w:val="00190AAB"/>
    <w:rsid w:val="00243D86"/>
    <w:rsid w:val="0027418A"/>
    <w:rsid w:val="002A7677"/>
    <w:rsid w:val="002B5E41"/>
    <w:rsid w:val="003474D5"/>
    <w:rsid w:val="00390D19"/>
    <w:rsid w:val="003C262B"/>
    <w:rsid w:val="003E3A3B"/>
    <w:rsid w:val="00420010"/>
    <w:rsid w:val="004574BF"/>
    <w:rsid w:val="0049055B"/>
    <w:rsid w:val="0049234A"/>
    <w:rsid w:val="004C667A"/>
    <w:rsid w:val="00587E72"/>
    <w:rsid w:val="006259B2"/>
    <w:rsid w:val="006E27D9"/>
    <w:rsid w:val="00742F69"/>
    <w:rsid w:val="007B0603"/>
    <w:rsid w:val="007E39DB"/>
    <w:rsid w:val="00842261"/>
    <w:rsid w:val="00842728"/>
    <w:rsid w:val="008812D8"/>
    <w:rsid w:val="00896151"/>
    <w:rsid w:val="00897102"/>
    <w:rsid w:val="008C071B"/>
    <w:rsid w:val="008C2A30"/>
    <w:rsid w:val="00986D50"/>
    <w:rsid w:val="009D0D33"/>
    <w:rsid w:val="009D3D82"/>
    <w:rsid w:val="00A6372B"/>
    <w:rsid w:val="00A93066"/>
    <w:rsid w:val="00AA3A05"/>
    <w:rsid w:val="00AB2063"/>
    <w:rsid w:val="00B31AA4"/>
    <w:rsid w:val="00B362E3"/>
    <w:rsid w:val="00B659C5"/>
    <w:rsid w:val="00C012B0"/>
    <w:rsid w:val="00C50CB7"/>
    <w:rsid w:val="00C62804"/>
    <w:rsid w:val="00C77EF6"/>
    <w:rsid w:val="00C809CC"/>
    <w:rsid w:val="00CE543E"/>
    <w:rsid w:val="00CF456E"/>
    <w:rsid w:val="00D3243F"/>
    <w:rsid w:val="00D67C15"/>
    <w:rsid w:val="00D7281C"/>
    <w:rsid w:val="00D94934"/>
    <w:rsid w:val="00DA5DB7"/>
    <w:rsid w:val="00DC1527"/>
    <w:rsid w:val="00E118B1"/>
    <w:rsid w:val="00E277AF"/>
    <w:rsid w:val="00E86D24"/>
    <w:rsid w:val="00F531B6"/>
    <w:rsid w:val="00F8317A"/>
    <w:rsid w:val="00FA10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4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5B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5B53"/>
    <w:rPr>
      <w:sz w:val="18"/>
      <w:szCs w:val="18"/>
    </w:rPr>
  </w:style>
  <w:style w:type="paragraph" w:styleId="a4">
    <w:name w:val="footer"/>
    <w:basedOn w:val="a"/>
    <w:link w:val="Char0"/>
    <w:uiPriority w:val="99"/>
    <w:unhideWhenUsed/>
    <w:rsid w:val="00015B53"/>
    <w:pPr>
      <w:tabs>
        <w:tab w:val="center" w:pos="4153"/>
        <w:tab w:val="right" w:pos="8306"/>
      </w:tabs>
      <w:snapToGrid w:val="0"/>
      <w:jc w:val="left"/>
    </w:pPr>
    <w:rPr>
      <w:sz w:val="18"/>
      <w:szCs w:val="18"/>
    </w:rPr>
  </w:style>
  <w:style w:type="character" w:customStyle="1" w:styleId="Char0">
    <w:name w:val="页脚 Char"/>
    <w:basedOn w:val="a0"/>
    <w:link w:val="a4"/>
    <w:uiPriority w:val="99"/>
    <w:rsid w:val="00015B53"/>
    <w:rPr>
      <w:sz w:val="18"/>
      <w:szCs w:val="18"/>
    </w:rPr>
  </w:style>
  <w:style w:type="character" w:styleId="a5">
    <w:name w:val="Strong"/>
    <w:basedOn w:val="a0"/>
    <w:uiPriority w:val="22"/>
    <w:qFormat/>
    <w:rsid w:val="00015B53"/>
    <w:rPr>
      <w:b/>
      <w:bCs/>
    </w:rPr>
  </w:style>
  <w:style w:type="character" w:styleId="a6">
    <w:name w:val="annotation reference"/>
    <w:basedOn w:val="a0"/>
    <w:uiPriority w:val="99"/>
    <w:semiHidden/>
    <w:unhideWhenUsed/>
    <w:rsid w:val="002B5E41"/>
    <w:rPr>
      <w:sz w:val="21"/>
      <w:szCs w:val="21"/>
    </w:rPr>
  </w:style>
  <w:style w:type="paragraph" w:styleId="a7">
    <w:name w:val="annotation text"/>
    <w:basedOn w:val="a"/>
    <w:link w:val="Char1"/>
    <w:uiPriority w:val="99"/>
    <w:semiHidden/>
    <w:unhideWhenUsed/>
    <w:rsid w:val="002B5E41"/>
    <w:pPr>
      <w:jc w:val="left"/>
    </w:pPr>
  </w:style>
  <w:style w:type="character" w:customStyle="1" w:styleId="Char1">
    <w:name w:val="批注文字 Char"/>
    <w:basedOn w:val="a0"/>
    <w:link w:val="a7"/>
    <w:uiPriority w:val="99"/>
    <w:semiHidden/>
    <w:rsid w:val="002B5E41"/>
  </w:style>
  <w:style w:type="paragraph" w:styleId="a8">
    <w:name w:val="annotation subject"/>
    <w:basedOn w:val="a7"/>
    <w:next w:val="a7"/>
    <w:link w:val="Char2"/>
    <w:uiPriority w:val="99"/>
    <w:semiHidden/>
    <w:unhideWhenUsed/>
    <w:rsid w:val="002B5E41"/>
    <w:rPr>
      <w:b/>
      <w:bCs/>
    </w:rPr>
  </w:style>
  <w:style w:type="character" w:customStyle="1" w:styleId="Char2">
    <w:name w:val="批注主题 Char"/>
    <w:basedOn w:val="Char1"/>
    <w:link w:val="a8"/>
    <w:uiPriority w:val="99"/>
    <w:semiHidden/>
    <w:rsid w:val="002B5E41"/>
    <w:rPr>
      <w:b/>
      <w:bCs/>
    </w:rPr>
  </w:style>
  <w:style w:type="paragraph" w:styleId="a9">
    <w:name w:val="Balloon Text"/>
    <w:basedOn w:val="a"/>
    <w:link w:val="Char3"/>
    <w:uiPriority w:val="99"/>
    <w:semiHidden/>
    <w:unhideWhenUsed/>
    <w:rsid w:val="002B5E41"/>
    <w:rPr>
      <w:sz w:val="18"/>
      <w:szCs w:val="18"/>
    </w:rPr>
  </w:style>
  <w:style w:type="character" w:customStyle="1" w:styleId="Char3">
    <w:name w:val="批注框文本 Char"/>
    <w:basedOn w:val="a0"/>
    <w:link w:val="a9"/>
    <w:uiPriority w:val="99"/>
    <w:semiHidden/>
    <w:rsid w:val="002B5E41"/>
    <w:rPr>
      <w:sz w:val="18"/>
      <w:szCs w:val="18"/>
    </w:rPr>
  </w:style>
  <w:style w:type="paragraph" w:styleId="aa">
    <w:name w:val="Revision"/>
    <w:hidden/>
    <w:uiPriority w:val="99"/>
    <w:semiHidden/>
    <w:rsid w:val="000D1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5B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5B53"/>
    <w:rPr>
      <w:sz w:val="18"/>
      <w:szCs w:val="18"/>
    </w:rPr>
  </w:style>
  <w:style w:type="paragraph" w:styleId="a4">
    <w:name w:val="footer"/>
    <w:basedOn w:val="a"/>
    <w:link w:val="Char0"/>
    <w:uiPriority w:val="99"/>
    <w:unhideWhenUsed/>
    <w:rsid w:val="00015B53"/>
    <w:pPr>
      <w:tabs>
        <w:tab w:val="center" w:pos="4153"/>
        <w:tab w:val="right" w:pos="8306"/>
      </w:tabs>
      <w:snapToGrid w:val="0"/>
      <w:jc w:val="left"/>
    </w:pPr>
    <w:rPr>
      <w:sz w:val="18"/>
      <w:szCs w:val="18"/>
    </w:rPr>
  </w:style>
  <w:style w:type="character" w:customStyle="1" w:styleId="Char0">
    <w:name w:val="页脚 Char"/>
    <w:basedOn w:val="a0"/>
    <w:link w:val="a4"/>
    <w:uiPriority w:val="99"/>
    <w:rsid w:val="00015B53"/>
    <w:rPr>
      <w:sz w:val="18"/>
      <w:szCs w:val="18"/>
    </w:rPr>
  </w:style>
  <w:style w:type="character" w:styleId="a5">
    <w:name w:val="Strong"/>
    <w:basedOn w:val="a0"/>
    <w:uiPriority w:val="22"/>
    <w:qFormat/>
    <w:rsid w:val="00015B53"/>
    <w:rPr>
      <w:b/>
      <w:bCs/>
    </w:rPr>
  </w:style>
  <w:style w:type="character" w:styleId="a6">
    <w:name w:val="annotation reference"/>
    <w:basedOn w:val="a0"/>
    <w:uiPriority w:val="99"/>
    <w:semiHidden/>
    <w:unhideWhenUsed/>
    <w:rsid w:val="002B5E41"/>
    <w:rPr>
      <w:sz w:val="21"/>
      <w:szCs w:val="21"/>
    </w:rPr>
  </w:style>
  <w:style w:type="paragraph" w:styleId="a7">
    <w:name w:val="annotation text"/>
    <w:basedOn w:val="a"/>
    <w:link w:val="Char1"/>
    <w:uiPriority w:val="99"/>
    <w:semiHidden/>
    <w:unhideWhenUsed/>
    <w:rsid w:val="002B5E41"/>
    <w:pPr>
      <w:jc w:val="left"/>
    </w:pPr>
  </w:style>
  <w:style w:type="character" w:customStyle="1" w:styleId="Char1">
    <w:name w:val="批注文字 Char"/>
    <w:basedOn w:val="a0"/>
    <w:link w:val="a7"/>
    <w:uiPriority w:val="99"/>
    <w:semiHidden/>
    <w:rsid w:val="002B5E41"/>
  </w:style>
  <w:style w:type="paragraph" w:styleId="a8">
    <w:name w:val="annotation subject"/>
    <w:basedOn w:val="a7"/>
    <w:next w:val="a7"/>
    <w:link w:val="Char2"/>
    <w:uiPriority w:val="99"/>
    <w:semiHidden/>
    <w:unhideWhenUsed/>
    <w:rsid w:val="002B5E41"/>
    <w:rPr>
      <w:b/>
      <w:bCs/>
    </w:rPr>
  </w:style>
  <w:style w:type="character" w:customStyle="1" w:styleId="Char2">
    <w:name w:val="批注主题 Char"/>
    <w:basedOn w:val="Char1"/>
    <w:link w:val="a8"/>
    <w:uiPriority w:val="99"/>
    <w:semiHidden/>
    <w:rsid w:val="002B5E41"/>
    <w:rPr>
      <w:b/>
      <w:bCs/>
    </w:rPr>
  </w:style>
  <w:style w:type="paragraph" w:styleId="a9">
    <w:name w:val="Balloon Text"/>
    <w:basedOn w:val="a"/>
    <w:link w:val="Char3"/>
    <w:uiPriority w:val="99"/>
    <w:semiHidden/>
    <w:unhideWhenUsed/>
    <w:rsid w:val="002B5E41"/>
    <w:rPr>
      <w:sz w:val="18"/>
      <w:szCs w:val="18"/>
    </w:rPr>
  </w:style>
  <w:style w:type="character" w:customStyle="1" w:styleId="Char3">
    <w:name w:val="批注框文本 Char"/>
    <w:basedOn w:val="a0"/>
    <w:link w:val="a9"/>
    <w:uiPriority w:val="99"/>
    <w:semiHidden/>
    <w:rsid w:val="002B5E41"/>
    <w:rPr>
      <w:sz w:val="18"/>
      <w:szCs w:val="18"/>
    </w:rPr>
  </w:style>
  <w:style w:type="paragraph" w:styleId="aa">
    <w:name w:val="Revision"/>
    <w:hidden/>
    <w:uiPriority w:val="99"/>
    <w:semiHidden/>
    <w:rsid w:val="000D1784"/>
  </w:style>
</w:styles>
</file>

<file path=word/webSettings.xml><?xml version="1.0" encoding="utf-8"?>
<w:webSettings xmlns:r="http://schemas.openxmlformats.org/officeDocument/2006/relationships" xmlns:w="http://schemas.openxmlformats.org/wordprocessingml/2006/main">
  <w:divs>
    <w:div w:id="358045072">
      <w:bodyDiv w:val="1"/>
      <w:marLeft w:val="0"/>
      <w:marRight w:val="0"/>
      <w:marTop w:val="0"/>
      <w:marBottom w:val="0"/>
      <w:divBdr>
        <w:top w:val="none" w:sz="0" w:space="0" w:color="auto"/>
        <w:left w:val="none" w:sz="0" w:space="0" w:color="auto"/>
        <w:bottom w:val="none" w:sz="0" w:space="0" w:color="auto"/>
        <w:right w:val="none" w:sz="0" w:space="0" w:color="auto"/>
      </w:divBdr>
    </w:div>
    <w:div w:id="407390720">
      <w:bodyDiv w:val="1"/>
      <w:marLeft w:val="0"/>
      <w:marRight w:val="0"/>
      <w:marTop w:val="0"/>
      <w:marBottom w:val="0"/>
      <w:divBdr>
        <w:top w:val="none" w:sz="0" w:space="0" w:color="auto"/>
        <w:left w:val="none" w:sz="0" w:space="0" w:color="auto"/>
        <w:bottom w:val="none" w:sz="0" w:space="0" w:color="auto"/>
        <w:right w:val="none" w:sz="0" w:space="0" w:color="auto"/>
      </w:divBdr>
      <w:divsChild>
        <w:div w:id="230115664">
          <w:marLeft w:val="0"/>
          <w:marRight w:val="0"/>
          <w:marTop w:val="0"/>
          <w:marBottom w:val="0"/>
          <w:divBdr>
            <w:top w:val="none" w:sz="0" w:space="0" w:color="auto"/>
            <w:left w:val="none" w:sz="0" w:space="0" w:color="auto"/>
            <w:bottom w:val="none" w:sz="0" w:space="0" w:color="auto"/>
            <w:right w:val="none" w:sz="0" w:space="0" w:color="auto"/>
          </w:divBdr>
          <w:divsChild>
            <w:div w:id="862480608">
              <w:marLeft w:val="0"/>
              <w:marRight w:val="0"/>
              <w:marTop w:val="0"/>
              <w:marBottom w:val="0"/>
              <w:divBdr>
                <w:top w:val="none" w:sz="0" w:space="0" w:color="auto"/>
                <w:left w:val="none" w:sz="0" w:space="0" w:color="auto"/>
                <w:bottom w:val="none" w:sz="0" w:space="0" w:color="auto"/>
                <w:right w:val="none" w:sz="0" w:space="0" w:color="auto"/>
              </w:divBdr>
              <w:divsChild>
                <w:div w:id="1439518316">
                  <w:marLeft w:val="0"/>
                  <w:marRight w:val="0"/>
                  <w:marTop w:val="0"/>
                  <w:marBottom w:val="0"/>
                  <w:divBdr>
                    <w:top w:val="none" w:sz="0" w:space="0" w:color="auto"/>
                    <w:left w:val="none" w:sz="0" w:space="0" w:color="auto"/>
                    <w:bottom w:val="none" w:sz="0" w:space="0" w:color="auto"/>
                    <w:right w:val="none" w:sz="0" w:space="0" w:color="auto"/>
                  </w:divBdr>
                  <w:divsChild>
                    <w:div w:id="739987117">
                      <w:marLeft w:val="0"/>
                      <w:marRight w:val="0"/>
                      <w:marTop w:val="0"/>
                      <w:marBottom w:val="150"/>
                      <w:divBdr>
                        <w:top w:val="none" w:sz="0" w:space="0" w:color="auto"/>
                        <w:left w:val="none" w:sz="0" w:space="0" w:color="auto"/>
                        <w:bottom w:val="none" w:sz="0" w:space="0" w:color="auto"/>
                        <w:right w:val="none" w:sz="0" w:space="0" w:color="auto"/>
                      </w:divBdr>
                      <w:divsChild>
                        <w:div w:id="52690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587752">
      <w:bodyDiv w:val="1"/>
      <w:marLeft w:val="0"/>
      <w:marRight w:val="0"/>
      <w:marTop w:val="0"/>
      <w:marBottom w:val="0"/>
      <w:divBdr>
        <w:top w:val="none" w:sz="0" w:space="0" w:color="auto"/>
        <w:left w:val="none" w:sz="0" w:space="0" w:color="auto"/>
        <w:bottom w:val="none" w:sz="0" w:space="0" w:color="auto"/>
        <w:right w:val="none" w:sz="0" w:space="0" w:color="auto"/>
      </w:divBdr>
    </w:div>
    <w:div w:id="1335958742">
      <w:bodyDiv w:val="1"/>
      <w:marLeft w:val="0"/>
      <w:marRight w:val="0"/>
      <w:marTop w:val="0"/>
      <w:marBottom w:val="0"/>
      <w:divBdr>
        <w:top w:val="none" w:sz="0" w:space="0" w:color="auto"/>
        <w:left w:val="none" w:sz="0" w:space="0" w:color="auto"/>
        <w:bottom w:val="none" w:sz="0" w:space="0" w:color="auto"/>
        <w:right w:val="none" w:sz="0" w:space="0" w:color="auto"/>
      </w:divBdr>
    </w:div>
    <w:div w:id="1711151071">
      <w:bodyDiv w:val="1"/>
      <w:marLeft w:val="0"/>
      <w:marRight w:val="0"/>
      <w:marTop w:val="0"/>
      <w:marBottom w:val="0"/>
      <w:divBdr>
        <w:top w:val="none" w:sz="0" w:space="0" w:color="auto"/>
        <w:left w:val="none" w:sz="0" w:space="0" w:color="auto"/>
        <w:bottom w:val="none" w:sz="0" w:space="0" w:color="auto"/>
        <w:right w:val="none" w:sz="0" w:space="0" w:color="auto"/>
      </w:divBdr>
    </w:div>
    <w:div w:id="1720744750">
      <w:bodyDiv w:val="1"/>
      <w:marLeft w:val="0"/>
      <w:marRight w:val="0"/>
      <w:marTop w:val="0"/>
      <w:marBottom w:val="0"/>
      <w:divBdr>
        <w:top w:val="none" w:sz="0" w:space="0" w:color="auto"/>
        <w:left w:val="none" w:sz="0" w:space="0" w:color="auto"/>
        <w:bottom w:val="none" w:sz="0" w:space="0" w:color="auto"/>
        <w:right w:val="none" w:sz="0" w:space="0" w:color="auto"/>
      </w:divBdr>
    </w:div>
    <w:div w:id="1750616503">
      <w:bodyDiv w:val="1"/>
      <w:marLeft w:val="0"/>
      <w:marRight w:val="0"/>
      <w:marTop w:val="0"/>
      <w:marBottom w:val="0"/>
      <w:divBdr>
        <w:top w:val="none" w:sz="0" w:space="0" w:color="auto"/>
        <w:left w:val="none" w:sz="0" w:space="0" w:color="auto"/>
        <w:bottom w:val="none" w:sz="0" w:space="0" w:color="auto"/>
        <w:right w:val="none" w:sz="0" w:space="0" w:color="auto"/>
      </w:divBdr>
    </w:div>
    <w:div w:id="1820271822">
      <w:bodyDiv w:val="1"/>
      <w:marLeft w:val="0"/>
      <w:marRight w:val="0"/>
      <w:marTop w:val="0"/>
      <w:marBottom w:val="0"/>
      <w:divBdr>
        <w:top w:val="none" w:sz="0" w:space="0" w:color="auto"/>
        <w:left w:val="none" w:sz="0" w:space="0" w:color="auto"/>
        <w:bottom w:val="none" w:sz="0" w:space="0" w:color="auto"/>
        <w:right w:val="none" w:sz="0" w:space="0" w:color="auto"/>
      </w:divBdr>
    </w:div>
    <w:div w:id="1873615240">
      <w:bodyDiv w:val="1"/>
      <w:marLeft w:val="0"/>
      <w:marRight w:val="0"/>
      <w:marTop w:val="0"/>
      <w:marBottom w:val="0"/>
      <w:divBdr>
        <w:top w:val="none" w:sz="0" w:space="0" w:color="auto"/>
        <w:left w:val="none" w:sz="0" w:space="0" w:color="auto"/>
        <w:bottom w:val="none" w:sz="0" w:space="0" w:color="auto"/>
        <w:right w:val="none" w:sz="0" w:space="0" w:color="auto"/>
      </w:divBdr>
    </w:div>
    <w:div w:id="2037075118">
      <w:bodyDiv w:val="1"/>
      <w:marLeft w:val="0"/>
      <w:marRight w:val="0"/>
      <w:marTop w:val="0"/>
      <w:marBottom w:val="0"/>
      <w:divBdr>
        <w:top w:val="none" w:sz="0" w:space="0" w:color="auto"/>
        <w:left w:val="none" w:sz="0" w:space="0" w:color="auto"/>
        <w:bottom w:val="none" w:sz="0" w:space="0" w:color="auto"/>
        <w:right w:val="none" w:sz="0" w:space="0" w:color="auto"/>
      </w:divBdr>
    </w:div>
    <w:div w:id="214612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4FE04-1379-4C9A-A242-3BBAA465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3286</Characters>
  <Application>Microsoft Office Word</Application>
  <DocSecurity>4</DocSecurity>
  <Lines>27</Lines>
  <Paragraphs>7</Paragraphs>
  <ScaleCrop>false</ScaleCrop>
  <Company>Microsoft</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李晨</dc:creator>
  <cp:lastModifiedBy>ZHONGM</cp:lastModifiedBy>
  <cp:revision>2</cp:revision>
  <cp:lastPrinted>2017-08-14T09:27:00Z</cp:lastPrinted>
  <dcterms:created xsi:type="dcterms:W3CDTF">2017-08-14T16:32:00Z</dcterms:created>
  <dcterms:modified xsi:type="dcterms:W3CDTF">2017-08-14T16:32:00Z</dcterms:modified>
</cp:coreProperties>
</file>