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left"/>
        <w:rPr>
          <w:color w:val="000000"/>
          <w:kern w:val="0"/>
          <w:sz w:val="24"/>
        </w:rPr>
      </w:pPr>
    </w:p>
    <w:p>
      <w:pPr>
        <w:autoSpaceDE w:val="0"/>
        <w:autoSpaceDN w:val="0"/>
        <w:adjustRightInd w:val="0"/>
        <w:spacing w:line="360" w:lineRule="auto"/>
        <w:jc w:val="left"/>
        <w:rPr>
          <w:color w:val="000000"/>
          <w:kern w:val="0"/>
          <w:sz w:val="24"/>
        </w:rPr>
      </w:pPr>
    </w:p>
    <w:p>
      <w:pPr>
        <w:autoSpaceDE w:val="0"/>
        <w:autoSpaceDN w:val="0"/>
        <w:adjustRightInd w:val="0"/>
        <w:spacing w:line="360" w:lineRule="auto"/>
        <w:jc w:val="left"/>
        <w:rPr>
          <w:color w:val="000000"/>
          <w:kern w:val="0"/>
          <w:sz w:val="24"/>
        </w:rPr>
      </w:pPr>
    </w:p>
    <w:p>
      <w:pPr>
        <w:autoSpaceDE w:val="0"/>
        <w:autoSpaceDN w:val="0"/>
        <w:adjustRightInd w:val="0"/>
        <w:spacing w:line="360" w:lineRule="auto"/>
        <w:jc w:val="left"/>
        <w:rPr>
          <w:color w:val="000000"/>
          <w:kern w:val="0"/>
          <w:sz w:val="24"/>
        </w:rPr>
      </w:pPr>
    </w:p>
    <w:p>
      <w:pPr>
        <w:spacing w:line="360" w:lineRule="auto"/>
        <w:jc w:val="center"/>
        <w:rPr>
          <w:b/>
          <w:sz w:val="36"/>
          <w:szCs w:val="36"/>
        </w:rPr>
      </w:pPr>
      <w:r>
        <w:rPr>
          <w:b/>
          <w:sz w:val="36"/>
          <w:szCs w:val="36"/>
        </w:rPr>
        <w:t>中银聚利分级债券型证券投资基金</w:t>
      </w:r>
    </w:p>
    <w:p>
      <w:pPr>
        <w:spacing w:line="360" w:lineRule="auto"/>
        <w:jc w:val="center"/>
        <w:rPr>
          <w:b/>
          <w:sz w:val="36"/>
          <w:szCs w:val="36"/>
        </w:rPr>
      </w:pPr>
      <w:r>
        <w:rPr>
          <w:b/>
          <w:sz w:val="36"/>
          <w:szCs w:val="36"/>
        </w:rPr>
        <w:t>2017年第2季度报告</w:t>
      </w:r>
    </w:p>
    <w:p>
      <w:pPr>
        <w:spacing w:line="360" w:lineRule="auto"/>
        <w:jc w:val="center"/>
        <w:rPr>
          <w:b/>
          <w:sz w:val="36"/>
          <w:szCs w:val="36"/>
        </w:rPr>
      </w:pPr>
      <w:r>
        <w:rPr>
          <w:b/>
          <w:sz w:val="36"/>
          <w:szCs w:val="36"/>
        </w:rPr>
        <w:t>2017年6月30日</w:t>
      </w: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jc w:val="center"/>
        <w:rPr>
          <w:b/>
          <w:color w:val="000000"/>
          <w:sz w:val="24"/>
        </w:rPr>
      </w:pPr>
    </w:p>
    <w:p>
      <w:pPr>
        <w:spacing w:line="360" w:lineRule="auto"/>
        <w:ind w:firstLine="2168" w:firstLineChars="900"/>
        <w:rPr>
          <w:b/>
          <w:bCs/>
          <w:sz w:val="24"/>
        </w:rPr>
      </w:pPr>
    </w:p>
    <w:p>
      <w:pPr>
        <w:spacing w:line="360" w:lineRule="auto"/>
        <w:ind w:firstLine="2168" w:firstLineChars="900"/>
        <w:rPr>
          <w:b/>
          <w:color w:val="000000"/>
          <w:sz w:val="24"/>
        </w:rPr>
      </w:pPr>
      <w:r>
        <w:rPr>
          <w:b/>
          <w:color w:val="000000"/>
          <w:sz w:val="24"/>
        </w:rPr>
        <w:t>基金管理人：中银基金管理有限公司</w:t>
      </w:r>
    </w:p>
    <w:p>
      <w:pPr>
        <w:spacing w:line="360" w:lineRule="auto"/>
        <w:ind w:firstLine="2168" w:firstLineChars="900"/>
        <w:rPr>
          <w:b/>
          <w:color w:val="000000"/>
          <w:sz w:val="24"/>
        </w:rPr>
      </w:pPr>
      <w:r>
        <w:rPr>
          <w:b/>
          <w:color w:val="000000"/>
          <w:sz w:val="24"/>
        </w:rPr>
        <w:t>基金托管人：招商银行股份有限公司</w:t>
      </w:r>
    </w:p>
    <w:p>
      <w:pPr>
        <w:spacing w:line="360" w:lineRule="auto"/>
        <w:ind w:firstLine="2168" w:firstLineChars="900"/>
        <w:rPr>
          <w:b/>
          <w:color w:val="000000"/>
          <w:sz w:val="24"/>
        </w:rPr>
        <w:sectPr>
          <w:headerReference r:id="rId3" w:type="default"/>
          <w:footerReference r:id="rId4" w:type="default"/>
          <w:pgSz w:w="11926" w:h="15840"/>
          <w:pgMar w:top="1418" w:right="1418" w:bottom="851" w:left="1418" w:header="851" w:footer="992" w:gutter="0"/>
          <w:cols w:space="720" w:num="1"/>
        </w:sectPr>
      </w:pPr>
      <w:r>
        <w:rPr>
          <w:b/>
          <w:color w:val="000000"/>
          <w:sz w:val="24"/>
        </w:rPr>
        <w:t>报告送出日期：二〇一七年七月二十一日</w:t>
      </w:r>
    </w:p>
    <w:p>
      <w:pPr>
        <w:pStyle w:val="2"/>
        <w:spacing w:before="0" w:after="0" w:line="360" w:lineRule="auto"/>
        <w:jc w:val="center"/>
        <w:rPr>
          <w:color w:val="000000"/>
          <w:kern w:val="0"/>
          <w:sz w:val="24"/>
          <w:szCs w:val="24"/>
        </w:rPr>
      </w:pPr>
      <w:r>
        <w:rPr>
          <w:color w:val="000000"/>
          <w:kern w:val="0"/>
          <w:sz w:val="24"/>
          <w:szCs w:val="24"/>
        </w:rPr>
        <w:t>§1  重要提示</w:t>
      </w:r>
    </w:p>
    <w:p>
      <w:pPr>
        <w:spacing w:line="360" w:lineRule="auto"/>
        <w:ind w:firstLine="420" w:firstLineChars="200"/>
        <w:rPr>
          <w:color w:val="000000"/>
          <w:szCs w:val="21"/>
        </w:rPr>
      </w:pPr>
      <w:r>
        <w:rPr>
          <w:color w:val="000000"/>
          <w:szCs w:val="21"/>
        </w:rPr>
        <w:t xml:space="preserve">基金管理人的董事会及董事保证本报告所载资料不存在虚假记载、误导性陈述或重大遗漏，并对其内容的真实性、准确性和完整性承担个别及连带责任。 </w:t>
      </w:r>
    </w:p>
    <w:p>
      <w:pPr>
        <w:spacing w:line="360" w:lineRule="auto"/>
        <w:ind w:firstLine="420" w:firstLineChars="200"/>
        <w:rPr>
          <w:color w:val="000000"/>
          <w:szCs w:val="21"/>
        </w:rPr>
      </w:pPr>
      <w:r>
        <w:rPr>
          <w:color w:val="000000"/>
          <w:szCs w:val="21"/>
        </w:rPr>
        <w:t xml:space="preserve">基金托管人招商银行股份有限公司根据本基金合同规定，于2017年7月20日复核了本报告中的财务指标、净值表现和投资组合报告等内容，保证复核内容不存在虚假记载、误导性陈述或者重大遗漏。 </w:t>
      </w:r>
    </w:p>
    <w:p>
      <w:pPr>
        <w:spacing w:line="360" w:lineRule="auto"/>
        <w:ind w:firstLine="420" w:firstLineChars="200"/>
        <w:rPr>
          <w:color w:val="000000"/>
          <w:szCs w:val="21"/>
        </w:rPr>
      </w:pPr>
      <w:r>
        <w:rPr>
          <w:color w:val="000000"/>
          <w:szCs w:val="21"/>
        </w:rPr>
        <w:t xml:space="preserve">基金管理人承诺以诚实信用、勤勉尽责的原则管理和运用基金资产，但不保证基金一定盈利。 </w:t>
      </w:r>
    </w:p>
    <w:p>
      <w:pPr>
        <w:spacing w:line="360" w:lineRule="auto"/>
        <w:ind w:firstLine="420" w:firstLineChars="200"/>
        <w:rPr>
          <w:color w:val="000000"/>
          <w:szCs w:val="21"/>
        </w:rPr>
      </w:pPr>
      <w:r>
        <w:rPr>
          <w:color w:val="000000"/>
          <w:szCs w:val="21"/>
        </w:rPr>
        <w:t xml:space="preserve">基金的过往业绩并不代表其未来表现。投资有风险，投资者在作出投资决策前应仔细阅读本基金的招募说明书。 </w:t>
      </w:r>
    </w:p>
    <w:p>
      <w:pPr>
        <w:spacing w:line="360" w:lineRule="auto"/>
        <w:ind w:firstLine="420" w:firstLineChars="200"/>
        <w:rPr>
          <w:color w:val="000000"/>
          <w:szCs w:val="21"/>
        </w:rPr>
      </w:pPr>
      <w:r>
        <w:rPr>
          <w:color w:val="000000"/>
          <w:szCs w:val="21"/>
        </w:rPr>
        <w:t xml:space="preserve">本报告中财务资料未经审计。 </w:t>
      </w:r>
    </w:p>
    <w:p>
      <w:pPr>
        <w:spacing w:line="360" w:lineRule="auto"/>
        <w:ind w:firstLine="420" w:firstLineChars="200"/>
        <w:rPr>
          <w:color w:val="000000"/>
          <w:szCs w:val="21"/>
        </w:rPr>
      </w:pPr>
      <w:r>
        <w:rPr>
          <w:color w:val="000000"/>
          <w:szCs w:val="21"/>
        </w:rPr>
        <w:t>本报告期自2017年4月1日起至6月30日止。</w:t>
      </w:r>
    </w:p>
    <w:p>
      <w:pPr>
        <w:pStyle w:val="2"/>
        <w:spacing w:before="0" w:after="0" w:line="360" w:lineRule="auto"/>
        <w:jc w:val="center"/>
        <w:rPr>
          <w:color w:val="000000"/>
          <w:kern w:val="0"/>
          <w:sz w:val="24"/>
          <w:szCs w:val="24"/>
        </w:rPr>
      </w:pPr>
      <w:r>
        <w:rPr>
          <w:color w:val="000000"/>
          <w:kern w:val="0"/>
          <w:sz w:val="24"/>
          <w:szCs w:val="24"/>
        </w:rPr>
        <w:t>§2  基金产品概况</w:t>
      </w: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739"/>
        <w:gridCol w:w="2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基金简称</w:t>
            </w:r>
          </w:p>
        </w:tc>
        <w:tc>
          <w:tcPr>
            <w:tcW w:w="5670" w:type="dxa"/>
            <w:gridSpan w:val="2"/>
          </w:tcPr>
          <w:p>
            <w:pPr>
              <w:adjustRightInd w:val="0"/>
              <w:spacing w:before="29"/>
              <w:ind w:left="17"/>
              <w:jc w:val="left"/>
              <w:rPr>
                <w:color w:val="000000"/>
                <w:kern w:val="0"/>
                <w:szCs w:val="21"/>
              </w:rPr>
            </w:pPr>
            <w:r>
              <w:rPr>
                <w:color w:val="000000"/>
                <w:kern w:val="0"/>
                <w:szCs w:val="21"/>
              </w:rPr>
              <w:t>中银聚利分级债券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Borders>
              <w:top w:val="single" w:color="auto" w:sz="4" w:space="0"/>
              <w:left w:val="single" w:color="auto" w:sz="4" w:space="0"/>
              <w:bottom w:val="single" w:color="auto" w:sz="4" w:space="0"/>
              <w:right w:val="single" w:color="auto" w:sz="4" w:space="0"/>
            </w:tcBorders>
          </w:tcPr>
          <w:p>
            <w:pPr>
              <w:adjustRightInd w:val="0"/>
              <w:spacing w:before="29"/>
              <w:ind w:left="17"/>
              <w:jc w:val="left"/>
              <w:rPr>
                <w:kern w:val="0"/>
                <w:szCs w:val="21"/>
              </w:rPr>
            </w:pPr>
            <w:r>
              <w:rPr>
                <w:kern w:val="0"/>
                <w:szCs w:val="21"/>
              </w:rPr>
              <w:t>基金主代码</w:t>
            </w:r>
          </w:p>
        </w:tc>
        <w:tc>
          <w:tcPr>
            <w:tcW w:w="5670" w:type="dxa"/>
            <w:gridSpan w:val="2"/>
            <w:tcBorders>
              <w:top w:val="single" w:color="auto" w:sz="4" w:space="0"/>
              <w:left w:val="single" w:color="auto" w:sz="4" w:space="0"/>
              <w:bottom w:val="single" w:color="auto" w:sz="4" w:space="0"/>
              <w:right w:val="single" w:color="auto" w:sz="4" w:space="0"/>
            </w:tcBorders>
          </w:tcPr>
          <w:p>
            <w:pPr>
              <w:adjustRightInd w:val="0"/>
              <w:spacing w:before="29"/>
              <w:ind w:left="17"/>
              <w:jc w:val="left"/>
              <w:rPr>
                <w:color w:val="000000"/>
                <w:kern w:val="0"/>
                <w:szCs w:val="21"/>
              </w:rPr>
            </w:pPr>
            <w:r>
              <w:rPr>
                <w:color w:val="000000"/>
                <w:kern w:val="0"/>
                <w:szCs w:val="21"/>
              </w:rPr>
              <w:t>000631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基金运作方式</w:t>
            </w:r>
          </w:p>
        </w:tc>
        <w:tc>
          <w:tcPr>
            <w:tcW w:w="5670" w:type="dxa"/>
            <w:gridSpan w:val="2"/>
          </w:tcPr>
          <w:p>
            <w:pPr>
              <w:adjustRightInd w:val="0"/>
              <w:spacing w:before="29"/>
              <w:ind w:left="17"/>
              <w:jc w:val="left"/>
              <w:rPr>
                <w:color w:val="000000"/>
                <w:szCs w:val="21"/>
              </w:rPr>
            </w:pPr>
            <w:r>
              <w:rPr>
                <w:color w:val="000000"/>
                <w:kern w:val="0"/>
                <w:szCs w:val="21"/>
              </w:rPr>
              <w:t>契约型。本基金以18个月为一个分级运作周期。在每个分级运作周期内，聚利A的开放期为自每个分级运作周期起始日起每6个月即将届满的最后两个工作日的期间。聚利A自分级运作周期起始日起每6个月开放一次申购、赎回，但自分级运作周期起始日起满18个月的开放期只开放赎回，不开放申购；聚利B仅在分级运作周期到期日开放申购、赎回，期间封闭运作且不上市交易。每个分级运作周期到期后，本基金将安排不超过十个工作日的过渡期，办理聚利B的申购、赎回以及聚利A的申购等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基金合同生效日</w:t>
            </w:r>
          </w:p>
        </w:tc>
        <w:tc>
          <w:tcPr>
            <w:tcW w:w="5670" w:type="dxa"/>
            <w:gridSpan w:val="2"/>
          </w:tcPr>
          <w:p>
            <w:pPr>
              <w:adjustRightInd w:val="0"/>
              <w:spacing w:before="29"/>
              <w:ind w:left="17"/>
              <w:jc w:val="left"/>
              <w:rPr>
                <w:color w:val="000000"/>
                <w:kern w:val="0"/>
                <w:szCs w:val="21"/>
              </w:rPr>
            </w:pPr>
            <w:r>
              <w:rPr>
                <w:color w:val="000000"/>
                <w:kern w:val="0"/>
                <w:szCs w:val="21"/>
              </w:rPr>
              <w:t>2014年6月5日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报告期末基金份额总额</w:t>
            </w:r>
          </w:p>
        </w:tc>
        <w:tc>
          <w:tcPr>
            <w:tcW w:w="5670" w:type="dxa"/>
            <w:gridSpan w:val="2"/>
          </w:tcPr>
          <w:p>
            <w:pPr>
              <w:adjustRightInd w:val="0"/>
              <w:spacing w:before="29"/>
              <w:ind w:left="17"/>
              <w:jc w:val="left"/>
              <w:rPr>
                <w:color w:val="000000"/>
                <w:szCs w:val="21"/>
              </w:rPr>
            </w:pPr>
            <w:r>
              <w:rPr>
                <w:color w:val="000000"/>
                <w:kern w:val="0"/>
                <w:szCs w:val="21"/>
              </w:rPr>
              <w:t>1,627,591,515.26份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投资目标</w:t>
            </w:r>
          </w:p>
        </w:tc>
        <w:tc>
          <w:tcPr>
            <w:tcW w:w="5670" w:type="dxa"/>
            <w:gridSpan w:val="2"/>
          </w:tcPr>
          <w:p>
            <w:pPr>
              <w:adjustRightInd w:val="0"/>
              <w:spacing w:before="29"/>
              <w:ind w:left="17"/>
              <w:jc w:val="left"/>
              <w:rPr>
                <w:color w:val="000000"/>
                <w:szCs w:val="21"/>
              </w:rPr>
            </w:pPr>
            <w:r>
              <w:rPr>
                <w:color w:val="000000"/>
                <w:kern w:val="0"/>
                <w:szCs w:val="21"/>
              </w:rPr>
              <w:t>在合理控制风险的前提下，本基金力争获取高于业绩比较基准的投资收益。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投资策略</w:t>
            </w:r>
          </w:p>
        </w:tc>
        <w:tc>
          <w:tcPr>
            <w:tcW w:w="5670" w:type="dxa"/>
            <w:gridSpan w:val="2"/>
          </w:tcPr>
          <w:p>
            <w:pPr>
              <w:adjustRightInd w:val="0"/>
              <w:spacing w:before="29"/>
              <w:ind w:left="17"/>
              <w:jc w:val="left"/>
              <w:rPr>
                <w:color w:val="000000"/>
                <w:szCs w:val="21"/>
              </w:rPr>
            </w:pPr>
            <w:r>
              <w:rPr>
                <w:color w:val="000000"/>
                <w:kern w:val="0"/>
                <w:szCs w:val="21"/>
              </w:rPr>
              <w:t>本基金采取自上而下和自下而上相结合的投资策略，在严格控制风险的前提下，实现风险和收益的最佳配比。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业绩比较基准</w:t>
            </w:r>
          </w:p>
        </w:tc>
        <w:tc>
          <w:tcPr>
            <w:tcW w:w="5670" w:type="dxa"/>
            <w:gridSpan w:val="2"/>
          </w:tcPr>
          <w:p>
            <w:pPr>
              <w:adjustRightInd w:val="0"/>
              <w:spacing w:before="29"/>
              <w:ind w:left="17"/>
              <w:jc w:val="left"/>
              <w:rPr>
                <w:color w:val="000000"/>
                <w:szCs w:val="21"/>
              </w:rPr>
            </w:pPr>
            <w:r>
              <w:rPr>
                <w:color w:val="000000"/>
                <w:kern w:val="0"/>
                <w:szCs w:val="21"/>
              </w:rPr>
              <w:t>中债综合指数（全价)。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风险收益特征</w:t>
            </w:r>
          </w:p>
        </w:tc>
        <w:tc>
          <w:tcPr>
            <w:tcW w:w="5670" w:type="dxa"/>
            <w:gridSpan w:val="2"/>
          </w:tcPr>
          <w:p>
            <w:pPr>
              <w:adjustRightInd w:val="0"/>
              <w:spacing w:before="29"/>
              <w:ind w:left="17"/>
              <w:jc w:val="left"/>
              <w:rPr>
                <w:color w:val="000000"/>
                <w:szCs w:val="21"/>
              </w:rPr>
            </w:pPr>
            <w:r>
              <w:rPr>
                <w:color w:val="000000"/>
                <w:kern w:val="0"/>
                <w:szCs w:val="21"/>
              </w:rPr>
              <w:t>从基金整体运作来看，本基金属于中低风险品种，预期收益和预期风险高于货币市场基金，低于混合型基金和股票型基金。从两类份额看，聚利A持有人的年化约定收益率为1.1×一年期定期存款利率（税后）+利差，表现出预期风险较低、预期收益相对稳定的特点。聚利B获得剩余收益，带有适当的杠杆效应，表现出预期风险较高，预期收益较高的特点，其预期收益及预期风险要高于普通纯债型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基金管理人</w:t>
            </w:r>
          </w:p>
        </w:tc>
        <w:tc>
          <w:tcPr>
            <w:tcW w:w="5670" w:type="dxa"/>
            <w:gridSpan w:val="2"/>
          </w:tcPr>
          <w:p>
            <w:pPr>
              <w:adjustRightInd w:val="0"/>
              <w:spacing w:before="29"/>
              <w:ind w:left="17"/>
              <w:jc w:val="left"/>
              <w:rPr>
                <w:color w:val="000000"/>
                <w:szCs w:val="21"/>
              </w:rPr>
            </w:pPr>
            <w:r>
              <w:rPr>
                <w:color w:val="000000"/>
                <w:kern w:val="0"/>
                <w:szCs w:val="21"/>
              </w:rPr>
              <w:t>中银基金管理有限公司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基金托管人</w:t>
            </w:r>
          </w:p>
        </w:tc>
        <w:tc>
          <w:tcPr>
            <w:tcW w:w="5670" w:type="dxa"/>
            <w:gridSpan w:val="2"/>
          </w:tcPr>
          <w:p>
            <w:pPr>
              <w:adjustRightInd w:val="0"/>
              <w:spacing w:before="29"/>
              <w:ind w:left="17"/>
              <w:jc w:val="left"/>
              <w:rPr>
                <w:color w:val="000000"/>
                <w:szCs w:val="21"/>
              </w:rPr>
            </w:pPr>
            <w:r>
              <w:rPr>
                <w:color w:val="000000"/>
                <w:kern w:val="0"/>
                <w:szCs w:val="21"/>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下属两级基金的基金简称</w:t>
            </w:r>
          </w:p>
        </w:tc>
        <w:tc>
          <w:tcPr>
            <w:tcW w:w="2739" w:type="dxa"/>
            <w:vAlign w:val="center"/>
          </w:tcPr>
          <w:p>
            <w:pPr>
              <w:jc w:val="left"/>
              <w:rPr>
                <w:szCs w:val="21"/>
              </w:rPr>
            </w:pPr>
            <w:r>
              <w:rPr>
                <w:color w:val="000000"/>
                <w:kern w:val="0"/>
                <w:szCs w:val="21"/>
              </w:rPr>
              <w:t/>
            </w:r>
            <w:r>
              <w:rPr>
                <w:szCs w:val="21"/>
              </w:rPr>
              <w:t>中银聚利分级债券A</w:t>
            </w:r>
          </w:p>
        </w:tc>
        <w:tc>
          <w:tcPr>
            <w:tcW w:w="2931" w:type="dxa"/>
            <w:vAlign w:val="center"/>
          </w:tcPr>
          <w:p>
            <w:pPr>
              <w:jc w:val="left"/>
              <w:rPr>
                <w:szCs w:val="21"/>
              </w:rPr>
            </w:pPr>
            <w:r>
              <w:rPr>
                <w:color w:val="000000"/>
                <w:kern w:val="0"/>
                <w:szCs w:val="21"/>
              </w:rPr>
              <w:t/>
            </w:r>
            <w:r>
              <w:rPr>
                <w:szCs w:val="21"/>
              </w:rPr>
              <w:t>中银聚利分级债券B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vAlign w:val="center"/>
          </w:tcPr>
          <w:p>
            <w:pPr>
              <w:adjustRightInd w:val="0"/>
              <w:spacing w:before="29"/>
              <w:ind w:left="17"/>
              <w:jc w:val="left"/>
              <w:rPr>
                <w:kern w:val="0"/>
                <w:szCs w:val="21"/>
              </w:rPr>
            </w:pPr>
            <w:r>
              <w:rPr>
                <w:kern w:val="0"/>
                <w:szCs w:val="21"/>
              </w:rPr>
              <w:t>下属两级基金的交易代码</w:t>
            </w:r>
          </w:p>
        </w:tc>
        <w:tc>
          <w:tcPr>
            <w:tcW w:w="2739" w:type="dxa"/>
            <w:vAlign w:val="center"/>
          </w:tcPr>
          <w:p>
            <w:pPr>
              <w:jc w:val="left"/>
              <w:rPr>
                <w:szCs w:val="21"/>
              </w:rPr>
            </w:pPr>
            <w:r>
              <w:rPr>
                <w:color w:val="000000"/>
                <w:kern w:val="0"/>
                <w:szCs w:val="21"/>
              </w:rPr>
              <w:t/>
            </w:r>
            <w:r>
              <w:rPr>
                <w:szCs w:val="21"/>
              </w:rPr>
              <w:t>000632</w:t>
            </w:r>
          </w:p>
        </w:tc>
        <w:tc>
          <w:tcPr>
            <w:tcW w:w="2931" w:type="dxa"/>
            <w:vAlign w:val="center"/>
          </w:tcPr>
          <w:p>
            <w:pPr>
              <w:jc w:val="left"/>
              <w:rPr>
                <w:szCs w:val="21"/>
              </w:rPr>
            </w:pPr>
            <w:r>
              <w:rPr>
                <w:color w:val="000000"/>
                <w:kern w:val="0"/>
                <w:szCs w:val="21"/>
              </w:rPr>
              <w:t/>
            </w:r>
            <w:r>
              <w:rPr>
                <w:szCs w:val="21"/>
              </w:rPr>
              <w:t>000633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报告期末下属两级基金的份额总额</w:t>
            </w:r>
          </w:p>
        </w:tc>
        <w:tc>
          <w:tcPr>
            <w:tcW w:w="2739" w:type="dxa"/>
            <w:vAlign w:val="center"/>
          </w:tcPr>
          <w:p>
            <w:pPr>
              <w:jc w:val="left"/>
              <w:rPr>
                <w:szCs w:val="21"/>
              </w:rPr>
            </w:pPr>
            <w:r>
              <w:rPr>
                <w:color w:val="000000"/>
                <w:kern w:val="0"/>
                <w:szCs w:val="21"/>
              </w:rPr>
              <w:t/>
            </w:r>
            <w:r>
              <w:rPr>
                <w:szCs w:val="21"/>
              </w:rPr>
              <w:t>1,171,580,921.25</w:t>
            </w:r>
            <w:r>
              <w:rPr>
                <w:color w:val="000000"/>
                <w:kern w:val="0"/>
                <w:szCs w:val="21"/>
              </w:rPr>
              <w:t>份</w:t>
            </w:r>
          </w:p>
        </w:tc>
        <w:tc>
          <w:tcPr>
            <w:tcW w:w="2931" w:type="dxa"/>
            <w:vAlign w:val="center"/>
          </w:tcPr>
          <w:p>
            <w:pPr>
              <w:jc w:val="left"/>
              <w:rPr>
                <w:szCs w:val="21"/>
              </w:rPr>
            </w:pPr>
            <w:r>
              <w:rPr>
                <w:color w:val="000000"/>
                <w:kern w:val="0"/>
                <w:szCs w:val="21"/>
              </w:rPr>
              <w:t/>
            </w:r>
            <w:r>
              <w:rPr>
                <w:szCs w:val="21"/>
              </w:rPr>
              <w:t>456,010,594.01</w:t>
            </w:r>
            <w:r>
              <w:rPr>
                <w:color w:val="000000"/>
                <w:kern w:val="0"/>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35" w:type="dxa"/>
          </w:tcPr>
          <w:p>
            <w:pPr>
              <w:adjustRightInd w:val="0"/>
              <w:spacing w:before="29"/>
              <w:ind w:left="17"/>
              <w:jc w:val="left"/>
              <w:rPr>
                <w:kern w:val="0"/>
                <w:szCs w:val="21"/>
              </w:rPr>
            </w:pPr>
            <w:r>
              <w:rPr>
                <w:kern w:val="0"/>
                <w:szCs w:val="21"/>
              </w:rPr>
              <w:t>下属两级基金的风险收益特征</w:t>
            </w:r>
          </w:p>
        </w:tc>
        <w:tc>
          <w:tcPr>
            <w:tcW w:w="2739" w:type="dxa"/>
            <w:vAlign w:val="center"/>
          </w:tcPr>
          <w:p>
            <w:pPr>
              <w:jc w:val="left"/>
              <w:rPr>
                <w:color w:val="000000"/>
                <w:kern w:val="0"/>
                <w:szCs w:val="21"/>
              </w:rPr>
            </w:pPr>
            <w:r>
              <w:rPr>
                <w:color w:val="000000"/>
                <w:kern w:val="0"/>
                <w:szCs w:val="21"/>
              </w:rPr>
              <w:t>聚利A持有人的年化约定收益率为1.1×一年期定期存款利率（税后）+利差，表现出预期风险较低、预期收益相对稳定的特点。</w:t>
            </w:r>
          </w:p>
        </w:tc>
        <w:tc>
          <w:tcPr>
            <w:tcW w:w="2931" w:type="dxa"/>
            <w:vAlign w:val="center"/>
          </w:tcPr>
          <w:p>
            <w:pPr>
              <w:jc w:val="left"/>
              <w:rPr>
                <w:color w:val="000000"/>
                <w:kern w:val="0"/>
                <w:szCs w:val="21"/>
              </w:rPr>
            </w:pPr>
            <w:r>
              <w:rPr>
                <w:color w:val="000000"/>
                <w:kern w:val="0"/>
                <w:szCs w:val="21"/>
              </w:rPr>
              <w:t/>
            </w:r>
            <w:r>
              <w:rPr>
                <w:szCs w:val="21"/>
              </w:rPr>
              <w:t>聚利B获得剩余收益，带有适当的杠杆效应，表现出预期风险较高，预期收益较高的特点，其预期收益及预期风险要高于普通纯债型基金。</w:t>
            </w:r>
          </w:p>
        </w:tc>
      </w:tr>
    </w:tbl>
    <w:p>
      <w:pPr>
        <w:pStyle w:val="2"/>
        <w:spacing w:before="0" w:after="0" w:line="360" w:lineRule="auto"/>
        <w:jc w:val="center"/>
        <w:rPr>
          <w:color w:val="000000"/>
          <w:kern w:val="0"/>
          <w:sz w:val="24"/>
          <w:szCs w:val="24"/>
        </w:rPr>
      </w:pPr>
      <w:r>
        <w:rPr>
          <w:color w:val="000000"/>
          <w:kern w:val="0"/>
          <w:sz w:val="24"/>
          <w:szCs w:val="24"/>
        </w:rPr>
        <w:t>§3  主要财务指标和基金净值表现</w:t>
      </w:r>
    </w:p>
    <w:p>
      <w:pPr>
        <w:autoSpaceDE w:val="0"/>
        <w:autoSpaceDN w:val="0"/>
        <w:adjustRightInd w:val="0"/>
        <w:spacing w:line="360" w:lineRule="auto"/>
        <w:jc w:val="left"/>
        <w:rPr>
          <w:b/>
          <w:bCs/>
          <w:color w:val="000000"/>
          <w:kern w:val="0"/>
          <w:szCs w:val="21"/>
        </w:rPr>
      </w:pPr>
      <w:r>
        <w:rPr>
          <w:b/>
          <w:bCs/>
          <w:color w:val="000000"/>
          <w:kern w:val="0"/>
          <w:szCs w:val="21"/>
        </w:rPr>
        <w:t>3.1主要财务指标</w:t>
      </w:r>
    </w:p>
    <w:p>
      <w:pPr>
        <w:spacing w:line="360" w:lineRule="auto"/>
        <w:jc w:val="right"/>
        <w:rPr>
          <w:szCs w:val="21"/>
        </w:rPr>
      </w:pPr>
      <w:r>
        <w:rPr>
          <w:color w:val="000000"/>
          <w:kern w:val="0"/>
          <w:szCs w:val="21"/>
        </w:rPr>
        <w:t>单位：人民币元</w:t>
      </w:r>
    </w:p>
    <w:tbl>
      <w:tblPr>
        <w:tblStyle w:val="28"/>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2"/>
        <w:gridCol w:w="2552"/>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vAlign w:val="center"/>
          </w:tcPr>
          <w:p>
            <w:pPr>
              <w:adjustRightInd w:val="0"/>
              <w:spacing w:before="29"/>
              <w:ind w:left="17"/>
              <w:jc w:val="center"/>
              <w:rPr>
                <w:kern w:val="0"/>
                <w:szCs w:val="21"/>
              </w:rPr>
            </w:pPr>
            <w:r>
              <w:rPr>
                <w:kern w:val="0"/>
                <w:szCs w:val="21"/>
              </w:rPr>
              <w:t>主要财务指标</w:t>
            </w:r>
          </w:p>
        </w:tc>
        <w:tc>
          <w:tcPr>
            <w:tcW w:w="4962" w:type="dxa"/>
            <w:hMerge w:val="restart"/>
            <w:vAlign w:val="center"/>
          </w:tcPr>
          <w:p>
            <w:pPr>
              <w:adjustRightInd w:val="0"/>
              <w:spacing w:before="29"/>
              <w:ind w:left="17"/>
              <w:jc w:val="center"/>
              <w:rPr>
                <w:color w:val="000000"/>
                <w:szCs w:val="21"/>
              </w:rPr>
            </w:pPr>
            <w:r>
              <w:rPr>
                <w:color w:val="000000"/>
                <w:szCs w:val="21"/>
              </w:rPr>
              <w:t>报告期</w:t>
            </w:r>
          </w:p>
          <w:p>
            <w:pPr>
              <w:adjustRightInd w:val="0"/>
              <w:spacing w:before="29"/>
              <w:ind w:left="17"/>
              <w:jc w:val="center"/>
              <w:rPr>
                <w:color w:val="000000"/>
                <w:szCs w:val="21"/>
              </w:rPr>
            </w:pPr>
            <w:r>
              <w:rPr>
                <w:color w:val="000000"/>
                <w:szCs w:val="21"/>
              </w:rPr>
              <w:t>(2017年4月1日-2017年6月30日)</w:t>
            </w:r>
          </w:p>
        </w:tc>
        <w:tc>
          <w:tcPr>
            <w:tcW w:w="2410" w:type="dxa"/>
            <w:hMerge/>
            <w:vAlign w:val="center"/>
          </w:tcPr>
          <w:p>
            <w:pPr>
              <w:adjustRightInd w:val="0"/>
              <w:spacing w:before="29"/>
              <w:ind w:left="17"/>
              <w:jc w:val="center"/>
              <w:rPr>
                <w:color w:val="000000"/>
                <w:szCs w:val="21"/>
              </w:rPr>
            </w:pPr>
            <w:r>
              <w:rPr>
                <w:color w:val="000000"/>
                <w:szCs w:val="21"/>
              </w:rPr>
              <w:t>上期金额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vAlign w:val="center"/>
          </w:tcPr>
          <w:p>
            <w:pPr>
              <w:adjustRightInd w:val="0"/>
              <w:spacing w:before="29"/>
              <w:ind w:left="17"/>
              <w:rPr>
                <w:kern w:val="0"/>
                <w:szCs w:val="21"/>
              </w:rPr>
            </w:pPr>
            <w:r>
              <w:rPr>
                <w:kern w:val="0"/>
                <w:szCs w:val="21"/>
              </w:rPr>
              <w:t>1.本期已实现收益</w:t>
            </w:r>
          </w:p>
        </w:tc>
        <w:tc>
          <w:tcPr>
            <w:tcW w:w="4962" w:type="dxa"/>
            <w:hMerge w:val="restart"/>
            <w:vAlign w:val="center"/>
          </w:tcPr>
          <w:p>
            <w:pPr>
              <w:adjustRightInd w:val="0"/>
              <w:spacing w:before="29"/>
              <w:ind w:left="17"/>
              <w:jc w:val="right"/>
              <w:rPr>
                <w:color w:val="000000"/>
                <w:szCs w:val="21"/>
              </w:rPr>
            </w:pPr>
            <w:r>
              <w:rPr>
                <w:color w:val="000000"/>
                <w:szCs w:val="21"/>
              </w:rPr>
              <w:t>-2,592,234.90</w:t>
            </w:r>
          </w:p>
        </w:tc>
        <w:tc>
          <w:tcPr>
            <w:tcW w:w="2410" w:type="dxa"/>
            <w:hMerge/>
            <w:vAlign w:val="center"/>
          </w:tcPr>
          <w:p>
            <w:pPr>
              <w:adjustRightInd w:val="0"/>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vAlign w:val="center"/>
          </w:tcPr>
          <w:p>
            <w:pPr>
              <w:adjustRightInd w:val="0"/>
              <w:spacing w:before="29"/>
              <w:ind w:left="17"/>
              <w:rPr>
                <w:kern w:val="0"/>
                <w:szCs w:val="21"/>
              </w:rPr>
            </w:pPr>
            <w:r>
              <w:rPr>
                <w:kern w:val="0"/>
                <w:szCs w:val="21"/>
              </w:rPr>
              <w:t>2.本期利润</w:t>
            </w:r>
          </w:p>
        </w:tc>
        <w:tc>
          <w:tcPr>
            <w:tcW w:w="4962" w:type="dxa"/>
            <w:hMerge w:val="restart"/>
            <w:vAlign w:val="center"/>
          </w:tcPr>
          <w:p>
            <w:pPr>
              <w:adjustRightInd w:val="0"/>
              <w:spacing w:before="29"/>
              <w:ind w:left="17"/>
              <w:jc w:val="right"/>
              <w:rPr>
                <w:color w:val="000000"/>
                <w:szCs w:val="21"/>
              </w:rPr>
            </w:pPr>
            <w:r>
              <w:rPr>
                <w:color w:val="000000"/>
                <w:szCs w:val="21"/>
              </w:rPr>
              <w:t>706,135.74</w:t>
            </w:r>
          </w:p>
        </w:tc>
        <w:tc>
          <w:tcPr>
            <w:tcW w:w="2410" w:type="dxa"/>
            <w:hMerge/>
            <w:vAlign w:val="center"/>
          </w:tcPr>
          <w:p>
            <w:pPr>
              <w:adjustRightInd w:val="0"/>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vAlign w:val="center"/>
          </w:tcPr>
          <w:p>
            <w:pPr>
              <w:adjustRightInd w:val="0"/>
              <w:spacing w:before="29"/>
              <w:ind w:left="17"/>
              <w:rPr>
                <w:kern w:val="0"/>
                <w:szCs w:val="21"/>
              </w:rPr>
            </w:pPr>
            <w:r>
              <w:rPr>
                <w:kern w:val="0"/>
                <w:szCs w:val="21"/>
              </w:rPr>
              <w:t>3.加权平均基金份额本期利润</w:t>
            </w:r>
          </w:p>
        </w:tc>
        <w:tc>
          <w:tcPr>
            <w:tcW w:w="4962" w:type="dxa"/>
            <w:hMerge w:val="restart"/>
            <w:vAlign w:val="center"/>
          </w:tcPr>
          <w:p>
            <w:pPr>
              <w:adjustRightInd w:val="0"/>
              <w:spacing w:before="29"/>
              <w:ind w:left="17"/>
              <w:jc w:val="right"/>
              <w:rPr>
                <w:color w:val="000000"/>
                <w:szCs w:val="21"/>
              </w:rPr>
            </w:pPr>
            <w:r>
              <w:rPr>
                <w:color w:val="000000"/>
                <w:szCs w:val="21"/>
              </w:rPr>
              <w:t>0.0003</w:t>
            </w:r>
          </w:p>
        </w:tc>
        <w:tc>
          <w:tcPr>
            <w:tcW w:w="2410" w:type="dxa"/>
            <w:hMerge/>
            <w:vAlign w:val="center"/>
          </w:tcPr>
          <w:p>
            <w:pPr>
              <w:adjustRightInd w:val="0"/>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02" w:type="dxa"/>
            <w:vAlign w:val="center"/>
          </w:tcPr>
          <w:p>
            <w:pPr>
              <w:adjustRightInd w:val="0"/>
              <w:spacing w:before="29"/>
              <w:ind w:left="17"/>
              <w:rPr>
                <w:kern w:val="0"/>
                <w:szCs w:val="21"/>
              </w:rPr>
            </w:pPr>
            <w:r>
              <w:rPr>
                <w:kern w:val="0"/>
                <w:szCs w:val="21"/>
              </w:rPr>
              <w:t>4.期末基金资产净值</w:t>
            </w:r>
          </w:p>
        </w:tc>
        <w:tc>
          <w:tcPr>
            <w:tcW w:w="4962" w:type="dxa"/>
            <w:hMerge w:val="restart"/>
            <w:vAlign w:val="center"/>
          </w:tcPr>
          <w:p>
            <w:pPr>
              <w:adjustRightInd w:val="0"/>
              <w:spacing w:before="29"/>
              <w:ind w:left="17"/>
              <w:jc w:val="right"/>
              <w:rPr>
                <w:color w:val="000000"/>
                <w:szCs w:val="21"/>
              </w:rPr>
            </w:pPr>
            <w:r>
              <w:rPr>
                <w:color w:val="000000"/>
                <w:szCs w:val="21"/>
              </w:rPr>
              <w:t>1,644,022,304.45</w:t>
            </w:r>
          </w:p>
        </w:tc>
        <w:tc>
          <w:tcPr>
            <w:tcW w:w="2410" w:type="dxa"/>
            <w:hMerge/>
            <w:vAlign w:val="center"/>
          </w:tcPr>
          <w:p>
            <w:pPr>
              <w:adjustRightInd w:val="0"/>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 w:hRule="atLeast"/>
        </w:trPr>
        <w:tc>
          <w:tcPr>
            <w:tcW w:w="3402" w:type="dxa"/>
            <w:vAlign w:val="center"/>
          </w:tcPr>
          <w:p>
            <w:pPr>
              <w:adjustRightInd w:val="0"/>
              <w:spacing w:before="29"/>
              <w:ind w:left="17"/>
              <w:rPr>
                <w:kern w:val="0"/>
                <w:szCs w:val="21"/>
              </w:rPr>
            </w:pPr>
            <w:r>
              <w:rPr>
                <w:kern w:val="0"/>
                <w:szCs w:val="21"/>
              </w:rPr>
              <w:t>5.期末基金份额净值</w:t>
            </w:r>
          </w:p>
        </w:tc>
        <w:tc>
          <w:tcPr>
            <w:tcW w:w="4962" w:type="dxa"/>
            <w:hMerge w:val="restart"/>
            <w:vAlign w:val="center"/>
          </w:tcPr>
          <w:p>
            <w:pPr>
              <w:adjustRightInd w:val="0"/>
              <w:spacing w:before="29"/>
              <w:ind w:left="17"/>
              <w:jc w:val="right"/>
              <w:rPr>
                <w:color w:val="000000"/>
                <w:szCs w:val="21"/>
              </w:rPr>
            </w:pPr>
            <w:r>
              <w:rPr>
                <w:color w:val="000000"/>
                <w:szCs w:val="21"/>
              </w:rPr>
              <w:t>1.010</w:t>
            </w:r>
          </w:p>
        </w:tc>
        <w:tc>
          <w:tcPr>
            <w:tcW w:w="2410" w:type="dxa"/>
            <w:hMerge/>
            <w:vAlign w:val="center"/>
          </w:tcPr>
          <w:p>
            <w:pPr>
              <w:adjustRightInd w:val="0"/>
              <w:spacing w:before="29"/>
              <w:ind w:left="17"/>
              <w:jc w:val="right"/>
              <w:rPr>
                <w:color w:val="000000"/>
                <w:szCs w:val="21"/>
              </w:rPr>
            </w:pPr>
            <w:r>
              <w:rPr>
                <w:color w:val="000000"/>
                <w:szCs w:val="21"/>
              </w:rPr>
              <w:t>-</w:t>
            </w:r>
          </w:p>
        </w:tc>
      </w:tr>
    </w:tbl>
    <w:p>
      <w:pPr>
        <w:autoSpaceDE w:val="0"/>
        <w:autoSpaceDN w:val="0"/>
        <w:adjustRightInd w:val="0"/>
        <w:spacing w:line="360" w:lineRule="auto"/>
        <w:jc w:val="left"/>
        <w:rPr>
          <w:color w:val="000000"/>
          <w:szCs w:val="21"/>
        </w:rPr>
      </w:pPr>
      <w:r>
        <w:rPr>
          <w:color w:val="000000"/>
          <w:szCs w:val="21"/>
        </w:rPr>
        <w:t>注：1、本期已实现收益指基金本期利息收入、投资收益、其他收入（不含公允价值变动收益）扣除相关费用后的余额，本期利润为本期已实现收益加上本期公允价值变动收益。</w:t>
      </w:r>
    </w:p>
    <w:p>
      <w:pPr>
        <w:autoSpaceDE w:val="0"/>
        <w:autoSpaceDN w:val="0"/>
        <w:adjustRightInd w:val="0"/>
        <w:spacing w:line="360" w:lineRule="auto"/>
        <w:jc w:val="left"/>
        <w:rPr>
          <w:color w:val="000000"/>
          <w:szCs w:val="21"/>
        </w:rPr>
      </w:pPr>
      <w:r>
        <w:rPr>
          <w:color w:val="000000"/>
          <w:szCs w:val="21"/>
        </w:rPr>
        <w:t>2、所述基金业绩指标不包括持有人认购或交易基金的各项费用，计入费用后实际收益水平要低于所列数字。</w:t>
      </w:r>
    </w:p>
    <w:p>
      <w:pPr>
        <w:autoSpaceDE w:val="0"/>
        <w:autoSpaceDN w:val="0"/>
        <w:adjustRightInd w:val="0"/>
        <w:spacing w:line="360" w:lineRule="auto"/>
        <w:jc w:val="left"/>
        <w:rPr>
          <w:b/>
          <w:bCs/>
          <w:color w:val="000000"/>
          <w:kern w:val="0"/>
          <w:szCs w:val="21"/>
        </w:rPr>
      </w:pPr>
      <w:r>
        <w:rPr>
          <w:b/>
          <w:bCs/>
          <w:color w:val="000000"/>
          <w:kern w:val="0"/>
          <w:szCs w:val="21"/>
        </w:rPr>
        <w:t>3.2 基金净值表现</w:t>
      </w:r>
    </w:p>
    <w:p>
      <w:pPr>
        <w:autoSpaceDE w:val="0"/>
        <w:autoSpaceDN w:val="0"/>
        <w:adjustRightInd w:val="0"/>
        <w:spacing w:line="360" w:lineRule="auto"/>
        <w:jc w:val="left"/>
        <w:rPr>
          <w:b/>
          <w:bCs/>
          <w:color w:val="000000"/>
          <w:kern w:val="0"/>
          <w:szCs w:val="21"/>
        </w:rPr>
      </w:pPr>
      <w:r>
        <w:rPr>
          <w:b/>
          <w:bCs/>
          <w:color w:val="000000"/>
          <w:kern w:val="0"/>
          <w:szCs w:val="21"/>
        </w:rPr>
        <w:t>3.2.1本报告期基金份额净值增长率及其与同期业绩比较基准收益率的比较</w:t>
      </w:r>
    </w:p>
    <w:tbl>
      <w:tblPr>
        <w:tblStyle w:val="28"/>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134"/>
        <w:gridCol w:w="1134"/>
        <w:gridCol w:w="1275"/>
        <w:gridCol w:w="1418"/>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0" w:type="dxa"/>
            <w:vAlign w:val="center"/>
          </w:tcPr>
          <w:p>
            <w:pPr>
              <w:autoSpaceDE w:val="0"/>
              <w:autoSpaceDN w:val="0"/>
              <w:adjustRightInd w:val="0"/>
              <w:spacing w:before="29"/>
              <w:ind w:left="17"/>
              <w:jc w:val="center"/>
              <w:rPr>
                <w:color w:val="000000"/>
                <w:kern w:val="0"/>
                <w:szCs w:val="21"/>
              </w:rPr>
            </w:pPr>
            <w:r>
              <w:rPr>
                <w:color w:val="000000"/>
                <w:kern w:val="0"/>
                <w:szCs w:val="21"/>
              </w:rPr>
              <w:t>阶段</w:t>
            </w:r>
          </w:p>
        </w:tc>
        <w:tc>
          <w:tcPr>
            <w:tcW w:w="1134" w:type="dxa"/>
            <w:vAlign w:val="center"/>
          </w:tcPr>
          <w:p>
            <w:pPr>
              <w:autoSpaceDE w:val="0"/>
              <w:autoSpaceDN w:val="0"/>
              <w:adjustRightInd w:val="0"/>
              <w:spacing w:before="29"/>
              <w:ind w:left="17"/>
              <w:jc w:val="center"/>
              <w:rPr>
                <w:color w:val="000000"/>
                <w:kern w:val="0"/>
                <w:szCs w:val="21"/>
              </w:rPr>
            </w:pPr>
            <w:r>
              <w:rPr>
                <w:color w:val="000000"/>
                <w:kern w:val="0"/>
                <w:szCs w:val="21"/>
              </w:rPr>
              <w:t>净值增长率</w:t>
            </w:r>
            <w:r>
              <w:rPr>
                <w:rFonts w:hint="eastAsia" w:ascii="宋体" w:hAnsi="宋体" w:cs="宋体"/>
                <w:color w:val="000000"/>
                <w:kern w:val="0"/>
                <w:szCs w:val="21"/>
              </w:rPr>
              <w:t>①</w:t>
            </w:r>
          </w:p>
        </w:tc>
        <w:tc>
          <w:tcPr>
            <w:tcW w:w="1134" w:type="dxa"/>
            <w:vAlign w:val="center"/>
          </w:tcPr>
          <w:p>
            <w:pPr>
              <w:autoSpaceDE w:val="0"/>
              <w:autoSpaceDN w:val="0"/>
              <w:adjustRightInd w:val="0"/>
              <w:spacing w:before="29"/>
              <w:ind w:left="17"/>
              <w:jc w:val="center"/>
              <w:rPr>
                <w:color w:val="000000"/>
                <w:kern w:val="0"/>
                <w:szCs w:val="21"/>
              </w:rPr>
            </w:pPr>
            <w:r>
              <w:rPr>
                <w:color w:val="000000"/>
                <w:kern w:val="0"/>
                <w:szCs w:val="21"/>
              </w:rPr>
              <w:t>净值增长率标准差</w:t>
            </w:r>
            <w:r>
              <w:rPr>
                <w:rFonts w:hint="eastAsia" w:ascii="宋体" w:hAnsi="宋体" w:cs="宋体"/>
                <w:color w:val="000000"/>
                <w:kern w:val="0"/>
                <w:szCs w:val="21"/>
              </w:rPr>
              <w:t>②</w:t>
            </w:r>
          </w:p>
        </w:tc>
        <w:tc>
          <w:tcPr>
            <w:tcW w:w="1275" w:type="dxa"/>
            <w:vAlign w:val="center"/>
          </w:tcPr>
          <w:p>
            <w:pPr>
              <w:autoSpaceDE w:val="0"/>
              <w:autoSpaceDN w:val="0"/>
              <w:adjustRightInd w:val="0"/>
              <w:spacing w:before="29"/>
              <w:ind w:left="17"/>
              <w:jc w:val="center"/>
              <w:rPr>
                <w:color w:val="000000"/>
                <w:kern w:val="0"/>
                <w:szCs w:val="21"/>
              </w:rPr>
            </w:pPr>
            <w:r>
              <w:rPr>
                <w:color w:val="000000"/>
                <w:kern w:val="0"/>
                <w:szCs w:val="21"/>
              </w:rPr>
              <w:t>业绩比较基准收益率</w:t>
            </w:r>
            <w:r>
              <w:rPr>
                <w:rFonts w:hint="eastAsia" w:ascii="宋体" w:hAnsi="宋体" w:cs="宋体"/>
                <w:color w:val="000000"/>
                <w:kern w:val="0"/>
                <w:szCs w:val="21"/>
              </w:rPr>
              <w:t>③</w:t>
            </w:r>
          </w:p>
        </w:tc>
        <w:tc>
          <w:tcPr>
            <w:tcW w:w="1418" w:type="dxa"/>
            <w:vAlign w:val="center"/>
          </w:tcPr>
          <w:p>
            <w:pPr>
              <w:autoSpaceDE w:val="0"/>
              <w:autoSpaceDN w:val="0"/>
              <w:adjustRightInd w:val="0"/>
              <w:spacing w:before="29"/>
              <w:ind w:left="17"/>
              <w:jc w:val="center"/>
              <w:rPr>
                <w:color w:val="000000"/>
                <w:kern w:val="0"/>
                <w:szCs w:val="21"/>
              </w:rPr>
            </w:pPr>
            <w:r>
              <w:rPr>
                <w:color w:val="000000"/>
                <w:kern w:val="0"/>
                <w:szCs w:val="21"/>
              </w:rPr>
              <w:t>业绩比较基准收益率标准差</w:t>
            </w:r>
            <w:r>
              <w:rPr>
                <w:rFonts w:hint="eastAsia" w:ascii="宋体" w:hAnsi="宋体" w:cs="宋体"/>
                <w:color w:val="000000"/>
                <w:kern w:val="0"/>
                <w:szCs w:val="21"/>
              </w:rPr>
              <w:t>④</w:t>
            </w:r>
          </w:p>
        </w:tc>
        <w:tc>
          <w:tcPr>
            <w:tcW w:w="992" w:type="dxa"/>
            <w:vAlign w:val="center"/>
          </w:tcPr>
          <w:p>
            <w:pPr>
              <w:autoSpaceDE w:val="0"/>
              <w:autoSpaceDN w:val="0"/>
              <w:adjustRightInd w:val="0"/>
              <w:spacing w:before="29"/>
              <w:ind w:left="17"/>
              <w:jc w:val="center"/>
              <w:rPr>
                <w:color w:val="000000"/>
                <w:kern w:val="0"/>
                <w:szCs w:val="21"/>
              </w:rPr>
            </w:pPr>
            <w:r>
              <w:rPr>
                <w:rFonts w:hint="eastAsia" w:ascii="宋体" w:hAnsi="宋体" w:cs="宋体"/>
                <w:color w:val="000000"/>
                <w:kern w:val="0"/>
                <w:szCs w:val="21"/>
              </w:rPr>
              <w:t>①</w:t>
            </w:r>
            <w:r>
              <w:rPr>
                <w:color w:val="000000"/>
                <w:kern w:val="0"/>
                <w:szCs w:val="21"/>
              </w:rPr>
              <w:t>-</w:t>
            </w:r>
            <w:r>
              <w:rPr>
                <w:rFonts w:hint="eastAsia" w:ascii="宋体" w:hAnsi="宋体" w:cs="宋体"/>
                <w:color w:val="000000"/>
                <w:kern w:val="0"/>
                <w:szCs w:val="21"/>
              </w:rPr>
              <w:t>③</w:t>
            </w:r>
          </w:p>
        </w:tc>
        <w:tc>
          <w:tcPr>
            <w:tcW w:w="1134" w:type="dxa"/>
            <w:vAlign w:val="center"/>
          </w:tcPr>
          <w:p>
            <w:pPr>
              <w:autoSpaceDE w:val="0"/>
              <w:autoSpaceDN w:val="0"/>
              <w:adjustRightInd w:val="0"/>
              <w:spacing w:before="29"/>
              <w:ind w:left="17"/>
              <w:jc w:val="center"/>
              <w:rPr>
                <w:color w:val="000000"/>
                <w:kern w:val="0"/>
                <w:szCs w:val="21"/>
              </w:rPr>
            </w:pPr>
            <w:r>
              <w:rPr>
                <w:rFonts w:hint="eastAsia" w:ascii="宋体" w:hAnsi="宋体" w:cs="宋体"/>
                <w:color w:val="000000"/>
                <w:kern w:val="0"/>
                <w:szCs w:val="21"/>
              </w:rPr>
              <w:t>②</w:t>
            </w:r>
            <w:r>
              <w:rPr>
                <w:color w:val="000000"/>
                <w:kern w:val="0"/>
                <w:szCs w:val="21"/>
              </w:rPr>
              <w:t>-</w:t>
            </w:r>
            <w:r>
              <w:rPr>
                <w:rFonts w:hint="eastAsia" w:ascii="宋体" w:hAnsi="宋体" w:cs="宋体"/>
                <w:color w:val="000000"/>
                <w:kern w:val="0"/>
                <w:szCs w:val="21"/>
              </w:rPr>
              <w:t>④</w:t>
            </w:r>
          </w:p>
        </w:tc>
      </w:tr>
      <w:tr>
        <w:tc>
          <w:tcPr>
            <w:vAlign w:val="center"/>
          </w:tcPr>
          <w:p>
            <w:pPr>
              <w:jc w:val="left"/>
            </w:pPr>
            <w:r>
              <w:rPr>
                <w:color w:val="000000"/>
                <w:kern w:val="0"/>
                <w:szCs w:val="21"/>
              </w:rPr>
              <w:t>过去三个月</w:t>
            </w:r>
          </w:p>
        </w:tc>
        <w:tc>
          <w:tcPr>
            <w:vAlign w:val="center"/>
          </w:tcPr>
          <w:p>
            <w:pPr>
              <w:jc w:val="center"/>
            </w:pPr>
            <w:r>
              <w:rPr>
                <w:color w:val="000000"/>
                <w:kern w:val="0"/>
                <w:szCs w:val="21"/>
              </w:rPr>
              <w:t>0.50%</w:t>
            </w:r>
          </w:p>
        </w:tc>
        <w:tc>
          <w:tcPr>
            <w:vAlign w:val="center"/>
          </w:tcPr>
          <w:p>
            <w:pPr>
              <w:jc w:val="center"/>
            </w:pPr>
            <w:r>
              <w:rPr>
                <w:color w:val="000000"/>
                <w:kern w:val="0"/>
                <w:szCs w:val="21"/>
              </w:rPr>
              <w:t>0.08%</w:t>
            </w:r>
          </w:p>
        </w:tc>
        <w:tc>
          <w:tcPr>
            <w:vAlign w:val="center"/>
          </w:tcPr>
          <w:p>
            <w:pPr>
              <w:jc w:val="center"/>
            </w:pPr>
            <w:r>
              <w:rPr>
                <w:color w:val="000000"/>
                <w:kern w:val="0"/>
                <w:szCs w:val="21"/>
              </w:rPr>
              <w:t>-0.88%</w:t>
            </w:r>
          </w:p>
        </w:tc>
        <w:tc>
          <w:tcPr>
            <w:vAlign w:val="center"/>
          </w:tcPr>
          <w:p>
            <w:pPr>
              <w:jc w:val="center"/>
            </w:pPr>
            <w:r>
              <w:rPr>
                <w:color w:val="000000"/>
                <w:kern w:val="0"/>
                <w:szCs w:val="21"/>
              </w:rPr>
              <w:t>0.08%</w:t>
            </w:r>
          </w:p>
        </w:tc>
        <w:tc>
          <w:tcPr>
            <w:vAlign w:val="center"/>
          </w:tcPr>
          <w:p>
            <w:pPr>
              <w:jc w:val="center"/>
            </w:pPr>
            <w:r>
              <w:rPr>
                <w:color w:val="000000"/>
                <w:kern w:val="0"/>
                <w:szCs w:val="21"/>
              </w:rPr>
              <w:t>1.38%</w:t>
            </w:r>
          </w:p>
        </w:tc>
        <w:tc>
          <w:tcPr>
            <w:vAlign w:val="center"/>
          </w:tcPr>
          <w:p>
            <w:pPr>
              <w:jc w:val="center"/>
            </w:pPr>
            <w:r>
              <w:rPr>
                <w:color w:val="000000"/>
                <w:kern w:val="0"/>
                <w:szCs w:val="21"/>
              </w:rPr>
              <w:t>0.00%</w:t>
            </w:r>
          </w:p>
        </w:tc>
      </w:tr>
    </w:tbl>
    <w:p>
      <w:pPr>
        <w:autoSpaceDE w:val="0"/>
        <w:autoSpaceDN w:val="0"/>
        <w:adjustRightInd w:val="0"/>
        <w:spacing w:line="360" w:lineRule="auto"/>
        <w:jc w:val="left"/>
        <w:rPr>
          <w:b/>
          <w:bCs/>
          <w:color w:val="000000"/>
          <w:kern w:val="0"/>
          <w:szCs w:val="21"/>
        </w:rPr>
      </w:pPr>
      <w:r>
        <w:rPr>
          <w:b/>
          <w:bCs/>
          <w:color w:val="000000"/>
          <w:kern w:val="0"/>
          <w:szCs w:val="21"/>
        </w:rPr>
        <w:t>3.2.2自基金合同生效以来基金累计份额净值增长率变动及其与同期业绩比较基准收益率变动的比较</w:t>
      </w:r>
    </w:p>
    <w:p>
      <w:pPr>
        <w:spacing w:line="360" w:lineRule="auto"/>
        <w:jc w:val="center"/>
        <w:rPr>
          <w:color w:val="000000"/>
          <w:szCs w:val="21"/>
        </w:rPr>
      </w:pPr>
      <w:r>
        <w:rPr>
          <w:color w:val="000000"/>
          <w:szCs w:val="21"/>
        </w:rPr>
        <w:t>中银聚利分级债券型证券投资基金</w:t>
      </w:r>
    </w:p>
    <w:p>
      <w:pPr>
        <w:spacing w:line="360" w:lineRule="auto"/>
        <w:jc w:val="center"/>
        <w:rPr>
          <w:color w:val="000000"/>
          <w:szCs w:val="21"/>
        </w:rPr>
      </w:pPr>
      <w:r>
        <w:rPr>
          <w:color w:val="000000"/>
          <w:szCs w:val="21"/>
        </w:rPr>
        <w:t>累计净值增长率与业绩比较基准收益率历史走势对比图</w:t>
      </w:r>
    </w:p>
    <w:p>
      <w:pPr>
        <w:spacing w:line="360" w:lineRule="auto"/>
        <w:jc w:val="center"/>
        <w:rPr>
          <w:color w:val="000000"/>
          <w:szCs w:val="21"/>
        </w:rPr>
      </w:pPr>
      <w:r>
        <w:rPr>
          <w:color w:val="000000"/>
          <w:szCs w:val="21"/>
        </w:rPr>
        <w:t>(2014年6月5日至2017年6月30日)</w:t>
      </w:r>
    </w:p>
    <w:p>
      <w:pPr>
        <w:pStyle w:val="11"/>
        <w:snapToGrid w:val="0"/>
        <w:spacing w:before="120" w:line="360" w:lineRule="auto"/>
        <w:jc w:val="center"/>
        <w:rPr>
          <w:rFonts w:ascii="Times New Roman" w:hAnsi="Times New Roman"/>
          <w:color w:val="000000"/>
          <w:sz w:val="24"/>
          <w:szCs w:val="24"/>
        </w:rPr>
      </w:pPr>
      <w:r>
        <w:rPr>
          <w:rFonts w:ascii="Times New Roman" w:hAnsi="Times New Roman"/>
          <w:color w:val="000000"/>
          <w:sz w:val="24"/>
          <w:szCs w:val="24"/>
        </w:rPr>
        <w:pict>
          <v:shape id="_x0000_i1025" o:spt="75" type="#_x0000_t75" style="height:243pt;width:415.5pt;" filled="f" o:preferrelative="t" stroked="f" coordsize="21600,21600">
            <v:path/>
            <v:fill on="f" focussize="0,0"/>
            <v:stroke on="f" joinstyle="miter"/>
            <v:imagedata r:id="rId6" o:title=""/>
            <o:lock v:ext="edit" aspectratio="t"/>
            <w10:wrap type="none"/>
            <w10:anchorlock/>
          </v:shape>
        </w:pict>
      </w:r>
    </w:p>
    <w:p>
      <w:pPr>
        <w:autoSpaceDE w:val="0"/>
        <w:autoSpaceDN w:val="0"/>
        <w:adjustRightInd w:val="0"/>
        <w:spacing w:line="360" w:lineRule="auto"/>
        <w:jc w:val="left"/>
        <w:rPr>
          <w:color w:val="000000"/>
          <w:szCs w:val="21"/>
        </w:rPr>
      </w:pPr>
      <w:r>
        <w:rPr>
          <w:color w:val="000000"/>
          <w:szCs w:val="21"/>
        </w:rPr>
        <w:t>注：按基金合同规定，本基金自基金合同生效起6个月内为建仓期，截至建仓结束时本基金的各项投资比例已达到基金合同第十五部分（二）的规定，即本基金对债券资产的投资比例不低于基金资产的 80%，在分级运作周期内的每个开放日当日、每个开放期前 20 个工作日和后 20 个工作日期间以及过渡期内不受前述投资组合比例的限制；在分级运作周期内的每个开放日，在扣除国债期货需缴纳的交易保证金后，现金或者到期日在一年以内的政府债券的投资比例合计不低于基金资产净值的 5%，分级运作周期内的非开放日不受前述限制。过渡期内，本基金基金资产保持为现金形式（不能变现的资产除外）。</w:t>
      </w:r>
    </w:p>
    <w:p>
      <w:pPr>
        <w:pStyle w:val="2"/>
        <w:spacing w:before="0" w:after="0" w:line="360" w:lineRule="auto"/>
        <w:jc w:val="center"/>
        <w:rPr>
          <w:color w:val="000000"/>
          <w:kern w:val="0"/>
          <w:sz w:val="24"/>
          <w:szCs w:val="24"/>
        </w:rPr>
      </w:pPr>
      <w:r>
        <w:rPr>
          <w:color w:val="000000"/>
          <w:kern w:val="0"/>
          <w:sz w:val="24"/>
          <w:szCs w:val="24"/>
        </w:rPr>
        <w:t>§4  管理人报告</w:t>
      </w:r>
    </w:p>
    <w:p>
      <w:pPr>
        <w:spacing w:line="360" w:lineRule="auto"/>
        <w:jc w:val="left"/>
        <w:rPr>
          <w:b/>
          <w:color w:val="000000"/>
          <w:szCs w:val="21"/>
        </w:rPr>
      </w:pPr>
      <w:r>
        <w:rPr>
          <w:b/>
          <w:bCs/>
          <w:szCs w:val="21"/>
        </w:rPr>
        <w:t xml:space="preserve">4.1 </w:t>
      </w:r>
      <w:r>
        <w:rPr>
          <w:b/>
          <w:color w:val="000000"/>
          <w:szCs w:val="21"/>
        </w:rPr>
        <w:t>基金经理（或基金经理小组）简介</w:t>
      </w:r>
    </w:p>
    <w:tbl>
      <w:tblPr>
        <w:tblStyle w:val="28"/>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01"/>
        <w:gridCol w:w="1418"/>
        <w:gridCol w:w="1559"/>
        <w:gridCol w:w="1417"/>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2" w:hRule="atLeast"/>
        </w:trPr>
        <w:tc>
          <w:tcPr>
            <w:tcW w:w="993" w:type="dxa"/>
            <w:vMerge w:val="restart"/>
            <w:vAlign w:val="center"/>
          </w:tcPr>
          <w:p>
            <w:pPr>
              <w:widowControl/>
              <w:spacing w:before="29"/>
              <w:ind w:left="17"/>
              <w:jc w:val="center"/>
              <w:rPr>
                <w:color w:val="000000"/>
                <w:kern w:val="0"/>
                <w:szCs w:val="21"/>
              </w:rPr>
            </w:pPr>
            <w:r>
              <w:rPr>
                <w:color w:val="000000"/>
                <w:kern w:val="0"/>
                <w:szCs w:val="21"/>
              </w:rPr>
              <w:t>姓名</w:t>
            </w:r>
          </w:p>
        </w:tc>
        <w:tc>
          <w:tcPr>
            <w:tcW w:w="1701" w:type="dxa"/>
            <w:vMerge w:val="restart"/>
            <w:vAlign w:val="center"/>
          </w:tcPr>
          <w:p>
            <w:pPr>
              <w:widowControl/>
              <w:spacing w:before="29"/>
              <w:ind w:left="17"/>
              <w:jc w:val="center"/>
              <w:rPr>
                <w:color w:val="000000"/>
                <w:kern w:val="0"/>
                <w:szCs w:val="21"/>
              </w:rPr>
            </w:pPr>
            <w:r>
              <w:rPr>
                <w:color w:val="000000"/>
                <w:kern w:val="0"/>
                <w:szCs w:val="21"/>
              </w:rPr>
              <w:t>职务</w:t>
            </w:r>
          </w:p>
        </w:tc>
        <w:tc>
          <w:tcPr>
            <w:tcW w:w="2977" w:type="dxa"/>
            <w:gridSpan w:val="2"/>
            <w:vAlign w:val="center"/>
          </w:tcPr>
          <w:p>
            <w:pPr>
              <w:widowControl/>
              <w:spacing w:before="29"/>
              <w:ind w:left="17"/>
              <w:jc w:val="center"/>
              <w:rPr>
                <w:color w:val="000000"/>
                <w:kern w:val="0"/>
                <w:szCs w:val="21"/>
              </w:rPr>
            </w:pPr>
            <w:r>
              <w:rPr>
                <w:color w:val="000000"/>
                <w:kern w:val="0"/>
                <w:szCs w:val="21"/>
              </w:rPr>
              <w:t>任本基金的基金经理期限</w:t>
            </w:r>
          </w:p>
        </w:tc>
        <w:tc>
          <w:tcPr>
            <w:tcW w:w="1417" w:type="dxa"/>
            <w:vMerge w:val="restart"/>
            <w:vAlign w:val="center"/>
          </w:tcPr>
          <w:p>
            <w:pPr>
              <w:widowControl/>
              <w:spacing w:before="29"/>
              <w:ind w:left="17"/>
              <w:jc w:val="center"/>
              <w:rPr>
                <w:color w:val="000000"/>
                <w:kern w:val="0"/>
                <w:szCs w:val="21"/>
              </w:rPr>
            </w:pPr>
            <w:r>
              <w:rPr>
                <w:color w:val="000000"/>
                <w:kern w:val="0"/>
                <w:szCs w:val="21"/>
              </w:rPr>
              <w:t>证券从业年限</w:t>
            </w:r>
          </w:p>
        </w:tc>
        <w:tc>
          <w:tcPr>
            <w:tcW w:w="2552" w:type="dxa"/>
            <w:vMerge w:val="restart"/>
            <w:vAlign w:val="center"/>
          </w:tcPr>
          <w:p>
            <w:pPr>
              <w:widowControl/>
              <w:spacing w:before="29"/>
              <w:ind w:left="17"/>
              <w:jc w:val="center"/>
              <w:rPr>
                <w:color w:val="000000"/>
                <w:kern w:val="0"/>
                <w:szCs w:val="21"/>
              </w:rPr>
            </w:pPr>
            <w:r>
              <w:rPr>
                <w:color w:val="000000"/>
                <w:kern w:val="0"/>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993" w:type="dxa"/>
            <w:vMerge w:val="continue"/>
            <w:vAlign w:val="center"/>
          </w:tcPr>
          <w:p>
            <w:pPr>
              <w:widowControl/>
              <w:jc w:val="left"/>
              <w:rPr>
                <w:color w:val="000000"/>
                <w:kern w:val="0"/>
                <w:szCs w:val="21"/>
              </w:rPr>
            </w:pPr>
          </w:p>
        </w:tc>
        <w:tc>
          <w:tcPr>
            <w:tcW w:w="1701" w:type="dxa"/>
            <w:vMerge w:val="continue"/>
            <w:vAlign w:val="center"/>
          </w:tcPr>
          <w:p>
            <w:pPr>
              <w:widowControl/>
              <w:jc w:val="left"/>
              <w:rPr>
                <w:color w:val="000000"/>
                <w:kern w:val="0"/>
                <w:szCs w:val="21"/>
              </w:rPr>
            </w:pPr>
          </w:p>
        </w:tc>
        <w:tc>
          <w:tcPr>
            <w:tcW w:w="1418" w:type="dxa"/>
            <w:vAlign w:val="center"/>
          </w:tcPr>
          <w:p>
            <w:pPr>
              <w:autoSpaceDE w:val="0"/>
              <w:autoSpaceDN w:val="0"/>
              <w:adjustRightInd w:val="0"/>
              <w:spacing w:before="29"/>
              <w:ind w:left="17"/>
              <w:jc w:val="center"/>
              <w:rPr>
                <w:color w:val="000000"/>
                <w:kern w:val="0"/>
                <w:szCs w:val="21"/>
              </w:rPr>
            </w:pPr>
            <w:r>
              <w:rPr>
                <w:color w:val="000000"/>
                <w:kern w:val="0"/>
                <w:szCs w:val="21"/>
              </w:rPr>
              <w:t>任职日期</w:t>
            </w:r>
          </w:p>
        </w:tc>
        <w:tc>
          <w:tcPr>
            <w:tcW w:w="1559" w:type="dxa"/>
            <w:vAlign w:val="center"/>
          </w:tcPr>
          <w:p>
            <w:pPr>
              <w:autoSpaceDE w:val="0"/>
              <w:autoSpaceDN w:val="0"/>
              <w:adjustRightInd w:val="0"/>
              <w:spacing w:before="29"/>
              <w:ind w:left="17"/>
              <w:jc w:val="center"/>
              <w:rPr>
                <w:color w:val="000000"/>
                <w:kern w:val="0"/>
                <w:szCs w:val="21"/>
              </w:rPr>
            </w:pPr>
            <w:r>
              <w:rPr>
                <w:color w:val="000000"/>
                <w:kern w:val="0"/>
                <w:szCs w:val="21"/>
              </w:rPr>
              <w:t>离任日期</w:t>
            </w:r>
          </w:p>
        </w:tc>
        <w:tc>
          <w:tcPr>
            <w:tcW w:w="1417" w:type="dxa"/>
            <w:vMerge w:val="continue"/>
            <w:vAlign w:val="center"/>
          </w:tcPr>
          <w:p>
            <w:pPr>
              <w:widowControl/>
              <w:jc w:val="left"/>
              <w:rPr>
                <w:color w:val="000000"/>
                <w:kern w:val="0"/>
                <w:szCs w:val="21"/>
              </w:rPr>
            </w:pPr>
          </w:p>
        </w:tc>
        <w:tc>
          <w:tcPr>
            <w:tcW w:w="2552" w:type="dxa"/>
            <w:vMerge w:val="continue"/>
            <w:vAlign w:val="center"/>
          </w:tcPr>
          <w:p>
            <w:pPr>
              <w:widowControl/>
              <w:jc w:val="left"/>
              <w:rPr>
                <w:color w:val="000000"/>
                <w:kern w:val="0"/>
                <w:szCs w:val="21"/>
              </w:rPr>
            </w:pPr>
          </w:p>
        </w:tc>
      </w:tr>
      <w:tr>
        <w:tc>
          <w:tcPr>
            <w:vAlign w:val="center"/>
          </w:tcPr>
          <w:p>
            <w:pPr>
              <w:jc w:val="center"/>
            </w:pPr>
            <w:r>
              <w:rPr>
                <w:color w:val="000000"/>
                <w:szCs w:val="21"/>
              </w:rPr>
              <w:t>陈玮</w:t>
            </w:r>
          </w:p>
        </w:tc>
        <w:tc>
          <w:tcPr>
            <w:vAlign w:val="center"/>
          </w:tcPr>
          <w:p>
            <w:pPr>
              <w:jc w:val="center"/>
            </w:pPr>
            <w:r>
              <w:rPr>
                <w:color w:val="000000"/>
                <w:szCs w:val="21"/>
              </w:rPr>
              <w:t>本基金的基金经理、中银纯债基金基金经理、中银添利基金基金经理、中银盛利纯债基金基金经理、中银新趋势基金基金经理</w:t>
            </w:r>
          </w:p>
        </w:tc>
        <w:tc>
          <w:tcPr>
            <w:vAlign w:val="center"/>
          </w:tcPr>
          <w:p>
            <w:pPr>
              <w:jc w:val="center"/>
            </w:pPr>
            <w:r>
              <w:rPr>
                <w:color w:val="000000"/>
                <w:szCs w:val="21"/>
              </w:rPr>
              <w:t>2015-06-19</w:t>
            </w:r>
          </w:p>
        </w:tc>
        <w:tc>
          <w:tcPr>
            <w:vAlign w:val="center"/>
          </w:tcPr>
          <w:p>
            <w:pPr>
              <w:jc w:val="center"/>
            </w:pPr>
            <w:r>
              <w:rPr>
                <w:color w:val="000000"/>
                <w:szCs w:val="21"/>
              </w:rPr>
              <w:t>-</w:t>
            </w:r>
          </w:p>
        </w:tc>
        <w:tc>
          <w:tcPr>
            <w:vAlign w:val="center"/>
          </w:tcPr>
          <w:p>
            <w:pPr>
              <w:jc w:val="center"/>
            </w:pPr>
            <w:r>
              <w:rPr>
                <w:color w:val="000000"/>
                <w:szCs w:val="21"/>
              </w:rPr>
              <w:t>8</w:t>
            </w:r>
          </w:p>
        </w:tc>
        <w:tc>
          <w:tcPr>
            <w:vAlign w:val="center"/>
          </w:tcPr>
          <w:p>
            <w:pPr>
              <w:jc w:val="both"/>
            </w:pPr>
            <w:r>
              <w:rPr>
                <w:color w:val="000000"/>
                <w:szCs w:val="21"/>
              </w:rPr>
              <w:t>应用数学硕士。曾任上海浦东发展银行总行金融市场部高级交易员。2014年加入中银基金管理有限公司，曾担任固定收益基金经理助理。2014年12月至今任中银纯债基金基金经理，2014年12月至今任中银添利基金基金经理，2014年12月至今任中银盛利纯债基金基金经理,2015年5月至今任中银新趋势基金基金经理，2015年6月至今任中银聚利基金基金经理。具有8年证券从业年限。具备基金从业资格。</w:t>
            </w:r>
          </w:p>
        </w:tc>
      </w:tr>
    </w:tbl>
    <w:p>
      <w:pPr>
        <w:autoSpaceDE w:val="0"/>
        <w:autoSpaceDN w:val="0"/>
        <w:adjustRightInd w:val="0"/>
        <w:spacing w:line="360" w:lineRule="auto"/>
        <w:jc w:val="left"/>
        <w:rPr>
          <w:color w:val="000000"/>
          <w:szCs w:val="21"/>
        </w:rPr>
      </w:pPr>
      <w:r>
        <w:rPr>
          <w:color w:val="000000"/>
          <w:szCs w:val="21"/>
        </w:rPr>
        <w:t>注：1、首任基金经理的“任职日期”为基金合同生效日，非首任基金经理的“任职日期”为根据公司决定确定的聘任日期，基金经理的“离任日期”均为根据公司决定确定的解聘日期；</w:t>
      </w:r>
    </w:p>
    <w:p>
      <w:pPr>
        <w:autoSpaceDE w:val="0"/>
        <w:autoSpaceDN w:val="0"/>
        <w:adjustRightInd w:val="0"/>
        <w:spacing w:line="360" w:lineRule="auto"/>
        <w:jc w:val="left"/>
        <w:rPr>
          <w:color w:val="000000"/>
          <w:szCs w:val="21"/>
        </w:rPr>
      </w:pPr>
      <w:r>
        <w:rPr>
          <w:color w:val="000000"/>
          <w:szCs w:val="21"/>
        </w:rPr>
        <w:t>2、证券从业年限的计算标准及含义遵从《证券业从业人员资格管理办法》的相关规定。</w:t>
      </w:r>
    </w:p>
    <w:p>
      <w:pPr>
        <w:autoSpaceDE w:val="0"/>
        <w:autoSpaceDN w:val="0"/>
        <w:adjustRightInd w:val="0"/>
        <w:spacing w:line="360" w:lineRule="auto"/>
        <w:jc w:val="left"/>
        <w:rPr>
          <w:b/>
          <w:bCs/>
          <w:color w:val="000000"/>
          <w:kern w:val="0"/>
          <w:szCs w:val="21"/>
        </w:rPr>
      </w:pPr>
      <w:r>
        <w:rPr>
          <w:b/>
          <w:bCs/>
          <w:color w:val="000000"/>
          <w:kern w:val="0"/>
          <w:szCs w:val="21"/>
        </w:rPr>
        <w:t>4.2 报告期内本基金运作遵规守信情况说明</w:t>
      </w:r>
    </w:p>
    <w:p>
      <w:pPr>
        <w:spacing w:line="360" w:lineRule="auto"/>
        <w:ind w:firstLine="420" w:firstLineChars="200"/>
        <w:rPr>
          <w:color w:val="000000"/>
          <w:szCs w:val="21"/>
        </w:rPr>
      </w:pPr>
      <w:r>
        <w:rPr>
          <w:color w:val="000000"/>
          <w:szCs w:val="21"/>
        </w:rPr>
        <w:t>本报告期内，本基金管理人严格遵守《中华人民共和国证券投资基金法》、中国证监会的有关规则和其他有关法律法规的规定，严格遵循本基金基金合同，本着诚实信用、勤勉尽责的原则管理和运用基金资产，在严格控制风险的基础上，为基金份额持有人谋求最大利益。本报告期内，本基金运作合法合规，无损害基金份额持有人利益的行为。</w:t>
      </w:r>
    </w:p>
    <w:p>
      <w:pPr>
        <w:autoSpaceDE w:val="0"/>
        <w:autoSpaceDN w:val="0"/>
        <w:adjustRightInd w:val="0"/>
        <w:spacing w:line="360" w:lineRule="auto"/>
        <w:jc w:val="left"/>
        <w:rPr>
          <w:b/>
          <w:bCs/>
          <w:color w:val="000000"/>
          <w:kern w:val="0"/>
          <w:szCs w:val="21"/>
        </w:rPr>
      </w:pPr>
      <w:r>
        <w:rPr>
          <w:b/>
          <w:bCs/>
          <w:color w:val="000000"/>
          <w:kern w:val="0"/>
          <w:szCs w:val="21"/>
        </w:rPr>
        <w:t>4.3 公平交易专项说明</w:t>
      </w:r>
    </w:p>
    <w:p>
      <w:pPr>
        <w:spacing w:line="360" w:lineRule="auto"/>
        <w:rPr>
          <w:color w:val="000000"/>
          <w:szCs w:val="21"/>
        </w:rPr>
      </w:pPr>
      <w:r>
        <w:rPr>
          <w:color w:val="000000"/>
          <w:szCs w:val="21"/>
        </w:rPr>
        <w:t>4.3.1 公平交易制度的执行情况</w:t>
      </w:r>
    </w:p>
    <w:p>
      <w:pPr>
        <w:spacing w:line="360" w:lineRule="auto"/>
        <w:ind w:firstLine="420" w:firstLineChars="200"/>
        <w:rPr>
          <w:color w:val="000000"/>
          <w:szCs w:val="21"/>
        </w:rPr>
      </w:pPr>
      <w:r>
        <w:rPr>
          <w:color w:val="000000"/>
          <w:szCs w:val="21"/>
        </w:rPr>
        <w:t>根据中国证监会颁布的《证券投资基金管理公司公平交易制度指导意见》，公司制定了《中银基金管理有限公司公平交易管理办法》，建立了《新股询价申购和参与公开增发管理办法》、《债券询价申购管理办法》、《集中交易管理办法》等公平交易相关制度体系，通过制度确保不同投资组合在投资管理活动中得到公平对待，严格防范不同投资组合之间进行利益输送。公司建立了投资决策委员会领导下的投资决策及授权制度，以科学规范的投资决策体系，采用集中交易管理加强交易执行环节的内部控制，通过工作制度、流程和技术手段保证公平交易原则的实现；通过建立层级完备的公司证券池及组合风格库，完善各类具体资产管理业务组织结构，规范各项业务之间的关系，在保证各投资组合既具有相对独立性的同时，确保其在获得投资信息、投资建议和实施投资决策方面享有公平的机会；通过对异常交易行为的实时监控、分析评估、监察稽核和信息披露确保公平交易过程和结果的有效监督。</w:t>
      </w:r>
    </w:p>
    <w:p>
      <w:pPr>
        <w:spacing w:line="360" w:lineRule="auto"/>
        <w:ind w:firstLine="420" w:firstLineChars="200"/>
        <w:rPr>
          <w:color w:val="000000"/>
          <w:szCs w:val="21"/>
        </w:rPr>
      </w:pPr>
      <w:r>
        <w:rPr>
          <w:color w:val="000000"/>
          <w:szCs w:val="21"/>
        </w:rPr>
        <w:t>本报告期内，本公司严格遵守法律法规关于公平交易的相关规定，确保本公司管理的不同投资组合在授权、研究分析、投资决策、交易执行、业绩评估等投资管理活动和环节得到公平对待。各投资组合均严格按照法律、法规和公司制度执行投资交易，本报告期内未发生异常交易行为。</w:t>
      </w:r>
    </w:p>
    <w:p>
      <w:pPr>
        <w:spacing w:line="360" w:lineRule="auto"/>
        <w:rPr>
          <w:color w:val="000000"/>
          <w:szCs w:val="21"/>
        </w:rPr>
      </w:pPr>
      <w:r>
        <w:rPr>
          <w:color w:val="000000"/>
          <w:szCs w:val="21"/>
        </w:rPr>
        <w:t>4.3.2 异常交易行为的专项说明</w:t>
      </w:r>
    </w:p>
    <w:p>
      <w:pPr>
        <w:spacing w:line="360" w:lineRule="auto"/>
        <w:ind w:firstLine="420" w:firstLineChars="200"/>
        <w:rPr>
          <w:color w:val="000000"/>
          <w:szCs w:val="21"/>
        </w:rPr>
      </w:pPr>
      <w:r>
        <w:rPr>
          <w:color w:val="000000"/>
          <w:szCs w:val="21"/>
        </w:rPr>
        <w:t>本报告期内，本基金未发现异常交易行为。</w:t>
      </w:r>
    </w:p>
    <w:p>
      <w:pPr>
        <w:spacing w:line="360" w:lineRule="auto"/>
        <w:ind w:firstLine="420" w:firstLineChars="200"/>
        <w:rPr>
          <w:color w:val="000000"/>
          <w:szCs w:val="21"/>
        </w:rPr>
      </w:pPr>
      <w:r>
        <w:rPr>
          <w:color w:val="000000"/>
          <w:szCs w:val="21"/>
        </w:rPr>
        <w:t>本报告期内，基金管理人未发生所有投资组合参与的交易所公开竞价同日反向交易成交较少的单边交易量超过该证券当日成交量的5%的情况。</w:t>
      </w:r>
    </w:p>
    <w:p>
      <w:pPr>
        <w:autoSpaceDE w:val="0"/>
        <w:autoSpaceDN w:val="0"/>
        <w:adjustRightInd w:val="0"/>
        <w:spacing w:line="360" w:lineRule="auto"/>
        <w:jc w:val="left"/>
        <w:rPr>
          <w:b/>
          <w:bCs/>
          <w:color w:val="000000"/>
          <w:kern w:val="0"/>
          <w:szCs w:val="21"/>
        </w:rPr>
      </w:pPr>
      <w:r>
        <w:rPr>
          <w:b/>
          <w:bCs/>
          <w:color w:val="000000"/>
          <w:kern w:val="0"/>
          <w:szCs w:val="21"/>
        </w:rPr>
        <w:t>4.4 报告期内基金投资策略和运作分析</w:t>
      </w:r>
    </w:p>
    <w:p>
      <w:pPr>
        <w:spacing w:line="360" w:lineRule="auto"/>
        <w:ind w:firstLine="420" w:firstLineChars="200"/>
        <w:rPr>
          <w:color w:val="000000"/>
          <w:szCs w:val="21"/>
        </w:rPr>
      </w:pPr>
      <w:r>
        <w:rPr>
          <w:color w:val="000000"/>
          <w:szCs w:val="21"/>
        </w:rPr>
        <w:t>1. 宏观经济分析</w:t>
      </w:r>
    </w:p>
    <w:p>
      <w:pPr>
        <w:spacing w:line="360" w:lineRule="auto"/>
        <w:ind w:firstLine="420" w:firstLineChars="200"/>
        <w:rPr>
          <w:color w:val="000000"/>
          <w:szCs w:val="21"/>
        </w:rPr>
      </w:pPr>
      <w:r>
        <w:rPr>
          <w:color w:val="000000"/>
          <w:szCs w:val="21"/>
        </w:rPr>
        <w:t>国外经济方面，世界经济持续复苏。主要经济体经济走势良好，美国经济复苏趋势有所放缓，欧元区经济基本面不断改善。从领先指标来看，6月美国ISM制造业PMI指数进一步上升至57.8水平。就业市场持续改善，失业率下行至4.3%左右。通胀压力不大，5月PCE和核心PCE通胀下行至1.4%左右。6月欧元区制造业PMI指数上行至57.4，但5月CPI同比增速下降至1.4%，与石油等能源价格下降有关。特朗普新医改方案获众议院通过，但市场关心的税改、基建方案仍缺乏细节，特朗普个人政治丑闻发酵，导致“特朗普交易”热情继续衰退，美元指数从100下降到96附近。</w:t>
      </w:r>
    </w:p>
    <w:p>
      <w:pPr>
        <w:spacing w:line="360" w:lineRule="auto"/>
        <w:ind w:firstLine="420" w:firstLineChars="200"/>
        <w:rPr>
          <w:color w:val="000000"/>
          <w:szCs w:val="21"/>
        </w:rPr>
      </w:pPr>
      <w:r>
        <w:rPr>
          <w:color w:val="000000"/>
          <w:szCs w:val="21"/>
        </w:rPr>
        <w:t>国内经济方面，当前我国经济金融运行总体平稳，但形势的错综复杂不可低估，下半年经济面临的整体压力较上半年有所上升。具体来看，领先指标6月制造业PMI位于51.7的水平，仍处于扩张区间，同步指标工业增加值1-5月累计同比增速6.7%，出现低位回升走势。从经济增长动力来看，拉动经济的三驾马车涨跌互现：1-5月，社会消费品零售累计增速上升至10.3%，固定资产投资累计增速回落至8.6%，进出口总额累计增速回落至13.0%。通胀方面，CPI同比保持稳中有升，1-5月累计同比1.39%；PPI见顶回落，1-5月累计同比增速下降至6.8%的水平。</w:t>
      </w:r>
    </w:p>
    <w:p>
      <w:pPr>
        <w:spacing w:line="360" w:lineRule="auto"/>
        <w:ind w:firstLine="420" w:firstLineChars="200"/>
        <w:rPr>
          <w:color w:val="000000"/>
          <w:szCs w:val="21"/>
        </w:rPr>
      </w:pPr>
      <w:r>
        <w:rPr>
          <w:color w:val="000000"/>
          <w:szCs w:val="21"/>
        </w:rPr>
        <w:t/>
      </w:r>
    </w:p>
    <w:p>
      <w:pPr>
        <w:spacing w:line="360" w:lineRule="auto"/>
        <w:ind w:firstLine="420" w:firstLineChars="200"/>
        <w:rPr>
          <w:color w:val="000000"/>
          <w:szCs w:val="21"/>
        </w:rPr>
      </w:pPr>
      <w:r>
        <w:rPr>
          <w:color w:val="000000"/>
          <w:szCs w:val="21"/>
        </w:rPr>
        <w:t>2. 市场回顾</w:t>
      </w:r>
    </w:p>
    <w:p>
      <w:pPr>
        <w:spacing w:line="360" w:lineRule="auto"/>
        <w:ind w:firstLine="420" w:firstLineChars="200"/>
        <w:rPr>
          <w:color w:val="000000"/>
          <w:szCs w:val="21"/>
        </w:rPr>
      </w:pPr>
      <w:r>
        <w:rPr>
          <w:color w:val="000000"/>
          <w:szCs w:val="21"/>
        </w:rPr>
        <w:t>债券市场方面，二季度中债总全价指数下跌1.04%，中债银行间国债全价指数下跌1.87%，中债企业债总全价指数下跌3.42%。具体来看，10年期国债收益率从3.28%的水平上行了29个BP至3.57%，10年期金融债（国开）收益率从4.06%上行14个BP至4.20%。货币市场方面，二季度，在银监会强监管的背景下，央行货币政策整体保持不紧不松，边际上注重对流动性的适当维护。银行间1天回购利率收至2.92%，7天回购利率收至3.97%。</w:t>
      </w:r>
    </w:p>
    <w:p>
      <w:pPr>
        <w:spacing w:line="360" w:lineRule="auto"/>
        <w:ind w:firstLine="420" w:firstLineChars="200"/>
        <w:rPr>
          <w:color w:val="000000"/>
          <w:szCs w:val="21"/>
        </w:rPr>
      </w:pPr>
      <w:r>
        <w:rPr>
          <w:color w:val="000000"/>
          <w:szCs w:val="21"/>
        </w:rPr>
        <w:t>股票市场方面，二季度上证综指下跌0.93%，沪深300指数上涨6.10%，中小板综合指数下跌3.57%，创业板综合指数下跌4.68%。以沪深300为代表的蓝筹股在二季度整体表现较优。可转债方面，二季度中证转债指数上涨2.50%。蓝筹股上涨对转债价格贡献最大，债券市场情绪回暖亦有较多正面贡献，但由于转债供给确定性扩容，转债市场整体估值水平在二季度先抑后扬，整体变动不大。转债偏股性、正股偏蓝筹的品种表现较好，转债偏债性、正股偏小盘的品种表现相对较弱。</w:t>
      </w:r>
    </w:p>
    <w:p>
      <w:pPr>
        <w:spacing w:line="360" w:lineRule="auto"/>
        <w:ind w:firstLine="420" w:firstLineChars="200"/>
        <w:rPr>
          <w:color w:val="000000"/>
          <w:szCs w:val="21"/>
        </w:rPr>
      </w:pPr>
      <w:r>
        <w:rPr>
          <w:color w:val="000000"/>
          <w:szCs w:val="21"/>
        </w:rPr>
        <w:t>3. 运行分析</w:t>
      </w:r>
    </w:p>
    <w:p>
      <w:pPr>
        <w:spacing w:line="360" w:lineRule="auto"/>
        <w:ind w:firstLine="420" w:firstLineChars="200"/>
        <w:rPr>
          <w:color w:val="000000"/>
          <w:szCs w:val="21"/>
        </w:rPr>
      </w:pPr>
      <w:r>
        <w:rPr>
          <w:color w:val="000000"/>
          <w:szCs w:val="21"/>
        </w:rPr>
        <w:t>二季度债券市场在去杠杆和强监管背景下继续呈下跌态势，直到6月份资金面适度放松后债市才有所反弹。本基金业绩表现好于比较基准。本基金在2017年6月召开持有人会议，通过决议从分级基金转型为定期开放基金。策略上，我们合理分配类属资产比例，继续优化配置结构，降低杠杆，控制组合信用风险，适当参与各类交易机会，使得组合取得了较好的业绩。</w:t>
      </w:r>
    </w:p>
    <w:p>
      <w:pPr>
        <w:spacing w:line="360" w:lineRule="auto"/>
        <w:ind w:firstLine="420" w:firstLineChars="200"/>
        <w:rPr>
          <w:color w:val="000000"/>
          <w:szCs w:val="21"/>
        </w:rPr>
      </w:pPr>
      <w:r>
        <w:rPr>
          <w:color w:val="000000"/>
          <w:szCs w:val="21"/>
        </w:rPr>
        <w:t>4.市场展望和投资策略</w:t>
      </w:r>
    </w:p>
    <w:p>
      <w:pPr>
        <w:spacing w:line="360" w:lineRule="auto"/>
        <w:ind w:firstLine="420" w:firstLineChars="200"/>
        <w:rPr>
          <w:color w:val="000000"/>
          <w:szCs w:val="21"/>
        </w:rPr>
      </w:pPr>
      <w:r>
        <w:rPr>
          <w:color w:val="000000"/>
          <w:szCs w:val="21"/>
        </w:rPr>
        <w:t>展望未来，全球经济依然处于不均衡发展和复苏阶段，美国经济复苏态势回落，欧洲经济稳中向好，但能源价格低迷制约了各国通胀的上升。国内方面,鉴于对当前经济和通胀增速的判断，经济短期内维持在合理区间内运转，中长期L型增长走势的基本趋势仍未发生变化，宏观政策仍将注重于经济结构调整和金融风险防控，继续深入推进供给侧改革和“三去一降一补”，建立房地产市场平稳健康发展的长效机制，通过财税改革和国企混改等结构化改革为经济创造新的增长点。预计货币政策将保持稳健中性，整体基调不松不紧，适应货币供应方式新变化，调节好货币闸门，公开市场方面维护流动性基本稳定。社会融资方面，在银监会加强监管的背景下，不断完善风险管理，防范金融风险，规范表外融资，预计表外融资继续收缩，表内信贷投放也或将因为着力防控资产泡沫而放缓。</w:t>
      </w:r>
    </w:p>
    <w:p>
      <w:pPr>
        <w:spacing w:line="360" w:lineRule="auto"/>
        <w:ind w:firstLine="420" w:firstLineChars="200"/>
        <w:rPr>
          <w:color w:val="000000"/>
          <w:szCs w:val="21"/>
        </w:rPr>
      </w:pPr>
      <w:r>
        <w:rPr>
          <w:color w:val="000000"/>
          <w:szCs w:val="21"/>
        </w:rPr>
        <w:t>综合上述分析，我们对2017年三季度债券市场的走势判断谨慎乐观。预计2017年三季度宏观调控政策整体保持稳定，货币政策在中性偏紧的总体基调下，目前已经出现阶段性的放松，但进一步大幅放松的概率不大。经济基本面或再度下行，基建投资可能遵循以往年内“前高后低”的规律而出现下行，房地产投资在地产调控的大背景下，难以拉动经济增长，制造业投资保持稳定。通胀对债市的压力较低，PPI高位见顶后继续回落，同时对CPI的传导力度有限，CPI上升步伐缓慢。美联储9月份加息概率较低，缩表计划可能要等到年末才开始实行，但欧央行退出量化宽松政策的预期上升对全球债市形成一定压力。考虑以上因素，三季度债券收益率中枢可能呈震荡走势，在出现经济下行、监管放松、流动性改善等情况时，债券市场可能存在阶段性机会。</w:t>
      </w:r>
    </w:p>
    <w:p>
      <w:pPr>
        <w:spacing w:line="360" w:lineRule="auto"/>
        <w:ind w:firstLine="420" w:firstLineChars="200"/>
        <w:rPr>
          <w:color w:val="000000"/>
          <w:szCs w:val="21"/>
        </w:rPr>
      </w:pPr>
      <w:bookmarkStart w:id="0" w:name="_GoBack"/>
      <w:bookmarkEnd w:id="0"/>
      <w:r>
        <w:rPr>
          <w:color w:val="000000"/>
          <w:szCs w:val="21"/>
        </w:rPr>
        <w:t>三季度，我们仍将坚持从自上而下的角度预判市场走势，并从自下而上的角度严防信用风险。具体操作上，在基金转型完成后，我们将合理分配各类资产比例，债券方面维持适度杠杆和久期，均衡配置，审慎精选信用债和可转债，积极把握各类资产的投资交易机会，借此提升基金的业绩表现。作为基金管理者，我们将一如既往地依靠团队的努力和智慧，为投资人创造应有的回报。</w:t>
      </w:r>
    </w:p>
    <w:p>
      <w:pPr>
        <w:spacing w:line="360" w:lineRule="auto"/>
        <w:rPr>
          <w:b/>
          <w:bCs/>
          <w:szCs w:val="21"/>
        </w:rPr>
      </w:pPr>
      <w:r>
        <w:rPr>
          <w:b/>
          <w:bCs/>
          <w:szCs w:val="21"/>
        </w:rPr>
        <w:t>4.</w:t>
      </w:r>
      <w:r>
        <w:rPr>
          <w:rFonts w:hint="eastAsia"/>
          <w:b/>
          <w:bCs/>
          <w:szCs w:val="21"/>
          <w:lang w:val="en-US" w:eastAsia="zh-CN"/>
        </w:rPr>
        <w:t>5</w:t>
      </w:r>
      <w:r>
        <w:rPr>
          <w:b/>
          <w:bCs/>
          <w:szCs w:val="21"/>
        </w:rPr>
        <w:t>报告期内基金的业绩表现</w:t>
      </w:r>
    </w:p>
    <w:p>
      <w:pPr>
        <w:spacing w:line="360" w:lineRule="auto"/>
        <w:ind w:firstLine="420" w:firstLineChars="200"/>
        <w:rPr>
          <w:color w:val="000000"/>
          <w:szCs w:val="21"/>
        </w:rPr>
      </w:pPr>
      <w:r>
        <w:rPr>
          <w:color w:val="000000"/>
          <w:szCs w:val="21"/>
        </w:rPr>
        <w:t>截至2017年二季度为止，本基金的单位净值为1.0100元，本基金的累计单位净值为1.1980元。季度内本基金份额净值增长率为0.50%，同期业绩比较基准收益率为-0.88%。</w:t>
      </w:r>
    </w:p>
    <w:p>
      <w:pPr>
        <w:autoSpaceDE w:val="0"/>
        <w:autoSpaceDN w:val="0"/>
        <w:adjustRightInd w:val="0"/>
        <w:spacing w:line="360" w:lineRule="auto"/>
        <w:jc w:val="left"/>
        <w:rPr>
          <w:b/>
          <w:bCs/>
          <w:color w:val="000000"/>
          <w:kern w:val="0"/>
          <w:szCs w:val="21"/>
        </w:rPr>
      </w:pPr>
      <w:r>
        <w:rPr>
          <w:b/>
          <w:bCs/>
          <w:color w:val="000000"/>
          <w:kern w:val="0"/>
          <w:szCs w:val="21"/>
        </w:rPr>
        <w:t>4.6 报告期内基金持有人数或基金资产净值预警说明</w:t>
      </w:r>
    </w:p>
    <w:p>
      <w:pPr>
        <w:spacing w:line="360" w:lineRule="auto"/>
        <w:ind w:firstLine="420" w:firstLineChars="200"/>
        <w:rPr>
          <w:color w:val="000000"/>
          <w:szCs w:val="21"/>
        </w:rPr>
      </w:pPr>
      <w:r>
        <w:rPr>
          <w:color w:val="000000"/>
          <w:szCs w:val="21"/>
        </w:rPr>
        <w:t>本基金在报告期内未出现连续二十个工作日基金份额持有人数量不满二百人或者基金资产净值低于五千万元的情形。</w:t>
      </w:r>
    </w:p>
    <w:p>
      <w:pPr>
        <w:pStyle w:val="2"/>
        <w:spacing w:before="0" w:after="0" w:line="360" w:lineRule="auto"/>
        <w:jc w:val="center"/>
        <w:rPr>
          <w:color w:val="000000"/>
          <w:kern w:val="0"/>
          <w:sz w:val="24"/>
          <w:szCs w:val="24"/>
        </w:rPr>
      </w:pPr>
      <w:r>
        <w:rPr>
          <w:color w:val="000000"/>
          <w:kern w:val="0"/>
          <w:sz w:val="24"/>
          <w:szCs w:val="24"/>
        </w:rPr>
        <w:t>§5  投资组合报告</w:t>
      </w:r>
    </w:p>
    <w:p>
      <w:pPr>
        <w:spacing w:line="360" w:lineRule="auto"/>
        <w:rPr>
          <w:b/>
          <w:color w:val="000000"/>
          <w:szCs w:val="21"/>
        </w:rPr>
      </w:pPr>
      <w:r>
        <w:rPr>
          <w:b/>
          <w:bCs/>
          <w:szCs w:val="21"/>
        </w:rPr>
        <w:t xml:space="preserve">5.1 </w:t>
      </w:r>
      <w:r>
        <w:rPr>
          <w:b/>
          <w:color w:val="000000"/>
          <w:szCs w:val="21"/>
        </w:rPr>
        <w:t>报告期末基金资产组合情况</w:t>
      </w:r>
    </w:p>
    <w:tbl>
      <w:tblPr>
        <w:tblStyle w:val="28"/>
        <w:tblW w:w="88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357"/>
        <w:gridCol w:w="297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序号</w:t>
            </w:r>
          </w:p>
        </w:tc>
        <w:tc>
          <w:tcPr>
            <w:tcW w:w="3357" w:type="dxa"/>
            <w:vAlign w:val="center"/>
          </w:tcPr>
          <w:p>
            <w:pPr>
              <w:spacing w:before="29"/>
              <w:ind w:left="17"/>
              <w:jc w:val="center"/>
              <w:rPr>
                <w:color w:val="000000"/>
                <w:szCs w:val="21"/>
              </w:rPr>
            </w:pPr>
            <w:r>
              <w:rPr>
                <w:color w:val="000000"/>
                <w:szCs w:val="21"/>
              </w:rPr>
              <w:t>项目</w:t>
            </w:r>
          </w:p>
        </w:tc>
        <w:tc>
          <w:tcPr>
            <w:tcW w:w="2977" w:type="dxa"/>
            <w:vAlign w:val="center"/>
          </w:tcPr>
          <w:p>
            <w:pPr>
              <w:spacing w:before="29"/>
              <w:ind w:left="17"/>
              <w:jc w:val="center"/>
              <w:rPr>
                <w:color w:val="000000"/>
                <w:szCs w:val="21"/>
              </w:rPr>
            </w:pPr>
            <w:r>
              <w:rPr>
                <w:color w:val="000000"/>
                <w:szCs w:val="21"/>
              </w:rPr>
              <w:t>金额(元)</w:t>
            </w:r>
          </w:p>
        </w:tc>
        <w:tc>
          <w:tcPr>
            <w:tcW w:w="1843" w:type="dxa"/>
            <w:vAlign w:val="center"/>
          </w:tcPr>
          <w:p>
            <w:pPr>
              <w:spacing w:before="29"/>
              <w:ind w:left="17"/>
              <w:jc w:val="center"/>
              <w:rPr>
                <w:color w:val="000000"/>
                <w:szCs w:val="21"/>
              </w:rPr>
            </w:pPr>
            <w:r>
              <w:rPr>
                <w:color w:val="000000"/>
                <w:szCs w:val="21"/>
              </w:rPr>
              <w:t>占基金总资产的比例(%)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1</w:t>
            </w:r>
          </w:p>
        </w:tc>
        <w:tc>
          <w:tcPr>
            <w:tcW w:w="3357" w:type="dxa"/>
            <w:vAlign w:val="center"/>
          </w:tcPr>
          <w:p>
            <w:pPr>
              <w:spacing w:before="29"/>
              <w:ind w:left="17"/>
              <w:jc w:val="left"/>
              <w:rPr>
                <w:szCs w:val="21"/>
              </w:rPr>
            </w:pPr>
            <w:r>
              <w:rPr>
                <w:color w:val="000000"/>
                <w:szCs w:val="21"/>
              </w:rPr>
              <w:t>权益投资</w:t>
            </w:r>
          </w:p>
        </w:tc>
        <w:tc>
          <w:tcPr>
            <w:tcW w:w="2977" w:type="dxa"/>
            <w:vAlign w:val="center"/>
          </w:tcPr>
          <w:p>
            <w:pPr>
              <w:spacing w:before="29"/>
              <w:ind w:left="17"/>
              <w:jc w:val="right"/>
              <w:rPr>
                <w:color w:val="000000"/>
                <w:szCs w:val="21"/>
              </w:rPr>
            </w:pPr>
            <w:r>
              <w:rPr>
                <w:color w:val="000000"/>
                <w:szCs w:val="21"/>
              </w:rPr>
              <w:t>-</w:t>
            </w:r>
          </w:p>
        </w:tc>
        <w:tc>
          <w:tcPr>
            <w:tcW w:w="1843" w:type="dxa"/>
            <w:vAlign w:val="center"/>
          </w:tcPr>
          <w:p>
            <w:pPr>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p>
        </w:tc>
        <w:tc>
          <w:tcPr>
            <w:tcW w:w="3357" w:type="dxa"/>
            <w:vAlign w:val="center"/>
          </w:tcPr>
          <w:p>
            <w:pPr>
              <w:spacing w:before="29"/>
              <w:ind w:left="17"/>
              <w:jc w:val="left"/>
              <w:rPr>
                <w:szCs w:val="21"/>
              </w:rPr>
            </w:pPr>
            <w:r>
              <w:rPr>
                <w:color w:val="000000"/>
                <w:szCs w:val="21"/>
              </w:rPr>
              <w:t>其中：股票</w:t>
            </w:r>
          </w:p>
        </w:tc>
        <w:tc>
          <w:tcPr>
            <w:tcW w:w="2977" w:type="dxa"/>
            <w:vAlign w:val="center"/>
          </w:tcPr>
          <w:p>
            <w:pPr>
              <w:spacing w:before="29"/>
              <w:ind w:left="17"/>
              <w:jc w:val="right"/>
              <w:rPr>
                <w:color w:val="000000"/>
                <w:szCs w:val="21"/>
              </w:rPr>
            </w:pPr>
            <w:r>
              <w:rPr>
                <w:color w:val="000000"/>
                <w:szCs w:val="21"/>
              </w:rPr>
              <w:t>-</w:t>
            </w:r>
          </w:p>
        </w:tc>
        <w:tc>
          <w:tcPr>
            <w:tcW w:w="1843" w:type="dxa"/>
            <w:vAlign w:val="center"/>
          </w:tcPr>
          <w:p>
            <w:pPr>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2</w:t>
            </w:r>
          </w:p>
        </w:tc>
        <w:tc>
          <w:tcPr>
            <w:tcW w:w="3357" w:type="dxa"/>
            <w:vAlign w:val="center"/>
          </w:tcPr>
          <w:p>
            <w:pPr>
              <w:spacing w:before="29"/>
              <w:ind w:left="17"/>
              <w:jc w:val="left"/>
              <w:rPr>
                <w:szCs w:val="21"/>
              </w:rPr>
            </w:pPr>
            <w:r>
              <w:rPr>
                <w:color w:val="000000"/>
                <w:szCs w:val="21"/>
              </w:rPr>
              <w:t>固定收益投资</w:t>
            </w:r>
          </w:p>
        </w:tc>
        <w:tc>
          <w:tcPr>
            <w:tcW w:w="2977" w:type="dxa"/>
            <w:vAlign w:val="center"/>
          </w:tcPr>
          <w:p>
            <w:pPr>
              <w:spacing w:before="29"/>
              <w:ind w:left="17"/>
              <w:jc w:val="right"/>
              <w:rPr>
                <w:color w:val="000000"/>
                <w:szCs w:val="21"/>
              </w:rPr>
            </w:pPr>
            <w:r>
              <w:rPr>
                <w:color w:val="000000"/>
                <w:szCs w:val="21"/>
              </w:rPr>
              <w:t>1,300,013,253.30</w:t>
            </w:r>
          </w:p>
        </w:tc>
        <w:tc>
          <w:tcPr>
            <w:tcW w:w="1843" w:type="dxa"/>
            <w:vAlign w:val="center"/>
          </w:tcPr>
          <w:p>
            <w:pPr>
              <w:spacing w:before="29"/>
              <w:ind w:left="17"/>
              <w:jc w:val="right"/>
              <w:rPr>
                <w:color w:val="000000"/>
                <w:szCs w:val="21"/>
              </w:rPr>
            </w:pPr>
            <w:r>
              <w:rPr>
                <w:color w:val="000000"/>
                <w:szCs w:val="21"/>
              </w:rPr>
              <w:t>78.82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p>
        </w:tc>
        <w:tc>
          <w:tcPr>
            <w:tcW w:w="3357" w:type="dxa"/>
            <w:vAlign w:val="center"/>
          </w:tcPr>
          <w:p>
            <w:pPr>
              <w:spacing w:before="29"/>
              <w:ind w:left="17"/>
              <w:jc w:val="left"/>
              <w:rPr>
                <w:szCs w:val="21"/>
              </w:rPr>
            </w:pPr>
            <w:r>
              <w:rPr>
                <w:color w:val="000000"/>
                <w:szCs w:val="21"/>
              </w:rPr>
              <w:t>其中：债券</w:t>
            </w:r>
          </w:p>
        </w:tc>
        <w:tc>
          <w:tcPr>
            <w:tcW w:w="2977" w:type="dxa"/>
            <w:vAlign w:val="center"/>
          </w:tcPr>
          <w:p>
            <w:pPr>
              <w:spacing w:before="29"/>
              <w:ind w:left="17"/>
              <w:jc w:val="right"/>
              <w:rPr>
                <w:color w:val="000000"/>
                <w:szCs w:val="21"/>
              </w:rPr>
            </w:pPr>
            <w:r>
              <w:rPr>
                <w:color w:val="000000"/>
                <w:szCs w:val="21"/>
              </w:rPr>
              <w:t>1,300,013,253.30</w:t>
            </w:r>
          </w:p>
        </w:tc>
        <w:tc>
          <w:tcPr>
            <w:tcW w:w="1843" w:type="dxa"/>
            <w:vAlign w:val="center"/>
          </w:tcPr>
          <w:p>
            <w:pPr>
              <w:spacing w:before="29"/>
              <w:ind w:left="17"/>
              <w:jc w:val="right"/>
              <w:rPr>
                <w:color w:val="000000"/>
                <w:szCs w:val="21"/>
              </w:rPr>
            </w:pPr>
            <w:r>
              <w:rPr>
                <w:color w:val="000000"/>
                <w:szCs w:val="21"/>
              </w:rPr>
              <w:t>78.82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p>
        </w:tc>
        <w:tc>
          <w:tcPr>
            <w:tcW w:w="3357" w:type="dxa"/>
            <w:vAlign w:val="center"/>
          </w:tcPr>
          <w:p>
            <w:pPr>
              <w:autoSpaceDE w:val="0"/>
              <w:autoSpaceDN w:val="0"/>
              <w:adjustRightInd w:val="0"/>
              <w:spacing w:before="29"/>
              <w:ind w:left="17"/>
              <w:jc w:val="left"/>
              <w:rPr>
                <w:color w:val="000000"/>
                <w:szCs w:val="21"/>
              </w:rPr>
            </w:pPr>
            <w:r>
              <w:rPr>
                <w:color w:val="000000"/>
                <w:szCs w:val="21"/>
              </w:rPr>
              <w:t>资产支持证券</w:t>
            </w:r>
          </w:p>
        </w:tc>
        <w:tc>
          <w:tcPr>
            <w:tcW w:w="2977" w:type="dxa"/>
            <w:vAlign w:val="center"/>
          </w:tcPr>
          <w:p>
            <w:pPr>
              <w:spacing w:before="29"/>
              <w:ind w:left="17"/>
              <w:jc w:val="right"/>
              <w:rPr>
                <w:color w:val="000000"/>
                <w:szCs w:val="21"/>
              </w:rPr>
            </w:pPr>
            <w:r>
              <w:rPr>
                <w:color w:val="000000"/>
                <w:szCs w:val="21"/>
              </w:rPr>
              <w:t>-</w:t>
            </w:r>
          </w:p>
        </w:tc>
        <w:tc>
          <w:tcPr>
            <w:tcW w:w="1843" w:type="dxa"/>
            <w:vAlign w:val="center"/>
          </w:tcPr>
          <w:p>
            <w:pPr>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3</w:t>
            </w:r>
          </w:p>
        </w:tc>
        <w:tc>
          <w:tcPr>
            <w:tcW w:w="3357" w:type="dxa"/>
            <w:vAlign w:val="center"/>
          </w:tcPr>
          <w:p>
            <w:pPr>
              <w:spacing w:before="29"/>
              <w:ind w:left="105" w:leftChars="50"/>
              <w:rPr>
                <w:color w:val="000000"/>
                <w:szCs w:val="21"/>
              </w:rPr>
            </w:pPr>
            <w:r>
              <w:rPr>
                <w:color w:val="000000"/>
                <w:szCs w:val="21"/>
              </w:rPr>
              <w:t>贵金属投资</w:t>
            </w:r>
          </w:p>
        </w:tc>
        <w:tc>
          <w:tcPr>
            <w:tcW w:w="2977" w:type="dxa"/>
            <w:vAlign w:val="center"/>
          </w:tcPr>
          <w:p>
            <w:pPr>
              <w:spacing w:before="29"/>
              <w:ind w:left="17"/>
              <w:jc w:val="right"/>
              <w:rPr>
                <w:color w:val="000000"/>
                <w:szCs w:val="21"/>
              </w:rPr>
            </w:pPr>
            <w:r>
              <w:rPr>
                <w:color w:val="000000"/>
                <w:szCs w:val="21"/>
              </w:rPr>
              <w:t>-</w:t>
            </w:r>
          </w:p>
        </w:tc>
        <w:tc>
          <w:tcPr>
            <w:tcW w:w="1843" w:type="dxa"/>
            <w:vAlign w:val="center"/>
          </w:tcPr>
          <w:p>
            <w:pPr>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4</w:t>
            </w:r>
          </w:p>
        </w:tc>
        <w:tc>
          <w:tcPr>
            <w:tcW w:w="3357" w:type="dxa"/>
            <w:vAlign w:val="center"/>
          </w:tcPr>
          <w:p>
            <w:pPr>
              <w:spacing w:before="29"/>
              <w:ind w:left="17"/>
              <w:jc w:val="left"/>
              <w:rPr>
                <w:color w:val="000000"/>
                <w:szCs w:val="21"/>
              </w:rPr>
            </w:pPr>
            <w:r>
              <w:rPr>
                <w:color w:val="000000"/>
                <w:szCs w:val="21"/>
              </w:rPr>
              <w:t>金融衍生品投资</w:t>
            </w:r>
          </w:p>
        </w:tc>
        <w:tc>
          <w:tcPr>
            <w:tcW w:w="2977" w:type="dxa"/>
            <w:vAlign w:val="center"/>
          </w:tcPr>
          <w:p>
            <w:pPr>
              <w:spacing w:before="29"/>
              <w:ind w:left="17"/>
              <w:jc w:val="right"/>
              <w:rPr>
                <w:color w:val="000000"/>
                <w:szCs w:val="21"/>
              </w:rPr>
            </w:pPr>
            <w:r>
              <w:rPr>
                <w:color w:val="000000"/>
                <w:szCs w:val="21"/>
              </w:rPr>
              <w:t>-</w:t>
            </w:r>
          </w:p>
        </w:tc>
        <w:tc>
          <w:tcPr>
            <w:tcW w:w="1843" w:type="dxa"/>
            <w:vAlign w:val="center"/>
          </w:tcPr>
          <w:p>
            <w:pPr>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5</w:t>
            </w:r>
          </w:p>
        </w:tc>
        <w:tc>
          <w:tcPr>
            <w:tcW w:w="3357" w:type="dxa"/>
            <w:vAlign w:val="center"/>
          </w:tcPr>
          <w:p>
            <w:pPr>
              <w:spacing w:before="29"/>
              <w:ind w:left="17"/>
              <w:jc w:val="left"/>
              <w:rPr>
                <w:szCs w:val="21"/>
              </w:rPr>
            </w:pPr>
            <w:r>
              <w:rPr>
                <w:color w:val="000000"/>
                <w:szCs w:val="21"/>
              </w:rPr>
              <w:t>买入返售金融资产</w:t>
            </w:r>
          </w:p>
        </w:tc>
        <w:tc>
          <w:tcPr>
            <w:tcW w:w="2977" w:type="dxa"/>
            <w:vAlign w:val="center"/>
          </w:tcPr>
          <w:p>
            <w:pPr>
              <w:spacing w:before="29"/>
              <w:ind w:left="17"/>
              <w:jc w:val="right"/>
              <w:rPr>
                <w:color w:val="000000"/>
                <w:szCs w:val="21"/>
              </w:rPr>
            </w:pPr>
            <w:r>
              <w:rPr>
                <w:color w:val="000000"/>
                <w:szCs w:val="21"/>
              </w:rPr>
              <w:t>293,032,640.04</w:t>
            </w:r>
          </w:p>
        </w:tc>
        <w:tc>
          <w:tcPr>
            <w:tcW w:w="1843" w:type="dxa"/>
            <w:vAlign w:val="center"/>
          </w:tcPr>
          <w:p>
            <w:pPr>
              <w:spacing w:before="29"/>
              <w:ind w:left="17"/>
              <w:jc w:val="right"/>
              <w:rPr>
                <w:color w:val="000000"/>
                <w:szCs w:val="21"/>
              </w:rPr>
            </w:pPr>
            <w:r>
              <w:rPr>
                <w:color w:val="000000"/>
                <w:szCs w:val="21"/>
              </w:rPr>
              <w:t>17.77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p>
        </w:tc>
        <w:tc>
          <w:tcPr>
            <w:tcW w:w="3357" w:type="dxa"/>
            <w:vAlign w:val="center"/>
          </w:tcPr>
          <w:p>
            <w:pPr>
              <w:spacing w:before="29"/>
              <w:ind w:left="17"/>
              <w:jc w:val="left"/>
              <w:rPr>
                <w:szCs w:val="21"/>
              </w:rPr>
            </w:pPr>
            <w:r>
              <w:rPr>
                <w:color w:val="000000"/>
                <w:szCs w:val="21"/>
              </w:rPr>
              <w:t>其中：买断式回购的买入返售金融资产</w:t>
            </w:r>
          </w:p>
        </w:tc>
        <w:tc>
          <w:tcPr>
            <w:tcW w:w="2977" w:type="dxa"/>
            <w:vAlign w:val="center"/>
          </w:tcPr>
          <w:p>
            <w:pPr>
              <w:spacing w:before="29"/>
              <w:ind w:left="17"/>
              <w:jc w:val="right"/>
              <w:rPr>
                <w:color w:val="000000"/>
                <w:szCs w:val="21"/>
              </w:rPr>
            </w:pPr>
            <w:r>
              <w:rPr>
                <w:color w:val="000000"/>
                <w:szCs w:val="21"/>
              </w:rPr>
              <w:t>-</w:t>
            </w:r>
          </w:p>
        </w:tc>
        <w:tc>
          <w:tcPr>
            <w:tcW w:w="1843" w:type="dxa"/>
            <w:vAlign w:val="center"/>
          </w:tcPr>
          <w:p>
            <w:pPr>
              <w:spacing w:before="29"/>
              <w:ind w:left="17"/>
              <w:jc w:val="right"/>
              <w:rPr>
                <w:color w:val="000000"/>
                <w:szCs w:val="21"/>
              </w:rPr>
            </w:pPr>
            <w:r>
              <w:rPr>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6</w:t>
            </w:r>
          </w:p>
        </w:tc>
        <w:tc>
          <w:tcPr>
            <w:tcW w:w="3357" w:type="dxa"/>
            <w:vAlign w:val="center"/>
          </w:tcPr>
          <w:p>
            <w:pPr>
              <w:spacing w:before="29"/>
              <w:ind w:left="17"/>
              <w:jc w:val="left"/>
              <w:rPr>
                <w:szCs w:val="21"/>
              </w:rPr>
            </w:pPr>
            <w:r>
              <w:rPr>
                <w:color w:val="000000"/>
                <w:szCs w:val="21"/>
              </w:rPr>
              <w:t>银行存款和结算备付金合计</w:t>
            </w:r>
          </w:p>
        </w:tc>
        <w:tc>
          <w:tcPr>
            <w:tcW w:w="2977" w:type="dxa"/>
            <w:vAlign w:val="center"/>
          </w:tcPr>
          <w:p>
            <w:pPr>
              <w:spacing w:before="29"/>
              <w:ind w:left="17"/>
              <w:jc w:val="right"/>
              <w:rPr>
                <w:color w:val="000000"/>
                <w:szCs w:val="21"/>
              </w:rPr>
            </w:pPr>
            <w:r>
              <w:rPr>
                <w:color w:val="000000"/>
                <w:szCs w:val="21"/>
              </w:rPr>
              <w:t>24,307,263.16</w:t>
            </w:r>
          </w:p>
        </w:tc>
        <w:tc>
          <w:tcPr>
            <w:tcW w:w="1843" w:type="dxa"/>
            <w:vAlign w:val="center"/>
          </w:tcPr>
          <w:p>
            <w:pPr>
              <w:spacing w:before="29"/>
              <w:ind w:left="17"/>
              <w:jc w:val="right"/>
              <w:rPr>
                <w:color w:val="000000"/>
                <w:szCs w:val="21"/>
              </w:rPr>
            </w:pPr>
            <w:r>
              <w:rPr>
                <w:color w:val="000000"/>
                <w:szCs w:val="21"/>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7</w:t>
            </w:r>
          </w:p>
        </w:tc>
        <w:tc>
          <w:tcPr>
            <w:tcW w:w="3357" w:type="dxa"/>
            <w:vAlign w:val="center"/>
          </w:tcPr>
          <w:p>
            <w:pPr>
              <w:jc w:val="left"/>
              <w:rPr>
                <w:szCs w:val="21"/>
              </w:rPr>
            </w:pPr>
            <w:r>
              <w:rPr>
                <w:color w:val="000000"/>
                <w:szCs w:val="21"/>
              </w:rPr>
              <w:t>其他各项资产</w:t>
            </w:r>
          </w:p>
        </w:tc>
        <w:tc>
          <w:tcPr>
            <w:tcW w:w="2977" w:type="dxa"/>
            <w:vAlign w:val="center"/>
          </w:tcPr>
          <w:p>
            <w:pPr>
              <w:jc w:val="right"/>
              <w:rPr>
                <w:color w:val="000000"/>
                <w:szCs w:val="21"/>
              </w:rPr>
            </w:pPr>
            <w:r>
              <w:rPr>
                <w:color w:val="000000"/>
                <w:szCs w:val="21"/>
              </w:rPr>
              <w:t>31,980,370.12</w:t>
            </w:r>
          </w:p>
        </w:tc>
        <w:tc>
          <w:tcPr>
            <w:tcW w:w="1843" w:type="dxa"/>
            <w:vAlign w:val="center"/>
          </w:tcPr>
          <w:p>
            <w:pPr>
              <w:jc w:val="right"/>
              <w:rPr>
                <w:color w:val="000000"/>
                <w:szCs w:val="21"/>
              </w:rPr>
            </w:pPr>
            <w:r>
              <w:rPr>
                <w:color w:val="000000"/>
                <w:szCs w:val="21"/>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20" w:type="dxa"/>
            <w:vAlign w:val="center"/>
          </w:tcPr>
          <w:p>
            <w:pPr>
              <w:spacing w:before="29"/>
              <w:ind w:left="17"/>
              <w:jc w:val="center"/>
              <w:rPr>
                <w:color w:val="000000"/>
                <w:szCs w:val="21"/>
              </w:rPr>
            </w:pPr>
            <w:r>
              <w:rPr>
                <w:color w:val="000000"/>
                <w:szCs w:val="21"/>
              </w:rPr>
              <w:t>8</w:t>
            </w:r>
          </w:p>
        </w:tc>
        <w:tc>
          <w:tcPr>
            <w:tcW w:w="3357" w:type="dxa"/>
            <w:vAlign w:val="center"/>
          </w:tcPr>
          <w:p>
            <w:pPr>
              <w:jc w:val="left"/>
              <w:rPr>
                <w:szCs w:val="21"/>
              </w:rPr>
            </w:pPr>
            <w:r>
              <w:rPr>
                <w:color w:val="000000"/>
                <w:szCs w:val="21"/>
              </w:rPr>
              <w:t>合计</w:t>
            </w:r>
          </w:p>
        </w:tc>
        <w:tc>
          <w:tcPr>
            <w:tcW w:w="2977" w:type="dxa"/>
            <w:vAlign w:val="center"/>
          </w:tcPr>
          <w:p>
            <w:pPr>
              <w:jc w:val="right"/>
              <w:rPr>
                <w:color w:val="000000"/>
                <w:szCs w:val="21"/>
              </w:rPr>
            </w:pPr>
            <w:r>
              <w:rPr>
                <w:color w:val="000000"/>
                <w:szCs w:val="21"/>
              </w:rPr>
              <w:t>1,649,333,526.62</w:t>
            </w:r>
          </w:p>
        </w:tc>
        <w:tc>
          <w:tcPr>
            <w:tcW w:w="1843" w:type="dxa"/>
            <w:vAlign w:val="center"/>
          </w:tcPr>
          <w:p>
            <w:pPr>
              <w:jc w:val="right"/>
              <w:rPr>
                <w:color w:val="000000"/>
                <w:szCs w:val="21"/>
              </w:rPr>
            </w:pPr>
            <w:r>
              <w:rPr>
                <w:color w:val="000000"/>
                <w:szCs w:val="21"/>
              </w:rPr>
              <w:t>100.00</w:t>
            </w:r>
          </w:p>
        </w:tc>
      </w:tr>
    </w:tbl>
    <w:p>
      <w:pPr>
        <w:spacing w:line="360" w:lineRule="auto"/>
        <w:rPr>
          <w:b/>
          <w:bCs/>
          <w:szCs w:val="21"/>
        </w:rPr>
      </w:pPr>
      <w:r>
        <w:rPr>
          <w:b/>
          <w:bCs/>
          <w:szCs w:val="21"/>
        </w:rPr>
        <w:t>5.2 报告期末按行业分类的股票投资组合</w:t>
      </w:r>
    </w:p>
    <w:p>
      <w:pPr>
        <w:rPr>
          <w:b/>
          <w:szCs w:val="21"/>
        </w:rPr>
      </w:pPr>
      <w:r>
        <w:rPr>
          <w:b/>
          <w:color w:val="000000"/>
          <w:szCs w:val="21"/>
        </w:rPr>
        <w:t/>
      </w:r>
      <w:r>
        <w:rPr>
          <w:rFonts w:hint="eastAsia"/>
          <w:b/>
          <w:color w:val="000000"/>
          <w:kern w:val="0"/>
          <w:szCs w:val="21"/>
        </w:rPr>
        <w:t>5.</w:t>
      </w:r>
      <w:r>
        <w:rPr>
          <w:b/>
          <w:color w:val="000000"/>
          <w:kern w:val="0"/>
          <w:szCs w:val="21"/>
        </w:rPr>
        <w:t>2.</w:t>
      </w:r>
      <w:r>
        <w:rPr>
          <w:rFonts w:hint="eastAsia"/>
          <w:b/>
          <w:color w:val="000000"/>
          <w:kern w:val="0"/>
          <w:szCs w:val="21"/>
        </w:rPr>
        <w:t>1报告期末按行业分类的境内股票投资组合</w:t>
      </w:r>
    </w:p>
    <w:p>
      <w:pPr>
        <w:autoSpaceDE w:val="0"/>
        <w:autoSpaceDN w:val="0"/>
        <w:adjustRightInd w:val="0"/>
        <w:spacing w:line="360" w:lineRule="auto"/>
        <w:jc w:val="left"/>
        <w:rPr>
          <w:color w:val="000000"/>
          <w:szCs w:val="21"/>
        </w:rPr>
      </w:pPr>
      <w:r>
        <w:rPr>
          <w:color w:val="000000"/>
          <w:szCs w:val="21"/>
        </w:rPr>
        <w:t>本基金本报告期末未持有股票。</w:t>
      </w:r>
    </w:p>
    <w:p>
      <w:pPr>
        <w:jc w:val="left"/>
        <w:rPr>
          <w:rFonts w:asciiTheme="minorEastAsia" w:hAnsiTheme="minorEastAsia" w:eastAsiaTheme="minorEastAsia"/>
          <w:b/>
          <w:bCs/>
          <w:color w:val="000000" w:themeColor="text1"/>
          <w:kern w:val="0"/>
          <w:szCs w:val="21"/>
        </w:rPr>
      </w:pPr>
      <w:r>
        <w:rPr>
          <w:rFonts w:eastAsiaTheme="minorEastAsia"/>
          <w:b/>
          <w:bCs/>
          <w:color w:val="000000" w:themeColor="text1"/>
          <w:kern w:val="0"/>
          <w:szCs w:val="21"/>
        </w:rPr>
        <w:t>5.2.2</w:t>
      </w:r>
      <w:r>
        <w:rPr>
          <w:rFonts w:hint="eastAsia" w:asciiTheme="minorEastAsia" w:hAnsiTheme="minorEastAsia" w:eastAsiaTheme="minorEastAsia"/>
          <w:b/>
          <w:bCs/>
          <w:color w:val="000000" w:themeColor="text1"/>
          <w:kern w:val="0"/>
          <w:szCs w:val="21"/>
        </w:rPr>
        <w:t>报告期末按行业分类的港股通投资股票投资组合</w:t>
      </w:r>
    </w:p>
    <w:p>
      <w:pPr>
        <w:spacing w:before="29" w:line="360" w:lineRule="auto"/>
        <w:ind w:left="17"/>
        <w:rPr>
          <w:color w:val="000000"/>
          <w:szCs w:val="21"/>
        </w:rPr>
      </w:pPr>
      <w:r>
        <w:rPr>
          <w:color w:val="000000"/>
          <w:szCs w:val="21"/>
        </w:rPr>
        <w:t>本基金本报告期末未持有港股通投资股票。</w:t>
      </w:r>
    </w:p>
    <w:p>
      <w:pPr>
        <w:autoSpaceDE w:val="0"/>
        <w:autoSpaceDN w:val="0"/>
        <w:adjustRightInd w:val="0"/>
        <w:spacing w:line="360" w:lineRule="auto"/>
        <w:jc w:val="left"/>
        <w:rPr>
          <w:b/>
          <w:bCs/>
          <w:color w:val="000000"/>
          <w:kern w:val="0"/>
          <w:szCs w:val="21"/>
        </w:rPr>
      </w:pPr>
      <w:r>
        <w:rPr>
          <w:b/>
          <w:bCs/>
          <w:color w:val="000000"/>
          <w:kern w:val="0"/>
          <w:szCs w:val="21"/>
        </w:rPr>
        <w:t>5.3 报告期末按公允价值占基金资产净值比例大小排序的前十名股票投资明细</w:t>
      </w:r>
    </w:p>
    <w:p>
      <w:pPr>
        <w:autoSpaceDE w:val="0"/>
        <w:autoSpaceDN w:val="0"/>
        <w:adjustRightInd w:val="0"/>
        <w:spacing w:line="360" w:lineRule="auto"/>
        <w:jc w:val="left"/>
        <w:rPr>
          <w:color w:val="000000"/>
          <w:szCs w:val="21"/>
        </w:rPr>
      </w:pPr>
      <w:r>
        <w:rPr>
          <w:color w:val="000000"/>
          <w:szCs w:val="21"/>
        </w:rPr>
        <w:t>本基金本报告期末未持有股票。</w:t>
      </w:r>
    </w:p>
    <w:p>
      <w:pPr>
        <w:autoSpaceDE w:val="0"/>
        <w:autoSpaceDN w:val="0"/>
        <w:adjustRightInd w:val="0"/>
        <w:spacing w:line="360" w:lineRule="auto"/>
        <w:jc w:val="left"/>
        <w:rPr>
          <w:b/>
          <w:bCs/>
          <w:color w:val="000000"/>
          <w:kern w:val="0"/>
          <w:szCs w:val="21"/>
        </w:rPr>
      </w:pPr>
      <w:r>
        <w:rPr>
          <w:b/>
          <w:bCs/>
          <w:color w:val="000000"/>
          <w:kern w:val="0"/>
          <w:szCs w:val="21"/>
        </w:rPr>
        <w:t>5.4 报告期末按债券品种分类的债券投资组合</w:t>
      </w:r>
    </w:p>
    <w:tbl>
      <w:tblPr>
        <w:tblStyle w:val="2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2835"/>
        <w:gridCol w:w="1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序号</w:t>
            </w:r>
          </w:p>
        </w:tc>
        <w:tc>
          <w:tcPr>
            <w:tcW w:w="3260" w:type="dxa"/>
            <w:vAlign w:val="center"/>
          </w:tcPr>
          <w:p>
            <w:pPr>
              <w:spacing w:before="29"/>
              <w:ind w:left="17"/>
              <w:jc w:val="center"/>
              <w:rPr>
                <w:color w:val="000000"/>
                <w:szCs w:val="21"/>
              </w:rPr>
            </w:pPr>
            <w:r>
              <w:rPr>
                <w:color w:val="000000"/>
                <w:szCs w:val="21"/>
              </w:rPr>
              <w:t>债券品种</w:t>
            </w:r>
          </w:p>
        </w:tc>
        <w:tc>
          <w:tcPr>
            <w:tcW w:w="2835" w:type="dxa"/>
            <w:vAlign w:val="center"/>
          </w:tcPr>
          <w:p>
            <w:pPr>
              <w:spacing w:before="29"/>
              <w:ind w:left="17"/>
              <w:jc w:val="center"/>
              <w:rPr>
                <w:color w:val="000000"/>
                <w:szCs w:val="21"/>
              </w:rPr>
            </w:pPr>
            <w:r>
              <w:rPr>
                <w:color w:val="000000"/>
                <w:szCs w:val="21"/>
              </w:rPr>
              <w:t>公允价值(元)</w:t>
            </w:r>
          </w:p>
        </w:tc>
        <w:tc>
          <w:tcPr>
            <w:tcW w:w="1616" w:type="dxa"/>
            <w:vAlign w:val="center"/>
          </w:tcPr>
          <w:p>
            <w:pPr>
              <w:spacing w:before="29"/>
              <w:ind w:left="17"/>
              <w:jc w:val="center"/>
              <w:rPr>
                <w:color w:val="000000"/>
                <w:szCs w:val="21"/>
              </w:rPr>
            </w:pPr>
            <w:r>
              <w:rPr>
                <w:color w:val="000000"/>
                <w:szCs w:val="21"/>
              </w:rPr>
              <w:t>占基金资产净值比例(％)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1</w:t>
            </w:r>
          </w:p>
        </w:tc>
        <w:tc>
          <w:tcPr>
            <w:tcW w:w="3260" w:type="dxa"/>
            <w:vAlign w:val="center"/>
          </w:tcPr>
          <w:p>
            <w:pPr>
              <w:spacing w:before="29"/>
              <w:ind w:left="17"/>
              <w:jc w:val="left"/>
              <w:rPr>
                <w:color w:val="000000"/>
                <w:szCs w:val="21"/>
              </w:rPr>
            </w:pPr>
            <w:r>
              <w:rPr>
                <w:color w:val="000000"/>
                <w:szCs w:val="21"/>
              </w:rPr>
              <w:t>国家债券</w:t>
            </w:r>
          </w:p>
        </w:tc>
        <w:tc>
          <w:tcPr>
            <w:tcW w:w="2835" w:type="dxa"/>
            <w:vAlign w:val="center"/>
          </w:tcPr>
          <w:p>
            <w:pPr>
              <w:spacing w:before="29"/>
              <w:ind w:left="17"/>
              <w:jc w:val="right"/>
              <w:rPr>
                <w:color w:val="000000"/>
                <w:kern w:val="0"/>
                <w:szCs w:val="21"/>
              </w:rPr>
            </w:pPr>
            <w:r>
              <w:rPr>
                <w:color w:val="000000"/>
                <w:kern w:val="0"/>
                <w:szCs w:val="21"/>
              </w:rPr>
              <w:t>-</w:t>
            </w:r>
          </w:p>
        </w:tc>
        <w:tc>
          <w:tcPr>
            <w:tcW w:w="1616" w:type="dxa"/>
            <w:vAlign w:val="center"/>
          </w:tcPr>
          <w:p>
            <w:pPr>
              <w:spacing w:before="29"/>
              <w:ind w:left="17"/>
              <w:jc w:val="right"/>
              <w:rPr>
                <w:color w:val="000000"/>
                <w:kern w:val="0"/>
                <w:szCs w:val="21"/>
              </w:rPr>
            </w:pPr>
            <w:r>
              <w:rPr>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2</w:t>
            </w:r>
          </w:p>
        </w:tc>
        <w:tc>
          <w:tcPr>
            <w:tcW w:w="3260" w:type="dxa"/>
            <w:vAlign w:val="center"/>
          </w:tcPr>
          <w:p>
            <w:pPr>
              <w:spacing w:before="29"/>
              <w:ind w:left="17"/>
              <w:jc w:val="left"/>
              <w:rPr>
                <w:color w:val="000000"/>
                <w:szCs w:val="21"/>
              </w:rPr>
            </w:pPr>
            <w:r>
              <w:rPr>
                <w:color w:val="000000"/>
                <w:szCs w:val="21"/>
              </w:rPr>
              <w:t>央行票据</w:t>
            </w:r>
          </w:p>
        </w:tc>
        <w:tc>
          <w:tcPr>
            <w:tcW w:w="2835" w:type="dxa"/>
            <w:vAlign w:val="center"/>
          </w:tcPr>
          <w:p>
            <w:pPr>
              <w:spacing w:before="29"/>
              <w:ind w:left="17"/>
              <w:jc w:val="right"/>
              <w:rPr>
                <w:color w:val="000000"/>
                <w:kern w:val="0"/>
                <w:szCs w:val="21"/>
              </w:rPr>
            </w:pPr>
            <w:r>
              <w:rPr>
                <w:color w:val="000000"/>
                <w:kern w:val="0"/>
                <w:szCs w:val="21"/>
              </w:rPr>
              <w:t>-</w:t>
            </w:r>
          </w:p>
        </w:tc>
        <w:tc>
          <w:tcPr>
            <w:tcW w:w="1616" w:type="dxa"/>
            <w:vAlign w:val="center"/>
          </w:tcPr>
          <w:p>
            <w:pPr>
              <w:spacing w:before="29"/>
              <w:ind w:left="17"/>
              <w:jc w:val="right"/>
              <w:rPr>
                <w:color w:val="000000"/>
                <w:kern w:val="0"/>
                <w:szCs w:val="21"/>
              </w:rPr>
            </w:pPr>
            <w:r>
              <w:rPr>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3</w:t>
            </w:r>
          </w:p>
        </w:tc>
        <w:tc>
          <w:tcPr>
            <w:tcW w:w="3260" w:type="dxa"/>
            <w:vAlign w:val="center"/>
          </w:tcPr>
          <w:p>
            <w:pPr>
              <w:spacing w:before="29"/>
              <w:ind w:left="17"/>
              <w:jc w:val="left"/>
              <w:rPr>
                <w:color w:val="000000"/>
                <w:szCs w:val="21"/>
              </w:rPr>
            </w:pPr>
            <w:r>
              <w:rPr>
                <w:color w:val="000000"/>
                <w:szCs w:val="21"/>
              </w:rPr>
              <w:t>金融债券</w:t>
            </w:r>
          </w:p>
        </w:tc>
        <w:tc>
          <w:tcPr>
            <w:tcW w:w="2835" w:type="dxa"/>
            <w:vAlign w:val="center"/>
          </w:tcPr>
          <w:p>
            <w:pPr>
              <w:spacing w:before="29"/>
              <w:ind w:left="17"/>
              <w:jc w:val="right"/>
              <w:rPr>
                <w:color w:val="000000"/>
                <w:kern w:val="0"/>
                <w:szCs w:val="21"/>
              </w:rPr>
            </w:pPr>
            <w:r>
              <w:rPr>
                <w:color w:val="000000"/>
                <w:kern w:val="0"/>
                <w:szCs w:val="21"/>
              </w:rPr>
              <w:t>80,005,000.00</w:t>
            </w:r>
          </w:p>
        </w:tc>
        <w:tc>
          <w:tcPr>
            <w:tcW w:w="1616" w:type="dxa"/>
            <w:vAlign w:val="center"/>
          </w:tcPr>
          <w:p>
            <w:pPr>
              <w:spacing w:before="29"/>
              <w:ind w:left="17"/>
              <w:jc w:val="right"/>
              <w:rPr>
                <w:color w:val="000000"/>
                <w:kern w:val="0"/>
                <w:szCs w:val="21"/>
              </w:rPr>
            </w:pPr>
            <w:r>
              <w:rPr>
                <w:color w:val="000000"/>
                <w:kern w:val="0"/>
                <w:szCs w:val="21"/>
              </w:rPr>
              <w:t>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p>
        </w:tc>
        <w:tc>
          <w:tcPr>
            <w:tcW w:w="3260" w:type="dxa"/>
            <w:vAlign w:val="center"/>
          </w:tcPr>
          <w:p>
            <w:pPr>
              <w:spacing w:before="29"/>
              <w:ind w:left="17"/>
              <w:jc w:val="left"/>
              <w:rPr>
                <w:color w:val="000000"/>
                <w:szCs w:val="21"/>
              </w:rPr>
            </w:pPr>
            <w:r>
              <w:rPr>
                <w:color w:val="000000"/>
                <w:szCs w:val="21"/>
              </w:rPr>
              <w:t>其中：政策性金融债</w:t>
            </w:r>
          </w:p>
        </w:tc>
        <w:tc>
          <w:tcPr>
            <w:tcW w:w="2835" w:type="dxa"/>
            <w:vAlign w:val="center"/>
          </w:tcPr>
          <w:p>
            <w:pPr>
              <w:spacing w:before="29"/>
              <w:ind w:left="17"/>
              <w:jc w:val="right"/>
              <w:rPr>
                <w:color w:val="000000"/>
                <w:kern w:val="0"/>
                <w:szCs w:val="21"/>
              </w:rPr>
            </w:pPr>
            <w:r>
              <w:rPr>
                <w:color w:val="000000"/>
                <w:kern w:val="0"/>
                <w:szCs w:val="21"/>
              </w:rPr>
              <w:t>80,005,000.00</w:t>
            </w:r>
          </w:p>
        </w:tc>
        <w:tc>
          <w:tcPr>
            <w:tcW w:w="1616" w:type="dxa"/>
            <w:vAlign w:val="center"/>
          </w:tcPr>
          <w:p>
            <w:pPr>
              <w:spacing w:before="29"/>
              <w:ind w:left="17"/>
              <w:jc w:val="right"/>
              <w:rPr>
                <w:color w:val="000000"/>
                <w:kern w:val="0"/>
                <w:szCs w:val="21"/>
              </w:rPr>
            </w:pPr>
            <w:r>
              <w:rPr>
                <w:color w:val="000000"/>
                <w:kern w:val="0"/>
                <w:szCs w:val="21"/>
              </w:rPr>
              <w:t>4.87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4</w:t>
            </w:r>
          </w:p>
        </w:tc>
        <w:tc>
          <w:tcPr>
            <w:tcW w:w="3260" w:type="dxa"/>
            <w:vAlign w:val="center"/>
          </w:tcPr>
          <w:p>
            <w:pPr>
              <w:spacing w:before="29"/>
              <w:ind w:left="17"/>
              <w:jc w:val="left"/>
              <w:rPr>
                <w:color w:val="000000"/>
                <w:szCs w:val="21"/>
              </w:rPr>
            </w:pPr>
            <w:r>
              <w:rPr>
                <w:color w:val="000000"/>
                <w:szCs w:val="21"/>
              </w:rPr>
              <w:t>企业债券</w:t>
            </w:r>
          </w:p>
        </w:tc>
        <w:tc>
          <w:tcPr>
            <w:tcW w:w="2835" w:type="dxa"/>
            <w:vAlign w:val="center"/>
          </w:tcPr>
          <w:p>
            <w:pPr>
              <w:spacing w:before="29"/>
              <w:ind w:left="17"/>
              <w:jc w:val="right"/>
              <w:rPr>
                <w:color w:val="000000"/>
                <w:kern w:val="0"/>
                <w:szCs w:val="21"/>
              </w:rPr>
            </w:pPr>
            <w:r>
              <w:rPr>
                <w:color w:val="000000"/>
                <w:kern w:val="0"/>
                <w:szCs w:val="21"/>
              </w:rPr>
              <w:t>962,451,549.80</w:t>
            </w:r>
          </w:p>
        </w:tc>
        <w:tc>
          <w:tcPr>
            <w:tcW w:w="1616" w:type="dxa"/>
            <w:vAlign w:val="center"/>
          </w:tcPr>
          <w:p>
            <w:pPr>
              <w:spacing w:before="29"/>
              <w:ind w:left="17"/>
              <w:jc w:val="right"/>
              <w:rPr>
                <w:color w:val="000000"/>
                <w:kern w:val="0"/>
                <w:szCs w:val="21"/>
              </w:rPr>
            </w:pPr>
            <w:r>
              <w:rPr>
                <w:color w:val="000000"/>
                <w:kern w:val="0"/>
                <w:szCs w:val="21"/>
              </w:rPr>
              <w:t>58.54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5</w:t>
            </w:r>
          </w:p>
        </w:tc>
        <w:tc>
          <w:tcPr>
            <w:tcW w:w="3260" w:type="dxa"/>
            <w:vAlign w:val="center"/>
          </w:tcPr>
          <w:p>
            <w:pPr>
              <w:spacing w:before="29"/>
              <w:ind w:left="17"/>
              <w:jc w:val="left"/>
              <w:rPr>
                <w:color w:val="000000"/>
                <w:szCs w:val="21"/>
              </w:rPr>
            </w:pPr>
            <w:r>
              <w:rPr>
                <w:color w:val="000000"/>
                <w:szCs w:val="21"/>
              </w:rPr>
              <w:t>企业短期融资券</w:t>
            </w:r>
          </w:p>
        </w:tc>
        <w:tc>
          <w:tcPr>
            <w:tcW w:w="2835" w:type="dxa"/>
            <w:vAlign w:val="center"/>
          </w:tcPr>
          <w:p>
            <w:pPr>
              <w:spacing w:before="29"/>
              <w:ind w:left="17"/>
              <w:jc w:val="right"/>
              <w:rPr>
                <w:color w:val="000000"/>
                <w:kern w:val="0"/>
                <w:szCs w:val="21"/>
              </w:rPr>
            </w:pPr>
            <w:r>
              <w:rPr>
                <w:color w:val="000000"/>
                <w:kern w:val="0"/>
                <w:szCs w:val="21"/>
              </w:rPr>
              <w:t>20,060,000.00</w:t>
            </w:r>
          </w:p>
        </w:tc>
        <w:tc>
          <w:tcPr>
            <w:tcW w:w="1616" w:type="dxa"/>
            <w:vAlign w:val="center"/>
          </w:tcPr>
          <w:p>
            <w:pPr>
              <w:spacing w:before="29"/>
              <w:ind w:left="17"/>
              <w:jc w:val="right"/>
              <w:rPr>
                <w:color w:val="000000"/>
                <w:kern w:val="0"/>
                <w:szCs w:val="21"/>
              </w:rPr>
            </w:pPr>
            <w:r>
              <w:rPr>
                <w:color w:val="000000"/>
                <w:kern w:val="0"/>
                <w:szCs w:val="21"/>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6</w:t>
            </w:r>
          </w:p>
        </w:tc>
        <w:tc>
          <w:tcPr>
            <w:tcW w:w="3260" w:type="dxa"/>
            <w:vAlign w:val="center"/>
          </w:tcPr>
          <w:p>
            <w:pPr>
              <w:spacing w:before="29"/>
              <w:ind w:left="17"/>
              <w:jc w:val="left"/>
              <w:rPr>
                <w:color w:val="000000"/>
                <w:szCs w:val="21"/>
              </w:rPr>
            </w:pPr>
            <w:r>
              <w:rPr>
                <w:color w:val="000000"/>
                <w:szCs w:val="21"/>
              </w:rPr>
              <w:t>中期票据</w:t>
            </w:r>
          </w:p>
        </w:tc>
        <w:tc>
          <w:tcPr>
            <w:tcW w:w="2835" w:type="dxa"/>
            <w:vAlign w:val="center"/>
          </w:tcPr>
          <w:p>
            <w:pPr>
              <w:spacing w:before="29"/>
              <w:ind w:left="17"/>
              <w:jc w:val="right"/>
              <w:rPr>
                <w:color w:val="000000"/>
                <w:kern w:val="0"/>
                <w:szCs w:val="21"/>
              </w:rPr>
            </w:pPr>
            <w:r>
              <w:rPr>
                <w:color w:val="000000"/>
                <w:kern w:val="0"/>
                <w:szCs w:val="21"/>
              </w:rPr>
              <w:t>237,202,000.00</w:t>
            </w:r>
          </w:p>
        </w:tc>
        <w:tc>
          <w:tcPr>
            <w:tcW w:w="1616" w:type="dxa"/>
            <w:vAlign w:val="center"/>
          </w:tcPr>
          <w:p>
            <w:pPr>
              <w:spacing w:before="29"/>
              <w:ind w:left="17"/>
              <w:jc w:val="right"/>
              <w:rPr>
                <w:color w:val="000000"/>
                <w:kern w:val="0"/>
                <w:szCs w:val="21"/>
              </w:rPr>
            </w:pPr>
            <w:r>
              <w:rPr>
                <w:color w:val="000000"/>
                <w:kern w:val="0"/>
                <w:szCs w:val="21"/>
              </w:rPr>
              <w:t>14.43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7</w:t>
            </w:r>
          </w:p>
        </w:tc>
        <w:tc>
          <w:tcPr>
            <w:tcW w:w="3260" w:type="dxa"/>
            <w:vAlign w:val="center"/>
          </w:tcPr>
          <w:p>
            <w:pPr>
              <w:spacing w:before="29"/>
              <w:ind w:left="17"/>
              <w:jc w:val="left"/>
              <w:rPr>
                <w:color w:val="000000"/>
                <w:szCs w:val="21"/>
              </w:rPr>
            </w:pPr>
            <w:r>
              <w:rPr>
                <w:color w:val="000000"/>
                <w:szCs w:val="21"/>
              </w:rPr>
              <w:t>可转债</w:t>
            </w:r>
            <w:r>
              <w:rPr>
                <w:rFonts w:hint="eastAsia"/>
                <w:color w:val="000000"/>
                <w:szCs w:val="21"/>
              </w:rPr>
              <w:t>（</w:t>
            </w:r>
            <w:r>
              <w:rPr>
                <w:color w:val="000000"/>
                <w:szCs w:val="21"/>
              </w:rPr>
              <w:t>可交换债）</w:t>
            </w:r>
          </w:p>
        </w:tc>
        <w:tc>
          <w:tcPr>
            <w:tcW w:w="2835" w:type="dxa"/>
            <w:vAlign w:val="center"/>
          </w:tcPr>
          <w:p>
            <w:pPr>
              <w:spacing w:before="29"/>
              <w:ind w:left="17"/>
              <w:jc w:val="right"/>
              <w:rPr>
                <w:color w:val="000000"/>
                <w:kern w:val="0"/>
                <w:szCs w:val="21"/>
              </w:rPr>
            </w:pPr>
            <w:r>
              <w:rPr>
                <w:color w:val="000000"/>
                <w:kern w:val="0"/>
                <w:szCs w:val="21"/>
              </w:rPr>
              <w:t>294,703.50</w:t>
            </w:r>
          </w:p>
        </w:tc>
        <w:tc>
          <w:tcPr>
            <w:tcW w:w="1616" w:type="dxa"/>
            <w:vAlign w:val="center"/>
          </w:tcPr>
          <w:p>
            <w:pPr>
              <w:spacing w:before="29"/>
              <w:ind w:left="17"/>
              <w:jc w:val="right"/>
              <w:rPr>
                <w:color w:val="000000"/>
                <w:kern w:val="0"/>
                <w:szCs w:val="21"/>
              </w:rPr>
            </w:pPr>
            <w:r>
              <w:rPr>
                <w:color w:val="000000"/>
                <w:kern w:val="0"/>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rFonts w:hint="eastAsia"/>
                <w:color w:val="000000"/>
                <w:szCs w:val="21"/>
              </w:rPr>
              <w:t>8</w:t>
            </w:r>
          </w:p>
        </w:tc>
        <w:tc>
          <w:tcPr>
            <w:tcW w:w="3260" w:type="dxa"/>
            <w:vAlign w:val="center"/>
          </w:tcPr>
          <w:p>
            <w:pPr>
              <w:spacing w:before="29"/>
              <w:ind w:left="17"/>
              <w:jc w:val="left"/>
              <w:rPr>
                <w:color w:val="000000"/>
                <w:szCs w:val="21"/>
              </w:rPr>
            </w:pPr>
            <w:r>
              <w:rPr>
                <w:rFonts w:hint="eastAsia"/>
                <w:color w:val="000000"/>
                <w:szCs w:val="21"/>
              </w:rPr>
              <w:t>同业存单</w:t>
            </w:r>
          </w:p>
        </w:tc>
        <w:tc>
          <w:tcPr>
            <w:tcW w:w="2835" w:type="dxa"/>
            <w:vAlign w:val="center"/>
          </w:tcPr>
          <w:p>
            <w:pPr>
              <w:spacing w:before="29"/>
              <w:ind w:left="17"/>
              <w:jc w:val="right"/>
              <w:rPr>
                <w:color w:val="000000"/>
                <w:szCs w:val="21"/>
              </w:rPr>
            </w:pPr>
            <w:r>
              <w:rPr>
                <w:rFonts w:hint="eastAsia"/>
                <w:color w:val="000000"/>
                <w:szCs w:val="21"/>
              </w:rPr>
              <w:t/>
            </w:r>
            <w:r>
              <w:rPr>
                <w:color w:val="000000"/>
                <w:szCs w:val="21"/>
              </w:rPr>
              <w:t/>
            </w:r>
            <w:r>
              <w:rPr>
                <w:rFonts w:hint="eastAsia"/>
                <w:color w:val="000000"/>
                <w:szCs w:val="21"/>
              </w:rPr>
              <w:t>-</w:t>
            </w:r>
          </w:p>
        </w:tc>
        <w:tc>
          <w:tcPr>
            <w:tcW w:w="1616" w:type="dxa"/>
            <w:vAlign w:val="center"/>
          </w:tcPr>
          <w:p>
            <w:pPr>
              <w:spacing w:before="29"/>
              <w:ind w:left="17"/>
              <w:jc w:val="right"/>
              <w:rPr>
                <w:color w:val="000000"/>
                <w:szCs w:val="21"/>
              </w:rPr>
            </w:pPr>
            <w:r>
              <w:rPr>
                <w:rFonts w:hint="eastAsia"/>
                <w:color w:val="000000"/>
                <w:szCs w:val="21"/>
              </w:rPr>
              <w:t/>
            </w:r>
            <w:r>
              <w:rPr>
                <w:color w:val="000000"/>
                <w:szCs w:val="21"/>
              </w:rPr>
              <w:t/>
            </w: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
            </w:r>
            <w:r>
              <w:rPr>
                <w:rFonts w:hint="eastAsia"/>
                <w:color w:val="000000"/>
                <w:szCs w:val="21"/>
              </w:rPr>
              <w:t/>
            </w:r>
            <w:r>
              <w:rPr>
                <w:color w:val="000000"/>
                <w:szCs w:val="21"/>
              </w:rPr>
              <w:t>9</w:t>
            </w:r>
          </w:p>
        </w:tc>
        <w:tc>
          <w:tcPr>
            <w:tcW w:w="3260" w:type="dxa"/>
            <w:vAlign w:val="center"/>
          </w:tcPr>
          <w:p>
            <w:pPr>
              <w:spacing w:before="29"/>
              <w:ind w:left="17"/>
              <w:jc w:val="left"/>
              <w:rPr>
                <w:color w:val="000000"/>
                <w:szCs w:val="21"/>
              </w:rPr>
            </w:pPr>
            <w:r>
              <w:rPr>
                <w:color w:val="000000"/>
                <w:szCs w:val="21"/>
              </w:rPr>
              <w:t>其他</w:t>
            </w:r>
          </w:p>
        </w:tc>
        <w:tc>
          <w:tcPr>
            <w:tcW w:w="2835" w:type="dxa"/>
            <w:vAlign w:val="center"/>
          </w:tcPr>
          <w:p>
            <w:pPr>
              <w:spacing w:before="29"/>
              <w:ind w:left="17"/>
              <w:jc w:val="right"/>
              <w:rPr>
                <w:color w:val="000000"/>
                <w:kern w:val="0"/>
                <w:szCs w:val="21"/>
              </w:rPr>
            </w:pPr>
            <w:r>
              <w:rPr>
                <w:color w:val="000000"/>
                <w:kern w:val="0"/>
                <w:szCs w:val="21"/>
              </w:rPr>
              <w:t>-</w:t>
            </w:r>
          </w:p>
        </w:tc>
        <w:tc>
          <w:tcPr>
            <w:tcW w:w="1616" w:type="dxa"/>
            <w:vAlign w:val="center"/>
          </w:tcPr>
          <w:p>
            <w:pPr>
              <w:spacing w:before="29"/>
              <w:ind w:left="17"/>
              <w:jc w:val="right"/>
              <w:rPr>
                <w:color w:val="000000"/>
                <w:kern w:val="0"/>
                <w:szCs w:val="21"/>
              </w:rPr>
            </w:pPr>
            <w:r>
              <w:rPr>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spacing w:before="29"/>
              <w:ind w:left="17"/>
              <w:jc w:val="center"/>
              <w:rPr>
                <w:color w:val="000000"/>
                <w:szCs w:val="21"/>
              </w:rPr>
            </w:pPr>
            <w:r>
              <w:rPr>
                <w:color w:val="000000"/>
                <w:szCs w:val="21"/>
              </w:rPr>
              <w:t/>
            </w:r>
            <w:r>
              <w:rPr>
                <w:rFonts w:hint="eastAsia"/>
                <w:color w:val="000000"/>
                <w:szCs w:val="21"/>
              </w:rPr>
              <w:t/>
            </w:r>
            <w:r>
              <w:rPr>
                <w:color w:val="000000"/>
                <w:szCs w:val="21"/>
              </w:rPr>
              <w:t>10</w:t>
            </w:r>
          </w:p>
        </w:tc>
        <w:tc>
          <w:tcPr>
            <w:tcW w:w="3260" w:type="dxa"/>
            <w:vAlign w:val="center"/>
          </w:tcPr>
          <w:p>
            <w:pPr>
              <w:spacing w:before="29"/>
              <w:ind w:left="17"/>
              <w:jc w:val="left"/>
              <w:rPr>
                <w:color w:val="000000"/>
                <w:szCs w:val="21"/>
              </w:rPr>
            </w:pPr>
            <w:r>
              <w:rPr>
                <w:color w:val="000000"/>
                <w:szCs w:val="21"/>
              </w:rPr>
              <w:t>合计</w:t>
            </w:r>
          </w:p>
        </w:tc>
        <w:tc>
          <w:tcPr>
            <w:tcW w:w="2835" w:type="dxa"/>
            <w:vAlign w:val="center"/>
          </w:tcPr>
          <w:p>
            <w:pPr>
              <w:spacing w:before="29"/>
              <w:ind w:left="17"/>
              <w:jc w:val="right"/>
              <w:rPr>
                <w:color w:val="000000"/>
                <w:kern w:val="0"/>
                <w:szCs w:val="21"/>
              </w:rPr>
            </w:pPr>
            <w:r>
              <w:rPr>
                <w:color w:val="000000"/>
                <w:kern w:val="0"/>
                <w:szCs w:val="21"/>
              </w:rPr>
              <w:t>1,300,013,253.30</w:t>
            </w:r>
          </w:p>
        </w:tc>
        <w:tc>
          <w:tcPr>
            <w:tcW w:w="1616" w:type="dxa"/>
            <w:vAlign w:val="center"/>
          </w:tcPr>
          <w:p>
            <w:pPr>
              <w:spacing w:before="29"/>
              <w:ind w:left="17"/>
              <w:jc w:val="right"/>
              <w:rPr>
                <w:color w:val="000000"/>
                <w:kern w:val="0"/>
                <w:szCs w:val="21"/>
              </w:rPr>
            </w:pPr>
            <w:r>
              <w:rPr>
                <w:color w:val="000000"/>
                <w:kern w:val="0"/>
                <w:szCs w:val="21"/>
              </w:rPr>
              <w:t>79.08</w:t>
            </w:r>
          </w:p>
        </w:tc>
      </w:tr>
    </w:tbl>
    <w:p>
      <w:pPr>
        <w:autoSpaceDE w:val="0"/>
        <w:autoSpaceDN w:val="0"/>
        <w:adjustRightInd w:val="0"/>
        <w:spacing w:line="360" w:lineRule="auto"/>
        <w:jc w:val="left"/>
        <w:rPr>
          <w:b/>
          <w:bCs/>
          <w:color w:val="000000"/>
          <w:kern w:val="0"/>
          <w:szCs w:val="21"/>
        </w:rPr>
      </w:pPr>
      <w:r>
        <w:rPr>
          <w:b/>
          <w:bCs/>
          <w:color w:val="000000"/>
          <w:kern w:val="0"/>
          <w:szCs w:val="21"/>
        </w:rPr>
        <w:t>5.5 报告期末按公允价值占基金资产净值比例大小排序的前五名债券投资明细</w:t>
      </w:r>
    </w:p>
    <w:tbl>
      <w:tblPr>
        <w:tblStyle w:val="28"/>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1276"/>
        <w:gridCol w:w="1476"/>
        <w:gridCol w:w="178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vAlign w:val="center"/>
          </w:tcPr>
          <w:p>
            <w:pPr>
              <w:spacing w:before="29"/>
              <w:ind w:left="17"/>
              <w:jc w:val="center"/>
              <w:rPr>
                <w:color w:val="000000"/>
                <w:szCs w:val="21"/>
              </w:rPr>
            </w:pPr>
            <w:r>
              <w:rPr>
                <w:color w:val="000000"/>
                <w:szCs w:val="21"/>
              </w:rPr>
              <w:t>序号</w:t>
            </w:r>
          </w:p>
        </w:tc>
        <w:tc>
          <w:tcPr>
            <w:tcW w:w="1417" w:type="dxa"/>
            <w:vAlign w:val="center"/>
          </w:tcPr>
          <w:p>
            <w:pPr>
              <w:spacing w:before="29"/>
              <w:ind w:left="17"/>
              <w:jc w:val="center"/>
              <w:rPr>
                <w:color w:val="000000"/>
                <w:szCs w:val="21"/>
              </w:rPr>
            </w:pPr>
            <w:r>
              <w:rPr>
                <w:color w:val="000000"/>
                <w:szCs w:val="21"/>
              </w:rPr>
              <w:t>债券代码</w:t>
            </w:r>
          </w:p>
        </w:tc>
        <w:tc>
          <w:tcPr>
            <w:tcW w:w="1276" w:type="dxa"/>
            <w:vAlign w:val="center"/>
          </w:tcPr>
          <w:p>
            <w:pPr>
              <w:spacing w:before="29"/>
              <w:ind w:left="17"/>
              <w:jc w:val="center"/>
              <w:rPr>
                <w:color w:val="000000"/>
                <w:szCs w:val="21"/>
              </w:rPr>
            </w:pPr>
            <w:r>
              <w:rPr>
                <w:color w:val="000000"/>
                <w:szCs w:val="21"/>
              </w:rPr>
              <w:t>债券名称</w:t>
            </w:r>
          </w:p>
        </w:tc>
        <w:tc>
          <w:tcPr>
            <w:tcW w:w="1476" w:type="dxa"/>
            <w:vAlign w:val="center"/>
          </w:tcPr>
          <w:p>
            <w:pPr>
              <w:spacing w:before="29"/>
              <w:ind w:left="17"/>
              <w:jc w:val="center"/>
              <w:rPr>
                <w:color w:val="000000"/>
                <w:szCs w:val="21"/>
              </w:rPr>
            </w:pPr>
            <w:r>
              <w:rPr>
                <w:color w:val="000000"/>
                <w:szCs w:val="21"/>
              </w:rPr>
              <w:t>数量(张)</w:t>
            </w:r>
          </w:p>
        </w:tc>
        <w:tc>
          <w:tcPr>
            <w:tcW w:w="1784" w:type="dxa"/>
            <w:vAlign w:val="center"/>
          </w:tcPr>
          <w:p>
            <w:pPr>
              <w:spacing w:before="29"/>
              <w:ind w:left="17"/>
              <w:jc w:val="center"/>
              <w:rPr>
                <w:color w:val="000000"/>
                <w:szCs w:val="21"/>
              </w:rPr>
            </w:pPr>
            <w:r>
              <w:rPr>
                <w:color w:val="000000"/>
                <w:szCs w:val="21"/>
              </w:rPr>
              <w:t>公允价值(元)</w:t>
            </w:r>
          </w:p>
        </w:tc>
        <w:tc>
          <w:tcPr>
            <w:tcW w:w="1701" w:type="dxa"/>
            <w:vAlign w:val="center"/>
          </w:tcPr>
          <w:p>
            <w:pPr>
              <w:spacing w:before="29"/>
              <w:ind w:left="17"/>
              <w:jc w:val="center"/>
              <w:rPr>
                <w:color w:val="000000"/>
                <w:szCs w:val="21"/>
              </w:rPr>
            </w:pPr>
            <w:r>
              <w:rPr>
                <w:color w:val="000000"/>
                <w:szCs w:val="21"/>
              </w:rPr>
              <w:t>占基金资产净值比例(％)</w:t>
            </w:r>
          </w:p>
        </w:tc>
      </w:tr>
      <w:tr>
        <w:tc>
          <w:tcPr>
            <w:vAlign w:val="center"/>
          </w:tcPr>
          <w:p>
            <w:pPr>
              <w:jc w:val="center"/>
            </w:pPr>
            <w:r>
              <w:rPr>
                <w:color w:val="000000"/>
                <w:szCs w:val="21"/>
              </w:rPr>
              <w:t>1</w:t>
            </w:r>
          </w:p>
        </w:tc>
        <w:tc>
          <w:tcPr>
            <w:vAlign w:val="center"/>
          </w:tcPr>
          <w:p>
            <w:pPr>
              <w:jc w:val="center"/>
            </w:pPr>
            <w:r>
              <w:rPr>
                <w:color w:val="000000"/>
                <w:szCs w:val="21"/>
              </w:rPr>
              <w:t>098019</w:t>
            </w:r>
          </w:p>
        </w:tc>
        <w:tc>
          <w:tcPr>
            <w:vAlign w:val="center"/>
          </w:tcPr>
          <w:p>
            <w:pPr>
              <w:jc w:val="center"/>
            </w:pPr>
            <w:r>
              <w:rPr>
                <w:color w:val="000000"/>
                <w:szCs w:val="21"/>
              </w:rPr>
              <w:t>09渝地产债</w:t>
            </w:r>
          </w:p>
        </w:tc>
        <w:tc>
          <w:tcPr>
            <w:vAlign w:val="center"/>
          </w:tcPr>
          <w:p>
            <w:pPr>
              <w:jc w:val="right"/>
            </w:pPr>
            <w:r>
              <w:rPr>
                <w:color w:val="000000"/>
                <w:szCs w:val="21"/>
              </w:rPr>
              <w:t>980,000</w:t>
            </w:r>
          </w:p>
        </w:tc>
        <w:tc>
          <w:tcPr>
            <w:vAlign w:val="center"/>
          </w:tcPr>
          <w:p>
            <w:pPr>
              <w:jc w:val="right"/>
            </w:pPr>
            <w:r>
              <w:rPr>
                <w:color w:val="000000"/>
                <w:szCs w:val="21"/>
              </w:rPr>
              <w:t>101,341,800.00</w:t>
            </w:r>
          </w:p>
        </w:tc>
        <w:tc>
          <w:tcPr>
            <w:vAlign w:val="center"/>
          </w:tcPr>
          <w:p>
            <w:pPr>
              <w:jc w:val="right"/>
            </w:pPr>
            <w:r>
              <w:rPr>
                <w:color w:val="000000"/>
                <w:szCs w:val="21"/>
              </w:rPr>
              <w:t>6.16</w:t>
            </w:r>
          </w:p>
        </w:tc>
      </w:tr>
      <w:tr>
        <w:tc>
          <w:tcPr>
            <w:vAlign w:val="center"/>
          </w:tcPr>
          <w:p>
            <w:pPr>
              <w:jc w:val="center"/>
            </w:pPr>
            <w:r>
              <w:rPr>
                <w:color w:val="000000"/>
                <w:szCs w:val="21"/>
              </w:rPr>
              <w:t>2</w:t>
            </w:r>
          </w:p>
        </w:tc>
        <w:tc>
          <w:tcPr>
            <w:vAlign w:val="center"/>
          </w:tcPr>
          <w:p>
            <w:pPr>
              <w:jc w:val="center"/>
            </w:pPr>
            <w:r>
              <w:rPr>
                <w:color w:val="000000"/>
                <w:szCs w:val="21"/>
              </w:rPr>
              <w:t>136205</w:t>
            </w:r>
          </w:p>
        </w:tc>
        <w:tc>
          <w:tcPr>
            <w:vAlign w:val="center"/>
          </w:tcPr>
          <w:p>
            <w:pPr>
              <w:jc w:val="center"/>
            </w:pPr>
            <w:r>
              <w:rPr>
                <w:color w:val="000000"/>
                <w:szCs w:val="21"/>
              </w:rPr>
              <w:t>16龙盛01</w:t>
            </w:r>
          </w:p>
        </w:tc>
        <w:tc>
          <w:tcPr>
            <w:vAlign w:val="center"/>
          </w:tcPr>
          <w:p>
            <w:pPr>
              <w:jc w:val="right"/>
            </w:pPr>
            <w:r>
              <w:rPr>
                <w:color w:val="000000"/>
                <w:szCs w:val="21"/>
              </w:rPr>
              <w:t>800,000</w:t>
            </w:r>
          </w:p>
        </w:tc>
        <w:tc>
          <w:tcPr>
            <w:vAlign w:val="center"/>
          </w:tcPr>
          <w:p>
            <w:pPr>
              <w:jc w:val="right"/>
            </w:pPr>
            <w:r>
              <w:rPr>
                <w:color w:val="000000"/>
                <w:szCs w:val="21"/>
              </w:rPr>
              <w:t>79,016,000.00</w:t>
            </w:r>
          </w:p>
        </w:tc>
        <w:tc>
          <w:tcPr>
            <w:vAlign w:val="center"/>
          </w:tcPr>
          <w:p>
            <w:pPr>
              <w:jc w:val="right"/>
            </w:pPr>
            <w:r>
              <w:rPr>
                <w:color w:val="000000"/>
                <w:szCs w:val="21"/>
              </w:rPr>
              <w:t>4.81</w:t>
            </w:r>
          </w:p>
        </w:tc>
      </w:tr>
      <w:tr>
        <w:tc>
          <w:tcPr>
            <w:vAlign w:val="center"/>
          </w:tcPr>
          <w:p>
            <w:pPr>
              <w:jc w:val="center"/>
            </w:pPr>
            <w:r>
              <w:rPr>
                <w:color w:val="000000"/>
                <w:szCs w:val="21"/>
              </w:rPr>
              <w:t>3</w:t>
            </w:r>
          </w:p>
        </w:tc>
        <w:tc>
          <w:tcPr>
            <w:vAlign w:val="center"/>
          </w:tcPr>
          <w:p>
            <w:pPr>
              <w:jc w:val="center"/>
            </w:pPr>
            <w:r>
              <w:rPr>
                <w:color w:val="000000"/>
                <w:szCs w:val="21"/>
              </w:rPr>
              <w:t>136010</w:t>
            </w:r>
          </w:p>
        </w:tc>
        <w:tc>
          <w:tcPr>
            <w:vAlign w:val="center"/>
          </w:tcPr>
          <w:p>
            <w:pPr>
              <w:jc w:val="center"/>
            </w:pPr>
            <w:r>
              <w:rPr>
                <w:color w:val="000000"/>
                <w:szCs w:val="21"/>
              </w:rPr>
              <w:t>15中骏01</w:t>
            </w:r>
          </w:p>
        </w:tc>
        <w:tc>
          <w:tcPr>
            <w:vAlign w:val="center"/>
          </w:tcPr>
          <w:p>
            <w:pPr>
              <w:jc w:val="right"/>
            </w:pPr>
            <w:r>
              <w:rPr>
                <w:color w:val="000000"/>
                <w:szCs w:val="21"/>
              </w:rPr>
              <w:t>654,830</w:t>
            </w:r>
          </w:p>
        </w:tc>
        <w:tc>
          <w:tcPr>
            <w:vAlign w:val="center"/>
          </w:tcPr>
          <w:p>
            <w:pPr>
              <w:jc w:val="right"/>
            </w:pPr>
            <w:r>
              <w:rPr>
                <w:color w:val="000000"/>
                <w:szCs w:val="21"/>
              </w:rPr>
              <w:t>64,513,851.60</w:t>
            </w:r>
          </w:p>
        </w:tc>
        <w:tc>
          <w:tcPr>
            <w:vAlign w:val="center"/>
          </w:tcPr>
          <w:p>
            <w:pPr>
              <w:jc w:val="right"/>
            </w:pPr>
            <w:r>
              <w:rPr>
                <w:color w:val="000000"/>
                <w:szCs w:val="21"/>
              </w:rPr>
              <w:t>3.92</w:t>
            </w:r>
          </w:p>
        </w:tc>
      </w:tr>
      <w:tr>
        <w:tc>
          <w:tcPr>
            <w:vAlign w:val="center"/>
          </w:tcPr>
          <w:p>
            <w:pPr>
              <w:jc w:val="center"/>
            </w:pPr>
            <w:r>
              <w:rPr>
                <w:color w:val="000000"/>
                <w:szCs w:val="21"/>
              </w:rPr>
              <w:t>4</w:t>
            </w:r>
          </w:p>
        </w:tc>
        <w:tc>
          <w:tcPr>
            <w:vAlign w:val="center"/>
          </w:tcPr>
          <w:p>
            <w:pPr>
              <w:jc w:val="center"/>
            </w:pPr>
            <w:r>
              <w:rPr>
                <w:color w:val="000000"/>
                <w:szCs w:val="21"/>
              </w:rPr>
              <w:t>101664040</w:t>
            </w:r>
          </w:p>
        </w:tc>
        <w:tc>
          <w:tcPr>
            <w:vAlign w:val="center"/>
          </w:tcPr>
          <w:p>
            <w:pPr>
              <w:jc w:val="center"/>
            </w:pPr>
            <w:r>
              <w:rPr>
                <w:color w:val="000000"/>
                <w:szCs w:val="21"/>
              </w:rPr>
              <w:t>16光明房产MTN001</w:t>
            </w:r>
          </w:p>
        </w:tc>
        <w:tc>
          <w:tcPr>
            <w:vAlign w:val="center"/>
          </w:tcPr>
          <w:p>
            <w:pPr>
              <w:jc w:val="right"/>
            </w:pPr>
            <w:r>
              <w:rPr>
                <w:color w:val="000000"/>
                <w:szCs w:val="21"/>
              </w:rPr>
              <w:t>600,000</w:t>
            </w:r>
          </w:p>
        </w:tc>
        <w:tc>
          <w:tcPr>
            <w:vAlign w:val="center"/>
          </w:tcPr>
          <w:p>
            <w:pPr>
              <w:jc w:val="right"/>
            </w:pPr>
            <w:r>
              <w:rPr>
                <w:color w:val="000000"/>
                <w:szCs w:val="21"/>
              </w:rPr>
              <w:t>58,812,000.00</w:t>
            </w:r>
          </w:p>
        </w:tc>
        <w:tc>
          <w:tcPr>
            <w:vAlign w:val="center"/>
          </w:tcPr>
          <w:p>
            <w:pPr>
              <w:jc w:val="right"/>
            </w:pPr>
            <w:r>
              <w:rPr>
                <w:color w:val="000000"/>
                <w:szCs w:val="21"/>
              </w:rPr>
              <w:t>3.58</w:t>
            </w:r>
          </w:p>
        </w:tc>
      </w:tr>
      <w:tr>
        <w:tc>
          <w:tcPr>
            <w:vAlign w:val="center"/>
          </w:tcPr>
          <w:p>
            <w:pPr>
              <w:jc w:val="center"/>
            </w:pPr>
            <w:r>
              <w:rPr>
                <w:color w:val="000000"/>
                <w:szCs w:val="21"/>
              </w:rPr>
              <w:t>5</w:t>
            </w:r>
          </w:p>
        </w:tc>
        <w:tc>
          <w:tcPr>
            <w:vAlign w:val="center"/>
          </w:tcPr>
          <w:p>
            <w:pPr>
              <w:jc w:val="center"/>
            </w:pPr>
            <w:r>
              <w:rPr>
                <w:color w:val="000000"/>
                <w:szCs w:val="21"/>
              </w:rPr>
              <w:t>1280267</w:t>
            </w:r>
          </w:p>
        </w:tc>
        <w:tc>
          <w:tcPr>
            <w:vAlign w:val="center"/>
          </w:tcPr>
          <w:p>
            <w:pPr>
              <w:jc w:val="center"/>
            </w:pPr>
            <w:r>
              <w:rPr>
                <w:color w:val="000000"/>
                <w:szCs w:val="21"/>
              </w:rPr>
              <w:t>12克城投债</w:t>
            </w:r>
          </w:p>
        </w:tc>
        <w:tc>
          <w:tcPr>
            <w:vAlign w:val="center"/>
          </w:tcPr>
          <w:p>
            <w:pPr>
              <w:jc w:val="right"/>
            </w:pPr>
            <w:r>
              <w:rPr>
                <w:color w:val="000000"/>
                <w:szCs w:val="21"/>
              </w:rPr>
              <w:t>879,000</w:t>
            </w:r>
          </w:p>
        </w:tc>
        <w:tc>
          <w:tcPr>
            <w:vAlign w:val="center"/>
          </w:tcPr>
          <w:p>
            <w:pPr>
              <w:jc w:val="right"/>
            </w:pPr>
            <w:r>
              <w:rPr>
                <w:color w:val="000000"/>
                <w:szCs w:val="21"/>
              </w:rPr>
              <w:t>54,717,750.00</w:t>
            </w:r>
          </w:p>
        </w:tc>
        <w:tc>
          <w:tcPr>
            <w:vAlign w:val="center"/>
          </w:tcPr>
          <w:p>
            <w:pPr>
              <w:jc w:val="right"/>
            </w:pPr>
            <w:r>
              <w:rPr>
                <w:color w:val="000000"/>
                <w:szCs w:val="21"/>
              </w:rPr>
              <w:t>3.33</w:t>
            </w:r>
          </w:p>
        </w:tc>
      </w:tr>
    </w:tbl>
    <w:p>
      <w:pPr>
        <w:autoSpaceDE w:val="0"/>
        <w:autoSpaceDN w:val="0"/>
        <w:adjustRightInd w:val="0"/>
        <w:spacing w:beforeLines="50" w:line="360" w:lineRule="auto"/>
        <w:jc w:val="left"/>
        <w:rPr>
          <w:b/>
          <w:bCs/>
          <w:color w:val="000000"/>
          <w:kern w:val="0"/>
          <w:szCs w:val="21"/>
        </w:rPr>
      </w:pPr>
      <w:r>
        <w:rPr>
          <w:b/>
          <w:bCs/>
          <w:color w:val="000000"/>
          <w:kern w:val="0"/>
          <w:szCs w:val="21"/>
        </w:rPr>
        <w:t>5.6 报告期末按公允价值占基金资产净值比例大小排序的前十名资产支持证券投资明细</w:t>
      </w:r>
    </w:p>
    <w:p>
      <w:pPr>
        <w:autoSpaceDE w:val="0"/>
        <w:autoSpaceDN w:val="0"/>
        <w:adjustRightInd w:val="0"/>
        <w:spacing w:line="360" w:lineRule="auto"/>
        <w:jc w:val="left"/>
        <w:rPr>
          <w:color w:val="000000"/>
          <w:szCs w:val="21"/>
        </w:rPr>
      </w:pPr>
      <w:r>
        <w:rPr>
          <w:color w:val="000000"/>
          <w:szCs w:val="21"/>
        </w:rPr>
        <w:t>本基金本报告期末未持有资产支持证券。</w:t>
      </w:r>
    </w:p>
    <w:p>
      <w:pPr>
        <w:autoSpaceDE w:val="0"/>
        <w:autoSpaceDN w:val="0"/>
        <w:adjustRightInd w:val="0"/>
        <w:spacing w:line="360" w:lineRule="auto"/>
        <w:jc w:val="left"/>
        <w:rPr>
          <w:b/>
          <w:bCs/>
          <w:color w:val="000000"/>
          <w:kern w:val="0"/>
          <w:szCs w:val="21"/>
        </w:rPr>
      </w:pPr>
      <w:r>
        <w:rPr>
          <w:b/>
          <w:bCs/>
          <w:color w:val="000000"/>
          <w:kern w:val="0"/>
          <w:szCs w:val="21"/>
        </w:rPr>
        <w:t>5.7 报告期末按公允价值占基金资产净值比例大小排序的前五名贵金属投资明细</w:t>
      </w:r>
    </w:p>
    <w:p>
      <w:pPr>
        <w:autoSpaceDE w:val="0"/>
        <w:autoSpaceDN w:val="0"/>
        <w:adjustRightInd w:val="0"/>
        <w:spacing w:line="360" w:lineRule="auto"/>
        <w:jc w:val="left"/>
        <w:rPr>
          <w:color w:val="000000"/>
          <w:szCs w:val="21"/>
        </w:rPr>
      </w:pPr>
      <w:r>
        <w:rPr>
          <w:color w:val="000000"/>
          <w:szCs w:val="21"/>
        </w:rPr>
        <w:t>本基金本报告期末未持有贵金属。</w:t>
      </w:r>
    </w:p>
    <w:p>
      <w:pPr>
        <w:autoSpaceDE w:val="0"/>
        <w:autoSpaceDN w:val="0"/>
        <w:adjustRightInd w:val="0"/>
        <w:spacing w:line="360" w:lineRule="auto"/>
        <w:jc w:val="left"/>
        <w:rPr>
          <w:b/>
          <w:bCs/>
          <w:color w:val="000000"/>
          <w:kern w:val="0"/>
          <w:szCs w:val="21"/>
        </w:rPr>
      </w:pPr>
      <w:r>
        <w:rPr>
          <w:b/>
          <w:bCs/>
          <w:color w:val="000000"/>
          <w:kern w:val="0"/>
          <w:szCs w:val="21"/>
        </w:rPr>
        <w:t>5.8 报告期末按公允价值占基金资产净值比例大小排序的前五名权证投资明细</w:t>
      </w:r>
    </w:p>
    <w:p>
      <w:pPr>
        <w:autoSpaceDE w:val="0"/>
        <w:autoSpaceDN w:val="0"/>
        <w:adjustRightInd w:val="0"/>
        <w:spacing w:line="360" w:lineRule="auto"/>
        <w:jc w:val="left"/>
        <w:rPr>
          <w:color w:val="000000"/>
          <w:szCs w:val="21"/>
        </w:rPr>
      </w:pPr>
      <w:r>
        <w:rPr>
          <w:color w:val="000000"/>
          <w:szCs w:val="21"/>
        </w:rPr>
        <w:t>本基金本报告期末未持有权证。</w:t>
      </w:r>
    </w:p>
    <w:p>
      <w:pPr>
        <w:autoSpaceDE w:val="0"/>
        <w:autoSpaceDN w:val="0"/>
        <w:adjustRightInd w:val="0"/>
        <w:spacing w:line="360" w:lineRule="auto"/>
        <w:jc w:val="left"/>
        <w:rPr>
          <w:b/>
          <w:bCs/>
          <w:color w:val="000000"/>
          <w:kern w:val="0"/>
          <w:szCs w:val="21"/>
        </w:rPr>
      </w:pPr>
      <w:r>
        <w:rPr>
          <w:b/>
          <w:bCs/>
          <w:color w:val="000000"/>
          <w:kern w:val="0"/>
          <w:szCs w:val="21"/>
        </w:rPr>
        <w:t>5.9 报告期末本基金投资的股指期货交易情况说明</w:t>
      </w:r>
    </w:p>
    <w:p>
      <w:pPr>
        <w:autoSpaceDE w:val="0"/>
        <w:autoSpaceDN w:val="0"/>
        <w:adjustRightInd w:val="0"/>
        <w:spacing w:line="360" w:lineRule="auto"/>
        <w:jc w:val="left"/>
        <w:rPr>
          <w:b/>
          <w:bCs/>
          <w:color w:val="000000"/>
          <w:kern w:val="0"/>
          <w:szCs w:val="21"/>
        </w:rPr>
      </w:pPr>
      <w:r>
        <w:rPr>
          <w:b/>
          <w:bCs/>
          <w:color w:val="000000"/>
          <w:kern w:val="0"/>
          <w:szCs w:val="21"/>
        </w:rPr>
        <w:t>5.9.1 报告期末本基金投资的股指期货持仓和损益明细</w:t>
      </w:r>
    </w:p>
    <w:p>
      <w:pPr>
        <w:autoSpaceDE w:val="0"/>
        <w:autoSpaceDN w:val="0"/>
        <w:adjustRightInd w:val="0"/>
        <w:spacing w:line="360" w:lineRule="auto"/>
        <w:jc w:val="left"/>
        <w:rPr>
          <w:color w:val="000000"/>
          <w:szCs w:val="21"/>
        </w:rPr>
      </w:pPr>
      <w:r>
        <w:rPr>
          <w:color w:val="000000"/>
          <w:szCs w:val="21"/>
        </w:rPr>
        <w:t>本基金本报告期内未参与股指期货投资。</w:t>
      </w:r>
    </w:p>
    <w:p>
      <w:pPr>
        <w:autoSpaceDE w:val="0"/>
        <w:autoSpaceDN w:val="0"/>
        <w:adjustRightInd w:val="0"/>
        <w:spacing w:line="360" w:lineRule="auto"/>
        <w:jc w:val="left"/>
        <w:rPr>
          <w:b/>
          <w:bCs/>
          <w:color w:val="000000"/>
          <w:kern w:val="0"/>
          <w:szCs w:val="21"/>
        </w:rPr>
      </w:pPr>
      <w:r>
        <w:rPr>
          <w:b/>
          <w:bCs/>
          <w:color w:val="000000"/>
          <w:kern w:val="0"/>
          <w:szCs w:val="21"/>
        </w:rPr>
        <w:t>5.9.2 本基金投资股指期货的投资政策</w:t>
      </w:r>
    </w:p>
    <w:p>
      <w:pPr>
        <w:spacing w:line="360" w:lineRule="auto"/>
        <w:jc w:val="left"/>
        <w:rPr>
          <w:color w:val="000000"/>
          <w:szCs w:val="21"/>
        </w:rPr>
      </w:pPr>
      <w:r>
        <w:rPr>
          <w:color w:val="000000"/>
          <w:szCs w:val="21"/>
        </w:rPr>
        <w:t>本基金投资范围未包括股指期货，无相关投资政策。</w:t>
      </w:r>
    </w:p>
    <w:p>
      <w:pPr>
        <w:autoSpaceDE w:val="0"/>
        <w:autoSpaceDN w:val="0"/>
        <w:adjustRightInd w:val="0"/>
        <w:spacing w:line="360" w:lineRule="auto"/>
        <w:jc w:val="left"/>
        <w:rPr>
          <w:b/>
          <w:bCs/>
          <w:color w:val="000000"/>
          <w:kern w:val="0"/>
          <w:szCs w:val="21"/>
        </w:rPr>
      </w:pPr>
      <w:r>
        <w:rPr>
          <w:b/>
          <w:bCs/>
          <w:color w:val="000000"/>
          <w:kern w:val="0"/>
          <w:szCs w:val="21"/>
        </w:rPr>
        <w:t>5.10 报告期末本基金投资的国债期货交易情况说明</w:t>
      </w:r>
    </w:p>
    <w:p>
      <w:pPr>
        <w:autoSpaceDE w:val="0"/>
        <w:autoSpaceDN w:val="0"/>
        <w:adjustRightInd w:val="0"/>
        <w:spacing w:line="360" w:lineRule="auto"/>
        <w:jc w:val="left"/>
        <w:rPr>
          <w:b/>
          <w:bCs/>
          <w:color w:val="000000"/>
          <w:kern w:val="0"/>
          <w:szCs w:val="21"/>
        </w:rPr>
      </w:pPr>
      <w:r>
        <w:rPr>
          <w:b/>
          <w:bCs/>
          <w:color w:val="000000"/>
          <w:kern w:val="0"/>
          <w:szCs w:val="21"/>
        </w:rPr>
        <w:t>5.10.1 本期国债期货投资政策</w:t>
      </w:r>
    </w:p>
    <w:p>
      <w:pPr>
        <w:spacing w:line="360" w:lineRule="auto"/>
        <w:jc w:val="left"/>
        <w:rPr>
          <w:color w:val="000000"/>
          <w:szCs w:val="21"/>
        </w:rPr>
      </w:pPr>
      <w:r>
        <w:rPr>
          <w:color w:val="000000"/>
          <w:szCs w:val="21"/>
        </w:rPr>
        <w:t>国债期货作为利率衍生品的一种，有助于管理债券组合的久期、流动性和风险水平。管理人将按照相关法律法规的规定，结合对宏观经济形势和政策趋势的判断、对债券市场进行定性和定量分析。构建量化分析体系，对国债期货和现货的基差、国债期货的流动性、波动水平、套期保值的有效性等指标进行跟踪监控，在最大限度保证基金资产安全的基础上，力求实现所资产的长期稳定增值。</w:t>
      </w:r>
    </w:p>
    <w:p>
      <w:pPr>
        <w:autoSpaceDE w:val="0"/>
        <w:autoSpaceDN w:val="0"/>
        <w:adjustRightInd w:val="0"/>
        <w:spacing w:line="360" w:lineRule="auto"/>
        <w:jc w:val="left"/>
        <w:rPr>
          <w:b/>
          <w:bCs/>
          <w:color w:val="000000"/>
          <w:kern w:val="0"/>
          <w:szCs w:val="21"/>
        </w:rPr>
      </w:pPr>
      <w:r>
        <w:rPr>
          <w:b/>
          <w:bCs/>
          <w:color w:val="000000"/>
          <w:kern w:val="0"/>
          <w:szCs w:val="21"/>
        </w:rPr>
        <w:t>5.10.2 报告期末本基金投资的国债期货持仓和损益明细</w:t>
      </w:r>
    </w:p>
    <w:p>
      <w:pPr>
        <w:autoSpaceDE w:val="0"/>
        <w:autoSpaceDN w:val="0"/>
        <w:adjustRightInd w:val="0"/>
        <w:spacing w:line="360" w:lineRule="auto"/>
        <w:jc w:val="left"/>
        <w:rPr>
          <w:color w:val="000000"/>
          <w:szCs w:val="21"/>
        </w:rPr>
      </w:pPr>
      <w:r>
        <w:rPr>
          <w:color w:val="000000"/>
          <w:szCs w:val="21"/>
        </w:rPr>
        <w:t>本基金报告期内未参与国债期货投资。</w:t>
      </w:r>
    </w:p>
    <w:p>
      <w:pPr>
        <w:autoSpaceDE w:val="0"/>
        <w:autoSpaceDN w:val="0"/>
        <w:adjustRightInd w:val="0"/>
        <w:spacing w:line="360" w:lineRule="auto"/>
        <w:jc w:val="left"/>
        <w:rPr>
          <w:b/>
          <w:bCs/>
          <w:color w:val="000000"/>
          <w:kern w:val="0"/>
          <w:szCs w:val="21"/>
        </w:rPr>
      </w:pPr>
      <w:r>
        <w:rPr>
          <w:b/>
          <w:bCs/>
          <w:color w:val="000000"/>
          <w:kern w:val="0"/>
          <w:szCs w:val="21"/>
        </w:rPr>
        <w:t>5.10.3 本期国债期货投资评价</w:t>
      </w:r>
    </w:p>
    <w:p>
      <w:pPr>
        <w:spacing w:line="360" w:lineRule="auto"/>
        <w:jc w:val="left"/>
        <w:rPr>
          <w:color w:val="000000"/>
          <w:szCs w:val="21"/>
        </w:rPr>
      </w:pPr>
      <w:r>
        <w:rPr>
          <w:color w:val="000000"/>
          <w:szCs w:val="21"/>
        </w:rPr>
        <w:t>本基金报告期内未参与国债期货投资，无相关投资评价。</w:t>
      </w:r>
    </w:p>
    <w:p>
      <w:pPr>
        <w:autoSpaceDE w:val="0"/>
        <w:autoSpaceDN w:val="0"/>
        <w:adjustRightInd w:val="0"/>
        <w:spacing w:line="360" w:lineRule="auto"/>
        <w:jc w:val="left"/>
        <w:rPr>
          <w:b/>
          <w:bCs/>
          <w:color w:val="000000"/>
          <w:kern w:val="0"/>
          <w:szCs w:val="21"/>
        </w:rPr>
      </w:pPr>
      <w:r>
        <w:rPr>
          <w:b/>
          <w:bCs/>
          <w:color w:val="000000"/>
          <w:kern w:val="0"/>
          <w:szCs w:val="21"/>
        </w:rPr>
        <w:t>5.11 投资组合报告附注</w:t>
      </w:r>
    </w:p>
    <w:p>
      <w:pPr>
        <w:spacing w:line="360" w:lineRule="auto"/>
        <w:jc w:val="left"/>
        <w:rPr>
          <w:color w:val="000000"/>
          <w:szCs w:val="21"/>
        </w:rPr>
      </w:pPr>
      <w:r>
        <w:rPr>
          <w:color w:val="000000"/>
          <w:szCs w:val="21"/>
        </w:rPr>
        <w:t>5.11.1本基金投资的前十名证券的发行主体本期没有出现被监管部门立案调查，或在报告编制日前一年内受到公开谴责、处罚的情形。</w:t>
      </w:r>
    </w:p>
    <w:p>
      <w:pPr>
        <w:spacing w:line="360" w:lineRule="auto"/>
        <w:jc w:val="left"/>
        <w:rPr>
          <w:color w:val="000000"/>
          <w:szCs w:val="21"/>
        </w:rPr>
      </w:pPr>
      <w:r>
        <w:rPr>
          <w:color w:val="000000"/>
          <w:szCs w:val="21"/>
        </w:rPr>
        <w:t>5.11.2本基金投资的前十名股票没有超出基金合同规定的备选股票库。</w:t>
      </w:r>
    </w:p>
    <w:p>
      <w:pPr>
        <w:autoSpaceDE w:val="0"/>
        <w:autoSpaceDN w:val="0"/>
        <w:adjustRightInd w:val="0"/>
        <w:spacing w:line="360" w:lineRule="auto"/>
        <w:jc w:val="left"/>
        <w:rPr>
          <w:b/>
          <w:bCs/>
          <w:color w:val="000000"/>
          <w:kern w:val="0"/>
          <w:szCs w:val="21"/>
        </w:rPr>
      </w:pPr>
      <w:r>
        <w:rPr>
          <w:b/>
          <w:bCs/>
          <w:color w:val="000000"/>
          <w:kern w:val="0"/>
          <w:szCs w:val="21"/>
        </w:rPr>
        <w:t>5.11.3 其他各项资产构成</w:t>
      </w:r>
    </w:p>
    <w:tbl>
      <w:tblPr>
        <w:tblStyle w:val="2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472"/>
        <w:gridCol w:w="4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7"/>
              <w:jc w:val="center"/>
              <w:rPr>
                <w:color w:val="000000"/>
                <w:kern w:val="0"/>
                <w:szCs w:val="21"/>
              </w:rPr>
            </w:pPr>
            <w:r>
              <w:rPr>
                <w:color w:val="000000"/>
                <w:kern w:val="0"/>
                <w:szCs w:val="21"/>
              </w:rPr>
              <w:t>序号</w:t>
            </w:r>
          </w:p>
        </w:tc>
        <w:tc>
          <w:tcPr>
            <w:tcW w:w="2472" w:type="dxa"/>
            <w:vAlign w:val="center"/>
          </w:tcPr>
          <w:p>
            <w:pPr>
              <w:autoSpaceDE w:val="0"/>
              <w:autoSpaceDN w:val="0"/>
              <w:adjustRightInd w:val="0"/>
              <w:spacing w:before="29"/>
              <w:ind w:left="17"/>
              <w:jc w:val="center"/>
              <w:rPr>
                <w:color w:val="000000"/>
                <w:kern w:val="0"/>
                <w:szCs w:val="21"/>
              </w:rPr>
            </w:pPr>
            <w:r>
              <w:rPr>
                <w:color w:val="000000"/>
                <w:kern w:val="0"/>
                <w:szCs w:val="21"/>
              </w:rPr>
              <w:t>名称</w:t>
            </w:r>
          </w:p>
        </w:tc>
        <w:tc>
          <w:tcPr>
            <w:tcW w:w="4808" w:type="dxa"/>
            <w:vAlign w:val="center"/>
          </w:tcPr>
          <w:p>
            <w:pPr>
              <w:autoSpaceDE w:val="0"/>
              <w:autoSpaceDN w:val="0"/>
              <w:adjustRightInd w:val="0"/>
              <w:spacing w:before="29"/>
              <w:ind w:left="17"/>
              <w:jc w:val="center"/>
              <w:rPr>
                <w:color w:val="000000"/>
                <w:kern w:val="0"/>
                <w:szCs w:val="21"/>
              </w:rPr>
            </w:pPr>
            <w:r>
              <w:rPr>
                <w:color w:val="000000"/>
                <w:kern w:val="0"/>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kern w:val="0"/>
                <w:szCs w:val="21"/>
              </w:rPr>
            </w:pPr>
            <w:r>
              <w:rPr>
                <w:color w:val="000000"/>
                <w:szCs w:val="21"/>
              </w:rPr>
              <w:t>1</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存出保证金</w:t>
            </w:r>
          </w:p>
        </w:tc>
        <w:tc>
          <w:tcPr>
            <w:tcW w:w="4808" w:type="dxa"/>
            <w:vAlign w:val="center"/>
          </w:tcPr>
          <w:p>
            <w:pPr>
              <w:autoSpaceDE w:val="0"/>
              <w:autoSpaceDN w:val="0"/>
              <w:adjustRightInd w:val="0"/>
              <w:spacing w:before="29"/>
              <w:ind w:left="15"/>
              <w:jc w:val="right"/>
              <w:rPr>
                <w:rFonts w:eastAsia="MS UI Gothic"/>
                <w:color w:val="000000"/>
                <w:kern w:val="0"/>
                <w:szCs w:val="21"/>
              </w:rPr>
            </w:pPr>
            <w:r>
              <w:rPr>
                <w:rFonts w:eastAsia="MS UI Gothic"/>
                <w:color w:val="000000"/>
                <w:kern w:val="0"/>
                <w:szCs w:val="21"/>
              </w:rPr>
              <w:t>41,058.63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2</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应收证券清算款</w:t>
            </w:r>
          </w:p>
        </w:tc>
        <w:tc>
          <w:tcPr>
            <w:tcW w:w="4808" w:type="dxa"/>
            <w:vAlign w:val="center"/>
          </w:tcPr>
          <w:p>
            <w:pPr>
              <w:autoSpaceDE w:val="0"/>
              <w:autoSpaceDN w:val="0"/>
              <w:adjustRightInd w:val="0"/>
              <w:spacing w:before="29"/>
              <w:ind w:left="15"/>
              <w:jc w:val="right"/>
              <w:rPr>
                <w:rFonts w:eastAsia="MS UI Gothic"/>
                <w:color w:val="000000"/>
                <w:kern w:val="0"/>
                <w:szCs w:val="21"/>
              </w:rPr>
            </w:pPr>
            <w:r>
              <w:rPr>
                <w:rFonts w:eastAsia="MS UI Gothic"/>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3</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应收股利</w:t>
            </w:r>
          </w:p>
        </w:tc>
        <w:tc>
          <w:tcPr>
            <w:tcW w:w="4808" w:type="dxa"/>
            <w:vAlign w:val="center"/>
          </w:tcPr>
          <w:p>
            <w:pPr>
              <w:autoSpaceDE w:val="0"/>
              <w:autoSpaceDN w:val="0"/>
              <w:adjustRightInd w:val="0"/>
              <w:spacing w:before="29"/>
              <w:ind w:left="15"/>
              <w:jc w:val="right"/>
              <w:rPr>
                <w:rFonts w:eastAsia="MS UI Gothic"/>
                <w:color w:val="000000"/>
                <w:kern w:val="0"/>
                <w:szCs w:val="21"/>
              </w:rPr>
            </w:pPr>
            <w:r>
              <w:rPr>
                <w:rFonts w:eastAsia="MS UI Gothic"/>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4</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应收利息</w:t>
            </w:r>
          </w:p>
        </w:tc>
        <w:tc>
          <w:tcPr>
            <w:tcW w:w="4808" w:type="dxa"/>
            <w:vAlign w:val="center"/>
          </w:tcPr>
          <w:p>
            <w:pPr>
              <w:autoSpaceDE w:val="0"/>
              <w:autoSpaceDN w:val="0"/>
              <w:adjustRightInd w:val="0"/>
              <w:spacing w:before="29"/>
              <w:ind w:left="15"/>
              <w:jc w:val="right"/>
              <w:rPr>
                <w:rFonts w:eastAsia="MS UI Gothic"/>
                <w:color w:val="000000"/>
                <w:kern w:val="0"/>
                <w:szCs w:val="21"/>
              </w:rPr>
            </w:pPr>
            <w:r>
              <w:rPr>
                <w:rFonts w:eastAsia="MS UI Gothic"/>
                <w:color w:val="000000"/>
                <w:kern w:val="0"/>
                <w:szCs w:val="21"/>
              </w:rPr>
              <w:t>31,939,311.49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5</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应收申购款</w:t>
            </w:r>
          </w:p>
        </w:tc>
        <w:tc>
          <w:tcPr>
            <w:tcW w:w="4808" w:type="dxa"/>
            <w:vAlign w:val="center"/>
          </w:tcPr>
          <w:p>
            <w:pPr>
              <w:autoSpaceDE w:val="0"/>
              <w:autoSpaceDN w:val="0"/>
              <w:adjustRightInd w:val="0"/>
              <w:spacing w:before="29"/>
              <w:ind w:left="15"/>
              <w:jc w:val="right"/>
              <w:rPr>
                <w:rFonts w:eastAsia="MS UI Gothic"/>
                <w:color w:val="000000"/>
                <w:kern w:val="0"/>
                <w:szCs w:val="21"/>
              </w:rPr>
            </w:pPr>
            <w:r>
              <w:rPr>
                <w:rFonts w:eastAsia="MS UI Gothic"/>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6</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其他应收款</w:t>
            </w:r>
          </w:p>
        </w:tc>
        <w:tc>
          <w:tcPr>
            <w:tcW w:w="4808" w:type="dxa"/>
            <w:vAlign w:val="center"/>
          </w:tcPr>
          <w:p>
            <w:pPr>
              <w:autoSpaceDE w:val="0"/>
              <w:autoSpaceDN w:val="0"/>
              <w:adjustRightInd w:val="0"/>
              <w:spacing w:before="29"/>
              <w:ind w:left="15"/>
              <w:jc w:val="right"/>
              <w:rPr>
                <w:rFonts w:eastAsia="MS UI Gothic"/>
                <w:color w:val="000000"/>
                <w:kern w:val="0"/>
                <w:szCs w:val="21"/>
              </w:rPr>
            </w:pPr>
            <w:r>
              <w:rPr>
                <w:rFonts w:eastAsia="MS UI Gothic"/>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7</w:t>
            </w:r>
          </w:p>
        </w:tc>
        <w:tc>
          <w:tcPr>
            <w:tcW w:w="2472" w:type="dxa"/>
            <w:vAlign w:val="center"/>
          </w:tcPr>
          <w:p>
            <w:pPr>
              <w:autoSpaceDE w:val="0"/>
              <w:autoSpaceDN w:val="0"/>
              <w:adjustRightInd w:val="0"/>
              <w:spacing w:before="29"/>
              <w:ind w:left="15"/>
              <w:jc w:val="left"/>
              <w:rPr>
                <w:color w:val="000000"/>
                <w:szCs w:val="21"/>
              </w:rPr>
            </w:pPr>
            <w:r>
              <w:rPr>
                <w:color w:val="000000"/>
                <w:szCs w:val="21"/>
              </w:rPr>
              <w:t>待摊费用</w:t>
            </w:r>
          </w:p>
        </w:tc>
        <w:tc>
          <w:tcPr>
            <w:tcW w:w="4808" w:type="dxa"/>
            <w:vAlign w:val="center"/>
          </w:tcPr>
          <w:p>
            <w:pPr>
              <w:autoSpaceDE w:val="0"/>
              <w:autoSpaceDN w:val="0"/>
              <w:adjustRightInd w:val="0"/>
              <w:spacing w:before="29"/>
              <w:ind w:left="15"/>
              <w:jc w:val="right"/>
              <w:rPr>
                <w:rFonts w:eastAsia="MS UI Gothic"/>
                <w:color w:val="000000"/>
                <w:szCs w:val="21"/>
              </w:rPr>
            </w:pPr>
            <w:r>
              <w:rPr>
                <w:rFonts w:eastAsia="MS UI Gothic"/>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8</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其他</w:t>
            </w:r>
          </w:p>
        </w:tc>
        <w:tc>
          <w:tcPr>
            <w:tcW w:w="4808" w:type="dxa"/>
            <w:vAlign w:val="center"/>
          </w:tcPr>
          <w:p>
            <w:pPr>
              <w:autoSpaceDE w:val="0"/>
              <w:autoSpaceDN w:val="0"/>
              <w:adjustRightInd w:val="0"/>
              <w:spacing w:before="29"/>
              <w:ind w:left="15"/>
              <w:jc w:val="right"/>
              <w:rPr>
                <w:color w:val="000000"/>
                <w:kern w:val="0"/>
                <w:szCs w:val="21"/>
              </w:rPr>
            </w:pPr>
            <w:r>
              <w:rPr>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42" w:type="dxa"/>
            <w:vAlign w:val="center"/>
          </w:tcPr>
          <w:p>
            <w:pPr>
              <w:autoSpaceDE w:val="0"/>
              <w:autoSpaceDN w:val="0"/>
              <w:adjustRightInd w:val="0"/>
              <w:spacing w:before="29"/>
              <w:ind w:left="15"/>
              <w:jc w:val="center"/>
              <w:rPr>
                <w:color w:val="000000"/>
                <w:szCs w:val="21"/>
              </w:rPr>
            </w:pPr>
            <w:r>
              <w:rPr>
                <w:color w:val="000000"/>
                <w:szCs w:val="21"/>
              </w:rPr>
              <w:t>9</w:t>
            </w:r>
          </w:p>
        </w:tc>
        <w:tc>
          <w:tcPr>
            <w:tcW w:w="2472" w:type="dxa"/>
            <w:vAlign w:val="center"/>
          </w:tcPr>
          <w:p>
            <w:pPr>
              <w:autoSpaceDE w:val="0"/>
              <w:autoSpaceDN w:val="0"/>
              <w:adjustRightInd w:val="0"/>
              <w:spacing w:before="29"/>
              <w:ind w:left="15"/>
              <w:jc w:val="left"/>
              <w:rPr>
                <w:color w:val="000000"/>
                <w:kern w:val="0"/>
                <w:szCs w:val="21"/>
              </w:rPr>
            </w:pPr>
            <w:r>
              <w:rPr>
                <w:color w:val="000000"/>
                <w:kern w:val="0"/>
                <w:szCs w:val="21"/>
              </w:rPr>
              <w:t>合计</w:t>
            </w:r>
          </w:p>
        </w:tc>
        <w:tc>
          <w:tcPr>
            <w:tcW w:w="4808" w:type="dxa"/>
            <w:vAlign w:val="center"/>
          </w:tcPr>
          <w:p>
            <w:pPr>
              <w:autoSpaceDE w:val="0"/>
              <w:autoSpaceDN w:val="0"/>
              <w:adjustRightInd w:val="0"/>
              <w:spacing w:before="29"/>
              <w:ind w:left="15"/>
              <w:jc w:val="right"/>
              <w:rPr>
                <w:color w:val="000000"/>
                <w:kern w:val="0"/>
                <w:szCs w:val="21"/>
              </w:rPr>
            </w:pPr>
            <w:r>
              <w:rPr>
                <w:color w:val="000000"/>
                <w:kern w:val="0"/>
                <w:szCs w:val="21"/>
              </w:rPr>
              <w:t>31,980,370.12</w:t>
            </w:r>
          </w:p>
        </w:tc>
      </w:tr>
    </w:tbl>
    <w:p>
      <w:pPr>
        <w:spacing w:line="360" w:lineRule="auto"/>
        <w:rPr>
          <w:b/>
          <w:szCs w:val="21"/>
        </w:rPr>
      </w:pPr>
      <w:r>
        <w:rPr>
          <w:b/>
          <w:szCs w:val="21"/>
        </w:rPr>
        <w:t>5.11.</w:t>
      </w:r>
      <w:r>
        <w:rPr>
          <w:b/>
          <w:bCs/>
          <w:szCs w:val="21"/>
        </w:rPr>
        <w:t xml:space="preserve">4 </w:t>
      </w:r>
      <w:r>
        <w:rPr>
          <w:b/>
          <w:szCs w:val="21"/>
        </w:rPr>
        <w:t>报告期末持有的处于转股期的可转换债券明细</w:t>
      </w:r>
    </w:p>
    <w:p>
      <w:pPr>
        <w:autoSpaceDE w:val="0"/>
        <w:autoSpaceDN w:val="0"/>
        <w:adjustRightInd w:val="0"/>
        <w:spacing w:line="360" w:lineRule="auto"/>
        <w:jc w:val="left"/>
        <w:rPr>
          <w:color w:val="000000"/>
          <w:szCs w:val="21"/>
        </w:rPr>
      </w:pPr>
      <w:r>
        <w:rPr>
          <w:color w:val="000000"/>
          <w:szCs w:val="21"/>
        </w:rPr>
        <w:t>本基金本报告期末未持有处于转股期的可转换债券。</w:t>
      </w:r>
    </w:p>
    <w:p>
      <w:pPr>
        <w:autoSpaceDE w:val="0"/>
        <w:autoSpaceDN w:val="0"/>
        <w:adjustRightInd w:val="0"/>
        <w:spacing w:line="360" w:lineRule="auto"/>
        <w:jc w:val="left"/>
        <w:rPr>
          <w:b/>
          <w:bCs/>
          <w:color w:val="000000"/>
          <w:kern w:val="0"/>
          <w:szCs w:val="21"/>
        </w:rPr>
      </w:pPr>
      <w:r>
        <w:rPr>
          <w:b/>
          <w:bCs/>
          <w:color w:val="000000"/>
          <w:kern w:val="0"/>
          <w:szCs w:val="21"/>
        </w:rPr>
        <w:t>5.11.5 报告期末前十名股票中存在流通受限情况的说明</w:t>
      </w:r>
    </w:p>
    <w:p>
      <w:pPr>
        <w:autoSpaceDE w:val="0"/>
        <w:autoSpaceDN w:val="0"/>
        <w:adjustRightInd w:val="0"/>
        <w:spacing w:line="360" w:lineRule="auto"/>
        <w:jc w:val="left"/>
        <w:rPr>
          <w:color w:val="000000"/>
          <w:szCs w:val="21"/>
        </w:rPr>
      </w:pPr>
      <w:r>
        <w:rPr>
          <w:color w:val="000000"/>
          <w:szCs w:val="21"/>
        </w:rPr>
        <w:t>本基金本报告期末持有股票。</w:t>
      </w:r>
    </w:p>
    <w:p>
      <w:pPr>
        <w:autoSpaceDE w:val="0"/>
        <w:autoSpaceDN w:val="0"/>
        <w:adjustRightInd w:val="0"/>
        <w:spacing w:line="360" w:lineRule="auto"/>
        <w:jc w:val="left"/>
        <w:rPr>
          <w:b/>
          <w:bCs/>
          <w:color w:val="000000"/>
          <w:kern w:val="0"/>
          <w:szCs w:val="21"/>
        </w:rPr>
      </w:pPr>
      <w:r>
        <w:rPr>
          <w:b/>
          <w:bCs/>
          <w:color w:val="000000"/>
          <w:kern w:val="0"/>
          <w:szCs w:val="21"/>
        </w:rPr>
        <w:t>5.11.6 投资组合报告附注的其他文字描述部分</w:t>
      </w:r>
    </w:p>
    <w:p>
      <w:pPr>
        <w:spacing w:line="360" w:lineRule="auto"/>
        <w:jc w:val="left"/>
        <w:rPr>
          <w:color w:val="000000"/>
          <w:szCs w:val="21"/>
        </w:rPr>
      </w:pPr>
      <w:r>
        <w:rPr>
          <w:color w:val="000000"/>
          <w:szCs w:val="21"/>
        </w:rPr>
        <w:t>由于计算中四舍五入的原因，本报告分项之和与合计项之间可能存在尾差。</w:t>
      </w:r>
    </w:p>
    <w:p>
      <w:pPr>
        <w:pStyle w:val="2"/>
        <w:spacing w:before="0" w:after="0" w:line="360" w:lineRule="auto"/>
        <w:jc w:val="center"/>
        <w:rPr>
          <w:color w:val="000000"/>
          <w:kern w:val="0"/>
          <w:sz w:val="24"/>
          <w:szCs w:val="24"/>
        </w:rPr>
      </w:pPr>
      <w:r>
        <w:rPr>
          <w:color w:val="000000"/>
          <w:kern w:val="0"/>
          <w:sz w:val="24"/>
          <w:szCs w:val="24"/>
        </w:rPr>
        <w:t>§6  基金份额变动</w:t>
      </w:r>
    </w:p>
    <w:p>
      <w:pPr>
        <w:spacing w:line="360" w:lineRule="auto"/>
        <w:ind w:left="420"/>
        <w:jc w:val="right"/>
        <w:rPr>
          <w:color w:val="000000"/>
          <w:szCs w:val="21"/>
        </w:rPr>
      </w:pPr>
      <w:r>
        <w:rPr>
          <w:color w:val="000000"/>
          <w:szCs w:val="21"/>
        </w:rPr>
        <w:t>单位：份</w:t>
      </w:r>
    </w:p>
    <w:tbl>
      <w:tblPr>
        <w:tblStyle w:val="28"/>
        <w:tblW w:w="8634" w:type="dxa"/>
        <w:tblInd w:w="-106" w:type="dxa"/>
        <w:tblLayout w:type="fixed"/>
        <w:tblCellMar>
          <w:top w:w="0" w:type="dxa"/>
          <w:left w:w="108" w:type="dxa"/>
          <w:bottom w:w="0" w:type="dxa"/>
          <w:right w:w="108" w:type="dxa"/>
        </w:tblCellMar>
      </w:tblPr>
      <w:tblGrid>
        <w:gridCol w:w="3900"/>
        <w:gridCol w:w="2367"/>
        <w:gridCol w:w="2367"/>
      </w:tblGrid>
      <w:tr>
        <w:tblPrEx>
          <w:tblLayout w:type="fixed"/>
          <w:tblCellMar>
            <w:top w:w="0" w:type="dxa"/>
            <w:left w:w="108" w:type="dxa"/>
            <w:bottom w:w="0" w:type="dxa"/>
            <w:right w:w="108" w:type="dxa"/>
          </w:tblCellMar>
        </w:tblPrEx>
        <w:tc>
          <w:tcPr>
            <w:tcW w:w="39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center"/>
              <w:rPr>
                <w:color w:val="000000"/>
                <w:kern w:val="0"/>
                <w:szCs w:val="21"/>
              </w:rPr>
            </w:pPr>
            <w:r>
              <w:rPr>
                <w:color w:val="000000"/>
                <w:kern w:val="0"/>
                <w:szCs w:val="21"/>
              </w:rPr>
              <w:t>项目</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kern w:val="0"/>
                <w:szCs w:val="21"/>
              </w:rPr>
              <w:t/>
            </w:r>
            <w:r>
              <w:rPr>
                <w:szCs w:val="21"/>
              </w:rPr>
              <w:t>中银聚利分级债券A</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kern w:val="0"/>
                <w:szCs w:val="21"/>
              </w:rPr>
              <w:t/>
            </w:r>
            <w:r>
              <w:rPr>
                <w:szCs w:val="21"/>
              </w:rPr>
              <w:t>中银聚利分级债券B</w:t>
            </w:r>
          </w:p>
        </w:tc>
      </w:tr>
      <w:tr>
        <w:tblPrEx>
          <w:tblLayout w:type="fixed"/>
          <w:tblCellMar>
            <w:top w:w="0" w:type="dxa"/>
            <w:left w:w="108" w:type="dxa"/>
            <w:bottom w:w="0" w:type="dxa"/>
            <w:right w:w="108" w:type="dxa"/>
          </w:tblCellMar>
        </w:tblPrEx>
        <w:tc>
          <w:tcPr>
            <w:tcW w:w="39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left"/>
              <w:rPr>
                <w:color w:val="000000"/>
                <w:kern w:val="0"/>
                <w:szCs w:val="21"/>
              </w:rPr>
            </w:pPr>
            <w:r>
              <w:rPr>
                <w:color w:val="000000"/>
                <w:kern w:val="0"/>
                <w:szCs w:val="21"/>
              </w:rPr>
              <w:t>本报告期期初基金份额总额</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1,325,433,422.45</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783,639,719.65</w:t>
            </w:r>
          </w:p>
        </w:tc>
      </w:tr>
      <w:tr>
        <w:tblPrEx>
          <w:tblLayout w:type="fixed"/>
          <w:tblCellMar>
            <w:top w:w="0" w:type="dxa"/>
            <w:left w:w="108" w:type="dxa"/>
            <w:bottom w:w="0" w:type="dxa"/>
            <w:right w:w="108" w:type="dxa"/>
          </w:tblCellMar>
        </w:tblPrEx>
        <w:tc>
          <w:tcPr>
            <w:tcW w:w="39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left"/>
              <w:rPr>
                <w:color w:val="000000"/>
                <w:kern w:val="0"/>
                <w:szCs w:val="21"/>
              </w:rPr>
            </w:pPr>
            <w:r>
              <w:rPr>
                <w:color w:val="000000"/>
                <w:kern w:val="0"/>
                <w:szCs w:val="21"/>
              </w:rPr>
              <w:t>本报告期基金总申购份额</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w:t>
            </w:r>
          </w:p>
        </w:tc>
      </w:tr>
      <w:tr>
        <w:tblPrEx>
          <w:tblLayout w:type="fixed"/>
          <w:tblCellMar>
            <w:top w:w="0" w:type="dxa"/>
            <w:left w:w="108" w:type="dxa"/>
            <w:bottom w:w="0" w:type="dxa"/>
            <w:right w:w="108" w:type="dxa"/>
          </w:tblCellMar>
        </w:tblPrEx>
        <w:tc>
          <w:tcPr>
            <w:tcW w:w="39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left"/>
              <w:rPr>
                <w:color w:val="000000"/>
                <w:kern w:val="0"/>
                <w:szCs w:val="21"/>
              </w:rPr>
            </w:pPr>
            <w:r>
              <w:rPr>
                <w:color w:val="000000"/>
                <w:kern w:val="0"/>
                <w:szCs w:val="21"/>
              </w:rPr>
              <w:t>减：本报告期基金总赎回份额</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153,852,501.20</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327,629,125.64</w:t>
            </w:r>
          </w:p>
        </w:tc>
      </w:tr>
      <w:tr>
        <w:tblPrEx>
          <w:tblLayout w:type="fixed"/>
          <w:tblCellMar>
            <w:top w:w="0" w:type="dxa"/>
            <w:left w:w="108" w:type="dxa"/>
            <w:bottom w:w="0" w:type="dxa"/>
            <w:right w:w="108" w:type="dxa"/>
          </w:tblCellMar>
        </w:tblPrEx>
        <w:tc>
          <w:tcPr>
            <w:tcW w:w="39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left"/>
              <w:rPr>
                <w:color w:val="000000"/>
                <w:kern w:val="0"/>
                <w:szCs w:val="21"/>
              </w:rPr>
            </w:pPr>
            <w:r>
              <w:rPr>
                <w:color w:val="000000"/>
                <w:kern w:val="0"/>
                <w:szCs w:val="21"/>
              </w:rPr>
              <w:t>本报告期基金拆分变动份额（份额减少以“-”填列）</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w:t>
            </w:r>
          </w:p>
        </w:tc>
      </w:tr>
      <w:tr>
        <w:tblPrEx>
          <w:tblLayout w:type="fixed"/>
          <w:tblCellMar>
            <w:top w:w="0" w:type="dxa"/>
            <w:left w:w="108" w:type="dxa"/>
            <w:bottom w:w="0" w:type="dxa"/>
            <w:right w:w="108" w:type="dxa"/>
          </w:tblCellMar>
        </w:tblPrEx>
        <w:tc>
          <w:tcPr>
            <w:tcW w:w="3900"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left"/>
              <w:rPr>
                <w:color w:val="000000"/>
                <w:kern w:val="0"/>
                <w:szCs w:val="21"/>
              </w:rPr>
            </w:pPr>
            <w:r>
              <w:rPr>
                <w:color w:val="000000"/>
                <w:kern w:val="0"/>
                <w:szCs w:val="21"/>
              </w:rPr>
              <w:t>本报告期期末基金份额总额</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1,171,580,921.25</w:t>
            </w:r>
          </w:p>
        </w:tc>
        <w:tc>
          <w:tcPr>
            <w:tcW w:w="2367" w:type="dxa"/>
            <w:tcBorders>
              <w:top w:val="single" w:color="000000" w:sz="8" w:space="0"/>
              <w:left w:val="single" w:color="000000" w:sz="8" w:space="0"/>
              <w:bottom w:val="single" w:color="000000" w:sz="8" w:space="0"/>
              <w:right w:val="single" w:color="000000" w:sz="8" w:space="0"/>
            </w:tcBorders>
            <w:vAlign w:val="center"/>
          </w:tcPr>
          <w:p>
            <w:pPr>
              <w:autoSpaceDE w:val="0"/>
              <w:autoSpaceDN w:val="0"/>
              <w:adjustRightInd w:val="0"/>
              <w:spacing w:before="29"/>
              <w:ind w:left="17"/>
              <w:jc w:val="right"/>
              <w:rPr>
                <w:color w:val="000000"/>
                <w:szCs w:val="21"/>
              </w:rPr>
            </w:pPr>
            <w:r>
              <w:rPr>
                <w:color w:val="000000"/>
                <w:szCs w:val="21"/>
              </w:rPr>
              <w:t>456,010,594.01</w:t>
            </w:r>
          </w:p>
        </w:tc>
      </w:tr>
    </w:tbl>
    <w:p>
      <w:pPr>
        <w:pStyle w:val="2"/>
        <w:spacing w:before="0" w:after="0" w:line="360" w:lineRule="auto"/>
        <w:jc w:val="center"/>
        <w:rPr>
          <w:color w:val="000000"/>
          <w:kern w:val="0"/>
          <w:sz w:val="24"/>
          <w:szCs w:val="24"/>
        </w:rPr>
      </w:pPr>
      <w:r>
        <w:rPr>
          <w:color w:val="000000"/>
          <w:kern w:val="0"/>
          <w:sz w:val="24"/>
          <w:szCs w:val="24"/>
        </w:rPr>
        <w:t>§7基金管理人运用固有资金投资本基金情况</w:t>
      </w:r>
    </w:p>
    <w:p>
      <w:pPr>
        <w:autoSpaceDE w:val="0"/>
        <w:autoSpaceDN w:val="0"/>
        <w:adjustRightInd w:val="0"/>
        <w:spacing w:line="360" w:lineRule="auto"/>
        <w:jc w:val="left"/>
        <w:rPr>
          <w:b/>
          <w:bCs/>
          <w:color w:val="000000"/>
          <w:kern w:val="0"/>
          <w:szCs w:val="21"/>
        </w:rPr>
      </w:pPr>
      <w:r>
        <w:rPr>
          <w:b/>
          <w:bCs/>
          <w:color w:val="000000"/>
          <w:kern w:val="0"/>
          <w:szCs w:val="21"/>
        </w:rPr>
        <w:t>7.1 基金管理人持有本基金份额变动情况</w:t>
      </w:r>
    </w:p>
    <w:p>
      <w:pPr>
        <w:autoSpaceDE w:val="0"/>
        <w:autoSpaceDN w:val="0"/>
        <w:adjustRightInd w:val="0"/>
        <w:spacing w:line="360" w:lineRule="auto"/>
        <w:jc w:val="left"/>
        <w:rPr>
          <w:color w:val="000000"/>
          <w:szCs w:val="21"/>
        </w:rPr>
      </w:pPr>
      <w:r>
        <w:rPr>
          <w:color w:val="000000"/>
          <w:szCs w:val="21"/>
        </w:rPr>
        <w:t>本报告期内基金管理人未持有本基金份额。</w:t>
      </w:r>
    </w:p>
    <w:p>
      <w:pPr>
        <w:autoSpaceDE w:val="0"/>
        <w:autoSpaceDN w:val="0"/>
        <w:adjustRightInd w:val="0"/>
        <w:spacing w:line="360" w:lineRule="auto"/>
        <w:jc w:val="left"/>
        <w:rPr>
          <w:b/>
          <w:bCs/>
          <w:color w:val="000000"/>
          <w:kern w:val="0"/>
          <w:szCs w:val="21"/>
        </w:rPr>
      </w:pPr>
      <w:r>
        <w:rPr>
          <w:b/>
          <w:bCs/>
          <w:color w:val="000000"/>
          <w:kern w:val="0"/>
          <w:szCs w:val="21"/>
        </w:rPr>
        <w:t>7.2 基金管理人运用固有资金投资本基金交易明细</w:t>
      </w:r>
    </w:p>
    <w:p>
      <w:pPr>
        <w:autoSpaceDE w:val="0"/>
        <w:autoSpaceDN w:val="0"/>
        <w:adjustRightInd w:val="0"/>
        <w:spacing w:line="360" w:lineRule="auto"/>
        <w:jc w:val="left"/>
        <w:rPr>
          <w:color w:val="000000"/>
          <w:szCs w:val="21"/>
        </w:rPr>
      </w:pPr>
      <w:r>
        <w:rPr>
          <w:color w:val="000000"/>
          <w:szCs w:val="21"/>
        </w:rPr>
        <w:t>本报告期内，基金管理人未运用固有资金申购、赎回或买卖本基金。</w:t>
      </w:r>
    </w:p>
    <w:p>
      <w:pPr>
        <w:pStyle w:val="2"/>
        <w:spacing w:beforeLines="100" w:afterLines="100" w:line="360" w:lineRule="auto"/>
        <w:jc w:val="center"/>
        <w:rPr>
          <w:rFonts w:eastAsiaTheme="minorEastAsia"/>
          <w:color w:val="000000" w:themeColor="text1"/>
          <w:kern w:val="0"/>
          <w:sz w:val="21"/>
          <w:szCs w:val="21"/>
        </w:rPr>
      </w:pPr>
      <w:r>
        <w:rPr>
          <w:rFonts w:eastAsiaTheme="minorEastAsia"/>
          <w:color w:val="000000" w:themeColor="text1"/>
          <w:kern w:val="0"/>
          <w:sz w:val="21"/>
          <w:szCs w:val="21"/>
        </w:rPr>
        <w:t xml:space="preserve">§8 </w:t>
      </w:r>
      <w:r>
        <w:rPr>
          <w:rFonts w:hint="eastAsia" w:eastAsiaTheme="minorEastAsia"/>
          <w:color w:val="000000" w:themeColor="text1"/>
          <w:kern w:val="0"/>
          <w:sz w:val="21"/>
          <w:szCs w:val="21"/>
        </w:rPr>
        <w:t>影响投资者决策的其他重要信息</w:t>
      </w:r>
    </w:p>
    <w:p>
      <w:pPr>
        <w:autoSpaceDE w:val="0"/>
        <w:autoSpaceDN w:val="0"/>
        <w:adjustRightInd w:val="0"/>
        <w:spacing w:line="360" w:lineRule="auto"/>
        <w:jc w:val="left"/>
        <w:rPr>
          <w:rFonts w:ascii="宋体" w:hAnsi="宋体"/>
          <w:b/>
          <w:bCs/>
          <w:color w:val="000000"/>
          <w:kern w:val="0"/>
          <w:szCs w:val="21"/>
        </w:rPr>
      </w:pPr>
      <w:r>
        <w:rPr>
          <w:rFonts w:ascii="宋体" w:hAnsi="宋体"/>
          <w:b/>
          <w:color w:val="000000"/>
          <w:kern w:val="0"/>
          <w:szCs w:val="21"/>
        </w:rPr>
        <w:t/>
      </w:r>
      <w:r>
        <w:rPr>
          <w:rFonts w:ascii="宋体" w:hAnsi="宋体"/>
          <w:b/>
          <w:bCs/>
          <w:color w:val="000000"/>
          <w:kern w:val="0"/>
          <w:szCs w:val="21"/>
        </w:rPr>
        <w:t>8.</w:t>
      </w:r>
      <w:r>
        <w:rPr>
          <w:rFonts w:hint="eastAsia" w:ascii="宋体" w:hAnsi="宋体"/>
          <w:b/>
          <w:bCs/>
          <w:color w:val="000000"/>
          <w:kern w:val="0"/>
          <w:szCs w:val="21"/>
        </w:rPr>
        <w:t>1 报告期内单一投资者持有基金份额比例达到或超过20%的情况</w:t>
      </w:r>
    </w:p>
    <w:tbl>
      <w:tblPr>
        <w:tblStyle w:val="28"/>
        <w:tblW w:w="921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92"/>
        <w:gridCol w:w="1843"/>
        <w:gridCol w:w="851"/>
        <w:gridCol w:w="850"/>
        <w:gridCol w:w="1134"/>
        <w:gridCol w:w="1419"/>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Merge w:val="restart"/>
            <w:vAlign w:val="center"/>
          </w:tcPr>
          <w:p>
            <w:pPr>
              <w:autoSpaceDE w:val="0"/>
              <w:autoSpaceDN w:val="0"/>
              <w:adjustRightInd w:val="0"/>
              <w:jc w:val="center"/>
              <w:rPr>
                <w:rFonts w:ascii="宋体" w:hAnsi="宋体"/>
                <w:b/>
                <w:bCs/>
                <w:color w:val="000000"/>
                <w:kern w:val="0"/>
                <w:szCs w:val="21"/>
              </w:rPr>
            </w:pPr>
            <w:r>
              <w:rPr>
                <w:rFonts w:hint="eastAsia" w:ascii="宋体" w:hAnsi="宋体"/>
                <w:color w:val="000000"/>
                <w:kern w:val="0"/>
                <w:szCs w:val="21"/>
              </w:rPr>
              <w:t>投资者类别</w:t>
            </w:r>
            <w:r>
              <w:rPr>
                <w:rFonts w:ascii="宋体" w:hAnsi="宋体"/>
                <w:color w:val="000000"/>
                <w:kern w:val="0"/>
                <w:szCs w:val="21"/>
              </w:rPr>
              <w:t xml:space="preserve">  </w:t>
            </w:r>
          </w:p>
        </w:tc>
        <w:tc>
          <w:tcPr>
            <w:tcW w:w="5670" w:type="dxa"/>
            <w:gridSpan w:val="5"/>
            <w:vAlign w:val="center"/>
          </w:tcPr>
          <w:p>
            <w:pPr>
              <w:autoSpaceDE w:val="0"/>
              <w:autoSpaceDN w:val="0"/>
              <w:adjustRightInd w:val="0"/>
              <w:jc w:val="center"/>
              <w:rPr>
                <w:rFonts w:ascii="宋体" w:hAnsi="宋体"/>
                <w:b/>
                <w:bCs/>
                <w:color w:val="000000"/>
                <w:kern w:val="0"/>
                <w:szCs w:val="21"/>
              </w:rPr>
            </w:pPr>
            <w:r>
              <w:rPr>
                <w:rFonts w:hint="eastAsia" w:ascii="宋体" w:hAnsi="宋体"/>
                <w:color w:val="000000"/>
                <w:kern w:val="0"/>
                <w:szCs w:val="21"/>
              </w:rPr>
              <w:t>报告期内持有基金份额变化情况</w:t>
            </w:r>
          </w:p>
        </w:tc>
        <w:tc>
          <w:tcPr>
            <w:tcW w:w="2549" w:type="dxa"/>
            <w:gridSpan w:val="2"/>
            <w:vAlign w:val="center"/>
          </w:tcPr>
          <w:p>
            <w:pPr>
              <w:autoSpaceDE w:val="0"/>
              <w:autoSpaceDN w:val="0"/>
              <w:adjustRightInd w:val="0"/>
              <w:jc w:val="center"/>
              <w:rPr>
                <w:rFonts w:ascii="宋体" w:hAnsi="宋体"/>
                <w:b/>
                <w:bCs/>
                <w:color w:val="000000"/>
                <w:kern w:val="0"/>
                <w:szCs w:val="21"/>
              </w:rPr>
            </w:pPr>
            <w:r>
              <w:rPr>
                <w:rFonts w:hint="eastAsia" w:ascii="宋体" w:hAnsi="宋体"/>
                <w:color w:val="000000"/>
                <w:kern w:val="0"/>
                <w:szCs w:val="21"/>
              </w:rPr>
              <w:t>报告期末持有基金情况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3" w:type="dxa"/>
            <w:vMerge w:val="continue"/>
            <w:vAlign w:val="center"/>
          </w:tcPr>
          <w:p>
            <w:pPr>
              <w:autoSpaceDE w:val="0"/>
              <w:autoSpaceDN w:val="0"/>
              <w:adjustRightInd w:val="0"/>
              <w:jc w:val="center"/>
              <w:rPr>
                <w:rFonts w:ascii="宋体" w:hAnsi="宋体"/>
                <w:b/>
                <w:bCs/>
                <w:color w:val="000000"/>
                <w:kern w:val="0"/>
                <w:szCs w:val="21"/>
              </w:rPr>
            </w:pPr>
          </w:p>
        </w:tc>
        <w:tc>
          <w:tcPr>
            <w:tcW w:w="992" w:type="dxa"/>
            <w:vAlign w:val="center"/>
          </w:tcPr>
          <w:p>
            <w:pPr>
              <w:autoSpaceDE w:val="0"/>
              <w:autoSpaceDN w:val="0"/>
              <w:adjustRightInd w:val="0"/>
              <w:jc w:val="center"/>
              <w:rPr>
                <w:rFonts w:ascii="宋体" w:hAnsi="宋体"/>
                <w:b/>
                <w:bCs/>
                <w:color w:val="000000"/>
                <w:kern w:val="0"/>
                <w:szCs w:val="21"/>
              </w:rPr>
            </w:pPr>
            <w:r>
              <w:rPr>
                <w:rFonts w:hint="eastAsia" w:ascii="宋体" w:hAnsi="宋体"/>
                <w:color w:val="000000"/>
                <w:kern w:val="0"/>
                <w:szCs w:val="21"/>
              </w:rPr>
              <w:t>序号</w:t>
            </w:r>
          </w:p>
        </w:tc>
        <w:tc>
          <w:tcPr>
            <w:tcW w:w="1843" w:type="dxa"/>
            <w:vAlign w:val="center"/>
          </w:tcPr>
          <w:p>
            <w:pPr>
              <w:autoSpaceDE w:val="0"/>
              <w:autoSpaceDN w:val="0"/>
              <w:adjustRightInd w:val="0"/>
              <w:jc w:val="center"/>
              <w:rPr>
                <w:rFonts w:ascii="宋体" w:hAnsi="宋体"/>
                <w:b/>
                <w:bCs/>
                <w:color w:val="000000"/>
                <w:kern w:val="0"/>
                <w:szCs w:val="21"/>
              </w:rPr>
            </w:pPr>
            <w:r>
              <w:rPr>
                <w:rFonts w:hint="eastAsia" w:ascii="宋体" w:hAnsi="宋体"/>
                <w:color w:val="000000"/>
                <w:kern w:val="0"/>
                <w:szCs w:val="21"/>
              </w:rPr>
              <w:t>持有基金份额比例达到或者超过20%的时间区间</w:t>
            </w:r>
          </w:p>
        </w:tc>
        <w:tc>
          <w:tcPr>
            <w:tcW w:w="851" w:type="dxa"/>
            <w:vAlign w:val="center"/>
          </w:tcPr>
          <w:p>
            <w:pPr>
              <w:widowControl/>
              <w:jc w:val="center"/>
              <w:rPr>
                <w:rFonts w:ascii="宋体" w:hAnsi="宋体"/>
                <w:b/>
                <w:bCs/>
                <w:color w:val="000000"/>
                <w:kern w:val="0"/>
                <w:szCs w:val="21"/>
              </w:rPr>
            </w:pPr>
            <w:r>
              <w:rPr>
                <w:rFonts w:hint="eastAsia" w:ascii="宋体" w:hAnsi="宋体"/>
                <w:color w:val="000000"/>
                <w:kern w:val="0"/>
                <w:szCs w:val="21"/>
              </w:rPr>
              <w:t>期初份额</w:t>
            </w:r>
          </w:p>
        </w:tc>
        <w:tc>
          <w:tcPr>
            <w:tcW w:w="850" w:type="dxa"/>
            <w:vAlign w:val="center"/>
          </w:tcPr>
          <w:p>
            <w:pPr>
              <w:widowControl/>
              <w:jc w:val="center"/>
              <w:rPr>
                <w:rFonts w:ascii="宋体" w:hAnsi="宋体"/>
                <w:b/>
                <w:bCs/>
                <w:color w:val="000000"/>
                <w:kern w:val="0"/>
                <w:szCs w:val="21"/>
              </w:rPr>
            </w:pPr>
            <w:r>
              <w:rPr>
                <w:rFonts w:hint="eastAsia" w:ascii="宋体" w:hAnsi="宋体"/>
                <w:color w:val="000000"/>
                <w:kern w:val="0"/>
                <w:szCs w:val="21"/>
              </w:rPr>
              <w:t>申购份额</w:t>
            </w:r>
          </w:p>
        </w:tc>
        <w:tc>
          <w:tcPr>
            <w:tcW w:w="1134" w:type="dxa"/>
            <w:vAlign w:val="center"/>
          </w:tcPr>
          <w:p>
            <w:pPr>
              <w:widowControl/>
              <w:jc w:val="center"/>
              <w:rPr>
                <w:rFonts w:ascii="宋体" w:hAnsi="宋体"/>
                <w:b/>
                <w:bCs/>
                <w:color w:val="000000"/>
                <w:kern w:val="0"/>
                <w:szCs w:val="21"/>
              </w:rPr>
            </w:pPr>
            <w:r>
              <w:rPr>
                <w:rFonts w:hint="eastAsia" w:ascii="宋体" w:hAnsi="宋体"/>
                <w:color w:val="000000"/>
                <w:kern w:val="0"/>
                <w:szCs w:val="21"/>
              </w:rPr>
              <w:t>赎回份额</w:t>
            </w:r>
          </w:p>
        </w:tc>
        <w:tc>
          <w:tcPr>
            <w:tcW w:w="1419" w:type="dxa"/>
            <w:vAlign w:val="center"/>
          </w:tcPr>
          <w:p>
            <w:pPr>
              <w:autoSpaceDE w:val="0"/>
              <w:autoSpaceDN w:val="0"/>
              <w:adjustRightInd w:val="0"/>
              <w:jc w:val="center"/>
              <w:rPr>
                <w:rFonts w:ascii="宋体" w:hAnsi="宋体"/>
                <w:b/>
                <w:bCs/>
                <w:color w:val="000000"/>
                <w:kern w:val="0"/>
                <w:szCs w:val="21"/>
              </w:rPr>
            </w:pPr>
            <w:r>
              <w:rPr>
                <w:rFonts w:hint="eastAsia" w:ascii="宋体" w:hAnsi="宋体"/>
                <w:color w:val="000000"/>
                <w:kern w:val="0"/>
                <w:szCs w:val="21"/>
              </w:rPr>
              <w:t>持有份额</w:t>
            </w:r>
          </w:p>
        </w:tc>
        <w:tc>
          <w:tcPr>
            <w:tcW w:w="1130" w:type="dxa"/>
            <w:vAlign w:val="center"/>
          </w:tcPr>
          <w:p>
            <w:pPr>
              <w:autoSpaceDE w:val="0"/>
              <w:autoSpaceDN w:val="0"/>
              <w:adjustRightInd w:val="0"/>
              <w:jc w:val="center"/>
              <w:rPr>
                <w:rFonts w:ascii="宋体" w:hAnsi="宋体"/>
                <w:b/>
                <w:bCs/>
                <w:color w:val="000000"/>
                <w:kern w:val="0"/>
                <w:szCs w:val="21"/>
              </w:rPr>
            </w:pPr>
            <w:r>
              <w:rPr>
                <w:rFonts w:hint="eastAsia" w:ascii="宋体" w:hAnsi="宋体"/>
                <w:color w:val="000000"/>
                <w:kern w:val="0"/>
                <w:szCs w:val="21"/>
              </w:rPr>
              <w:t>份额占比</w:t>
            </w:r>
          </w:p>
        </w:tc>
      </w:tr>
      <w:tr>
        <w:tc>
          <w:tcPr>
            <w:vMerge w:val="restart"/>
          </w:tcPr>
          <w:p/>
          <w:p>
            <w:r>
              <w:rPr>
                <w:rFonts w:hint="eastAsia" w:ascii="宋体" w:hAnsi="宋体"/>
                <w:bCs/>
                <w:color w:val="000000"/>
                <w:kern w:val="0"/>
                <w:szCs w:val="21"/>
              </w:rPr>
              <w:t>机构</w:t>
            </w:r>
          </w:p>
        </w:tc>
        <w:tc>
          <w:tcPr>
            <w:vAlign w:val="center"/>
          </w:tcPr>
          <w:p>
            <w:pPr>
              <w:jc w:val="center"/>
            </w:pPr>
            <w:r>
              <w:rPr>
                <w:rFonts w:ascii="宋体" w:hAnsi="宋体"/>
                <w:color w:val="000000"/>
                <w:kern w:val="0"/>
                <w:szCs w:val="21"/>
              </w:rPr>
              <w:t>1</w:t>
            </w:r>
          </w:p>
        </w:tc>
        <w:tc>
          <w:tcPr>
            <w:vAlign w:val="center"/>
          </w:tcPr>
          <w:p>
            <w:pPr>
              <w:jc w:val="center"/>
            </w:pPr>
            <w:r>
              <w:rPr>
                <w:rFonts w:ascii="宋体" w:hAnsi="宋体"/>
                <w:color w:val="000000"/>
                <w:kern w:val="0"/>
                <w:szCs w:val="21"/>
              </w:rPr>
              <w:t>2017-04-01至2017-06-30</w:t>
            </w:r>
          </w:p>
        </w:tc>
        <w:tc>
          <w:tcPr>
            <w:vAlign w:val="center"/>
          </w:tcPr>
          <w:p>
            <w:pPr>
              <w:jc w:val="center"/>
            </w:pPr>
            <w:r>
              <w:rPr>
                <w:rFonts w:ascii="宋体" w:hAnsi="宋体"/>
                <w:color w:val="000000"/>
                <w:kern w:val="0"/>
                <w:szCs w:val="21"/>
              </w:rPr>
              <w:t>1,115,172,590.30</w:t>
            </w:r>
          </w:p>
        </w:tc>
        <w:tc>
          <w:tcPr>
            <w:vAlign w:val="center"/>
          </w:tcPr>
          <w:p>
            <w:pPr>
              <w:jc w:val="center"/>
            </w:pPr>
            <w:r>
              <w:rPr>
                <w:rFonts w:ascii="宋体" w:hAnsi="宋体"/>
                <w:color w:val="000000"/>
                <w:kern w:val="0"/>
                <w:szCs w:val="21"/>
              </w:rPr>
              <w:t>-</w:t>
            </w:r>
          </w:p>
        </w:tc>
        <w:tc>
          <w:tcPr>
            <w:vAlign w:val="center"/>
          </w:tcPr>
          <w:p>
            <w:pPr>
              <w:jc w:val="center"/>
            </w:pPr>
            <w:r>
              <w:rPr>
                <w:rFonts w:ascii="宋体" w:hAnsi="宋体"/>
                <w:color w:val="000000"/>
                <w:kern w:val="0"/>
                <w:szCs w:val="21"/>
              </w:rPr>
              <w:t>-</w:t>
            </w:r>
          </w:p>
        </w:tc>
        <w:tc>
          <w:tcPr>
            <w:vAlign w:val="center"/>
          </w:tcPr>
          <w:p>
            <w:pPr>
              <w:jc w:val="center"/>
            </w:pPr>
            <w:r>
              <w:rPr>
                <w:rFonts w:ascii="宋体" w:hAnsi="宋体"/>
                <w:color w:val="000000"/>
                <w:kern w:val="0"/>
                <w:szCs w:val="21"/>
              </w:rPr>
              <w:t>1,115,172,590.30</w:t>
            </w:r>
          </w:p>
        </w:tc>
        <w:tc>
          <w:tcPr>
            <w:vAlign w:val="center"/>
          </w:tcPr>
          <w:p>
            <w:pPr>
              <w:jc w:val="center"/>
            </w:pPr>
            <w:r>
              <w:rPr>
                <w:rFonts w:ascii="宋体" w:hAnsi="宋体"/>
                <w:color w:val="000000"/>
                <w:kern w:val="0"/>
                <w:szCs w:val="21"/>
              </w:rPr>
              <w:t>68.517%</w:t>
            </w:r>
          </w:p>
        </w:tc>
      </w:tr>
    </w:tbl>
    <w:tbl>
      <w:tblPr>
        <w:tblStyle w:val="28"/>
        <w:tblW w:w="921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2" w:type="dxa"/>
            <w:vAlign w:val="center"/>
          </w:tcPr>
          <w:p>
            <w:pPr>
              <w:autoSpaceDE w:val="0"/>
              <w:autoSpaceDN w:val="0"/>
              <w:adjustRightInd w:val="0"/>
              <w:jc w:val="center"/>
              <w:rPr>
                <w:rFonts w:ascii="宋体" w:hAnsi="宋体"/>
                <w:kern w:val="0"/>
                <w:szCs w:val="21"/>
              </w:rPr>
            </w:pPr>
            <w:r>
              <w:rPr>
                <w:rFonts w:ascii="宋体" w:hAnsi="宋体"/>
                <w:color w:val="000000"/>
                <w:kern w:val="0"/>
                <w:szCs w:val="21"/>
              </w:rPr>
              <w:t>产品特有风险</w:t>
            </w:r>
            <w:r>
              <w:rPr>
                <w:rFonts w:ascii="宋体" w:hAnsi="宋体"/>
                <w:kern w:val="0"/>
                <w:szCs w:val="21"/>
              </w:rPr>
              <w:t/>
            </w:r>
            <w:r>
              <w:rPr>
                <w:rFonts w:hint="eastAsia" w:ascii="宋体" w:hAnsi="宋体"/>
                <w:kern w:val="0"/>
                <w:szCs w:val="21"/>
              </w:rPr>
              <w:t/>
            </w:r>
            <w:r>
              <w:rPr>
                <w:rFonts w:ascii="宋体" w:hAnsi="宋体"/>
                <w:kern w:val="0"/>
                <w:szCs w:val="21"/>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212" w:type="dxa"/>
            <w:vAlign w:val="center"/>
          </w:tcPr>
          <w:p>
            <w:pPr>
              <w:autoSpaceDE w:val="0"/>
              <w:autoSpaceDN w:val="0"/>
              <w:adjustRightInd w:val="0"/>
              <w:jc w:val="left"/>
              <w:rPr>
                <w:rFonts w:ascii="宋体" w:hAnsi="宋体"/>
                <w:kern w:val="0"/>
                <w:szCs w:val="21"/>
              </w:rPr>
            </w:pPr>
            <w:r>
              <w:rPr>
                <w:rFonts w:hint="eastAsia" w:ascii="宋体" w:hAnsi="宋体"/>
                <w:kern w:val="0"/>
                <w:szCs w:val="21"/>
              </w:rPr>
              <w:t/>
            </w:r>
            <w:r>
              <w:rPr>
                <w:rFonts w:ascii="宋体" w:hAnsi="宋体"/>
                <w:kern w:val="0"/>
                <w:szCs w:val="21"/>
              </w:rPr>
              <w:t/>
            </w:r>
            <w:r>
              <w:rPr>
                <w:rFonts w:hint="eastAsia" w:ascii="宋体" w:hAnsi="宋体"/>
                <w:kern w:val="0"/>
                <w:szCs w:val="21"/>
              </w:rPr>
              <w:t>（1）持有基金份额比例达到或超过20%的投资者大额赎回导致的基金份额净值波动风险；（2）持有基金份额比例达到或超过20%的投资者大额赎回导致的流动性风险；（3）持有基金份额比例达到或超过20%的投资者大额赎回导致的巨额赎回风险；（4）持有基金份额比例达到或超过20%的投资者大额赎回导致的基金资产净值持续低于5000万元的风险。</w:t>
            </w:r>
            <w:r>
              <w:rPr>
                <w:rFonts w:ascii="宋体" w:hAnsi="宋体"/>
                <w:kern w:val="0"/>
                <w:szCs w:val="21"/>
              </w:rPr>
              <w:t/>
            </w:r>
          </w:p>
        </w:tc>
      </w:tr>
    </w:tbl>
    <w:p>
      <w:pPr>
        <w:autoSpaceDE w:val="0"/>
        <w:autoSpaceDN w:val="0"/>
        <w:adjustRightInd w:val="0"/>
        <w:spacing w:line="360" w:lineRule="auto"/>
        <w:jc w:val="left"/>
        <w:rPr>
          <w:rFonts w:ascii="宋体" w:hAnsi="宋体"/>
          <w:b/>
          <w:bCs/>
          <w:color w:val="000000"/>
          <w:kern w:val="0"/>
          <w:szCs w:val="21"/>
        </w:rPr>
      </w:pPr>
      <w:r>
        <w:rPr>
          <w:rFonts w:ascii="宋体" w:hAnsi="宋体"/>
          <w:b/>
          <w:color w:val="000000"/>
          <w:kern w:val="0"/>
          <w:szCs w:val="21"/>
        </w:rPr>
        <w:t/>
      </w:r>
      <w:r>
        <w:rPr>
          <w:rFonts w:hint="eastAsia" w:ascii="宋体" w:hAnsi="宋体"/>
          <w:b/>
          <w:bCs/>
          <w:color w:val="000000"/>
          <w:kern w:val="0"/>
          <w:szCs w:val="21"/>
        </w:rPr>
        <w:t>8.2 影响投资者决策的其他重要信息</w:t>
      </w:r>
    </w:p>
    <w:p>
      <w:pPr>
        <w:spacing w:line="360" w:lineRule="auto"/>
        <w:ind w:firstLine="420" w:firstLineChars="200"/>
        <w:rPr>
          <w:rFonts w:ascii="宋体" w:hAnsi="宋体"/>
          <w:color w:val="000000"/>
          <w:szCs w:val="21"/>
        </w:rPr>
      </w:pPr>
      <w:r>
        <w:rPr>
          <w:rFonts w:ascii="宋体" w:hAnsi="宋体"/>
          <w:color w:val="000000"/>
          <w:szCs w:val="21"/>
        </w:rPr>
        <w:t>2017年5月至6月，本基金以通讯方式召开了基金份额持有人大会，审议了《关于中银聚利分级债券型证券投资基金转型有关事项的议案》，权益登记日为2017年5月23日，投票时间为2017年5月24日起，至2017年6月18日17：00止。2017 年 6 月 19 日，在本基金的基金托管人招商银行股份有限公司授权代表的监督下，本基金管理人授权的两名计票人对本次大会的表决进行了计票，上海市通力律师事务所对计票结果进行了见证。上海市东方公证处对计票过程进行了公证。大会出席投票情况达到法定开会条件，表决结果满足法定生效条件，本次会议议案获得通过并生效。根据生效决议，自原中银聚利分级债券型证券投资基金的基金份额结转为中银聚利半年定期开放债券型证券投资基金的基金份额的下一工作日（即2017年7月21日）起（含该日）生效，《中银聚利半年定期开放债券型证券投资基金基金合同》生效，《中银聚利分级债券型证券投资基金基金合同》同时失效，中银聚利分级债券型证券投资基金正式变更为中银聚利半年定期开放债券型证券投资基金，本基金基金合同当事人将按照《中银聚利半年定期开放债券型证券投资基金基金合同》享有权利并承担义务。 具体情况请参考基金管理人于公司网站及指定报刊发布的相关公告。</w:t>
      </w:r>
    </w:p>
    <w:p>
      <w:pPr>
        <w:spacing w:line="360" w:lineRule="auto"/>
        <w:ind w:firstLine="420" w:firstLineChars="200"/>
        <w:rPr>
          <w:rFonts w:eastAsiaTheme="minorEastAsia"/>
          <w:color w:val="000000" w:themeColor="text1"/>
          <w:szCs w:val="21"/>
        </w:rPr>
      </w:pPr>
    </w:p>
    <w:p>
      <w:pPr>
        <w:pStyle w:val="2"/>
        <w:spacing w:before="0" w:after="0" w:line="360" w:lineRule="auto"/>
        <w:jc w:val="center"/>
        <w:rPr>
          <w:color w:val="000000"/>
          <w:kern w:val="0"/>
          <w:sz w:val="24"/>
          <w:szCs w:val="24"/>
        </w:rPr>
      </w:pPr>
      <w:r>
        <w:rPr>
          <w:color w:val="000000"/>
          <w:kern w:val="0"/>
          <w:sz w:val="24"/>
          <w:szCs w:val="24"/>
        </w:rPr>
        <w:t>§9备查文件目录</w:t>
      </w:r>
    </w:p>
    <w:p>
      <w:pPr>
        <w:autoSpaceDE w:val="0"/>
        <w:autoSpaceDN w:val="0"/>
        <w:adjustRightInd w:val="0"/>
        <w:spacing w:line="360" w:lineRule="auto"/>
        <w:jc w:val="left"/>
        <w:rPr>
          <w:b/>
          <w:bCs/>
          <w:color w:val="000000"/>
          <w:kern w:val="0"/>
          <w:szCs w:val="21"/>
        </w:rPr>
      </w:pPr>
      <w:r>
        <w:rPr>
          <w:b/>
          <w:bCs/>
          <w:color w:val="000000"/>
          <w:kern w:val="0"/>
          <w:szCs w:val="21"/>
        </w:rPr>
        <w:t>9.1 备查文件目录</w:t>
      </w:r>
    </w:p>
    <w:p>
      <w:pPr>
        <w:spacing w:line="360" w:lineRule="auto"/>
        <w:rPr>
          <w:color w:val="000000"/>
          <w:szCs w:val="21"/>
        </w:rPr>
      </w:pPr>
      <w:r>
        <w:rPr>
          <w:color w:val="000000"/>
          <w:szCs w:val="21"/>
        </w:rPr>
        <w:t>1、中国证监会准予中银聚利分级债券型证券投资基金募集注册的文件；</w:t>
      </w:r>
    </w:p>
    <w:p>
      <w:pPr>
        <w:spacing w:line="360" w:lineRule="auto"/>
        <w:rPr>
          <w:color w:val="000000"/>
          <w:szCs w:val="21"/>
        </w:rPr>
      </w:pPr>
      <w:r>
        <w:rPr>
          <w:color w:val="000000"/>
          <w:szCs w:val="21"/>
        </w:rPr>
        <w:t>2、《中银聚利分级债券型证券投资基金基金合同》；</w:t>
      </w:r>
    </w:p>
    <w:p>
      <w:pPr>
        <w:spacing w:line="360" w:lineRule="auto"/>
        <w:rPr>
          <w:color w:val="000000"/>
          <w:szCs w:val="21"/>
        </w:rPr>
      </w:pPr>
      <w:r>
        <w:rPr>
          <w:color w:val="000000"/>
          <w:szCs w:val="21"/>
        </w:rPr>
        <w:t>3、《中银聚利分级债券型证券投资基金招募说明书》；</w:t>
      </w:r>
    </w:p>
    <w:p>
      <w:pPr>
        <w:spacing w:line="360" w:lineRule="auto"/>
        <w:rPr>
          <w:color w:val="000000"/>
          <w:szCs w:val="21"/>
        </w:rPr>
      </w:pPr>
      <w:r>
        <w:rPr>
          <w:color w:val="000000"/>
          <w:szCs w:val="21"/>
        </w:rPr>
        <w:t>4、《中银聚利分级债券型证券投资基金托管协议》；</w:t>
      </w:r>
    </w:p>
    <w:p>
      <w:pPr>
        <w:spacing w:line="360" w:lineRule="auto"/>
        <w:rPr>
          <w:color w:val="000000"/>
          <w:szCs w:val="21"/>
        </w:rPr>
      </w:pPr>
      <w:r>
        <w:rPr>
          <w:color w:val="000000"/>
          <w:szCs w:val="21"/>
        </w:rPr>
        <w:t>5、法律意见书；</w:t>
      </w:r>
    </w:p>
    <w:p>
      <w:pPr>
        <w:spacing w:line="360" w:lineRule="auto"/>
        <w:rPr>
          <w:color w:val="000000"/>
          <w:szCs w:val="21"/>
        </w:rPr>
      </w:pPr>
      <w:r>
        <w:rPr>
          <w:color w:val="000000"/>
          <w:szCs w:val="21"/>
        </w:rPr>
        <w:t>6、基金管理人业务资格批件、营业执照；</w:t>
      </w:r>
    </w:p>
    <w:p>
      <w:pPr>
        <w:spacing w:line="360" w:lineRule="auto"/>
        <w:rPr>
          <w:color w:val="000000"/>
          <w:szCs w:val="21"/>
        </w:rPr>
      </w:pPr>
      <w:r>
        <w:rPr>
          <w:color w:val="000000"/>
          <w:szCs w:val="21"/>
        </w:rPr>
        <w:t>7、基金托管人业务资格批件、营业执照；</w:t>
      </w:r>
    </w:p>
    <w:p>
      <w:pPr>
        <w:spacing w:line="360" w:lineRule="auto"/>
        <w:rPr>
          <w:color w:val="000000"/>
          <w:szCs w:val="21"/>
        </w:rPr>
      </w:pPr>
      <w:r>
        <w:rPr>
          <w:color w:val="000000"/>
          <w:szCs w:val="21"/>
        </w:rPr>
        <w:t>8、报告期内在指定报刊上披露的各项公告；</w:t>
      </w:r>
    </w:p>
    <w:p>
      <w:pPr>
        <w:spacing w:line="360" w:lineRule="auto"/>
        <w:rPr>
          <w:color w:val="000000"/>
          <w:szCs w:val="21"/>
        </w:rPr>
      </w:pPr>
      <w:r>
        <w:rPr>
          <w:color w:val="000000"/>
          <w:szCs w:val="21"/>
        </w:rPr>
        <w:t>9、中国证监会要求的其他文件。</w:t>
      </w:r>
    </w:p>
    <w:p>
      <w:pPr>
        <w:autoSpaceDE w:val="0"/>
        <w:autoSpaceDN w:val="0"/>
        <w:adjustRightInd w:val="0"/>
        <w:spacing w:line="360" w:lineRule="auto"/>
        <w:jc w:val="left"/>
        <w:rPr>
          <w:b/>
          <w:bCs/>
          <w:color w:val="000000"/>
          <w:kern w:val="0"/>
          <w:szCs w:val="21"/>
        </w:rPr>
      </w:pPr>
      <w:r>
        <w:rPr>
          <w:b/>
          <w:bCs/>
          <w:color w:val="000000"/>
          <w:kern w:val="0"/>
          <w:szCs w:val="21"/>
        </w:rPr>
        <w:t>9.2 存放地点</w:t>
      </w:r>
    </w:p>
    <w:p>
      <w:pPr>
        <w:spacing w:line="360" w:lineRule="auto"/>
        <w:rPr>
          <w:color w:val="000000"/>
          <w:szCs w:val="21"/>
        </w:rPr>
      </w:pPr>
      <w:r>
        <w:rPr>
          <w:color w:val="000000"/>
          <w:szCs w:val="21"/>
        </w:rPr>
        <w:t>基金管理人和基金托管人的住所，并登载于基金管理人网站www.bocim.com。</w:t>
      </w:r>
    </w:p>
    <w:p>
      <w:pPr>
        <w:autoSpaceDE w:val="0"/>
        <w:autoSpaceDN w:val="0"/>
        <w:adjustRightInd w:val="0"/>
        <w:spacing w:line="360" w:lineRule="auto"/>
        <w:jc w:val="left"/>
        <w:rPr>
          <w:b/>
          <w:bCs/>
          <w:color w:val="000000"/>
          <w:kern w:val="0"/>
          <w:szCs w:val="21"/>
        </w:rPr>
      </w:pPr>
      <w:r>
        <w:rPr>
          <w:b/>
          <w:bCs/>
          <w:color w:val="000000"/>
          <w:kern w:val="0"/>
          <w:szCs w:val="21"/>
        </w:rPr>
        <w:t>9.3 查阅方式</w:t>
      </w:r>
    </w:p>
    <w:p>
      <w:pPr>
        <w:spacing w:line="360" w:lineRule="auto"/>
        <w:rPr>
          <w:color w:val="000000"/>
          <w:szCs w:val="21"/>
        </w:rPr>
      </w:pPr>
      <w:r>
        <w:rPr>
          <w:color w:val="000000"/>
          <w:szCs w:val="21"/>
        </w:rPr>
        <w:t>投资者可以在开放时间内至基金管理人或基金托管人住所免费查阅，也可登陆基金管理人网站www.bocim.com查阅。</w:t>
      </w:r>
    </w:p>
    <w:p>
      <w:pPr>
        <w:spacing w:line="360" w:lineRule="auto"/>
        <w:ind w:left="840"/>
        <w:jc w:val="right"/>
        <w:rPr>
          <w:color w:val="000000"/>
          <w:sz w:val="24"/>
        </w:rPr>
      </w:pPr>
    </w:p>
    <w:p>
      <w:pPr>
        <w:spacing w:line="360" w:lineRule="auto"/>
        <w:ind w:left="840"/>
        <w:jc w:val="right"/>
        <w:rPr>
          <w:color w:val="000000"/>
          <w:sz w:val="24"/>
        </w:rPr>
      </w:pPr>
    </w:p>
    <w:p>
      <w:pPr>
        <w:spacing w:line="360" w:lineRule="auto"/>
        <w:ind w:left="840"/>
        <w:jc w:val="right"/>
        <w:rPr>
          <w:color w:val="000000"/>
          <w:sz w:val="24"/>
        </w:rPr>
      </w:pPr>
    </w:p>
    <w:p>
      <w:pPr>
        <w:spacing w:line="360" w:lineRule="auto"/>
        <w:jc w:val="right"/>
        <w:rPr>
          <w:b/>
          <w:bCs/>
          <w:sz w:val="24"/>
        </w:rPr>
      </w:pPr>
      <w:r>
        <w:rPr>
          <w:b/>
          <w:bCs/>
          <w:sz w:val="24"/>
        </w:rPr>
        <w:t>中银基金管理有限公司</w:t>
      </w:r>
    </w:p>
    <w:p>
      <w:pPr>
        <w:spacing w:line="360" w:lineRule="auto"/>
        <w:jc w:val="right"/>
        <w:rPr>
          <w:b/>
          <w:bCs/>
          <w:sz w:val="24"/>
        </w:rPr>
      </w:pPr>
      <w:r>
        <w:rPr>
          <w:b/>
          <w:bCs/>
          <w:sz w:val="24"/>
        </w:rPr>
        <w:t>二〇一七年七月二十一日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swiss"/>
    <w:pitch w:val="default"/>
    <w:sig w:usb0="E00002FF" w:usb1="6AC7FDFB" w:usb2="00000012" w:usb3="00000000" w:csb0="4002009F" w:csb1="DFD70000"/>
  </w:font>
  <w:font w:name="方正仿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single" w:color="auto" w:sz="6" w:space="0"/>
      </w:pBdr>
      <w:jc w:val="right"/>
    </w:pPr>
    <w:r>
      <w:rPr>
        <w:sz w:val="21"/>
        <w:szCs w:val="21"/>
      </w:rPr>
      <w:t>中银聚利分级债券型证券投资基金2017年第2季度报告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519E6"/>
    <w:rsid w:val="000A1BC2"/>
    <w:rsid w:val="0017188D"/>
    <w:rsid w:val="001C5012"/>
    <w:rsid w:val="002110A8"/>
    <w:rsid w:val="0022235E"/>
    <w:rsid w:val="00253229"/>
    <w:rsid w:val="002A1E29"/>
    <w:rsid w:val="003522CC"/>
    <w:rsid w:val="003B49A1"/>
    <w:rsid w:val="003F0740"/>
    <w:rsid w:val="0043031B"/>
    <w:rsid w:val="004465C3"/>
    <w:rsid w:val="004708EE"/>
    <w:rsid w:val="00477BC7"/>
    <w:rsid w:val="00481F66"/>
    <w:rsid w:val="004C2E94"/>
    <w:rsid w:val="004E42E7"/>
    <w:rsid w:val="005271E6"/>
    <w:rsid w:val="005514FB"/>
    <w:rsid w:val="00556F2D"/>
    <w:rsid w:val="005C1F33"/>
    <w:rsid w:val="005C2773"/>
    <w:rsid w:val="005F1337"/>
    <w:rsid w:val="0063132B"/>
    <w:rsid w:val="006414E8"/>
    <w:rsid w:val="006C4BD2"/>
    <w:rsid w:val="006C6BDC"/>
    <w:rsid w:val="007A027A"/>
    <w:rsid w:val="00837F34"/>
    <w:rsid w:val="00842EE9"/>
    <w:rsid w:val="008519E6"/>
    <w:rsid w:val="0086489D"/>
    <w:rsid w:val="008854DE"/>
    <w:rsid w:val="008B5027"/>
    <w:rsid w:val="008C48E9"/>
    <w:rsid w:val="00900E35"/>
    <w:rsid w:val="009D4DC3"/>
    <w:rsid w:val="00BF2C54"/>
    <w:rsid w:val="00C30A36"/>
    <w:rsid w:val="00C3452E"/>
    <w:rsid w:val="00C40437"/>
    <w:rsid w:val="00C97ED6"/>
    <w:rsid w:val="00CB5F20"/>
    <w:rsid w:val="00D27C31"/>
    <w:rsid w:val="00D452DD"/>
    <w:rsid w:val="00D6431B"/>
    <w:rsid w:val="00D66CDB"/>
    <w:rsid w:val="00D82C02"/>
    <w:rsid w:val="00D84696"/>
    <w:rsid w:val="00D87041"/>
    <w:rsid w:val="00DF7DC9"/>
    <w:rsid w:val="00E21EF3"/>
    <w:rsid w:val="00E47D1B"/>
    <w:rsid w:val="00EA35C0"/>
    <w:rsid w:val="00EB651E"/>
    <w:rsid w:val="00EF2973"/>
    <w:rsid w:val="00F51915"/>
    <w:rsid w:val="00F84C36"/>
    <w:rsid w:val="00F96EBE"/>
    <w:rsid w:val="00FC411A"/>
    <w:rsid w:val="390F0B24"/>
    <w:rsid w:val="680741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
    <w:qFormat/>
    <w:uiPriority w:val="99"/>
    <w:pPr>
      <w:keepNext/>
      <w:keepLines/>
      <w:spacing w:before="340" w:after="330" w:line="578" w:lineRule="auto"/>
      <w:outlineLvl w:val="0"/>
    </w:pPr>
    <w:rPr>
      <w:b/>
      <w:bCs/>
      <w:kern w:val="44"/>
      <w:sz w:val="44"/>
      <w:szCs w:val="44"/>
    </w:rPr>
  </w:style>
  <w:style w:type="paragraph" w:styleId="3">
    <w:name w:val="heading 2"/>
    <w:basedOn w:val="1"/>
    <w:next w:val="4"/>
    <w:qFormat/>
    <w:uiPriority w:val="0"/>
    <w:pPr>
      <w:keepNext/>
      <w:keepLines/>
      <w:spacing w:before="260" w:after="260" w:line="360" w:lineRule="auto"/>
      <w:outlineLvl w:val="1"/>
    </w:pPr>
    <w:rPr>
      <w:rFonts w:ascii="Arial" w:hAnsi="Arial" w:cs="Arial"/>
      <w:b/>
      <w:bCs/>
      <w:sz w:val="24"/>
      <w:szCs w:val="28"/>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6">
    <w:name w:val="annotation subject"/>
    <w:basedOn w:val="7"/>
    <w:next w:val="7"/>
    <w:semiHidden/>
    <w:qFormat/>
    <w:uiPriority w:val="0"/>
    <w:rPr>
      <w:b/>
      <w:bCs/>
    </w:rPr>
  </w:style>
  <w:style w:type="paragraph" w:styleId="7">
    <w:name w:val="annotation text"/>
    <w:basedOn w:val="1"/>
    <w:semiHidden/>
    <w:qFormat/>
    <w:uiPriority w:val="0"/>
    <w:pPr>
      <w:jc w:val="left"/>
    </w:pPr>
  </w:style>
  <w:style w:type="paragraph" w:styleId="8">
    <w:name w:val="Document Map"/>
    <w:basedOn w:val="1"/>
    <w:semiHidden/>
    <w:qFormat/>
    <w:uiPriority w:val="0"/>
    <w:pPr>
      <w:shd w:val="clear" w:color="auto" w:fill="000080"/>
    </w:pPr>
  </w:style>
  <w:style w:type="paragraph" w:styleId="9">
    <w:name w:val="Body Text"/>
    <w:basedOn w:val="1"/>
    <w:qFormat/>
    <w:uiPriority w:val="0"/>
    <w:pPr>
      <w:spacing w:after="120"/>
    </w:pPr>
  </w:style>
  <w:style w:type="paragraph" w:styleId="10">
    <w:name w:val="Body Text Indent"/>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11">
    <w:name w:val="Plain Text"/>
    <w:basedOn w:val="1"/>
    <w:link w:val="52"/>
    <w:qFormat/>
    <w:uiPriority w:val="99"/>
    <w:rPr>
      <w:rFonts w:ascii="宋体" w:hAnsi="Courier New"/>
      <w:szCs w:val="21"/>
    </w:rPr>
  </w:style>
  <w:style w:type="paragraph" w:styleId="12">
    <w:name w:val="Date"/>
    <w:basedOn w:val="1"/>
    <w:next w:val="1"/>
    <w:link w:val="55"/>
    <w:qFormat/>
    <w:uiPriority w:val="0"/>
    <w:rPr>
      <w:sz w:val="24"/>
      <w:szCs w:val="20"/>
    </w:rPr>
  </w:style>
  <w:style w:type="paragraph" w:styleId="13">
    <w:name w:val="Body Text Indent 2"/>
    <w:basedOn w:val="1"/>
    <w:qFormat/>
    <w:uiPriority w:val="0"/>
    <w:pPr>
      <w:spacing w:line="560" w:lineRule="exact"/>
      <w:ind w:firstLine="480" w:firstLineChars="200"/>
    </w:pPr>
    <w:rPr>
      <w:rFonts w:ascii="宋体" w:hAnsi="宋体"/>
      <w:color w:val="FF0000"/>
      <w:sz w:val="24"/>
    </w:r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link w:val="53"/>
    <w:qFormat/>
    <w:uiPriority w:val="99"/>
    <w:pPr>
      <w:pBdr>
        <w:bottom w:val="single" w:color="auto" w:sz="6" w:space="1"/>
      </w:pBdr>
      <w:tabs>
        <w:tab w:val="center" w:pos="4153"/>
        <w:tab w:val="right" w:pos="8306"/>
      </w:tabs>
      <w:snapToGrid w:val="0"/>
      <w:jc w:val="center"/>
    </w:pPr>
    <w:rPr>
      <w:sz w:val="18"/>
      <w:szCs w:val="18"/>
    </w:rPr>
  </w:style>
  <w:style w:type="paragraph" w:styleId="17">
    <w:name w:val="List"/>
    <w:basedOn w:val="9"/>
    <w:qFormat/>
    <w:uiPriority w:val="0"/>
    <w:pPr>
      <w:spacing w:after="220" w:line="220" w:lineRule="atLeast"/>
      <w:ind w:left="1440" w:hanging="360"/>
    </w:pPr>
    <w:rPr>
      <w:szCs w:val="20"/>
    </w:rPr>
  </w:style>
  <w:style w:type="paragraph" w:styleId="18">
    <w:name w:val="footnote text"/>
    <w:basedOn w:val="1"/>
    <w:semiHidden/>
    <w:qFormat/>
    <w:uiPriority w:val="0"/>
    <w:pPr>
      <w:snapToGrid w:val="0"/>
      <w:jc w:val="left"/>
    </w:pPr>
    <w:rPr>
      <w:sz w:val="18"/>
      <w:szCs w:val="18"/>
    </w:rPr>
  </w:style>
  <w:style w:type="paragraph" w:styleId="19">
    <w:name w:val="Body Text Indent 3"/>
    <w:basedOn w:val="1"/>
    <w:qFormat/>
    <w:uiPriority w:val="0"/>
    <w:pPr>
      <w:spacing w:line="560" w:lineRule="exact"/>
      <w:ind w:firstLine="420" w:firstLineChars="200"/>
    </w:pPr>
    <w:rPr>
      <w:rFonts w:ascii="Arial" w:hAnsi="Arial" w:cs="Arial"/>
      <w:color w:val="FF0000"/>
    </w:rPr>
  </w:style>
  <w:style w:type="paragraph" w:styleId="20">
    <w:name w:val="Normal (Web)"/>
    <w:basedOn w:val="1"/>
    <w:qFormat/>
    <w:uiPriority w:val="0"/>
    <w:pPr>
      <w:widowControl/>
      <w:spacing w:before="100" w:beforeAutospacing="1" w:after="100" w:afterAutospacing="1"/>
      <w:jc w:val="left"/>
    </w:pPr>
    <w:rPr>
      <w:rFonts w:ascii="宋体" w:hAnsi="宋体"/>
      <w:kern w:val="0"/>
      <w:sz w:val="24"/>
    </w:rPr>
  </w:style>
  <w:style w:type="paragraph" w:styleId="21">
    <w:name w:val="index 1"/>
    <w:basedOn w:val="1"/>
    <w:next w:val="1"/>
    <w:semiHidden/>
    <w:qFormat/>
    <w:uiPriority w:val="0"/>
    <w:pPr>
      <w:jc w:val="right"/>
    </w:pPr>
    <w:rPr>
      <w:color w:val="008000"/>
    </w:rPr>
  </w:style>
  <w:style w:type="character" w:styleId="23">
    <w:name w:val="page number"/>
    <w:basedOn w:val="22"/>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szCs w:val="21"/>
    </w:rPr>
  </w:style>
  <w:style w:type="character" w:styleId="27">
    <w:name w:val="footnote reference"/>
    <w:semiHidden/>
    <w:qFormat/>
    <w:uiPriority w:val="0"/>
    <w:rPr>
      <w:vertAlign w:val="superscript"/>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30">
    <w:name w:val="font5"/>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31">
    <w:name w:val="xl24"/>
    <w:basedOn w:val="1"/>
    <w:qFormat/>
    <w:uiPriority w:val="0"/>
    <w:pPr>
      <w:widowControl/>
      <w:pBdr>
        <w:top w:val="double" w:color="000000" w:sz="6" w:space="0"/>
        <w:left w:val="single" w:color="000000" w:sz="4" w:space="0"/>
        <w:bottom w:val="single" w:color="000000" w:sz="4" w:space="0"/>
        <w:right w:val="double" w:color="000000" w:sz="6" w:space="0"/>
      </w:pBdr>
      <w:spacing w:before="100" w:beforeAutospacing="1" w:after="100" w:afterAutospacing="1"/>
      <w:jc w:val="center"/>
    </w:pPr>
    <w:rPr>
      <w:rFonts w:ascii="Arial Unicode MS" w:hAnsi="Arial Unicode MS" w:eastAsia="Arial Unicode MS" w:cs="Arial Unicode MS"/>
      <w:b/>
      <w:bCs/>
      <w:color w:val="0000FF"/>
      <w:kern w:val="0"/>
      <w:sz w:val="29"/>
      <w:szCs w:val="29"/>
    </w:rPr>
  </w:style>
  <w:style w:type="paragraph" w:customStyle="1" w:styleId="32">
    <w:name w:val="xl25"/>
    <w:basedOn w:val="1"/>
    <w:qFormat/>
    <w:uiPriority w:val="0"/>
    <w:pPr>
      <w:widowControl/>
      <w:pBdr>
        <w:top w:val="single" w:color="000000" w:sz="4" w:space="0"/>
        <w:left w:val="double" w:color="000000" w:sz="6" w:space="0"/>
        <w:bottom w:val="single" w:color="000000" w:sz="4" w:space="0"/>
        <w:right w:val="single" w:color="000000" w:sz="4" w:space="0"/>
      </w:pBdr>
      <w:spacing w:before="100" w:beforeAutospacing="1" w:after="100" w:afterAutospacing="1"/>
      <w:jc w:val="left"/>
    </w:pPr>
    <w:rPr>
      <w:rFonts w:ascii="Arial Unicode MS" w:hAnsi="Arial Unicode MS" w:eastAsia="Arial Unicode MS" w:cs="Arial Unicode MS"/>
      <w:b/>
      <w:bCs/>
      <w:color w:val="000000"/>
      <w:kern w:val="0"/>
      <w:sz w:val="24"/>
    </w:rPr>
  </w:style>
  <w:style w:type="paragraph" w:customStyle="1" w:styleId="33">
    <w:name w:val="xl2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b/>
      <w:bCs/>
      <w:color w:val="000000"/>
      <w:kern w:val="0"/>
      <w:sz w:val="24"/>
    </w:rPr>
  </w:style>
  <w:style w:type="paragraph" w:customStyle="1" w:styleId="34">
    <w:name w:val="xl2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b/>
      <w:bCs/>
      <w:color w:val="000000"/>
      <w:kern w:val="0"/>
      <w:sz w:val="12"/>
      <w:szCs w:val="12"/>
    </w:rPr>
  </w:style>
  <w:style w:type="paragraph" w:customStyle="1" w:styleId="35">
    <w:name w:val="xl28"/>
    <w:basedOn w:val="1"/>
    <w:qFormat/>
    <w:uiPriority w:val="0"/>
    <w:pPr>
      <w:widowControl/>
      <w:pBdr>
        <w:top w:val="single" w:color="000000" w:sz="4" w:space="0"/>
        <w:left w:val="single" w:color="000000" w:sz="4" w:space="0"/>
        <w:bottom w:val="single" w:color="000000" w:sz="4" w:space="0"/>
        <w:right w:val="double" w:color="000000" w:sz="6" w:space="0"/>
      </w:pBdr>
      <w:spacing w:before="100" w:beforeAutospacing="1" w:after="100" w:afterAutospacing="1"/>
      <w:jc w:val="right"/>
    </w:pPr>
    <w:rPr>
      <w:rFonts w:ascii="Arial Unicode MS" w:hAnsi="Arial Unicode MS" w:eastAsia="Arial Unicode MS" w:cs="Arial Unicode MS"/>
      <w:b/>
      <w:bCs/>
      <w:color w:val="000000"/>
      <w:kern w:val="0"/>
      <w:sz w:val="24"/>
    </w:rPr>
  </w:style>
  <w:style w:type="paragraph" w:customStyle="1" w:styleId="36">
    <w:name w:val="xl2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b/>
      <w:bCs/>
      <w:color w:val="000000"/>
      <w:kern w:val="0"/>
      <w:sz w:val="24"/>
    </w:rPr>
  </w:style>
  <w:style w:type="paragraph" w:customStyle="1" w:styleId="37">
    <w:name w:val="xl30"/>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b/>
      <w:bCs/>
      <w:color w:val="000000"/>
      <w:kern w:val="0"/>
      <w:sz w:val="24"/>
    </w:rPr>
  </w:style>
  <w:style w:type="paragraph" w:customStyle="1" w:styleId="38">
    <w:name w:val="xl31"/>
    <w:basedOn w:val="1"/>
    <w:qFormat/>
    <w:uiPriority w:val="0"/>
    <w:pPr>
      <w:widowControl/>
      <w:pBdr>
        <w:top w:val="single" w:color="000000" w:sz="4" w:space="0"/>
        <w:left w:val="double" w:color="000000" w:sz="6"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kern w:val="0"/>
      <w:sz w:val="22"/>
      <w:szCs w:val="22"/>
    </w:rPr>
  </w:style>
  <w:style w:type="paragraph" w:customStyle="1" w:styleId="39">
    <w:name w:val="xl3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color w:val="000000"/>
      <w:kern w:val="0"/>
      <w:sz w:val="22"/>
      <w:szCs w:val="22"/>
    </w:rPr>
  </w:style>
  <w:style w:type="paragraph" w:customStyle="1" w:styleId="40">
    <w:name w:val="xl3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color w:val="000000"/>
      <w:kern w:val="0"/>
      <w:sz w:val="22"/>
      <w:szCs w:val="22"/>
    </w:rPr>
  </w:style>
  <w:style w:type="paragraph" w:customStyle="1" w:styleId="41">
    <w:name w:val="xl34"/>
    <w:basedOn w:val="1"/>
    <w:qFormat/>
    <w:uiPriority w:val="0"/>
    <w:pPr>
      <w:widowControl/>
      <w:pBdr>
        <w:top w:val="single" w:color="000000" w:sz="4" w:space="0"/>
        <w:left w:val="single" w:color="000000" w:sz="4" w:space="0"/>
        <w:bottom w:val="single" w:color="000000" w:sz="4" w:space="0"/>
        <w:right w:val="double" w:color="000000" w:sz="6" w:space="0"/>
      </w:pBdr>
      <w:spacing w:before="100" w:beforeAutospacing="1" w:after="100" w:afterAutospacing="1"/>
      <w:jc w:val="center"/>
    </w:pPr>
    <w:rPr>
      <w:rFonts w:ascii="Arial Unicode MS" w:hAnsi="Arial Unicode MS" w:eastAsia="Arial Unicode MS" w:cs="Arial Unicode MS"/>
      <w:color w:val="000000"/>
      <w:kern w:val="0"/>
      <w:sz w:val="22"/>
      <w:szCs w:val="22"/>
    </w:rPr>
  </w:style>
  <w:style w:type="paragraph" w:customStyle="1" w:styleId="42">
    <w:name w:val="xl35"/>
    <w:basedOn w:val="1"/>
    <w:qFormat/>
    <w:uiPriority w:val="0"/>
    <w:pPr>
      <w:widowControl/>
      <w:pBdr>
        <w:top w:val="single" w:color="000000" w:sz="4" w:space="0"/>
        <w:left w:val="double" w:color="000000" w:sz="6"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000000"/>
      <w:kern w:val="0"/>
      <w:sz w:val="23"/>
      <w:szCs w:val="23"/>
    </w:rPr>
  </w:style>
  <w:style w:type="paragraph" w:customStyle="1" w:styleId="43">
    <w:name w:val="xl36"/>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Arial Unicode MS" w:hAnsi="Arial Unicode MS" w:eastAsia="Arial Unicode MS" w:cs="Arial Unicode MS"/>
      <w:b/>
      <w:bCs/>
      <w:color w:val="FF0000"/>
      <w:kern w:val="0"/>
      <w:sz w:val="23"/>
      <w:szCs w:val="23"/>
    </w:rPr>
  </w:style>
  <w:style w:type="paragraph" w:customStyle="1" w:styleId="44">
    <w:name w:val="xl37"/>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right"/>
    </w:pPr>
    <w:rPr>
      <w:rFonts w:ascii="Arial Unicode MS" w:hAnsi="Arial Unicode MS" w:eastAsia="Arial Unicode MS" w:cs="Arial Unicode MS"/>
      <w:b/>
      <w:bCs/>
      <w:color w:val="FF0000"/>
      <w:kern w:val="0"/>
      <w:sz w:val="23"/>
      <w:szCs w:val="23"/>
    </w:rPr>
  </w:style>
  <w:style w:type="paragraph" w:customStyle="1" w:styleId="45">
    <w:name w:val="xl38"/>
    <w:basedOn w:val="1"/>
    <w:qFormat/>
    <w:uiPriority w:val="0"/>
    <w:pPr>
      <w:widowControl/>
      <w:pBdr>
        <w:top w:val="single" w:color="000000" w:sz="4" w:space="0"/>
        <w:left w:val="single" w:color="000000" w:sz="4" w:space="0"/>
        <w:bottom w:val="single" w:color="000000" w:sz="4" w:space="0"/>
        <w:right w:val="double" w:color="000000" w:sz="6" w:space="0"/>
      </w:pBdr>
      <w:spacing w:before="100" w:beforeAutospacing="1" w:after="100" w:afterAutospacing="1"/>
      <w:jc w:val="center"/>
    </w:pPr>
    <w:rPr>
      <w:rFonts w:ascii="Arial Unicode MS" w:hAnsi="Arial Unicode MS" w:eastAsia="Arial Unicode MS" w:cs="Arial Unicode MS"/>
      <w:b/>
      <w:bCs/>
      <w:color w:val="FF0000"/>
      <w:kern w:val="0"/>
      <w:sz w:val="23"/>
      <w:szCs w:val="23"/>
    </w:rPr>
  </w:style>
  <w:style w:type="paragraph" w:customStyle="1" w:styleId="46">
    <w:name w:val="Char"/>
    <w:basedOn w:val="1"/>
    <w:qFormat/>
    <w:uiPriority w:val="0"/>
  </w:style>
  <w:style w:type="paragraph" w:customStyle="1" w:styleId="47">
    <w:name w:val="正文 + (符号) 宋体"/>
    <w:basedOn w:val="1"/>
    <w:qFormat/>
    <w:uiPriority w:val="0"/>
    <w:pPr>
      <w:autoSpaceDE w:val="0"/>
      <w:autoSpaceDN w:val="0"/>
      <w:adjustRightInd w:val="0"/>
      <w:ind w:right="1409" w:rightChars="671" w:firstLine="1229" w:firstLineChars="512"/>
      <w:jc w:val="distribute"/>
    </w:pPr>
    <w:rPr>
      <w:sz w:val="24"/>
    </w:rPr>
  </w:style>
  <w:style w:type="paragraph" w:customStyle="1" w:styleId="48">
    <w:name w:val="Char1"/>
    <w:basedOn w:val="1"/>
    <w:qFormat/>
    <w:uiPriority w:val="0"/>
  </w:style>
  <w:style w:type="paragraph" w:customStyle="1" w:styleId="49">
    <w:name w:val="Char Char Char Char Char Char1 Char Char Char"/>
    <w:basedOn w:val="1"/>
    <w:qFormat/>
    <w:uiPriority w:val="0"/>
    <w:pPr>
      <w:autoSpaceDE w:val="0"/>
      <w:autoSpaceDN w:val="0"/>
      <w:adjustRightInd w:val="0"/>
      <w:jc w:val="left"/>
      <w:textAlignment w:val="baseline"/>
    </w:pPr>
    <w:rPr>
      <w:rFonts w:ascii="宋体"/>
      <w:kern w:val="0"/>
      <w:sz w:val="34"/>
      <w:szCs w:val="20"/>
    </w:rPr>
  </w:style>
  <w:style w:type="paragraph" w:customStyle="1" w:styleId="50">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51">
    <w:name w:val="c1"/>
    <w:qFormat/>
    <w:uiPriority w:val="0"/>
    <w:rPr>
      <w:color w:val="000000"/>
      <w:sz w:val="18"/>
      <w:szCs w:val="18"/>
    </w:rPr>
  </w:style>
  <w:style w:type="character" w:customStyle="1" w:styleId="52">
    <w:name w:val="纯文本 Char"/>
    <w:link w:val="11"/>
    <w:qFormat/>
    <w:uiPriority w:val="99"/>
    <w:rPr>
      <w:rFonts w:ascii="宋体" w:hAnsi="Courier New"/>
      <w:kern w:val="2"/>
      <w:sz w:val="21"/>
      <w:szCs w:val="21"/>
    </w:rPr>
  </w:style>
  <w:style w:type="character" w:customStyle="1" w:styleId="53">
    <w:name w:val="页眉 Char"/>
    <w:link w:val="16"/>
    <w:qFormat/>
    <w:uiPriority w:val="99"/>
    <w:rPr>
      <w:kern w:val="2"/>
      <w:sz w:val="18"/>
      <w:szCs w:val="18"/>
    </w:rPr>
  </w:style>
  <w:style w:type="character" w:customStyle="1" w:styleId="54">
    <w:name w:val="标题 1 Char"/>
    <w:link w:val="2"/>
    <w:qFormat/>
    <w:uiPriority w:val="99"/>
    <w:rPr>
      <w:b/>
      <w:bCs/>
      <w:kern w:val="44"/>
      <w:sz w:val="44"/>
      <w:szCs w:val="44"/>
    </w:rPr>
  </w:style>
  <w:style w:type="character" w:customStyle="1" w:styleId="55">
    <w:name w:val="日期 Char"/>
    <w:link w:val="12"/>
    <w:qFormat/>
    <w:uiPriority w:val="0"/>
    <w:rPr>
      <w:kern w:val="2"/>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image" Target="media/image1.jpeg"/>
  <Relationship Id="rId7" Type="http://schemas.openxmlformats.org/officeDocument/2006/relationships/customXml" Target="../customXml/item1.xml"/>
  <Relationship Id="rId8" Type="http://schemas.openxmlformats.org/officeDocument/2006/relationships/customXml" Target="../customXml/item2.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BBD877-A678-459A-83CF-ADD347C3D236}">
  <ds:schemaRefs/>
</ds:datastoreItem>
</file>

<file path=docProps/app.xml><?xml version="1.0" encoding="utf-8"?>
<Properties xmlns="http://schemas.openxmlformats.org/officeDocument/2006/extended-properties" xmlns:vt="http://schemas.openxmlformats.org/officeDocument/2006/docPropsVTypes">
  <Template>Normal.dotm</Template>
  <Company>TRT. Ltd. Co.</Company>
  <Pages>19</Pages>
  <Words>3928</Words>
  <Characters>22392</Characters>
  <Lines>186</Lines>
  <Paragraphs>52</Paragraphs>
  <ScaleCrop>false</ScaleCrop>
  <LinksUpToDate>false</LinksUpToDate>
  <CharactersWithSpaces>26268</CharactersWithSpaces>
  <Application>WPS Office_10.1.0.6235_F1E327BC-269C-435d-A152-05C5408002CA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2012-11-12T01:33:00Z</dcterms:created>
  <dc:creator>Administrator</dc:creator>
  <lastModifiedBy>Administrator</lastModifiedBy>
  <lastPrinted>2007-07-19T00:46:00Z</lastPrinted>
  <dcterms:modified xsi:type="dcterms:W3CDTF">2017-07-18T09:47:21Z</dcterms:modified>
  <revision>43</revision>
  <dc:title>{cfid-fgi_JiJinMingCheng}</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