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
      </w:r>
      <w:r w:rsidRPr="00220C32">
        <w:rPr>
          <w:rFonts w:asciiTheme="minorEastAsia" w:eastAsiaTheme="minorEastAsia" w:hAnsiTheme="minorEastAsia"/>
          <w:b/>
          <w:color w:val="000000" w:themeColor="text1"/>
          <w:sz w:val="36"/>
          <w:szCs w:val="36"/>
        </w:rPr>
        <w:t/>
      </w:r>
      <w:r w:rsidRPr="00220C32">
        <w:rPr>
          <w:rFonts w:asciiTheme="minorEastAsia" w:eastAsiaTheme="minorEastAsia" w:hAnsiTheme="minorEastAsia" w:hint="eastAsia"/>
          <w:b/>
          <w:color w:val="000000" w:themeColor="text1"/>
          <w:sz w:val="36"/>
          <w:szCs w:val="36"/>
        </w:rPr>
        <w:t/>
      </w:r>
      <w:r w:rsidRPr="00220C32">
        <w:rPr>
          <w:rFonts w:asciiTheme="minorEastAsia" w:eastAsiaTheme="minorEastAsia" w:hAnsiTheme="minorEastAsia"/>
          <w:b/>
          <w:color w:val="000000" w:themeColor="text1"/>
          <w:sz w:val="36"/>
          <w:szCs w:val="36"/>
        </w:rPr>
        <w:t/>
      </w:r>
      <w:r w:rsidRPr="00220C32">
        <w:rPr>
          <w:rFonts w:asciiTheme="minorEastAsia" w:eastAsiaTheme="minorEastAsia" w:hAnsiTheme="minorEastAsia" w:hint="eastAsia"/>
          <w:b/>
          <w:color w:val="000000" w:themeColor="text1"/>
          <w:sz w:val="36"/>
          <w:szCs w:val="36"/>
        </w:rPr>
        <w:t>新华鑫丰灵活配置混合型证券投资基金</w:t>
      </w: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2017年第2季度报告</w:t>
      </w:r>
    </w:p>
    <w:p w:rsidR="004061AC" w:rsidRPr="00220C32" w:rsidRDefault="00655CD8"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2017年6月30日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新华基金管理股份有限公司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平安银行股份有限公司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00F16E3F" w:rsidRPr="00220C32">
        <w:rPr>
          <w:rFonts w:asciiTheme="minorEastAsia" w:eastAsiaTheme="minorEastAsia" w:hAnsiTheme="minorEastAsia"/>
          <w:b/>
          <w:color w:val="000000" w:themeColor="text1"/>
          <w:sz w:val="24"/>
          <w:szCs w:val="24"/>
        </w:rPr>
        <w:t/>
      </w:r>
      <w:r w:rsidR="00F16E3F" w:rsidRPr="00220C32">
        <w:rPr>
          <w:rFonts w:asciiTheme="minorEastAsia" w:eastAsiaTheme="minorEastAsia" w:hAnsiTheme="minorEastAsia" w:hint="eastAsia"/>
          <w:b/>
          <w:color w:val="000000" w:themeColor="text1"/>
          <w:sz w:val="24"/>
          <w:szCs w:val="24"/>
        </w:rPr>
        <w:t/>
      </w:r>
      <w:r w:rsidR="0042009D" w:rsidRPr="00220C32">
        <w:rPr>
          <w:rFonts w:asciiTheme="minorEastAsia" w:eastAsiaTheme="minorEastAsia" w:hAnsiTheme="minorEastAsia" w:hint="eastAsia"/>
          <w:b/>
          <w:color w:val="000000" w:themeColor="text1"/>
          <w:sz w:val="24"/>
          <w:szCs w:val="24"/>
        </w:rPr>
        <w:t/>
      </w:r>
      <w:r w:rsidR="00F16E3F" w:rsidRPr="00220C32">
        <w:rPr>
          <w:rFonts w:asciiTheme="minorEastAsia" w:eastAsiaTheme="minorEastAsia" w:hAnsiTheme="minorEastAsia"/>
          <w:b/>
          <w:color w:val="000000" w:themeColor="text1"/>
          <w:sz w:val="24"/>
          <w:szCs w:val="24"/>
        </w:rPr>
        <w:t>二〇一七年七月二十一日</w:t>
      </w:r>
    </w:p>
    <w:p w:rsidR="004061AC" w:rsidRPr="00220C32" w:rsidRDefault="004061AC" w:rsidP="006B3C1C">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Pr="00220C32">
        <w:rPr>
          <w:rFonts w:asciiTheme="minorEastAsia" w:eastAsiaTheme="minorEastAsia" w:hAnsiTheme="minorEastAsia"/>
          <w:color w:val="000000" w:themeColor="text1"/>
          <w:kern w:val="0"/>
          <w:sz w:val="24"/>
          <w:szCs w:val="24"/>
        </w:rPr>
        <w:t xml:space="preserve">1  </w:t>
      </w:r>
      <w:r w:rsidRPr="00220C32">
        <w:rPr>
          <w:rFonts w:asciiTheme="minorEastAsia" w:eastAsiaTheme="minorEastAsia" w:hAnsiTheme="minorEastAsia" w:hint="eastAsia"/>
          <w:color w:val="000000" w:themeColor="text1"/>
          <w:kern w:val="0"/>
          <w:sz w:val="24"/>
          <w:szCs w:val="24"/>
        </w:rPr>
        <w:t>重要提示</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基金托管人平安银行股份有限公司根据本基金合同规定，于2017年7月20日复核了本报告中的财务指标、净值表现和投资组合报告等内容，保证复核内容不存在虚假记载、误导性陈述或者重大遗漏。 </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本报告中财务资料未经审计。 </w:t>
      </w:r>
    </w:p>
    <w:p w:rsidR="004061AC" w:rsidRPr="00220C32" w:rsidRDefault="004061AC" w:rsidP="00BF6314">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本报告期自2017年4月17日起至6月30日止。</w:t>
      </w:r>
    </w:p>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2  </w:t>
      </w:r>
      <w:r w:rsidRPr="00220C32">
        <w:rPr>
          <w:rFonts w:asciiTheme="minorEastAsia" w:eastAsiaTheme="minorEastAsia" w:hAnsiTheme="minorEastAsia"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220C32" w:rsidRPr="00220C32" w:rsidTr="00BF6314">
        <w:tc>
          <w:tcPr>
            <w:tcW w:w="2835"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基金简称</w:t>
            </w:r>
          </w:p>
        </w:tc>
        <w:tc>
          <w:tcPr>
            <w:tcW w:w="5479" w:type="dxa"/>
            <w:gridSpan w:val="2"/>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新华鑫丰灵活配置混合</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hint="eastAsia"/>
                <w:color w:val="000000" w:themeColor="text1"/>
                <w:kern w:val="0"/>
              </w:rPr>
              <w:t>003621</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220C32" w:rsidRDefault="001B2F35"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交易代码</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1B2F35" w:rsidRPr="00220C32" w:rsidRDefault="00C5218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003621</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基金运作方式</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契约型开放式</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基金合同生效日</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2017年4月17日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报告期末基金份额总额</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15,868,599.05</w:t>
            </w:r>
            <w:r w:rsidRPr="00220C32">
              <w:rPr>
                <w:rFonts w:asciiTheme="minorEastAsia" w:eastAsiaTheme="minorEastAsia" w:hAnsiTheme="minorEastAsia" w:hint="eastAsia"/>
                <w:color w:val="000000" w:themeColor="text1"/>
                <w:kern w:val="0"/>
              </w:rPr>
              <w:t>份</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投资目标</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综合运用多种投资策略，在严格控制基金资产净值下行风险的基础上，力争持续实现超越业绩基准的超额收益。</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投资策略</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投资策略方面，本基金将以大类资产配置策略为基础，采取积极的股票投资策略和稳健的债券投资策略。本基金将采用战略性和战术性相结合的大类资产配置策略，在基金合同规定的投资比例范围内确定各大类资产的配置比例。股票投资策略通过结合证券市场趋势，以基本面研究为基础，深入分析宏观经济指标和经济政策，精选基本面良好，具有较好盈利能力和市场竞争力的公司，严选其中安全边际较高的个股构建投资组合。债券投资策略主要运用久期调整策略、收益率曲线配置策略、债券类属配置策略、骑乘策略、个券精选策略等多种策略，通过严谨的研究，构建核心组合。</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业绩比较基准</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沪深300指数收益率×60%＋中国债券总指数收益率×40%。</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风险收益特征</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本基金为混合型基金，属于证券投资基金中的中等预期风险中等预期收益品种，预期风险和预期收益低于股票型基金，高于债券型基金和货币市场基金。</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基金管理人</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新华基金管理股份有限公司</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基金托管人</w:t>
            </w:r>
          </w:p>
        </w:tc>
        <w:tc>
          <w:tcPr>
            <w:tcW w:w="5479" w:type="dxa"/>
            <w:gridSpan w:val="2"/>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s="宋体"/>
                <w:color w:val="000000" w:themeColor="text1"/>
                <w:kern w:val="0"/>
              </w:rPr>
              <w:t/>
            </w:r>
            <w:r w:rsidRPr="00220C32">
              <w:rPr>
                <w:rFonts w:asciiTheme="minorEastAsia" w:eastAsiaTheme="minorEastAsia" w:hAnsiTheme="minorEastAsia"/>
                <w:color w:val="000000" w:themeColor="text1"/>
                <w:kern w:val="0"/>
              </w:rPr>
              <w:t>平安银行股份有限公司</w:t>
            </w:r>
          </w:p>
        </w:tc>
      </w:tr>
    </w:tbl>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3  </w:t>
      </w:r>
      <w:r w:rsidRPr="00220C32">
        <w:rPr>
          <w:rFonts w:asciiTheme="minorEastAsia" w:eastAsiaTheme="minorEastAsia" w:hAnsiTheme="minorEastAsia" w:hint="eastAsia"/>
          <w:color w:val="000000" w:themeColor="text1"/>
          <w:kern w:val="0"/>
          <w:sz w:val="24"/>
          <w:szCs w:val="24"/>
        </w:rPr>
        <w:t>主要财务指标和基金净值表现</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3.1 </w:t>
      </w:r>
      <w:r w:rsidRPr="00220C32">
        <w:rPr>
          <w:rFonts w:asciiTheme="minorEastAsia" w:eastAsiaTheme="minorEastAsia" w:hAnsiTheme="minorEastAsia" w:hint="eastAsia"/>
          <w:b/>
          <w:bCs/>
          <w:color w:val="000000" w:themeColor="text1"/>
          <w:kern w:val="0"/>
          <w:sz w:val="24"/>
          <w:szCs w:val="24"/>
        </w:rPr>
        <w:t>主要财务指标</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lastRenderedPageBreak/>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552"/>
        <w:gridCol w:w="2410"/>
      </w:tblGrid>
      <w:tr w:rsidR="00220C32" w:rsidRPr="00220C32" w:rsidTr="00237F09">
        <w:tc>
          <w:tcPr>
            <w:tcW w:w="3402" w:type="dxa"/>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主要财务指标</w:t>
            </w:r>
            <w:r w:rsidR="00D96C8D" w:rsidRPr="00220C32">
              <w:rPr>
                <w:rFonts w:asciiTheme="minorEastAsia" w:eastAsiaTheme="minorEastAsia" w:hAnsiTheme="minorEastAsia" w:cs="宋体"/>
                <w:color w:val="000000" w:themeColor="text1"/>
                <w:kern w:val="0"/>
              </w:rPr>
              <w:t/>
            </w:r>
          </w:p>
        </w:tc>
        <w:tc>
          <w:tcPr>
            <w:tcW w:w="4962" w:type="dxa"/>
            <w:hMerge w:val="restart"/>
            <w:vAlign w:val="center"/>
          </w:tcPr>
          <w:p w:rsidR="009C60F7" w:rsidRPr="00220C32" w:rsidRDefault="009C60F7"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报告期</w:t>
            </w:r>
          </w:p>
          <w:p w:rsidR="00C21520" w:rsidRPr="00220C32" w:rsidRDefault="009C60F7" w:rsidP="00237F09">
            <w:pPr>
              <w:adjustRightInd w:val="0"/>
              <w:spacing w:before="29" w:line="360" w:lineRule="auto"/>
              <w:ind w:left="17"/>
              <w:jc w:val="center"/>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rPr>
              <w:t>(</w:t>
            </w: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2017年4月17日（基金合同生效日）-2017年6月30日</w:t>
            </w:r>
            <w:r w:rsidRPr="00220C32">
              <w:rPr>
                <w:rFonts w:asciiTheme="minorEastAsia" w:eastAsiaTheme="minorEastAsia" w:hAnsiTheme="minorEastAsia" w:cs="宋体" w:hint="eastAsia"/>
                <w:color w:val="000000" w:themeColor="text1"/>
              </w:rPr>
              <w:t>)</w:t>
            </w:r>
          </w:p>
        </w:tc>
        <w:tc>
          <w:tcPr>
            <w:tcW w:w="2410" w:type="dxa"/>
            <w:hMerge/>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上期金额</w:t>
            </w:r>
            <w:r w:rsidR="006A7AF1" w:rsidRPr="00220C32">
              <w:rPr>
                <w:rFonts w:asciiTheme="minorEastAsia" w:eastAsiaTheme="minorEastAsia" w:hAnsiTheme="minorEastAsia" w:hint="eastAsia"/>
                <w:color w:val="000000" w:themeColor="text1"/>
              </w:rPr>
              <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1.</w:t>
            </w:r>
            <w:r w:rsidRPr="00220C32">
              <w:rPr>
                <w:rFonts w:asciiTheme="minorEastAsia" w:eastAsiaTheme="minorEastAsia" w:hAnsiTheme="minorEastAsia" w:cs="宋体" w:hint="eastAsia"/>
                <w:color w:val="000000" w:themeColor="text1"/>
                <w:kern w:val="0"/>
              </w:rPr>
              <w:t>本期已实现收益</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1,661,730.03</w:t>
            </w:r>
          </w:p>
        </w:tc>
        <w:tc>
          <w:tcPr>
            <w:tcW w:w="2410" w:type="dxa"/>
            <w:hMerge/>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color w:val="000000" w:themeColor="text1"/>
              </w:rPr>
              <w:t>-</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2.</w:t>
            </w:r>
            <w:r w:rsidRPr="00220C32">
              <w:rPr>
                <w:rFonts w:asciiTheme="minorEastAsia" w:eastAsiaTheme="minorEastAsia" w:hAnsiTheme="minorEastAsia" w:cs="宋体" w:hint="eastAsia"/>
                <w:color w:val="000000" w:themeColor="text1"/>
                <w:kern w:val="0"/>
              </w:rPr>
              <w:t>本期利润</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1,661,730.03</w:t>
            </w:r>
          </w:p>
        </w:tc>
        <w:tc>
          <w:tcPr>
            <w:tcW w:w="2410" w:type="dxa"/>
            <w:hMerge/>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color w:val="000000" w:themeColor="text1"/>
              </w:rPr>
              <w:t>-</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3.</w:t>
            </w:r>
            <w:r w:rsidRPr="00220C32">
              <w:rPr>
                <w:rFonts w:asciiTheme="minorEastAsia" w:eastAsiaTheme="minorEastAsia" w:hAnsiTheme="minorEastAsia" w:cs="宋体" w:hint="eastAsia"/>
                <w:color w:val="000000" w:themeColor="text1"/>
                <w:kern w:val="0"/>
              </w:rPr>
              <w:t>加权平均基金份额本期利润</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0.0270</w:t>
            </w:r>
          </w:p>
        </w:tc>
        <w:tc>
          <w:tcPr>
            <w:tcW w:w="2410" w:type="dxa"/>
            <w:hMerge/>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color w:val="000000" w:themeColor="text1"/>
              </w:rPr>
              <w:t>-</w:t>
            </w:r>
          </w:p>
        </w:tc>
      </w:tr>
      <w:tr w:rsidR="00220C32" w:rsidRPr="00220C32" w:rsidTr="00237F0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4.</w:t>
            </w:r>
            <w:r w:rsidRPr="00220C32">
              <w:rPr>
                <w:rFonts w:asciiTheme="minorEastAsia" w:eastAsiaTheme="minorEastAsia" w:hAnsiTheme="minorEastAsia" w:cs="宋体" w:hint="eastAsia"/>
                <w:color w:val="000000" w:themeColor="text1"/>
                <w:kern w:val="0"/>
              </w:rPr>
              <w:t>期末基金资产净值</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16,688,996.28</w:t>
            </w:r>
          </w:p>
        </w:tc>
        <w:tc>
          <w:tcPr>
            <w:tcW w:w="2410" w:type="dxa"/>
            <w:hMerge/>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color w:val="000000" w:themeColor="text1"/>
              </w:rPr>
              <w:t>-</w:t>
            </w:r>
          </w:p>
        </w:tc>
      </w:tr>
      <w:tr w:rsidR="00220C32" w:rsidRPr="00220C32" w:rsidTr="00237F09">
        <w:trPr>
          <w:trHeight w:val="158"/>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5.</w:t>
            </w:r>
            <w:r w:rsidRPr="00220C32">
              <w:rPr>
                <w:rFonts w:asciiTheme="minorEastAsia" w:eastAsiaTheme="minorEastAsia" w:hAnsiTheme="minorEastAsia" w:cs="宋体" w:hint="eastAsia"/>
                <w:color w:val="000000" w:themeColor="text1"/>
                <w:kern w:val="0"/>
              </w:rPr>
              <w:t>期末基金份额净值</w:t>
            </w:r>
          </w:p>
        </w:tc>
        <w:tc>
          <w:tcPr>
            <w:tcW w:w="4962" w:type="dxa"/>
            <w:hMerge w:val="restart"/>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1.0517</w:t>
            </w:r>
          </w:p>
        </w:tc>
        <w:tc>
          <w:tcPr>
            <w:tcW w:w="2410" w:type="dxa"/>
            <w:hMerge/>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
            </w:r>
            <w:r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hint="eastAsia"/>
                <w:color w:val="000000" w:themeColor="text1"/>
              </w:rPr>
              <w:t/>
            </w:r>
            <w:r w:rsidR="006A7AF1" w:rsidRPr="00220C32">
              <w:rPr>
                <w:rFonts w:asciiTheme="minorEastAsia" w:eastAsiaTheme="minorEastAsia" w:hAnsiTheme="minorEastAsia" w:cs="宋体"/>
                <w:color w:val="000000" w:themeColor="text1"/>
              </w:rPr>
              <w:t>-</w:t>
            </w:r>
          </w:p>
        </w:tc>
      </w:tr>
    </w:tbl>
    <w:p>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注：1、本期已实现收益指基金本期利息收入、投资收益、其他收入（不含公允价值变动收益）扣除相关费用后的余额，本期利润为本期已实现收益加上本期公允价值变动收益；</w:t>
      </w:r>
    </w:p>
    <w:p>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2、以上所述基金业绩指标不包括持有人认购或交易基金的各项费用（例如基金申购费赎回费等），记入费用后实际收益水平要低于所列数字；</w:t>
      </w:r>
    </w:p>
    <w:p w:rsidR="004061AC" w:rsidRPr="00220C32" w:rsidRDefault="00A5612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3、本基金于2017年04月17日基金合同生效，至本报告期末未满一年。</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 </w:t>
      </w:r>
      <w:r w:rsidRPr="00220C32">
        <w:rPr>
          <w:rFonts w:asciiTheme="minorEastAsia" w:eastAsiaTheme="minorEastAsia" w:hAnsiTheme="minorEastAsia" w:hint="eastAsia"/>
          <w:b/>
          <w:bCs/>
          <w:color w:val="000000" w:themeColor="text1"/>
          <w:kern w:val="0"/>
          <w:sz w:val="24"/>
          <w:szCs w:val="24"/>
        </w:rPr>
        <w:t>基金净值表现</w:t>
      </w:r>
    </w:p>
    <w:p w:rsidR="00CF6572" w:rsidRPr="00220C32" w:rsidRDefault="004061AC" w:rsidP="009E7C6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3.2.1 </w:t>
      </w:r>
      <w:r w:rsidRPr="00220C32">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20C32" w:rsidTr="00BD7703">
        <w:tc>
          <w:tcPr>
            <w:tcW w:w="1395"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阶段</w:t>
            </w:r>
            <w:r w:rsidR="00200FAB" w:rsidRPr="00220C32">
              <w:rPr>
                <w:rFonts w:asciiTheme="minorEastAsia" w:eastAsiaTheme="minorEastAsia" w:hAnsiTheme="minorEastAsia" w:cs="Arial" w:hint="eastAsia"/>
                <w:color w:val="000000" w:themeColor="text1"/>
                <w:sz w:val="21"/>
              </w:rPr>
              <w:t/>
            </w:r>
          </w:p>
        </w:tc>
        <w:tc>
          <w:tcPr>
            <w:tcW w:w="1092"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净值增长率①</w:t>
            </w:r>
          </w:p>
        </w:tc>
        <w:tc>
          <w:tcPr>
            <w:tcW w:w="116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净值增长率标准差②</w:t>
            </w:r>
          </w:p>
        </w:tc>
        <w:tc>
          <w:tcPr>
            <w:tcW w:w="118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业绩比较基准收益率③</w:t>
            </w:r>
          </w:p>
        </w:tc>
        <w:tc>
          <w:tcPr>
            <w:tcW w:w="118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业绩比较基准收益率标准差④</w:t>
            </w:r>
          </w:p>
        </w:tc>
        <w:tc>
          <w:tcPr>
            <w:tcW w:w="1199"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①</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③</w:t>
            </w:r>
          </w:p>
        </w:tc>
        <w:tc>
          <w:tcPr>
            <w:tcW w:w="1204"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②</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④</w:t>
            </w:r>
          </w:p>
        </w:tc>
      </w:tr>
      <w:tr>
        <w:tc>
          <w:tcPr>
            <w:vAlign w:val="center"/>
          </w:tcPr>
          <w:p>
            <w:pPr>
              <w:jc w:val="left"/>
            </w:pPr>
            <w:r>
              <w:rPr>
                <w:rFonts w:asciiTheme="minorEastAsia" w:eastAsiaTheme="minorEastAsia" w:hAnsiTheme="minorEastAsia"/>
                <w:color w:val="000000" w:themeColor="text1"/>
                <w:sz w:val="21"/>
              </w:rPr>
              <w:t>过去三个月</w:t>
            </w:r>
          </w:p>
        </w:tc>
        <w:tc>
          <w:tcPr>
            <w:vAlign w:val="center"/>
          </w:tcPr>
          <w:p>
            <w:pPr>
              <w:jc w:val="center"/>
            </w:pPr>
            <w:r>
              <w:rPr>
                <w:rFonts w:asciiTheme="minorEastAsia" w:eastAsiaTheme="minorEastAsia" w:hAnsiTheme="minorEastAsia"/>
                <w:color w:val="000000" w:themeColor="text1"/>
                <w:sz w:val="21"/>
              </w:rPr>
              <w:t>5.17%</w:t>
            </w:r>
          </w:p>
        </w:tc>
        <w:tc>
          <w:tcPr>
            <w:vAlign w:val="center"/>
          </w:tcPr>
          <w:p>
            <w:pPr>
              <w:jc w:val="center"/>
            </w:pPr>
            <w:r>
              <w:rPr>
                <w:rFonts w:asciiTheme="minorEastAsia" w:eastAsiaTheme="minorEastAsia" w:hAnsiTheme="minorEastAsia"/>
                <w:color w:val="000000" w:themeColor="text1"/>
                <w:sz w:val="21"/>
              </w:rPr>
              <w:t>0.57%</w:t>
            </w:r>
          </w:p>
        </w:tc>
        <w:tc>
          <w:tcPr>
            <w:vAlign w:val="center"/>
          </w:tcPr>
          <w:p>
            <w:pPr>
              <w:jc w:val="center"/>
            </w:pPr>
            <w:r>
              <w:rPr>
                <w:rFonts w:asciiTheme="minorEastAsia" w:eastAsiaTheme="minorEastAsia" w:hAnsiTheme="minorEastAsia"/>
                <w:color w:val="000000" w:themeColor="text1"/>
                <w:sz w:val="21"/>
              </w:rPr>
              <w:t>2.80%</w:t>
            </w:r>
          </w:p>
        </w:tc>
        <w:tc>
          <w:tcPr>
            <w:vAlign w:val="center"/>
          </w:tcPr>
          <w:p>
            <w:pPr>
              <w:jc w:val="center"/>
            </w:pPr>
            <w:r>
              <w:rPr>
                <w:rFonts w:asciiTheme="minorEastAsia" w:eastAsiaTheme="minorEastAsia" w:hAnsiTheme="minorEastAsia"/>
                <w:color w:val="000000" w:themeColor="text1"/>
                <w:sz w:val="21"/>
              </w:rPr>
              <w:t>0.39%</w:t>
            </w:r>
          </w:p>
        </w:tc>
        <w:tc>
          <w:tcPr>
            <w:vAlign w:val="center"/>
          </w:tcPr>
          <w:p>
            <w:pPr>
              <w:jc w:val="center"/>
            </w:pPr>
            <w:r>
              <w:rPr>
                <w:rFonts w:asciiTheme="minorEastAsia" w:eastAsiaTheme="minorEastAsia" w:hAnsiTheme="minorEastAsia"/>
                <w:color w:val="000000" w:themeColor="text1"/>
                <w:sz w:val="21"/>
              </w:rPr>
              <w:t>2.37%</w:t>
            </w:r>
          </w:p>
        </w:tc>
        <w:tc>
          <w:tcPr>
            <w:vAlign w:val="center"/>
          </w:tcPr>
          <w:p>
            <w:pPr>
              <w:jc w:val="center"/>
            </w:pPr>
            <w:r>
              <w:rPr>
                <w:rFonts w:asciiTheme="minorEastAsia" w:eastAsiaTheme="minorEastAsia" w:hAnsiTheme="minorEastAsia"/>
                <w:color w:val="000000" w:themeColor="text1"/>
                <w:sz w:val="21"/>
              </w:rPr>
              <w:t>0.18%</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3.2.2</w:t>
      </w:r>
      <w:r w:rsidR="007B4D7A" w:rsidRPr="00220C32">
        <w:rPr>
          <w:rStyle w:val="afb"/>
          <w:rFonts w:hint="eastAsia"/>
          <w:color w:val="000000" w:themeColor="text1"/>
          <w:sz w:val="24"/>
          <w:szCs w:val="24"/>
          <w:shd w:val="clear" w:color="auto" w:fill="FFFFFF"/>
        </w:rPr>
        <w:t>自基金合同生效以来</w:t>
      </w:r>
      <w:r w:rsidR="00FB0BC9" w:rsidRPr="00220C32">
        <w:rPr>
          <w:rFonts w:asciiTheme="minorEastAsia" w:eastAsiaTheme="minorEastAsia" w:hAnsiTheme="minorEastAsia" w:hint="eastAsia"/>
          <w:b/>
          <w:bCs/>
          <w:color w:val="000000" w:themeColor="text1"/>
          <w:kern w:val="0"/>
          <w:sz w:val="24"/>
          <w:szCs w:val="24"/>
        </w:rPr>
        <w:t>基金累计</w:t>
      </w:r>
      <w:r w:rsidRPr="00220C32">
        <w:rPr>
          <w:rFonts w:asciiTheme="minorEastAsia" w:eastAsiaTheme="minorEastAsia" w:hAnsiTheme="minorEastAsia" w:hint="eastAsia"/>
          <w:b/>
          <w:bCs/>
          <w:color w:val="000000" w:themeColor="text1"/>
          <w:kern w:val="0"/>
          <w:sz w:val="24"/>
          <w:szCs w:val="24"/>
        </w:rPr>
        <w:t>净值增长率变动及其与同期业绩比较基准收益率变动的比较</w:t>
      </w:r>
    </w:p>
    <w:p w:rsidR="008606B6" w:rsidRPr="00220C32" w:rsidRDefault="008606B6" w:rsidP="009E7C6A">
      <w:pPr>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新华鑫丰灵活配置混合型证券投资基金</w:t>
      </w:r>
    </w:p>
    <w:p w:rsidR="004061AC" w:rsidRPr="00220C32" w:rsidRDefault="00FB0BC9" w:rsidP="009E7C6A">
      <w:pPr>
        <w:pStyle w:val="a5"/>
        <w:snapToGrid w:val="0"/>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累计净值增长率与业绩比较基准收益率</w:t>
      </w:r>
      <w:r w:rsidR="004061AC" w:rsidRPr="00220C32">
        <w:rPr>
          <w:rFonts w:asciiTheme="minorEastAsia" w:eastAsiaTheme="minorEastAsia" w:hAnsiTheme="minorEastAsia" w:hint="eastAsia"/>
          <w:color w:val="000000" w:themeColor="text1"/>
        </w:rPr>
        <w:t>历史走势对比图</w:t>
      </w:r>
    </w:p>
    <w:p w:rsidR="00AE7962" w:rsidRPr="00220C32" w:rsidRDefault="00AE7962" w:rsidP="009E7C6A">
      <w:pPr>
        <w:pStyle w:val="a5"/>
        <w:snapToGrid w:val="0"/>
        <w:spacing w:line="360" w:lineRule="auto"/>
        <w:ind w:firstLine="480"/>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w:t>
      </w:r>
      <w:r w:rsidR="0042009D" w:rsidRPr="00220C32">
        <w:rPr>
          <w:rFonts w:asciiTheme="minorEastAsia" w:eastAsiaTheme="minorEastAsia" w:hAnsiTheme="minorEastAsia"/>
          <w:color w:val="000000" w:themeColor="text1"/>
        </w:rPr>
        <w:t>2017年4月17日</w:t>
      </w:r>
      <w:r w:rsidRPr="00220C32">
        <w:rPr>
          <w:rFonts w:asciiTheme="minorEastAsia" w:eastAsiaTheme="minorEastAsia" w:hAnsiTheme="minorEastAsia" w:hint="eastAsia"/>
          <w:color w:val="000000" w:themeColor="text1"/>
        </w:rPr>
        <w:t>至2017年6月30日)</w:t>
      </w:r>
    </w:p>
    <w:p w:rsidR="004061AC" w:rsidRPr="00220C32" w:rsidRDefault="00866CF2" w:rsidP="004061AC">
      <w:pPr>
        <w:pStyle w:val="a5"/>
        <w:snapToGrid w:val="0"/>
        <w:spacing w:before="120" w:line="360" w:lineRule="auto"/>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val="0"/>
                        </a:ext>
                      </a:extLst>
                    </a:blip>
                    <a:srcRect/>
                    <a:stretch>
                      <a:fillRect/>
                    </a:stretch>
                  </pic:blipFill>
                  <pic:spPr bwMode="auto">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注：1、本基金于2017年04月17日基金合同生效，至本报告期末未满一年。</w:t>
      </w:r>
    </w:p>
    <w:p w:rsidR="004061AC" w:rsidRPr="00220C32" w:rsidRDefault="001C79F2"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8700EC"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2、本基金的建仓期为6个月，截至报告期末基金尚未完成建仓。</w:t>
      </w:r>
    </w:p>
    <w:p w:rsidR="00957594" w:rsidRPr="00220C32" w:rsidRDefault="00957594" w:rsidP="004061AC">
      <w:pPr>
        <w:tabs>
          <w:tab w:val="left" w:pos="1800"/>
        </w:tabs>
        <w:spacing w:line="360" w:lineRule="auto"/>
        <w:rPr>
          <w:rFonts w:asciiTheme="minorEastAsia" w:eastAsiaTheme="minorEastAsia" w:hAnsiTheme="minorEastAsia"/>
          <w:color w:val="000000" w:themeColor="text1"/>
          <w:sz w:val="24"/>
          <w:szCs w:val="24"/>
        </w:rPr>
      </w:pPr>
    </w:p>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4  </w:t>
      </w:r>
      <w:r w:rsidRPr="00220C32">
        <w:rPr>
          <w:rFonts w:asciiTheme="minorEastAsia" w:eastAsiaTheme="minorEastAsia" w:hAnsiTheme="minorEastAsia" w:hint="eastAsia"/>
          <w:color w:val="000000" w:themeColor="text1"/>
          <w:kern w:val="0"/>
          <w:sz w:val="24"/>
          <w:szCs w:val="24"/>
        </w:rPr>
        <w:t>管理人报告</w:t>
      </w:r>
    </w:p>
    <w:p w:rsidR="00B12B7D"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4.1 </w:t>
      </w:r>
      <w:r w:rsidRPr="00220C32">
        <w:rPr>
          <w:rFonts w:asciiTheme="minorEastAsia" w:eastAsiaTheme="minorEastAsia" w:hAnsiTheme="minorEastAsia" w:hint="eastAsia"/>
          <w:b/>
          <w:bCs/>
          <w:color w:val="000000" w:themeColor="text1"/>
          <w:kern w:val="0"/>
          <w:sz w:val="24"/>
          <w:szCs w:val="24"/>
        </w:rPr>
        <w:t>基金经理</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或基金经理小组</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220C32" w:rsidTr="00B32AA7">
        <w:trPr>
          <w:cantSplit/>
          <w:trHeight w:val="292"/>
        </w:trPr>
        <w:tc>
          <w:tcPr>
            <w:tcW w:w="851"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姓名</w:t>
            </w:r>
          </w:p>
        </w:tc>
        <w:tc>
          <w:tcPr>
            <w:tcW w:w="850"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职务</w:t>
            </w:r>
          </w:p>
        </w:tc>
        <w:tc>
          <w:tcPr>
            <w:tcW w:w="3119" w:type="dxa"/>
            <w:gridSpan w:val="2"/>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说明</w:t>
            </w:r>
          </w:p>
        </w:tc>
      </w:tr>
      <w:tr w:rsidR="00220C32" w:rsidRPr="00220C32" w:rsidTr="00B32AA7">
        <w:trPr>
          <w:cantSplit/>
        </w:trPr>
        <w:tc>
          <w:tcPr>
            <w:tcW w:w="851"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任职日期</w:t>
            </w:r>
          </w:p>
        </w:tc>
        <w:tc>
          <w:tcPr>
            <w:tcW w:w="1559"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离任日期</w:t>
            </w:r>
          </w:p>
        </w:tc>
        <w:tc>
          <w:tcPr>
            <w:tcW w:w="1417"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r>
      <w:tr>
        <w:tc>
          <w:tcPr>
            <w:vAlign w:val="center"/>
          </w:tcPr>
          <w:p>
            <w:pPr>
              <w:jc w:val="center"/>
            </w:pPr>
            <w:r>
              <w:rPr>
                <w:rFonts w:asciiTheme="minorEastAsia" w:eastAsiaTheme="minorEastAsia" w:hAnsiTheme="minorEastAsia"/>
                <w:color w:val="000000" w:themeColor="text1"/>
              </w:rPr>
              <w:t>张永超</w:t>
            </w:r>
          </w:p>
        </w:tc>
        <w:tc>
          <w:tcPr>
            <w:vAlign w:val="center"/>
          </w:tcPr>
          <w:p>
            <w:pPr>
              <w:jc w:val="center"/>
            </w:pPr>
            <w:r>
              <w:rPr>
                <w:rFonts w:asciiTheme="minorEastAsia" w:eastAsiaTheme="minorEastAsia" w:hAnsiTheme="minorEastAsia"/>
                <w:color w:val="000000" w:themeColor="text1"/>
              </w:rPr>
              <w:t>本基金基金经理，新华中证环保产业指数分级证券投资基金基金经理、新华健康生活主题灵活配置混合型证券投资基金基金经理、新华鑫锐混合型证券投资基金基金经理、新华鑫弘灵活配置混合型证券投资基金基金经理、新华华瑞灵活配置混合型证券投资基金基金经理、新华科技创新主题灵活配置混合型证券投资基金基金经理、新华华盛灵活配置混合型证券投资基金基金经理、新华鑫裕灵活配置混合型证券投资基金基金经理。</w:t>
            </w:r>
          </w:p>
        </w:tc>
        <w:tc>
          <w:tcPr>
            <w:vAlign w:val="center"/>
          </w:tcPr>
          <w:p>
            <w:pPr>
              <w:jc w:val="center"/>
            </w:pPr>
            <w:r>
              <w:rPr>
                <w:rFonts w:asciiTheme="minorEastAsia" w:eastAsiaTheme="minorEastAsia" w:hAnsiTheme="minorEastAsia"/>
                <w:color w:val="000000" w:themeColor="text1"/>
              </w:rPr>
              <w:t>2017-04-17</w:t>
            </w:r>
          </w:p>
        </w:tc>
        <w:tc>
          <w:tcPr>
            <w:vAlign w:val="center"/>
          </w:tcPr>
          <w:p>
            <w:pPr>
              <w:jc w:val="center"/>
            </w:pPr>
            <w:r>
              <w:rPr>
                <w:rFonts w:asciiTheme="minorEastAsia" w:eastAsiaTheme="minorEastAsia" w:hAnsiTheme="minorEastAsia"/>
                <w:color w:val="000000" w:themeColor="text1"/>
              </w:rPr>
              <w:t>-</w:t>
            </w:r>
          </w:p>
        </w:tc>
        <w:tc>
          <w:tcPr>
            <w:vAlign w:val="center"/>
          </w:tcPr>
          <w:p>
            <w:pPr>
              <w:jc w:val="center"/>
            </w:pPr>
            <w:r>
              <w:rPr>
                <w:rFonts w:asciiTheme="minorEastAsia" w:eastAsiaTheme="minorEastAsia" w:hAnsiTheme="minorEastAsia"/>
                <w:color w:val="000000" w:themeColor="text1"/>
              </w:rPr>
              <w:t>7</w:t>
            </w:r>
          </w:p>
        </w:tc>
        <w:tc>
          <w:tcPr>
            <w:vAlign w:val="center"/>
          </w:tcPr>
          <w:p>
            <w:pPr>
              <w:jc w:val="both"/>
            </w:pPr>
            <w:r>
              <w:rPr>
                <w:rFonts w:asciiTheme="minorEastAsia" w:eastAsiaTheme="minorEastAsia" w:hAnsiTheme="minorEastAsia"/>
                <w:color w:val="000000" w:themeColor="text1"/>
              </w:rPr>
              <w:t>工商管理硕士，7年证券从业经验，历任中信证券股份有限公司量化投资经理、北京乐正资本管理有限公司高级投资经理、中融国际信托有限公司投资经理。2016年3月加入新华基金管理股份有限公司，现任新华中证环保产业指数分级证券投资基金基金经理、新华健康生活主题灵活配置混合型证券投资基金基金经理、新华鑫锐混合型证券投资基金基金经理、新华鑫弘灵活配置混合型证券投资基金基金经理、新华华瑞灵活配置混合型证券投资基金基金经理、新华科技创新主题灵活配置混合型证券投资基金基金经理、新华鑫丰灵活配置混合型证券投资基金基金经理、新华华盛灵活配置混合型证券投资基金基金经理、新华鑫裕灵活配置混合型证券投资基金基金经理。</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4.2 </w:t>
      </w:r>
      <w:r w:rsidRPr="00220C32">
        <w:rPr>
          <w:rFonts w:asciiTheme="minorEastAsia" w:eastAsiaTheme="minorEastAsia" w:hAnsiTheme="minorEastAsia" w:hint="eastAsia"/>
          <w:b/>
          <w:bCs/>
          <w:color w:val="000000" w:themeColor="text1"/>
          <w:kern w:val="0"/>
          <w:sz w:val="24"/>
          <w:szCs w:val="24"/>
        </w:rPr>
        <w:t>管理人对报告期内本基金运作遵规守信情况的说明</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新华基金管理股份有限公司作为新华鑫丰灵活配置混合型证券投资基金的管理人，按照《中华人民共和国证券投资基金法》、《新华鑫丰灵活配置混合型证券投资基金基金合同》以及其它有关法律法规的规定，本着诚实信用、勤勉尽责的原则管理和运用基金资产，在严格控制风险的基础上为持有人谋求最大利益。运作整体合法合规，无损害基金持有人利益的行为。</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中国证监会颁布的《证券投资基金管理公司公平交易制度指导意见》（2011年修订），公司制定了《新华基金管理股份有限公司公平交易管理制度》。制度的范围包括境内上市股票、债券的一级市场申购、二级市场交易等所有投资管理活动，同时包括授权、研究分析、投资决策、交易执行等投资管理活动相关的各个环节。</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场内交易，投资指令统一由交易部下达，并且启动交易系统公平交易模块。根据公司制度，严格禁止不同投资组合之间互为对手方的交易，严格控制不同投资组合之间的同日反向交易。</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
      </w:r>
      <w:r w:rsidR="00957594" w:rsidRPr="00220C32">
        <w:rPr>
          <w:rFonts w:asciiTheme="minorEastAsia" w:eastAsiaTheme="minorEastAsia" w:hAnsiTheme="minorEastAsia"/>
          <w:color w:val="000000" w:themeColor="text1"/>
        </w:rPr>
        <w:t/>
      </w:r>
      <w:r w:rsidRPr="00220C32">
        <w:rPr>
          <w:rFonts w:asciiTheme="minorEastAsia" w:eastAsiaTheme="minorEastAsia" w:hAnsiTheme="minorEastAsia"/>
          <w:color w:val="000000" w:themeColor="text1"/>
        </w:rPr>
        <w:t>场外交易中，对于部分债券一级市场申购、非公开发行股票申购等交易，交易部根据各投资组合经理申报的满足价格条件的数量进行比例分配。如有异议，由交易部报投资总监、督察长、金融工程部和监察稽核部，再次进行审核并确定最终分配结果。如果督察长认为有必要，可以召开风险管理委员会会议，对公平交易的结果进行评估和审议。对于银行间市场交易、固定收益平台、交易所大宗交易，投资组合经理以该投资组合的名义向交易部下达投资指令，交易部向银行间市场或交易对手询价、成交确认，并根据“时间优先、价格优先”的原则保证各投资组合获得公平的交易机会</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4061AC" w:rsidRPr="00220C32" w:rsidRDefault="00957594"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 xml:space="preserve">本报告期，公司对不同组合不同时间段的同向交易价差进行了溢价率样本的采集，通过平均溢价率、买入/卖出溢价率以及利益输送金额等多个层面来判断不同投资组合之间在某一时间段是否存在违反公平交易原则的异常情况，未发现重大异常情况，且不存在报告期内所有投资组合参与的交易所公开竞价同日反向交易成交较少的单边成交量超过该证券当日成交量的5%的情况。 </w:t>
      </w:r>
    </w:p>
    <w:p w:rsidR="004061AC" w:rsidRPr="00220C32" w:rsidRDefault="004061AC"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4.4 </w:t>
      </w:r>
      <w:r w:rsidRPr="00220C32">
        <w:rPr>
          <w:rFonts w:asciiTheme="minorEastAsia" w:eastAsiaTheme="minorEastAsia" w:hAnsiTheme="minorEastAsia" w:hint="eastAsia"/>
          <w:b/>
          <w:bCs/>
          <w:color w:val="000000" w:themeColor="text1"/>
          <w:kern w:val="0"/>
          <w:sz w:val="24"/>
          <w:szCs w:val="24"/>
        </w:rPr>
        <w:t>报告期内基金的投资策略和业绩表现说明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lastRenderedPageBreak/>
        <w:t>4.4.1</w:t>
      </w:r>
      <w:r w:rsidRPr="00220C32">
        <w:rPr>
          <w:rFonts w:asciiTheme="minorEastAsia" w:eastAsiaTheme="minorEastAsia" w:hAnsiTheme="minorEastAsia" w:cs="宋体" w:hint="eastAsia"/>
          <w:color w:val="000000" w:themeColor="text1"/>
          <w:sz w:val="24"/>
          <w:szCs w:val="24"/>
        </w:rPr>
        <w:t>报告期内基金投资策略和运作分析</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二季度股票市场分化较为显著，钢铁、有色、家电等板块涨幅居前。</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4.4.2</w:t>
      </w:r>
      <w:r w:rsidRPr="00220C32">
        <w:rPr>
          <w:rFonts w:asciiTheme="minorEastAsia" w:eastAsiaTheme="minorEastAsia" w:hAnsiTheme="minorEastAsia" w:cs="宋体" w:hint="eastAsia"/>
          <w:color w:val="000000" w:themeColor="text1"/>
          <w:sz w:val="24"/>
          <w:szCs w:val="24"/>
        </w:rPr>
        <w:t>报告期内基金的业绩表现</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截至2017年6月30日，本基金份额净值为1.0517元，本报告期份额净值增长率为5.17%，同期比较基准的增长率为2.80%。</w:t>
      </w:r>
    </w:p>
    <w:p w:rsidR="009C5186" w:rsidRPr="00220C32" w:rsidRDefault="009C5186"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6360D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bookmarkStart w:id="0" w:name="_Toc245193825"/>
      <w:bookmarkStart w:id="1" w:name="_Toc255486598"/>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管理人对宏观经济、证券市场及行业走势的简要展望</w:t>
      </w:r>
      <w:bookmarkEnd w:id="0"/>
      <w:bookmarkEnd w:id="1"/>
    </w:p>
    <w:p w:rsidR="004061AC" w:rsidRPr="00220C32" w:rsidRDefault="00C77AEF"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预计市场资金情况边际有所改善，结构性机会增多，监管以及市场参与的机构资金增多，导致基本面稳健的板块不断有机会，预计接下来，稳健的低估值个股仍有机会。</w:t>
      </w:r>
    </w:p>
    <w:p w:rsidR="00A04F76" w:rsidRPr="00220C32" w:rsidRDefault="00A04F76" w:rsidP="00A04F76">
      <w:pPr>
        <w:spacing w:line="360" w:lineRule="auto"/>
        <w:rPr>
          <w:rFonts w:asciiTheme="minorEastAsia" w:eastAsiaTheme="minorEastAsia" w:hAnsiTheme="minorEastAsia"/>
          <w:color w:val="000000" w:themeColor="text1"/>
        </w:rPr>
      </w:pPr>
    </w:p>
    <w:p w:rsidR="00A04F76" w:rsidRPr="00220C32" w:rsidRDefault="006360DC" w:rsidP="00A04F76">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.6</w:t>
      </w:r>
      <w:r w:rsidR="00A04F76" w:rsidRPr="00220C32">
        <w:rPr>
          <w:rFonts w:asciiTheme="minorEastAsia" w:eastAsiaTheme="minorEastAsia" w:hAnsiTheme="minorEastAsia" w:hint="eastAsia"/>
          <w:b/>
          <w:color w:val="000000" w:themeColor="text1"/>
          <w:kern w:val="0"/>
          <w:sz w:val="24"/>
          <w:szCs w:val="24"/>
        </w:rPr>
        <w:t>报告期内基金持有人数或基金资产净值预警说明</w:t>
      </w:r>
    </w:p>
    <w:p w:rsidR="00A04F76" w:rsidRPr="00220C32" w:rsidRDefault="00A04F76" w:rsidP="00A04F76">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color w:val="000000" w:themeColor="text1"/>
          <w:kern w:val="0"/>
        </w:rPr>
        <w:t>本报告期本基金从2017年5月11日至2017年6月30日连续三十五个工作日基金资产净值低于五千万元。</w:t>
      </w:r>
    </w:p>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C0993" w:rsidRPr="00220C32">
        <w:rPr>
          <w:rFonts w:asciiTheme="minorEastAsia" w:eastAsiaTheme="minorEastAsia" w:hAnsiTheme="minorEastAsia" w:hint="eastAsia"/>
          <w:color w:val="000000" w:themeColor="text1"/>
          <w:kern w:val="0"/>
          <w:sz w:val="24"/>
          <w:szCs w:val="24"/>
        </w:rPr>
        <w:t>5</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投资组合报告</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5.1 </w:t>
      </w:r>
      <w:r w:rsidRPr="00220C32">
        <w:rPr>
          <w:rFonts w:asciiTheme="minorEastAsia" w:eastAsiaTheme="minorEastAsia" w:hAnsiTheme="minorEastAsia" w:hint="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220C32" w:rsidTr="0069426C">
        <w:trPr>
          <w:jc w:val="center"/>
        </w:trPr>
        <w:tc>
          <w:tcPr>
            <w:tcW w:w="720"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序号</w:t>
            </w:r>
          </w:p>
        </w:tc>
        <w:tc>
          <w:tcPr>
            <w:tcW w:w="3357"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项目</w:t>
            </w:r>
          </w:p>
        </w:tc>
        <w:tc>
          <w:tcPr>
            <w:tcW w:w="2977"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金额</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hint="eastAsia"/>
                <w:color w:val="000000" w:themeColor="text1"/>
                <w:sz w:val="21"/>
              </w:rPr>
              <w:t>元</w:t>
            </w:r>
            <w:r w:rsidR="00D57B7C" w:rsidRPr="00220C32">
              <w:rPr>
                <w:rFonts w:asciiTheme="minorEastAsia" w:eastAsiaTheme="minorEastAsia" w:hAnsiTheme="minorEastAsia" w:hint="eastAsia"/>
                <w:color w:val="000000" w:themeColor="text1"/>
                <w:sz w:val="21"/>
              </w:rPr>
              <w:t>)</w:t>
            </w:r>
          </w:p>
        </w:tc>
        <w:tc>
          <w:tcPr>
            <w:tcW w:w="1843"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占基金总资产的比例</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color w:val="000000" w:themeColor="text1"/>
                <w:sz w:val="21"/>
              </w:rPr>
              <w:t>%</w:t>
            </w:r>
            <w:r w:rsidR="00D57B7C" w:rsidRPr="00220C32">
              <w:rPr>
                <w:rFonts w:asciiTheme="minorEastAsia" w:eastAsiaTheme="minorEastAsia" w:hAnsiTheme="minorEastAsia"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权益投资</w:t>
            </w:r>
          </w:p>
        </w:tc>
        <w:tc>
          <w:tcPr>
            <w:tcW w:w="2977" w:type="dxa"/>
            <w:vAlign w:val="center"/>
          </w:tcPr>
          <w:p w:rsidR="00853140" w:rsidRPr="00220C32" w:rsidRDefault="00C77AEF" w:rsidP="00C77AE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其中：股票</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固定收益投资</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color w:val="000000" w:themeColor="text1"/>
                <w:sz w:val="21"/>
              </w:rPr>
              <w:lastRenderedPageBreak/>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其中：债券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A52F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资产支持证券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195020">
        <w:trPr>
          <w:jc w:val="center"/>
        </w:trPr>
        <w:tc>
          <w:tcPr>
            <w:tcW w:w="720" w:type="dxa"/>
          </w:tcPr>
          <w:p w:rsidR="001D63BB" w:rsidRPr="00220C32" w:rsidRDefault="001D63BB" w:rsidP="001D63BB">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357" w:type="dxa"/>
          </w:tcPr>
          <w:p w:rsidR="001D63BB" w:rsidRPr="00220C32" w:rsidRDefault="001D63BB" w:rsidP="001D63BB">
            <w:pPr>
              <w:spacing w:before="29" w:line="360" w:lineRule="auto"/>
              <w:ind w:leftChars="50" w:left="10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贵金属投资</w:t>
            </w:r>
          </w:p>
        </w:tc>
        <w:tc>
          <w:tcPr>
            <w:tcW w:w="2977"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金融衍生品投资</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5</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其中：买断式回购的买入返售金融资产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color w:val="000000" w:themeColor="text1"/>
                <w:sz w:val="21"/>
              </w:rPr>
              <w:lastRenderedPageBreak/>
              <w:t/>
            </w: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lastRenderedPageBreak/>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color w:val="000000" w:themeColor="text1"/>
                <w:sz w:val="21"/>
              </w:rPr>
              <w:lastRenderedPageBreak/>
              <w:t/>
            </w: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lastRenderedPageBreak/>
              <w:t>6</w:t>
            </w:r>
          </w:p>
        </w:tc>
        <w:tc>
          <w:tcPr>
            <w:tcW w:w="3357" w:type="dxa"/>
            <w:vAlign w:val="center"/>
          </w:tcPr>
          <w:p w:rsidR="001D63BB" w:rsidRPr="00220C32" w:rsidRDefault="001D63BB" w:rsidP="00A03AAC">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银行存款和结算备付金合计</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16,676,788.84</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99.26</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
            </w:r>
            <w:r w:rsidRPr="00220C32">
              <w:rPr>
                <w:rFonts w:asciiTheme="minorEastAsia" w:eastAsiaTheme="minorEastAsia" w:hAnsiTheme="minorEastAsia" w:hint="eastAsia"/>
                <w:color w:val="000000" w:themeColor="text1"/>
                <w:sz w:val="21"/>
              </w:rPr>
              <w:t/>
            </w:r>
            <w:r w:rsidRPr="00220C32">
              <w:rPr>
                <w:rFonts w:asciiTheme="minorEastAsia" w:eastAsiaTheme="minorEastAsia" w:hAnsiTheme="minorEastAsia"/>
                <w:color w:val="000000" w:themeColor="text1"/>
                <w:sz w:val="21"/>
              </w:rPr>
              <w:t>7</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其他各项资产</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124,531.25</w:t>
            </w:r>
          </w:p>
        </w:tc>
        <w:tc>
          <w:tcPr>
            <w:tcW w:w="1843"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0.74</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
            </w:r>
            <w:r w:rsidRPr="00220C32">
              <w:rPr>
                <w:rFonts w:asciiTheme="minorEastAsia" w:eastAsiaTheme="minorEastAsia" w:hAnsiTheme="minorEastAsia" w:hint="eastAsia"/>
                <w:color w:val="000000" w:themeColor="text1"/>
                <w:sz w:val="21"/>
              </w:rPr>
              <w:t/>
            </w:r>
            <w:r w:rsidRPr="00220C32">
              <w:rPr>
                <w:rFonts w:asciiTheme="minorEastAsia" w:eastAsiaTheme="minorEastAsia" w:hAnsiTheme="minorEastAsia"/>
                <w:color w:val="000000" w:themeColor="text1"/>
                <w:sz w:val="21"/>
              </w:rPr>
              <w:t>8</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16,801,320.09</w:t>
            </w:r>
          </w:p>
        </w:tc>
        <w:tc>
          <w:tcPr>
            <w:tcW w:w="1843" w:type="dxa"/>
            <w:vAlign w:val="center"/>
          </w:tcPr>
          <w:p w:rsidR="001D63BB" w:rsidRPr="00220C32" w:rsidRDefault="001D63BB" w:rsidP="001675CD">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
            </w:r>
            <w:r w:rsidRPr="00220C32">
              <w:rPr>
                <w:rFonts w:asciiTheme="minorEastAsia" w:eastAsiaTheme="minorEastAsia" w:hAnsiTheme="minorEastAsia" w:cs="宋体"/>
                <w:color w:val="000000" w:themeColor="text1"/>
                <w:sz w:val="21"/>
              </w:rPr>
              <w:t/>
            </w:r>
            <w:r w:rsidRPr="00220C32">
              <w:rPr>
                <w:rFonts w:asciiTheme="minorEastAsia" w:eastAsiaTheme="minorEastAsia" w:hAnsiTheme="minorEastAsia" w:cs="宋体" w:hint="eastAsia"/>
                <w:color w:val="000000" w:themeColor="text1"/>
                <w:sz w:val="21"/>
              </w:rPr>
              <w:t>100.00</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8A409E" w:rsidRPr="00B459CD" w:rsidRDefault="008A409E" w:rsidP="008A409E">
      <w:pPr>
        <w:rPr>
          <w:b/>
        </w:rPr>
      </w:pPr>
      <w:r w:rsidRPr="004264FD">
        <w:rPr>
          <w:b/>
          <w:color w:val="000000" w:themeColor="text1"/>
        </w:rPr>
        <w:t/>
      </w:r>
      <w:r w:rsidRPr="00B459CD">
        <w:rPr>
          <w:rFonts w:eastAsiaTheme="minorEastAsia" w:hint="eastAsia"/>
          <w:b/>
          <w:color w:val="000000" w:themeColor="text1"/>
          <w:kern w:val="0"/>
        </w:rPr>
        <w:t>5.2.1</w:t>
      </w:r>
      <w:r w:rsidRPr="00B459CD">
        <w:rPr>
          <w:rFonts w:eastAsiaTheme="minorEastAsia" w:hint="eastAsia"/>
          <w:b/>
          <w:color w:val="000000" w:themeColor="text1"/>
          <w:kern w:val="0"/>
        </w:rPr>
        <w:t>报告期末按行业分类的境内股票投资组合</w:t>
      </w:r>
    </w:p>
    <w:p w:rsidR="008A409E" w:rsidRPr="008A409E" w:rsidRDefault="008A409E" w:rsidP="008A409E">
      <w:pPr>
        <w:autoSpaceDE w:val="0"/>
        <w:autoSpaceDN w:val="0"/>
        <w:adjustRightInd w:val="0"/>
        <w:spacing w:line="360" w:lineRule="auto"/>
        <w:jc w:val="left"/>
        <w:rPr>
          <w:rFonts w:asciiTheme="minorEastAsia" w:eastAsiaTheme="minorEastAsia" w:hAnsiTheme="minorEastAsia"/>
          <w:color w:val="000000" w:themeColor="text1"/>
        </w:rPr>
      </w:pPr>
      <w:r w:rsidRPr="008A409E">
        <w:rPr>
          <w:rFonts w:asciiTheme="minorEastAsia" w:eastAsiaTheme="minorEastAsia" w:hAnsiTheme="minorEastAsia"/>
          <w:color w:val="000000" w:themeColor="text1"/>
        </w:rPr>
        <w:t>本基金本报告期末未持有股票。</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5.3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本基金本报告期末未持有股票。</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5.4 </w:t>
      </w:r>
      <w:r w:rsidRPr="00220C32">
        <w:rPr>
          <w:rFonts w:asciiTheme="minorEastAsia" w:eastAsiaTheme="minorEastAsia" w:hAnsiTheme="minorEastAsia" w:hint="eastAsia"/>
          <w:b/>
          <w:bCs/>
          <w:color w:val="000000" w:themeColor="text1"/>
          <w:kern w:val="0"/>
          <w:sz w:val="24"/>
          <w:szCs w:val="24"/>
        </w:rPr>
        <w:t>报告期末按债券品种分类的债券投资组合</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本基金本报告期末未持有债券。</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5.5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的前五名债券投资明细</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本基金本报告期末未持有债券。</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5.6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的前十名资产支持证券投资明细</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本基金本报告期末未持有资产支持证券。</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1D63BB" w:rsidRPr="00220C32" w:rsidRDefault="001D63BB" w:rsidP="001D63B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1D63BB" w:rsidRPr="00220C32" w:rsidRDefault="001D63BB" w:rsidP="001D63BB">
      <w:pPr>
        <w:widowControl/>
        <w:spacing w:line="360" w:lineRule="auto"/>
        <w:jc w:val="left"/>
        <w:rPr>
          <w:rFonts w:ascii="宋体" w:hAnsi="宋体"/>
          <w:color w:val="000000" w:themeColor="text1"/>
        </w:rPr>
      </w:pPr>
      <w:r w:rsidRPr="00220C32">
        <w:rPr>
          <w:rFonts w:ascii="宋体" w:hAnsi="宋体"/>
          <w:color w:val="000000" w:themeColor="text1"/>
        </w:rPr>
        <w:t>本基金本报告期末未持有贵金属。</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1D63BB"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A917BF" w:rsidRPr="00220C32">
        <w:rPr>
          <w:rFonts w:asciiTheme="minorEastAsia" w:eastAsiaTheme="minorEastAsia" w:hAnsiTheme="minorEastAsia" w:hint="eastAsia"/>
          <w:b/>
          <w:bCs/>
          <w:color w:val="000000" w:themeColor="text1"/>
          <w:kern w:val="0"/>
          <w:sz w:val="24"/>
          <w:szCs w:val="24"/>
        </w:rPr>
        <w:t>5.</w:t>
      </w:r>
      <w:r w:rsidRPr="00220C32">
        <w:rPr>
          <w:rFonts w:asciiTheme="minorEastAsia" w:eastAsiaTheme="minorEastAsia" w:hAnsiTheme="minorEastAsia" w:hint="eastAsia"/>
          <w:b/>
          <w:bCs/>
          <w:color w:val="000000" w:themeColor="text1"/>
          <w:kern w:val="0"/>
          <w:sz w:val="24"/>
          <w:szCs w:val="24"/>
        </w:rPr>
        <w:t/>
      </w:r>
      <w:r w:rsidR="00A917BF"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Pr="00220C32">
        <w:rPr>
          <w:rFonts w:asciiTheme="minorEastAsia" w:eastAsiaTheme="minorEastAsia" w:hAnsiTheme="minorEastAsia" w:hint="eastAsia"/>
          <w:b/>
          <w:bCs/>
          <w:color w:val="000000" w:themeColor="text1"/>
          <w:kern w:val="0"/>
          <w:sz w:val="24"/>
          <w:szCs w:val="24"/>
        </w:rPr>
        <w:t>序</w:t>
      </w:r>
      <w:r w:rsidR="004061AC" w:rsidRPr="00220C32">
        <w:rPr>
          <w:rFonts w:asciiTheme="minorEastAsia" w:eastAsiaTheme="minorEastAsia" w:hAnsiTheme="minorEastAsia" w:hint="eastAsia"/>
          <w:b/>
          <w:bCs/>
          <w:color w:val="000000" w:themeColor="text1"/>
          <w:kern w:val="0"/>
          <w:sz w:val="24"/>
          <w:szCs w:val="24"/>
        </w:rPr>
        <w:t>的前五名权证投资明细</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
      </w:r>
      <w:r w:rsidR="00315D5D" w:rsidRPr="00220C32">
        <w:rPr>
          <w:rFonts w:asciiTheme="minorEastAsia" w:eastAsiaTheme="minorEastAsia" w:hAnsiTheme="minorEastAsia"/>
          <w:color w:val="000000" w:themeColor="text1"/>
        </w:rPr>
        <w:t/>
      </w:r>
      <w:r w:rsidR="004061AC" w:rsidRPr="00220C32">
        <w:rPr>
          <w:rFonts w:asciiTheme="minorEastAsia" w:eastAsiaTheme="minorEastAsia" w:hAnsiTheme="minorEastAsia"/>
          <w:color w:val="000000" w:themeColor="text1"/>
        </w:rPr>
        <w:t>本基金本报告期末末未持有权证。</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5745" w:rsidRPr="00220C32" w:rsidRDefault="00CD5707"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A83500" w:rsidRPr="00220C32">
        <w:rPr>
          <w:rFonts w:asciiTheme="minorEastAsia" w:eastAsiaTheme="minorEastAsia" w:hAnsiTheme="minorEastAsia" w:hint="eastAsia"/>
          <w:b/>
          <w:bCs/>
          <w:color w:val="000000" w:themeColor="text1"/>
          <w:kern w:val="0"/>
          <w:sz w:val="24"/>
          <w:szCs w:val="24"/>
        </w:rPr>
        <w:t/>
      </w:r>
      <w:r w:rsidR="003259C8" w:rsidRPr="00220C32">
        <w:rPr>
          <w:rFonts w:asciiTheme="minorEastAsia" w:eastAsiaTheme="minorEastAsia" w:hAnsiTheme="minorEastAsia" w:hint="eastAsia"/>
          <w:b/>
          <w:bCs/>
          <w:color w:val="000000" w:themeColor="text1"/>
          <w:kern w:val="0"/>
          <w:sz w:val="24"/>
          <w:szCs w:val="24"/>
        </w:rPr>
        <w:t>5</w:t>
      </w:r>
      <w:r w:rsidR="00A917BF" w:rsidRPr="00220C32">
        <w:rPr>
          <w:rFonts w:asciiTheme="minorEastAsia" w:eastAsiaTheme="minorEastAsia" w:hAnsiTheme="minorEastAsia" w:hint="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9</w:t>
      </w:r>
      <w:r w:rsidR="00275745" w:rsidRPr="00220C32">
        <w:rPr>
          <w:rFonts w:asciiTheme="minorEastAsia" w:eastAsiaTheme="minorEastAsia" w:hAnsiTheme="minorEastAsia" w:hint="eastAsia"/>
          <w:b/>
          <w:bCs/>
          <w:color w:val="000000" w:themeColor="text1"/>
          <w:kern w:val="0"/>
          <w:sz w:val="24"/>
          <w:szCs w:val="24"/>
        </w:rPr>
        <w:t xml:space="preserve"> 报告期末本基金投资的股指期货交易情况说明</w:t>
      </w:r>
    </w:p>
    <w:p w:rsidR="00A96A94" w:rsidRPr="00220C32" w:rsidRDefault="00733DDD"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A96A94" w:rsidRPr="00220C32">
        <w:rPr>
          <w:rFonts w:asciiTheme="minorEastAsia" w:eastAsiaTheme="minorEastAsia" w:hAnsiTheme="minorEastAsia" w:hint="eastAsia"/>
          <w:b/>
          <w:bCs/>
          <w:color w:val="000000" w:themeColor="text1"/>
          <w:kern w:val="0"/>
          <w:sz w:val="24"/>
          <w:szCs w:val="24"/>
        </w:rPr>
        <w:t/>
      </w:r>
      <w:r w:rsidR="003259C8"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.9.1</w:t>
      </w:r>
      <w:r w:rsidR="00A96A94" w:rsidRPr="00220C32">
        <w:rPr>
          <w:rFonts w:asciiTheme="minorEastAsia" w:eastAsiaTheme="minorEastAsia" w:hAnsiTheme="minorEastAsia" w:hint="eastAsia"/>
          <w:b/>
          <w:bCs/>
          <w:color w:val="000000" w:themeColor="text1"/>
          <w:kern w:val="0"/>
          <w:sz w:val="24"/>
          <w:szCs w:val="24"/>
        </w:rPr>
        <w:t xml:space="preserve"> 报告期末本基金投资的股指期货持仓和损益明细</w:t>
      </w:r>
      <w:r w:rsidR="00D92F47" w:rsidRPr="00220C32">
        <w:rPr>
          <w:rFonts w:asciiTheme="minorEastAsia" w:eastAsiaTheme="minorEastAsia" w:hAnsiTheme="minorEastAsia"/>
          <w:b/>
          <w:bCs/>
          <w:color w:val="000000" w:themeColor="text1"/>
          <w:kern w:val="0"/>
          <w:sz w:val="24"/>
          <w:szCs w:val="24"/>
        </w:rPr>
        <w:t/>
      </w:r>
    </w:p>
    <w:p w:rsidR="00275745" w:rsidRPr="00220C32" w:rsidRDefault="00AA3A38"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本基金本报告期末未持有股指期货。</w:t>
      </w:r>
    </w:p>
    <w:p w:rsidR="00AA3A38" w:rsidRPr="00220C32" w:rsidRDefault="00AA3A38" w:rsidP="00275745">
      <w:pPr>
        <w:adjustRightInd w:val="0"/>
        <w:snapToGrid w:val="0"/>
        <w:spacing w:line="360" w:lineRule="exact"/>
        <w:rPr>
          <w:rFonts w:asciiTheme="minorEastAsia" w:eastAsiaTheme="minorEastAsia" w:hAnsiTheme="minorEastAsia"/>
          <w:color w:val="000000" w:themeColor="text1"/>
          <w:sz w:val="24"/>
          <w:szCs w:val="24"/>
        </w:rPr>
      </w:pPr>
    </w:p>
    <w:p w:rsidR="00275745" w:rsidRPr="00220C32" w:rsidRDefault="002E52B3"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A83500" w:rsidRPr="00220C32">
        <w:rPr>
          <w:rFonts w:asciiTheme="minorEastAsia" w:eastAsiaTheme="minorEastAsia" w:hAnsiTheme="minorEastAsia" w:hint="eastAsia"/>
          <w:b/>
          <w:bCs/>
          <w:color w:val="000000" w:themeColor="text1"/>
          <w:kern w:val="0"/>
          <w:sz w:val="24"/>
          <w:szCs w:val="24"/>
        </w:rPr>
        <w:t/>
      </w:r>
      <w:r w:rsidR="003259C8"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.9.2</w:t>
      </w:r>
      <w:r w:rsidR="00275745" w:rsidRPr="00220C32">
        <w:rPr>
          <w:rFonts w:asciiTheme="minorEastAsia" w:eastAsiaTheme="minorEastAsia" w:hAnsiTheme="minorEastAsia" w:hint="eastAsia"/>
          <w:b/>
          <w:bCs/>
          <w:color w:val="000000" w:themeColor="text1"/>
          <w:kern w:val="0"/>
          <w:sz w:val="24"/>
          <w:szCs w:val="24"/>
        </w:rPr>
        <w:t xml:space="preserve"> 本基金投资股指期货的投资政策</w:t>
      </w:r>
      <w:r w:rsidR="005E1093" w:rsidRPr="00220C32">
        <w:rPr>
          <w:rFonts w:asciiTheme="minorEastAsia" w:eastAsiaTheme="minorEastAsia" w:hAnsiTheme="minorEastAsia"/>
          <w:b/>
          <w:bCs/>
          <w:color w:val="000000" w:themeColor="text1"/>
          <w:kern w:val="0"/>
          <w:sz w:val="24"/>
          <w:szCs w:val="24"/>
        </w:rPr>
        <w:t/>
      </w:r>
    </w:p>
    <w:p w:rsidR="00275745" w:rsidRPr="00220C32" w:rsidRDefault="00275745"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
      </w:r>
      <w:r w:rsidR="001E4630"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本基金在股指期货的投资中主要遵循避险和有效管理两项策略和原则。即在市场风险大幅累计时的避险操作，减小基金投资组合因市场下跌而遭受的市场风险；同时利用股指期货流动性好、交易成本低等特点，通过股指期货对投资组合的仓位进行及时调整，提高投资组合的运作效率。</w:t>
      </w:r>
    </w:p>
    <w:p w:rsidR="00275745" w:rsidRPr="00220C32" w:rsidRDefault="00275745"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5.10报告期末本基金投资的国债期货交易情况说明</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5.10.1 本期国债期货投资政策</w:t>
      </w:r>
      <w:r w:rsidR="005E1093" w:rsidRPr="00220C32">
        <w:rPr>
          <w:rFonts w:asciiTheme="minorEastAsia" w:eastAsiaTheme="minorEastAsia" w:hAnsiTheme="minorEastAsia"/>
          <w:b/>
          <w:bCs/>
          <w:color w:val="000000" w:themeColor="text1"/>
          <w:kern w:val="0"/>
          <w:sz w:val="24"/>
          <w:szCs w:val="24"/>
        </w:rPr>
        <w:t/>
      </w:r>
    </w:p>
    <w:p w:rsidR="00312A9F" w:rsidRPr="00220C32" w:rsidRDefault="00312A9F"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本基金合同尚无国债期货政策。</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5.10.2 报告期末本基金投资的国债期货持仓和损益明细</w:t>
      </w:r>
      <w:r w:rsidR="00D92F47" w:rsidRPr="00220C32">
        <w:rPr>
          <w:rFonts w:asciiTheme="minorEastAsia" w:eastAsiaTheme="minorEastAsia" w:hAnsiTheme="minorEastAsia"/>
          <w:b/>
          <w:bCs/>
          <w:color w:val="000000" w:themeColor="text1"/>
          <w:kern w:val="0"/>
          <w:sz w:val="24"/>
          <w:szCs w:val="24"/>
        </w:rPr>
        <w:t/>
      </w:r>
    </w:p>
    <w:p w:rsidR="00312A9F" w:rsidRPr="00220C32" w:rsidRDefault="00312A9F" w:rsidP="00C5642F">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
      </w:r>
      <w:r w:rsidRPr="00220C32">
        <w:rPr>
          <w:rFonts w:asciiTheme="minorEastAsia" w:eastAsiaTheme="minorEastAsia" w:hAnsiTheme="minorEastAsia"/>
          <w:color w:val="000000" w:themeColor="text1"/>
          <w:sz w:val="24"/>
          <w:szCs w:val="24"/>
        </w:rPr>
        <w:t>本基金本报告期末未持有国债期货。</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w:r>
      <w:r w:rsidRPr="00220C32">
        <w:rPr>
          <w:rFonts w:asciiTheme="minorEastAsia" w:eastAsiaTheme="minorEastAsia" w:hAnsiTheme="minorEastAsia" w:hint="eastAsia"/>
          <w:b/>
          <w:bCs/>
          <w:color w:val="000000" w:themeColor="text1"/>
          <w:kern w:val="0"/>
          <w:sz w:val="24"/>
          <w:szCs w:val="24"/>
        </w:rPr>
        <w:t/>
      </w:r>
      <w:r w:rsidRPr="00220C32">
        <w:rPr>
          <w:rFonts w:asciiTheme="minorEastAsia" w:eastAsiaTheme="minorEastAsia" w:hAnsiTheme="minor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投资组合报告附注</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w:t>
      </w:r>
      <w:r w:rsidR="004061AC" w:rsidRPr="00220C32">
        <w:rPr>
          <w:rFonts w:asciiTheme="minorEastAsia" w:eastAsiaTheme="minorEastAsia" w:hAnsiTheme="minorEastAsia"/>
          <w:color w:val="000000" w:themeColor="text1"/>
          <w:sz w:val="24"/>
          <w:szCs w:val="24"/>
        </w:rPr>
        <w:t>本报告期末本基金投资的前十名证券没有被监管部门立案调查,或在报告编制日前一年内受到公开谴责、处罚的情形。</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275745"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2</w:t>
      </w:r>
      <w:r w:rsidR="004061AC" w:rsidRPr="00220C32">
        <w:rPr>
          <w:rFonts w:asciiTheme="minorEastAsia" w:eastAsiaTheme="minorEastAsia" w:hAnsiTheme="minorEastAsia"/>
          <w:color w:val="000000" w:themeColor="text1"/>
          <w:sz w:val="24"/>
          <w:szCs w:val="24"/>
        </w:rPr>
        <w:t>本报告期，本基金投资的前十名股票没有超出基金合同规定的备选股票库。</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D53190">
        <w:rPr>
          <w:rFonts w:asciiTheme="minorEastAsia" w:eastAsiaTheme="minorEastAsia" w:hAnsiTheme="minorEastAsia" w:hint="eastAsia"/>
          <w:b/>
          <w:bCs/>
          <w:color w:val="000000" w:themeColor="text1"/>
          <w:kern w:val="0"/>
          <w:sz w:val="24"/>
          <w:szCs w:val="24"/>
        </w:rPr>
        <w:t>其他</w:t>
      </w:r>
      <w:r w:rsidR="004061AC" w:rsidRPr="00220C32">
        <w:rPr>
          <w:rFonts w:asciiTheme="minorEastAsia" w:eastAsiaTheme="minorEastAsia" w:hAnsiTheme="minorEastAsia" w:hint="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220C32" w:rsidTr="00F31F6E">
        <w:tc>
          <w:tcPr>
            <w:tcW w:w="1235"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247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名称</w:t>
            </w:r>
          </w:p>
        </w:tc>
        <w:tc>
          <w:tcPr>
            <w:tcW w:w="4808"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金额(元)</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存出保证金</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应收证券清算款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应收股利</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应收利息</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124,531.25</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应收申购款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其他应收款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EB2C07" w:rsidRPr="00220C32" w:rsidRDefault="00EB2C07"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7</w:t>
            </w:r>
          </w:p>
        </w:tc>
        <w:tc>
          <w:tcPr>
            <w:tcW w:w="2470" w:type="dxa"/>
            <w:vAlign w:val="center"/>
          </w:tcPr>
          <w:p w:rsidR="00EB2C07" w:rsidRPr="00220C32" w:rsidRDefault="00EB2C07" w:rsidP="00175D4F">
            <w:pPr>
              <w:autoSpaceDE w:val="0"/>
              <w:autoSpaceDN w:val="0"/>
              <w:adjustRightInd w:val="0"/>
              <w:spacing w:before="29" w:line="360" w:lineRule="auto"/>
              <w:ind w:left="1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待摊费用</w:t>
            </w:r>
          </w:p>
        </w:tc>
        <w:tc>
          <w:tcPr>
            <w:tcW w:w="4808" w:type="dxa"/>
            <w:vAlign w:val="center"/>
          </w:tcPr>
          <w:p w:rsidR="00EB2C07" w:rsidRPr="00220C32" w:rsidRDefault="00EB2C07"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
            </w:r>
            <w:r w:rsidRPr="00220C32">
              <w:rPr>
                <w:rFonts w:asciiTheme="minorEastAsia" w:eastAsiaTheme="minorEastAsia" w:hAnsiTheme="minorEastAsia"/>
                <w:color w:val="000000" w:themeColor="text1"/>
                <w:sz w:val="21"/>
              </w:rPr>
              <w:t/>
            </w:r>
            <w:r w:rsidRPr="00220C32">
              <w:rPr>
                <w:rFonts w:asciiTheme="minorEastAsia" w:eastAsiaTheme="minorEastAsia" w:hAnsiTheme="minorEastAsia" w:hint="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
            </w:r>
            <w:r w:rsidR="004D495A" w:rsidRPr="00220C32">
              <w:rPr>
                <w:rFonts w:asciiTheme="minorEastAsia" w:eastAsiaTheme="minorEastAsia" w:hAnsiTheme="minorEastAsia" w:hint="eastAsia"/>
                <w:color w:val="000000" w:themeColor="text1"/>
                <w:sz w:val="21"/>
              </w:rPr>
              <w:t/>
            </w:r>
            <w:r w:rsidRPr="00220C32">
              <w:rPr>
                <w:rFonts w:asciiTheme="minorEastAsia" w:eastAsiaTheme="minorEastAsia" w:hAnsiTheme="minorEastAsia" w:hint="eastAsia"/>
                <w:color w:val="000000" w:themeColor="text1"/>
                <w:sz w:val="21"/>
              </w:rPr>
              <w:t>8</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4D495A"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
            </w:r>
            <w:r w:rsidR="00F31F6E" w:rsidRPr="00220C32">
              <w:rPr>
                <w:rFonts w:asciiTheme="minorEastAsia" w:eastAsiaTheme="minorEastAsia" w:hAnsiTheme="minorEastAsia" w:hint="eastAsia"/>
                <w:color w:val="000000" w:themeColor="text1"/>
                <w:sz w:val="21"/>
              </w:rPr>
              <w:t>9</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124,531.25</w:t>
            </w:r>
          </w:p>
        </w:tc>
      </w:tr>
    </w:tbl>
    <w:p w:rsidR="002918E3" w:rsidRPr="00220C32" w:rsidRDefault="002918E3" w:rsidP="00D57B7C">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4</w:t>
      </w:r>
      <w:r w:rsidR="004061AC" w:rsidRPr="00220C32">
        <w:rPr>
          <w:rFonts w:asciiTheme="minorEastAsia" w:eastAsiaTheme="minorEastAsia" w:hAnsiTheme="minorEastAsia" w:hint="eastAsia"/>
          <w:b/>
          <w:bCs/>
          <w:color w:val="000000" w:themeColor="text1"/>
          <w:kern w:val="0"/>
          <w:sz w:val="24"/>
          <w:szCs w:val="24"/>
        </w:rPr>
        <w:t>报告期末持有的处于转股期的可转换债券明细</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本报告期末本基金未持有可转换债券。</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报告期末前十名股票中存在流通受限情况的说明</w:t>
      </w:r>
    </w:p>
    <w:p w:rsidR="004061AC" w:rsidRPr="00220C32" w:rsidRDefault="00F743D4"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004061AC" w:rsidRPr="00220C32">
        <w:rPr>
          <w:rFonts w:asciiTheme="minorEastAsia" w:eastAsiaTheme="minorEastAsia" w:hAnsiTheme="minorEastAsia"/>
          <w:color w:val="000000" w:themeColor="text1"/>
        </w:rPr>
        <w:t/>
      </w:r>
      <w:r w:rsidR="008E326D" w:rsidRPr="00220C32">
        <w:rPr>
          <w:rFonts w:asciiTheme="minorEastAsia" w:eastAsiaTheme="minorEastAsia" w:hAnsiTheme="minorEastAsia"/>
          <w:color w:val="000000" w:themeColor="text1"/>
        </w:rPr>
        <w:t/>
      </w:r>
      <w:r w:rsidR="004061AC" w:rsidRPr="00220C32">
        <w:rPr>
          <w:rFonts w:asciiTheme="minorEastAsia" w:eastAsiaTheme="minorEastAsia" w:hAnsiTheme="minorEastAsia"/>
          <w:color w:val="000000" w:themeColor="text1"/>
        </w:rPr>
        <w:t>本报告期末本基金未持有股票。</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D02347"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3259C8"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6</w:t>
      </w:r>
      <w:r w:rsidR="001675CD" w:rsidRPr="00220C32">
        <w:rPr>
          <w:rFonts w:asciiTheme="minorEastAsia" w:eastAsiaTheme="minorEastAsia" w:hAnsiTheme="minorEastAsia" w:hint="eastAsia"/>
          <w:b/>
          <w:bCs/>
          <w:color w:val="000000" w:themeColor="text1"/>
          <w:kern w:val="0"/>
          <w:sz w:val="24"/>
          <w:szCs w:val="24"/>
        </w:rPr>
        <w:t>投资组合报告附注的其他文字描述部分</w:t>
      </w:r>
    </w:p>
    <w:p w:rsidR="004061AC" w:rsidRPr="00220C32" w:rsidRDefault="004061AC"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
      </w:r>
      <w:r w:rsidR="001675CD" w:rsidRPr="00220C32">
        <w:rPr>
          <w:rFonts w:asciiTheme="minorEastAsia" w:eastAsiaTheme="minorEastAsia" w:hAnsiTheme="minorEastAsia"/>
          <w:color w:val="000000" w:themeColor="text1"/>
        </w:rPr>
        <w:t/>
      </w:r>
      <w:r w:rsidRPr="00220C32">
        <w:rPr>
          <w:rFonts w:asciiTheme="minorEastAsia" w:eastAsiaTheme="minorEastAsia" w:hAnsiTheme="minorEastAsia"/>
          <w:color w:val="000000" w:themeColor="text1"/>
        </w:rPr>
        <w:t>由于四舍五入的原因，分项之和与合计项之间可能存在尾差。</w:t>
      </w:r>
    </w:p>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s="宋体" w:hint="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
            </w:r>
            <w:r w:rsidR="00936B5F">
              <w:rPr>
                <w:rFonts w:eastAsiaTheme="minorEastAsia" w:hint="eastAsia"/>
                <w:color w:val="000000" w:themeColor="text1"/>
                <w:kern w:val="0"/>
              </w:rPr>
              <w:t/>
            </w:r>
            <w:r w:rsidR="00936B5F">
              <w:rPr>
                <w:rFonts w:eastAsiaTheme="minorEastAsia" w:hint="eastAsia"/>
                <w:color w:val="000000" w:themeColor="text1"/>
              </w:rPr>
              <w:t/>
            </w:r>
            <w:r w:rsidRPr="00220C32">
              <w:rPr>
                <w:rFonts w:asciiTheme="minorEastAsia" w:eastAsiaTheme="minorEastAsia" w:hAnsiTheme="minorEastAsia" w:cs="宋体"/>
                <w:color w:val="000000" w:themeColor="text1"/>
                <w:kern w:val="0"/>
              </w:rPr>
              <w:t>基金合同生效日起至报告期期末</w:t>
            </w:r>
            <w:r w:rsidR="004061AC" w:rsidRPr="00220C32">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233,873,429.87</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减：</w:t>
            </w:r>
            <w:r w:rsidR="00FE179F" w:rsidRPr="00220C32">
              <w:rPr>
                <w:rFonts w:asciiTheme="minorEastAsia" w:eastAsiaTheme="minorEastAsia" w:hAnsiTheme="minorEastAsia" w:cs="宋体"/>
                <w:color w:val="000000" w:themeColor="text1"/>
                <w:kern w:val="0"/>
              </w:rPr>
              <w:t/>
            </w:r>
            <w:r w:rsidR="00936B5F">
              <w:rPr>
                <w:rFonts w:eastAsiaTheme="minorEastAsia" w:hint="eastAsia"/>
                <w:color w:val="000000" w:themeColor="text1"/>
                <w:kern w:val="0"/>
              </w:rPr>
              <w:t/>
            </w:r>
            <w:r w:rsidR="00936B5F">
              <w:rPr>
                <w:rFonts w:eastAsiaTheme="minorEastAsia" w:hint="eastAsia"/>
                <w:color w:val="000000" w:themeColor="text1"/>
              </w:rPr>
              <w:t/>
            </w:r>
            <w:r w:rsidR="00FE179F" w:rsidRPr="00220C32">
              <w:rPr>
                <w:rFonts w:asciiTheme="minorEastAsia" w:eastAsiaTheme="minorEastAsia" w:hAnsiTheme="minorEastAsia" w:cs="宋体"/>
                <w:color w:val="000000" w:themeColor="text1"/>
                <w:kern w:val="0"/>
              </w:rPr>
              <w:t>基金合同生效日起至报告期期末</w:t>
            </w:r>
            <w:r w:rsidRPr="00220C32">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218,004,830.82</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
            </w:r>
            <w:r w:rsidR="00936B5F">
              <w:rPr>
                <w:rFonts w:eastAsiaTheme="minorEastAsia" w:hint="eastAsia"/>
                <w:color w:val="000000" w:themeColor="text1"/>
                <w:kern w:val="0"/>
              </w:rPr>
              <w:t/>
            </w:r>
            <w:r w:rsidR="00936B5F">
              <w:rPr>
                <w:rFonts w:eastAsiaTheme="minorEastAsia" w:hint="eastAsia"/>
                <w:color w:val="000000" w:themeColor="text1"/>
              </w:rPr>
              <w:t/>
            </w:r>
            <w:r w:rsidRPr="00220C32">
              <w:rPr>
                <w:rFonts w:asciiTheme="minorEastAsia" w:eastAsiaTheme="minorEastAsia" w:hAnsiTheme="minorEastAsia" w:cs="宋体"/>
                <w:color w:val="000000" w:themeColor="text1"/>
                <w:kern w:val="0"/>
              </w:rPr>
              <w:t>基金合同生效日起至报告期期末</w:t>
            </w:r>
            <w:r w:rsidR="004061AC" w:rsidRPr="00220C32">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olor w:val="000000" w:themeColor="text1"/>
              </w:rPr>
              <w:t/>
            </w:r>
            <w:r w:rsidRPr="00220C32">
              <w:rPr>
                <w:rFonts w:asciiTheme="minorEastAsia" w:eastAsiaTheme="minorEastAsia" w:hAnsiTheme="minorEastAsia" w:cs="宋体"/>
                <w:color w:val="000000" w:themeColor="text1"/>
              </w:rPr>
              <w:t>-</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0A2B5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color w:val="000000" w:themeColor="text1"/>
              </w:rPr>
              <w:t/>
            </w:r>
            <w:r w:rsidR="00355364" w:rsidRPr="00220C32">
              <w:rPr>
                <w:rFonts w:asciiTheme="minorEastAsia" w:eastAsiaTheme="minorEastAsia" w:hAnsiTheme="minorEastAsia" w:cs="宋体" w:hint="eastAsia"/>
                <w:color w:val="000000" w:themeColor="text1"/>
              </w:rPr>
              <w:t/>
            </w:r>
            <w:r w:rsidRPr="00220C32">
              <w:rPr>
                <w:rFonts w:asciiTheme="minorEastAsia" w:eastAsiaTheme="minorEastAsia" w:hAnsiTheme="minorEastAsia" w:cs="宋体" w:hint="eastAsia"/>
                <w:color w:val="000000" w:themeColor="text1"/>
              </w:rPr>
              <w:t>15,868,599.05</w:t>
            </w:r>
          </w:p>
        </w:tc>
      </w:tr>
    </w:tbl>
    <w:p w:rsidR="004061AC" w:rsidRPr="00220C32" w:rsidRDefault="00D02347"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
      </w:r>
      <w:r w:rsidR="004061AC" w:rsidRPr="00220C32">
        <w:rPr>
          <w:rFonts w:asciiTheme="minorEastAsia" w:eastAsiaTheme="minorEastAsia" w:hAnsiTheme="minorEastAsia" w:hint="eastAsia"/>
          <w:color w:val="000000" w:themeColor="text1"/>
          <w:kern w:val="0"/>
          <w:sz w:val="24"/>
          <w:szCs w:val="24"/>
        </w:rPr>
        <w:t>§</w:t>
      </w:r>
      <w:r w:rsidR="00D21FFF" w:rsidRPr="00220C32">
        <w:rPr>
          <w:rFonts w:asciiTheme="minorEastAsia" w:eastAsiaTheme="minorEastAsia" w:hAnsiTheme="minorEastAsia" w:hint="eastAsia"/>
          <w:color w:val="000000" w:themeColor="text1"/>
          <w:kern w:val="0"/>
          <w:sz w:val="24"/>
          <w:szCs w:val="24"/>
        </w:rPr>
        <w:t/>
      </w:r>
      <w:r w:rsidR="006423B9" w:rsidRPr="00220C32">
        <w:rPr>
          <w:rFonts w:asciiTheme="minorEastAsia" w:eastAsiaTheme="minorEastAsia" w:hAnsiTheme="minorEastAsia" w:hint="eastAsia"/>
          <w:color w:val="000000" w:themeColor="text1"/>
          <w:kern w:val="0"/>
          <w:sz w:val="24"/>
          <w:szCs w:val="24"/>
        </w:rPr>
        <w:t/>
      </w:r>
      <w:r w:rsidR="00676095" w:rsidRPr="00220C32">
        <w:rPr>
          <w:rFonts w:asciiTheme="minorEastAsia" w:eastAsiaTheme="minorEastAsia" w:hAnsiTheme="minorEastAsia" w:hint="eastAsia"/>
          <w:color w:val="000000" w:themeColor="text1"/>
          <w:kern w:val="0"/>
          <w:sz w:val="24"/>
          <w:szCs w:val="24"/>
        </w:rPr>
        <w:t>7</w:t>
      </w:r>
      <w:r w:rsidR="004061AC" w:rsidRPr="00220C32">
        <w:rPr>
          <w:rFonts w:asciiTheme="minorEastAsia" w:eastAsiaTheme="minorEastAsia" w:hAnsiTheme="minorEastAsia"/>
          <w:color w:val="000000" w:themeColor="text1"/>
          <w:kern w:val="0"/>
          <w:sz w:val="24"/>
          <w:szCs w:val="24"/>
        </w:rPr>
        <w:t xml:space="preserve">  </w:t>
      </w:r>
      <w:r w:rsidR="004061AC" w:rsidRPr="00220C32">
        <w:rPr>
          <w:rFonts w:asciiTheme="minorEastAsia" w:eastAsiaTheme="minorEastAsia" w:hAnsiTheme="minorEastAsia" w:hint="eastAsia"/>
          <w:color w:val="000000" w:themeColor="text1"/>
          <w:kern w:val="0"/>
          <w:sz w:val="24"/>
          <w:szCs w:val="24"/>
        </w:rPr>
        <w:t>影响投资者决策的其他重要信息</w:t>
      </w:r>
    </w:p>
    <w:p w:rsidR="008D7928" w:rsidRPr="008D7928" w:rsidRDefault="008D7928" w:rsidP="008D7928">
      <w:pPr>
        <w:autoSpaceDE w:val="0"/>
        <w:autoSpaceDN w:val="0"/>
        <w:adjustRightInd w:val="0"/>
        <w:spacing w:line="360" w:lineRule="auto"/>
        <w:jc w:val="left"/>
        <w:rPr>
          <w:rFonts w:ascii="宋体" w:hAnsi="宋体"/>
          <w:b/>
          <w:bCs/>
          <w:color w:val="000000"/>
          <w:kern w:val="0"/>
          <w:sz w:val="24"/>
          <w:szCs w:val="24"/>
        </w:rPr>
      </w:pPr>
      <w:r w:rsidRPr="008D7928">
        <w:rPr>
          <w:rFonts w:ascii="宋体" w:hAnsi="宋体"/>
          <w:b/>
          <w:color w:val="000000"/>
          <w:kern w:val="0"/>
          <w:sz w:val="24"/>
          <w:szCs w:val="24"/>
        </w:rPr>
        <w:t/>
      </w:r>
      <w:r w:rsidRPr="008D7928">
        <w:rPr>
          <w:rFonts w:ascii="宋体" w:hAnsi="宋体"/>
          <w:b/>
          <w:bCs/>
          <w:color w:val="000000"/>
          <w:kern w:val="0"/>
          <w:sz w:val="24"/>
          <w:szCs w:val="24"/>
        </w:rPr>
        <w:t>7.</w:t>
      </w:r>
      <w:r w:rsidRPr="008D7928">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8D7928" w:rsidRPr="009D271F" w:rsidTr="00A249C6">
        <w:tc>
          <w:tcPr>
            <w:tcW w:w="993" w:type="dxa"/>
            <w:vMerge w:val="restart"/>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投资者类别</w:t>
            </w:r>
            <w:r w:rsidRPr="009D271F">
              <w:rPr>
                <w:rFonts w:ascii="宋体" w:hAnsi="宋体"/>
                <w:color w:val="000000"/>
                <w:kern w:val="0"/>
              </w:rPr>
              <w:t xml:space="preserve">  </w:t>
            </w:r>
          </w:p>
        </w:tc>
        <w:tc>
          <w:tcPr>
            <w:tcW w:w="5670" w:type="dxa"/>
            <w:gridSpan w:val="5"/>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报告期内持有基金份额变化情况</w:t>
            </w:r>
          </w:p>
        </w:tc>
        <w:tc>
          <w:tcPr>
            <w:tcW w:w="2549" w:type="dxa"/>
            <w:gridSpan w:val="2"/>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报告期末持有基金情况</w:t>
            </w:r>
          </w:p>
        </w:tc>
      </w:tr>
      <w:tr w:rsidR="008D7928" w:rsidRPr="009D271F" w:rsidTr="00A249C6">
        <w:tc>
          <w:tcPr>
            <w:tcW w:w="993" w:type="dxa"/>
            <w:vMerge/>
            <w:vAlign w:val="center"/>
          </w:tcPr>
          <w:p w:rsidR="008D7928" w:rsidRPr="009D271F" w:rsidRDefault="008D7928" w:rsidP="00A249C6">
            <w:pPr>
              <w:autoSpaceDE w:val="0"/>
              <w:autoSpaceDN w:val="0"/>
              <w:adjustRightInd w:val="0"/>
              <w:jc w:val="center"/>
              <w:rPr>
                <w:rFonts w:ascii="宋体" w:hAnsi="宋体"/>
                <w:b/>
                <w:bCs/>
                <w:color w:val="000000"/>
                <w:kern w:val="0"/>
              </w:rPr>
            </w:pPr>
          </w:p>
        </w:tc>
        <w:tc>
          <w:tcPr>
            <w:tcW w:w="992"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序号</w:t>
            </w:r>
          </w:p>
        </w:tc>
        <w:tc>
          <w:tcPr>
            <w:tcW w:w="1843"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持有基金份额比例达到或者超过20%的时间区间</w:t>
            </w:r>
          </w:p>
        </w:tc>
        <w:tc>
          <w:tcPr>
            <w:tcW w:w="851"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期初份额</w:t>
            </w:r>
          </w:p>
        </w:tc>
        <w:tc>
          <w:tcPr>
            <w:tcW w:w="850"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申购份额</w:t>
            </w:r>
          </w:p>
        </w:tc>
        <w:tc>
          <w:tcPr>
            <w:tcW w:w="1134"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赎回份额</w:t>
            </w:r>
          </w:p>
        </w:tc>
        <w:tc>
          <w:tcPr>
            <w:tcW w:w="1419"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持有份额</w:t>
            </w:r>
          </w:p>
        </w:tc>
        <w:tc>
          <w:tcPr>
            <w:tcW w:w="1130"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份额占比</w:t>
            </w:r>
          </w:p>
        </w:tc>
      </w:tr>
      <w:tr>
        <w:tc>
          <w:tcPr>
            <w:vMerge w:val="restart"/>
          </w:tcPr>
          <w:p/>
          <w:p>
            <w:r>
              <w:rPr>
                <w:rFonts w:ascii="宋体" w:hAnsi="宋体" w:hint="eastAsia"/>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20170413-20170502</w:t>
            </w:r>
          </w:p>
        </w:tc>
        <w:tc>
          <w:tcPr>
            <w:vAlign w:val="center"/>
          </w:tcPr>
          <w:p>
            <w:pPr>
              <w:jc w:val="center"/>
            </w:pPr>
            <w:r>
              <w:rPr>
                <w:rFonts w:ascii="宋体" w:hAnsi="宋体"/>
                <w:color w:val="000000"/>
                <w:kern w:val="0"/>
              </w:rPr>
              <w:t>0.00</w:t>
            </w:r>
          </w:p>
        </w:tc>
        <w:tc>
          <w:tcPr>
            <w:vAlign w:val="center"/>
          </w:tcPr>
          <w:p>
            <w:pPr>
              <w:jc w:val="center"/>
            </w:pPr>
            <w:r>
              <w:rPr>
                <w:rFonts w:ascii="宋体" w:hAnsi="宋体"/>
                <w:color w:val="000000"/>
                <w:kern w:val="0"/>
              </w:rPr>
              <w:t>61,999,000.00</w:t>
            </w:r>
          </w:p>
        </w:tc>
        <w:tc>
          <w:tcPr>
            <w:vAlign w:val="center"/>
          </w:tcPr>
          <w:p>
            <w:pPr>
              <w:jc w:val="center"/>
            </w:pPr>
            <w:r>
              <w:rPr>
                <w:rFonts w:ascii="宋体" w:hAnsi="宋体"/>
                <w:color w:val="000000"/>
                <w:kern w:val="0"/>
              </w:rPr>
              <w:t>61,999,000.00</w:t>
            </w:r>
          </w:p>
        </w:tc>
        <w:tc>
          <w:tcPr>
            <w:vAlign w:val="center"/>
          </w:tcPr>
          <w:p>
            <w:pPr>
              <w:jc w:val="center"/>
            </w:pPr>
            <w:r>
              <w:rPr>
                <w:rFonts w:ascii="宋体" w:hAnsi="宋体"/>
                <w:color w:val="000000"/>
                <w:kern w:val="0"/>
              </w:rPr>
              <w:t>0.00</w:t>
            </w:r>
          </w:p>
        </w:tc>
        <w:tc>
          <w:tcPr>
            <w:vAlign w:val="center"/>
          </w:tcPr>
          <w:p>
            <w:pPr>
              <w:jc w:val="center"/>
            </w:pPr>
            <w:r>
              <w:rPr>
                <w:rFonts w:ascii="宋体" w:hAnsi="宋体"/>
                <w:color w:val="000000"/>
                <w:kern w:val="0"/>
              </w:rPr>
              <w:t>0.00%</w:t>
            </w:r>
          </w:p>
        </w:tc>
      </w:tr>
      <w:tr>
        <w:tc>
          <w:tcPr>
            <w:vMerge/>
          </w:tcPr>
          <w:p/>
        </w:tc>
        <w:tc>
          <w:tcPr>
            <w:vAlign w:val="center"/>
          </w:tcPr>
          <w:p>
            <w:pPr>
              <w:jc w:val="center"/>
            </w:pPr>
            <w:r>
              <w:rPr>
                <w:rFonts w:ascii="宋体" w:hAnsi="宋体"/>
                <w:color w:val="000000"/>
                <w:kern w:val="0"/>
              </w:rPr>
              <w:t>2</w:t>
            </w:r>
          </w:p>
        </w:tc>
        <w:tc>
          <w:tcPr>
            <w:vAlign w:val="center"/>
          </w:tcPr>
          <w:p>
            <w:pPr>
              <w:jc w:val="center"/>
            </w:pPr>
            <w:r>
              <w:rPr>
                <w:rFonts w:ascii="宋体" w:hAnsi="宋体"/>
                <w:color w:val="000000"/>
                <w:kern w:val="0"/>
              </w:rPr>
              <w:t>20170413-20170630</w:t>
            </w:r>
          </w:p>
        </w:tc>
        <w:tc>
          <w:tcPr>
            <w:vAlign w:val="center"/>
          </w:tcPr>
          <w:p>
            <w:pPr>
              <w:jc w:val="center"/>
            </w:pPr>
            <w:r>
              <w:rPr>
                <w:rFonts w:ascii="宋体" w:hAnsi="宋体"/>
                <w:color w:val="000000"/>
                <w:kern w:val="0"/>
              </w:rPr>
              <w:t>0.00</w:t>
            </w:r>
          </w:p>
        </w:tc>
        <w:tc>
          <w:tcPr>
            <w:vAlign w:val="center"/>
          </w:tcPr>
          <w:p>
            <w:pPr>
              <w:jc w:val="center"/>
            </w:pPr>
            <w:r>
              <w:rPr>
                <w:rFonts w:ascii="宋体" w:hAnsi="宋体"/>
                <w:color w:val="000000"/>
                <w:kern w:val="0"/>
              </w:rPr>
              <w:t>72,919,373.31</w:t>
            </w:r>
          </w:p>
        </w:tc>
        <w:tc>
          <w:tcPr>
            <w:vAlign w:val="center"/>
          </w:tcPr>
          <w:p>
            <w:pPr>
              <w:jc w:val="center"/>
            </w:pPr>
            <w:r>
              <w:rPr>
                <w:rFonts w:ascii="宋体" w:hAnsi="宋体"/>
                <w:color w:val="000000"/>
                <w:kern w:val="0"/>
              </w:rPr>
              <w:t>65,000,000.00</w:t>
            </w:r>
          </w:p>
        </w:tc>
        <w:tc>
          <w:tcPr>
            <w:vAlign w:val="center"/>
          </w:tcPr>
          <w:p>
            <w:pPr>
              <w:jc w:val="center"/>
            </w:pPr>
            <w:r>
              <w:rPr>
                <w:rFonts w:ascii="宋体" w:hAnsi="宋体"/>
                <w:color w:val="000000"/>
                <w:kern w:val="0"/>
              </w:rPr>
              <w:t>7,919,373.31</w:t>
            </w:r>
          </w:p>
        </w:tc>
        <w:tc>
          <w:tcPr>
            <w:vAlign w:val="center"/>
          </w:tcPr>
          <w:p>
            <w:pPr>
              <w:jc w:val="center"/>
            </w:pPr>
            <w:r>
              <w:rPr>
                <w:rFonts w:ascii="宋体" w:hAnsi="宋体"/>
                <w:color w:val="000000"/>
                <w:kern w:val="0"/>
              </w:rPr>
              <w:t>49.91%</w:t>
            </w:r>
          </w:p>
        </w:tc>
      </w:tr>
      <w:tr>
        <w:tc>
          <w:tcPr>
            <w:vMerge/>
          </w:tcPr>
          <w:p/>
        </w:tc>
        <w:tc>
          <w:tcPr>
            <w:vAlign w:val="center"/>
          </w:tcPr>
          <w:p>
            <w:pPr>
              <w:jc w:val="center"/>
            </w:pPr>
            <w:r>
              <w:rPr>
                <w:rFonts w:ascii="宋体" w:hAnsi="宋体"/>
                <w:color w:val="000000"/>
                <w:kern w:val="0"/>
              </w:rPr>
              <w:t>3</w:t>
            </w:r>
          </w:p>
        </w:tc>
        <w:tc>
          <w:tcPr>
            <w:vAlign w:val="center"/>
          </w:tcPr>
          <w:p>
            <w:pPr>
              <w:jc w:val="center"/>
            </w:pPr>
            <w:r>
              <w:rPr>
                <w:rFonts w:ascii="宋体" w:hAnsi="宋体"/>
                <w:color w:val="000000"/>
                <w:kern w:val="0"/>
              </w:rPr>
              <w:t>20170413-20170630</w:t>
            </w:r>
          </w:p>
        </w:tc>
        <w:tc>
          <w:tcPr>
            <w:vAlign w:val="center"/>
          </w:tcPr>
          <w:p>
            <w:pPr>
              <w:jc w:val="center"/>
            </w:pPr>
            <w:r>
              <w:rPr>
                <w:rFonts w:ascii="宋体" w:hAnsi="宋体"/>
                <w:color w:val="000000"/>
                <w:kern w:val="0"/>
              </w:rPr>
              <w:t>0.00</w:t>
            </w:r>
          </w:p>
        </w:tc>
        <w:tc>
          <w:tcPr>
            <w:vAlign w:val="center"/>
          </w:tcPr>
          <w:p>
            <w:pPr>
              <w:jc w:val="center"/>
            </w:pPr>
            <w:r>
              <w:rPr>
                <w:rFonts w:ascii="宋体" w:hAnsi="宋体"/>
                <w:color w:val="000000"/>
                <w:kern w:val="0"/>
              </w:rPr>
              <w:t>98,866,985.07</w:t>
            </w:r>
          </w:p>
        </w:tc>
        <w:tc>
          <w:tcPr>
            <w:vAlign w:val="center"/>
          </w:tcPr>
          <w:p>
            <w:pPr>
              <w:jc w:val="center"/>
            </w:pPr>
            <w:r>
              <w:rPr>
                <w:rFonts w:ascii="宋体" w:hAnsi="宋体"/>
                <w:color w:val="000000"/>
                <w:kern w:val="0"/>
              </w:rPr>
              <w:t>91,000,000.00</w:t>
            </w:r>
          </w:p>
        </w:tc>
        <w:tc>
          <w:tcPr>
            <w:vAlign w:val="center"/>
          </w:tcPr>
          <w:p>
            <w:pPr>
              <w:jc w:val="center"/>
            </w:pPr>
            <w:r>
              <w:rPr>
                <w:rFonts w:ascii="宋体" w:hAnsi="宋体"/>
                <w:color w:val="000000"/>
                <w:kern w:val="0"/>
              </w:rPr>
              <w:t>7,866,985.07</w:t>
            </w:r>
          </w:p>
        </w:tc>
        <w:tc>
          <w:tcPr>
            <w:vAlign w:val="center"/>
          </w:tcPr>
          <w:p>
            <w:pPr>
              <w:jc w:val="center"/>
            </w:pPr>
            <w:r>
              <w:rPr>
                <w:rFonts w:ascii="宋体" w:hAnsi="宋体"/>
                <w:color w:val="000000"/>
                <w:kern w:val="0"/>
              </w:rPr>
              <w:t>49.58%</w:t>
            </w:r>
          </w:p>
        </w:tc>
      </w:tr>
    </w:tbl>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8D7928" w:rsidRPr="009D271F" w:rsidTr="00A249C6">
        <w:tc>
          <w:tcPr>
            <w:tcW w:w="9212" w:type="dxa"/>
            <w:vAlign w:val="center"/>
          </w:tcPr>
          <w:p w:rsidR="008D7928" w:rsidRPr="009D271F" w:rsidRDefault="008D7928" w:rsidP="00A249C6">
            <w:pPr>
              <w:autoSpaceDE w:val="0"/>
              <w:autoSpaceDN w:val="0"/>
              <w:adjustRightInd w:val="0"/>
              <w:jc w:val="center"/>
              <w:rPr>
                <w:rFonts w:ascii="宋体" w:hAnsi="宋体"/>
                <w:kern w:val="0"/>
              </w:rPr>
            </w:pPr>
            <w:r w:rsidRPr="009D271F">
              <w:rPr>
                <w:rFonts w:ascii="宋体" w:hAnsi="宋体"/>
                <w:color w:val="000000"/>
                <w:kern w:val="0"/>
              </w:rPr>
              <w:t>产品特有风险</w:t>
            </w:r>
            <w:r w:rsidRPr="009D271F">
              <w:rPr>
                <w:rFonts w:ascii="宋体" w:hAnsi="宋体"/>
                <w:kern w:val="0"/>
              </w:rPr>
              <w:t/>
            </w:r>
            <w:r w:rsidRPr="009D271F">
              <w:rPr>
                <w:rFonts w:ascii="宋体" w:hAnsi="宋体" w:hint="eastAsia"/>
                <w:kern w:val="0"/>
              </w:rPr>
              <w:t/>
            </w:r>
            <w:r w:rsidRPr="009D271F">
              <w:rPr>
                <w:rFonts w:ascii="宋体" w:hAnsi="宋体"/>
                <w:kern w:val="0"/>
              </w:rPr>
              <w:t/>
            </w:r>
          </w:p>
        </w:tc>
      </w:tr>
      <w:tr w:rsidR="008D7928" w:rsidRPr="009D271F" w:rsidTr="00A249C6">
        <w:tc>
          <w:tcPr>
            <w:tcW w:w="9212" w:type="dxa"/>
            <w:vAlign w:val="center"/>
          </w:tcPr>
          <w:p>
            <w:pPr>
              <w:autoSpaceDE w:val="0"/>
              <w:autoSpaceDN w:val="0"/>
              <w:adjustRightInd w:val="0"/>
              <w:jc w:val="left"/>
              <w:rPr>
                <w:rFonts w:ascii="宋体" w:hAnsi="宋体"/>
                <w:kern w:val="0"/>
              </w:rPr>
            </w:pPr>
            <w:r>
              <w:rPr>
                <w:rFonts w:ascii="宋体" w:hAnsi="宋体" w:hint="eastAsia"/>
                <w:kern w:val="0"/>
              </w:rPr>
              <w:t>1、赎回申请延期办理的风险</w:t>
            </w:r>
          </w:p>
          <w:p>
            <w:pPr>
              <w:autoSpaceDE w:val="0"/>
              <w:autoSpaceDN w:val="0"/>
              <w:adjustRightInd w:val="0"/>
              <w:jc w:val="left"/>
              <w:rPr>
                <w:rFonts w:ascii="宋体" w:hAnsi="宋体"/>
                <w:kern w:val="0"/>
              </w:rPr>
            </w:pPr>
            <w:r>
              <w:rPr>
                <w:rFonts w:ascii="宋体" w:hAnsi="宋体" w:hint="eastAsia"/>
                <w:kern w:val="0"/>
              </w:rPr>
              <w:t>机构投资者大额赎回时易构成本基金发生巨额赎回，中小投资者可能面临小额赎回，中小投资者可能面临小额赎回申请也需要与机构投资者按同比例部分延期办理的风险；</w:t>
            </w:r>
          </w:p>
          <w:p>
            <w:pPr>
              <w:autoSpaceDE w:val="0"/>
              <w:autoSpaceDN w:val="0"/>
              <w:adjustRightInd w:val="0"/>
              <w:jc w:val="left"/>
              <w:rPr>
                <w:rFonts w:ascii="宋体" w:hAnsi="宋体"/>
                <w:kern w:val="0"/>
              </w:rPr>
            </w:pPr>
            <w:r>
              <w:rPr>
                <w:rFonts w:ascii="宋体" w:hAnsi="宋体" w:hint="eastAsia"/>
                <w:kern w:val="0"/>
              </w:rPr>
              <w:t>2、基金净值大幅波动的风险</w:t>
            </w:r>
          </w:p>
          <w:p>
            <w:pPr>
              <w:autoSpaceDE w:val="0"/>
              <w:autoSpaceDN w:val="0"/>
              <w:adjustRightInd w:val="0"/>
              <w:jc w:val="left"/>
              <w:rPr>
                <w:rFonts w:ascii="宋体" w:hAnsi="宋体"/>
                <w:kern w:val="0"/>
              </w:rPr>
            </w:pPr>
            <w:r>
              <w:rPr>
                <w:rFonts w:ascii="宋体" w:hAnsi="宋体" w:hint="eastAsia"/>
                <w:kern w:val="0"/>
              </w:rPr>
              <w:t>机构投资者大额赎回时，基金管理人进行基金财产变现可能会对基金资产净值造成较大波动；</w:t>
            </w:r>
          </w:p>
          <w:p>
            <w:pPr>
              <w:autoSpaceDE w:val="0"/>
              <w:autoSpaceDN w:val="0"/>
              <w:adjustRightInd w:val="0"/>
              <w:jc w:val="left"/>
              <w:rPr>
                <w:rFonts w:ascii="宋体" w:hAnsi="宋体"/>
                <w:kern w:val="0"/>
              </w:rPr>
            </w:pPr>
            <w:r>
              <w:rPr>
                <w:rFonts w:ascii="宋体" w:hAnsi="宋体" w:hint="eastAsia"/>
                <w:kern w:val="0"/>
              </w:rPr>
              <w:t>3、提前终止基金合同的风险</w:t>
            </w:r>
          </w:p>
          <w:p>
            <w:pPr>
              <w:autoSpaceDE w:val="0"/>
              <w:autoSpaceDN w:val="0"/>
              <w:adjustRightInd w:val="0"/>
              <w:jc w:val="left"/>
              <w:rPr>
                <w:rFonts w:ascii="宋体" w:hAnsi="宋体"/>
                <w:kern w:val="0"/>
              </w:rPr>
            </w:pPr>
            <w:r>
              <w:rPr>
                <w:rFonts w:ascii="宋体" w:hAnsi="宋体" w:hint="eastAsia"/>
                <w:kern w:val="0"/>
              </w:rPr>
              <w:t>机构投资者赎回后，可能出现基金资产净值低于5000万元的情形，若连续六十个工作日出现基金资产净值低于5000万元情形的，基金管理人可能提前终止基金合同，基金财产将进行清算；</w:t>
            </w:r>
          </w:p>
          <w:p>
            <w:pPr>
              <w:autoSpaceDE w:val="0"/>
              <w:autoSpaceDN w:val="0"/>
              <w:adjustRightInd w:val="0"/>
              <w:jc w:val="left"/>
              <w:rPr>
                <w:rFonts w:ascii="宋体" w:hAnsi="宋体"/>
                <w:kern w:val="0"/>
              </w:rPr>
            </w:pPr>
            <w:r>
              <w:rPr>
                <w:rFonts w:ascii="宋体" w:hAnsi="宋体" w:hint="eastAsia"/>
                <w:kern w:val="0"/>
              </w:rPr>
              <w:t>4、基金规模过小导致的风险</w:t>
            </w:r>
          </w:p>
          <w:p w:rsidR="008D7928" w:rsidRPr="009D271F" w:rsidRDefault="008D7928" w:rsidP="00A249C6">
            <w:pPr>
              <w:autoSpaceDE w:val="0"/>
              <w:autoSpaceDN w:val="0"/>
              <w:adjustRightInd w:val="0"/>
              <w:jc w:val="left"/>
              <w:rPr>
                <w:rFonts w:ascii="宋体" w:hAnsi="宋体"/>
                <w:kern w:val="0"/>
              </w:rPr>
            </w:pPr>
            <w:r w:rsidRPr="009D271F">
              <w:rPr>
                <w:rFonts w:ascii="宋体" w:hAnsi="宋体" w:hint="eastAsia"/>
                <w:kern w:val="0"/>
              </w:rPr>
              <w:t/>
            </w:r>
            <w:r w:rsidRPr="009D271F">
              <w:rPr>
                <w:rFonts w:ascii="宋体" w:hAnsi="宋体"/>
                <w:kern w:val="0"/>
              </w:rPr>
              <w:t/>
            </w:r>
            <w:r w:rsidRPr="009D271F">
              <w:rPr>
                <w:rFonts w:ascii="宋体" w:hAnsi="宋体" w:hint="eastAsia"/>
                <w:kern w:val="0"/>
              </w:rPr>
              <w:t>机构投资者赎回后，可能导致基金规模过小。基金可能会面临投资银行间债券、交易所债券时交易困难的情形。</w:t>
            </w:r>
            <w:r w:rsidRPr="009D271F">
              <w:rPr>
                <w:rFonts w:ascii="宋体" w:hAnsi="宋体"/>
                <w:kern w:val="0"/>
              </w:rPr>
              <w:t/>
            </w:r>
          </w:p>
        </w:tc>
      </w:tr>
    </w:tbl>
    <w:p w:rsidR="008D7928" w:rsidRPr="008D7928" w:rsidRDefault="008D7928" w:rsidP="008D7928">
      <w:pPr>
        <w:autoSpaceDE w:val="0"/>
        <w:autoSpaceDN w:val="0"/>
        <w:adjustRightInd w:val="0"/>
        <w:spacing w:line="360" w:lineRule="auto"/>
        <w:jc w:val="left"/>
        <w:rPr>
          <w:rFonts w:ascii="宋体" w:hAnsi="宋体"/>
          <w:b/>
          <w:bCs/>
          <w:color w:val="000000"/>
          <w:kern w:val="0"/>
          <w:sz w:val="24"/>
          <w:szCs w:val="24"/>
        </w:rPr>
      </w:pPr>
      <w:r w:rsidRPr="008D7928">
        <w:rPr>
          <w:rFonts w:ascii="宋体" w:hAnsi="宋体"/>
          <w:b/>
          <w:color w:val="000000"/>
          <w:kern w:val="0"/>
          <w:sz w:val="24"/>
          <w:szCs w:val="24"/>
        </w:rPr>
        <w:t/>
      </w:r>
      <w:r w:rsidRPr="008D7928">
        <w:rPr>
          <w:rFonts w:ascii="宋体" w:hAnsi="宋体" w:hint="eastAsia"/>
          <w:b/>
          <w:bCs/>
          <w:color w:val="000000"/>
          <w:kern w:val="0"/>
          <w:sz w:val="24"/>
          <w:szCs w:val="24"/>
        </w:rPr>
        <w:t>7.2 影响投资者决策的其他重要信息</w:t>
      </w:r>
    </w:p>
    <w:p w:rsidR="008D7928" w:rsidRPr="009D271F" w:rsidRDefault="008D7928" w:rsidP="008D7928">
      <w:pPr>
        <w:spacing w:line="360" w:lineRule="auto"/>
        <w:ind w:firstLineChars="200" w:firstLine="420"/>
        <w:rPr>
          <w:rFonts w:ascii="宋体" w:hAnsi="宋体"/>
          <w:color w:val="000000"/>
        </w:rPr>
      </w:pPr>
      <w:r w:rsidRPr="009D271F">
        <w:rPr>
          <w:rFonts w:ascii="宋体" w:hAnsi="宋体"/>
          <w:color w:val="000000"/>
        </w:rPr>
        <w:t>本基金本报告期内未有影响投资者决策的其他重要信息。</w:t>
      </w:r>
    </w:p>
    <w:p w:rsidR="004061AC" w:rsidRPr="00220C32" w:rsidRDefault="004061AC" w:rsidP="006B3C1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D02347" w:rsidRPr="00220C32">
        <w:rPr>
          <w:rFonts w:asciiTheme="minorEastAsia" w:eastAsiaTheme="minorEastAsia" w:hAnsiTheme="minorEastAsia" w:hint="eastAsia"/>
          <w:color w:val="000000" w:themeColor="text1"/>
          <w:kern w:val="0"/>
          <w:sz w:val="24"/>
          <w:szCs w:val="24"/>
        </w:rPr>
        <w:t/>
      </w:r>
      <w:r w:rsidR="00676095" w:rsidRPr="00220C32">
        <w:rPr>
          <w:rFonts w:asciiTheme="minorEastAsia" w:eastAsiaTheme="minorEastAsia" w:hAnsiTheme="minorEastAsia" w:hint="eastAsia"/>
          <w:color w:val="000000" w:themeColor="text1"/>
          <w:kern w:val="0"/>
          <w:sz w:val="24"/>
          <w:szCs w:val="24"/>
        </w:rPr>
        <w:t/>
      </w:r>
      <w:r w:rsidR="00D02347"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备查文件目录</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676095" w:rsidRPr="00220C32">
        <w:rPr>
          <w:rFonts w:asciiTheme="minorEastAsia" w:eastAsiaTheme="minorEastAsia" w:hAnsiTheme="minorEastAsia" w:hint="eastAsia"/>
          <w:b/>
          <w:bCs/>
          <w:color w:val="000000" w:themeColor="text1"/>
          <w:kern w:val="0"/>
          <w:sz w:val="24"/>
          <w:szCs w:val="24"/>
        </w:rPr>
        <w:t/>
      </w: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备查文件目录</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（一）中国证监会批准新华鑫丰灵活配置混合型证券投资基金募集的文件</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（二）关于申请募集新华鑫丰灵活配置混合型证券投资基金之法律意见书</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（三）《新华鑫丰灵活配置混合型证券投资基金托管协议》</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（四）《新华鑫丰灵活配置混合型证券投资基金基金合同》</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（五）《新华基金管理股份有限公司开放式基金业务规则》</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（六）《新华鑫丰灵活配置混合型证券投资基金招募说明书》</w:t>
      </w:r>
    </w:p>
    <w:p>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（七） 基金管理人业务资格批件、营业执照和公司章程</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（八） 基金托管人业务资格批件及营业执照</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676095" w:rsidRPr="00220C32">
        <w:rPr>
          <w:rFonts w:asciiTheme="minorEastAsia" w:eastAsiaTheme="minorEastAsia" w:hAnsiTheme="minorEastAsia" w:hint="eastAsia"/>
          <w:b/>
          <w:bCs/>
          <w:color w:val="000000" w:themeColor="text1"/>
          <w:kern w:val="0"/>
          <w:sz w:val="24"/>
          <w:szCs w:val="24"/>
        </w:rPr>
        <w:t/>
      </w: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2</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存放地点</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基金管理人、基金托管人住所。</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
      </w:r>
      <w:r w:rsidR="00676095" w:rsidRPr="00220C32">
        <w:rPr>
          <w:rFonts w:asciiTheme="minorEastAsia" w:eastAsiaTheme="minorEastAsia" w:hAnsiTheme="minorEastAsia" w:hint="eastAsia"/>
          <w:b/>
          <w:bCs/>
          <w:color w:val="000000" w:themeColor="text1"/>
          <w:kern w:val="0"/>
          <w:sz w:val="24"/>
          <w:szCs w:val="24"/>
        </w:rPr>
        <w:t/>
      </w: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查阅方式</w:t>
      </w:r>
    </w:p>
    <w:p w:rsidR="00636DB7"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
      </w:r>
      <w:r w:rsidRPr="00220C32">
        <w:rPr>
          <w:rFonts w:asciiTheme="minorEastAsia" w:eastAsiaTheme="minorEastAsia" w:hAnsiTheme="minorEastAsia"/>
          <w:color w:val="000000" w:themeColor="text1"/>
        </w:rPr>
        <w:t/>
      </w:r>
      <w:r w:rsidRPr="00220C32">
        <w:rPr>
          <w:rFonts w:asciiTheme="minorEastAsia" w:eastAsiaTheme="minorEastAsia" w:hAnsiTheme="minorEastAsia" w:hint="eastAsia"/>
          <w:color w:val="000000" w:themeColor="text1"/>
        </w:rPr>
        <w:t>投资者可在营业时间内免费查阅，也可按工本费购买复印件，或通过本基金管理人网站查阅。</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新华基金管理股份有限公司</w:t>
      </w:r>
    </w:p>
    <w:p w:rsidR="004061AC" w:rsidRPr="00220C32" w:rsidRDefault="00945AF6"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二〇一七年七月二十一日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35F" w:rsidRDefault="0018635F" w:rsidP="00876D65">
      <w:r>
        <w:separator/>
      </w:r>
    </w:p>
  </w:endnote>
  <w:endnote w:type="continuationSeparator" w:id="1">
    <w:p w:rsidR="0018635F" w:rsidRDefault="0018635F"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D56DE5" w:rsidRPr="00D56DE5">
      <w:fldChar w:fldCharType="begin"/>
    </w:r>
    <w:r>
      <w:instrText xml:space="preserve"> PAGE   \* MERGEFORMAT </w:instrText>
    </w:r>
    <w:r w:rsidR="00D56DE5" w:rsidRPr="00D56DE5">
      <w:fldChar w:fldCharType="separate"/>
    </w:r>
    <w:r w:rsidR="006B3C1C" w:rsidRPr="006B3C1C">
      <w:rPr>
        <w:noProof/>
        <w:lang w:val="zh-CN"/>
      </w:rPr>
      <w:t>1</w:t>
    </w:r>
    <w:r w:rsidR="00D56DE5">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D56DE5">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6B3C1C">
      <w:rPr>
        <w:rStyle w:val="a7"/>
        <w:noProof/>
      </w:rPr>
      <w:t>10</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35F" w:rsidRDefault="0018635F" w:rsidP="00876D65">
      <w:r>
        <w:separator/>
      </w:r>
    </w:p>
  </w:footnote>
  <w:footnote w:type="continuationSeparator" w:id="1">
    <w:p w:rsidR="0018635F" w:rsidRDefault="0018635F" w:rsidP="00876D65">
      <w:r>
        <w:continuationSeparator/>
      </w:r>
    </w:p>
  </w:footnote>
  <w:footnote w:type="separator" w:id="0">
    <w:p w:rsidR="0018635F" w:rsidRDefault="0018635F" w:rsidP="00876D65">
      <w:r>
        <w:separator/>
      </w:r>
    </w:p>
  </w:footnote>
  <w:footnote w:type="continuationSeparator" w:id="1">
    <w:p w:rsidR="0018635F" w:rsidRDefault="0018635F"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
    </w:r>
    <w:r w:rsidRPr="007120CC">
      <w:t/>
    </w:r>
    <w:r w:rsidRPr="007120CC">
      <w:rPr>
        <w:rFonts w:hint="eastAsia"/>
      </w:rPr>
      <w:t/>
    </w:r>
    <w:r w:rsidRPr="007120CC">
      <w:t/>
    </w:r>
    <w:r w:rsidRPr="007120CC">
      <w:rPr>
        <w:rFonts w:hint="eastAsia"/>
      </w:rPr>
      <w:t>新华鑫丰灵活配置混合型证券投资基金2017年第2季度报告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0260D"/>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8635F"/>
    <w:rsid w:val="00196E6C"/>
    <w:rsid w:val="001A73E8"/>
    <w:rsid w:val="001A75C0"/>
    <w:rsid w:val="001B0A62"/>
    <w:rsid w:val="001B2F35"/>
    <w:rsid w:val="001C0993"/>
    <w:rsid w:val="001C78B2"/>
    <w:rsid w:val="001C79F2"/>
    <w:rsid w:val="001D63BB"/>
    <w:rsid w:val="001D6A4B"/>
    <w:rsid w:val="001E4630"/>
    <w:rsid w:val="001F0964"/>
    <w:rsid w:val="001F30DA"/>
    <w:rsid w:val="001F5DC5"/>
    <w:rsid w:val="00200FAB"/>
    <w:rsid w:val="00211D54"/>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9085F"/>
    <w:rsid w:val="00394069"/>
    <w:rsid w:val="003A6061"/>
    <w:rsid w:val="003B6FBC"/>
    <w:rsid w:val="003C2B36"/>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B3C1C"/>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3B9B"/>
    <w:rsid w:val="008C75E7"/>
    <w:rsid w:val="008C7CA8"/>
    <w:rsid w:val="008D09EC"/>
    <w:rsid w:val="008D7928"/>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6DE5"/>
    <w:rsid w:val="00D57B7C"/>
    <w:rsid w:val="00D65B44"/>
    <w:rsid w:val="00D8099B"/>
    <w:rsid w:val="00D809B9"/>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3C2F"/>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jpeg"/>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14"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13</Pages>
  <Words>3834</Words>
  <Characters>21859</Characters>
  <Application>Microsoft Office Word</Application>
  <DocSecurity>0</DocSecurity>
  <Lines>182</Lines>
  <Paragraphs>51</Paragraphs>
  <ScaleCrop>false</ScaleCrop>
  <Company/>
  <LinksUpToDate>false</LinksUpToDate>
  <CharactersWithSpaces>25642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2012-10-16T06:07:00Z</dcterms:created>
  <lastModifiedBy>China</lastModifiedBy>
  <dcterms:modified xsi:type="dcterms:W3CDTF">2017-07-12T15:12:00Z</dcterms:modified>
  <revision>265</revision>
</coreProperties>
</file>