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E9F" w:rsidRPr="003C5007" w:rsidRDefault="00074E9F" w:rsidP="003C5007">
      <w:pPr>
        <w:autoSpaceDE w:val="0"/>
        <w:autoSpaceDN w:val="0"/>
        <w:adjustRightInd w:val="0"/>
        <w:spacing w:line="360" w:lineRule="auto"/>
        <w:jc w:val="left"/>
        <w:rPr>
          <w:rFonts w:eastAsiaTheme="minorEastAsia"/>
          <w:color w:val="000000" w:themeColor="text1"/>
          <w:kern w:val="0"/>
          <w:szCs w:val="21"/>
        </w:rPr>
      </w:pPr>
    </w:p>
    <w:p w:rsidR="00074E9F" w:rsidRPr="003C5007" w:rsidRDefault="00074E9F" w:rsidP="003C5007">
      <w:pPr>
        <w:autoSpaceDE w:val="0"/>
        <w:autoSpaceDN w:val="0"/>
        <w:adjustRightInd w:val="0"/>
        <w:spacing w:line="360" w:lineRule="auto"/>
        <w:jc w:val="left"/>
        <w:rPr>
          <w:rFonts w:eastAsiaTheme="minorEastAsia"/>
          <w:color w:val="000000" w:themeColor="text1"/>
          <w:kern w:val="0"/>
          <w:szCs w:val="21"/>
        </w:rPr>
      </w:pPr>
    </w:p>
    <w:p w:rsidR="00074E9F" w:rsidRPr="003C5007" w:rsidRDefault="00074E9F" w:rsidP="003C5007">
      <w:pPr>
        <w:autoSpaceDE w:val="0"/>
        <w:autoSpaceDN w:val="0"/>
        <w:adjustRightInd w:val="0"/>
        <w:spacing w:line="360" w:lineRule="auto"/>
        <w:jc w:val="left"/>
        <w:rPr>
          <w:rFonts w:eastAsiaTheme="minorEastAsia"/>
          <w:color w:val="000000" w:themeColor="text1"/>
          <w:kern w:val="0"/>
          <w:szCs w:val="21"/>
        </w:rPr>
      </w:pPr>
    </w:p>
    <w:p w:rsidR="00074E9F" w:rsidRPr="003C5007" w:rsidRDefault="00074E9F" w:rsidP="003C5007">
      <w:pPr>
        <w:autoSpaceDE w:val="0"/>
        <w:autoSpaceDN w:val="0"/>
        <w:adjustRightInd w:val="0"/>
        <w:spacing w:line="360" w:lineRule="auto"/>
        <w:jc w:val="left"/>
        <w:rPr>
          <w:rFonts w:eastAsiaTheme="minorEastAsia"/>
          <w:color w:val="000000" w:themeColor="text1"/>
          <w:kern w:val="0"/>
          <w:szCs w:val="21"/>
        </w:rPr>
      </w:pPr>
    </w:p>
    <w:p w:rsidR="008D7EF7" w:rsidRPr="003C5007" w:rsidRDefault="008D7EF7" w:rsidP="003C5007">
      <w:pPr>
        <w:spacing w:line="360" w:lineRule="auto"/>
        <w:jc w:val="center"/>
        <w:rPr>
          <w:rFonts w:eastAsiaTheme="minorEastAsia"/>
          <w:b/>
          <w:color w:val="000000" w:themeColor="text1"/>
          <w:sz w:val="36"/>
          <w:szCs w:val="36"/>
        </w:rPr>
      </w:pPr>
      <w:r w:rsidRPr="003C5007">
        <w:rPr>
          <w:rFonts w:eastAsiaTheme="minorEastAsia"/>
          <w:b/>
          <w:color w:val="000000" w:themeColor="text1"/>
          <w:sz w:val="36"/>
          <w:szCs w:val="36"/>
        </w:rPr>
        <w:t>申万菱信中小</w:t>
      </w:r>
      <w:proofErr w:type="gramStart"/>
      <w:r w:rsidRPr="003C5007">
        <w:rPr>
          <w:rFonts w:eastAsiaTheme="minorEastAsia"/>
          <w:b/>
          <w:color w:val="000000" w:themeColor="text1"/>
          <w:sz w:val="36"/>
          <w:szCs w:val="36"/>
        </w:rPr>
        <w:t>板指数</w:t>
      </w:r>
      <w:proofErr w:type="gramEnd"/>
      <w:r w:rsidRPr="003C5007">
        <w:rPr>
          <w:rFonts w:eastAsiaTheme="minorEastAsia"/>
          <w:b/>
          <w:color w:val="000000" w:themeColor="text1"/>
          <w:sz w:val="36"/>
          <w:szCs w:val="36"/>
        </w:rPr>
        <w:t>证券投资基金</w:t>
      </w:r>
      <w:r w:rsidRPr="003C5007">
        <w:rPr>
          <w:rFonts w:eastAsiaTheme="minorEastAsia"/>
          <w:b/>
          <w:color w:val="000000" w:themeColor="text1"/>
          <w:sz w:val="36"/>
          <w:szCs w:val="36"/>
        </w:rPr>
        <w:t>(LOF)</w:t>
      </w:r>
    </w:p>
    <w:p w:rsidR="00675C50" w:rsidRPr="003C5007" w:rsidRDefault="00675C50" w:rsidP="003C5007">
      <w:pPr>
        <w:spacing w:line="360" w:lineRule="auto"/>
        <w:jc w:val="center"/>
        <w:rPr>
          <w:b/>
          <w:bCs/>
          <w:color w:val="000000"/>
          <w:sz w:val="36"/>
          <w:szCs w:val="36"/>
        </w:rPr>
      </w:pPr>
      <w:r w:rsidRPr="003C5007">
        <w:rPr>
          <w:b/>
          <w:bCs/>
          <w:color w:val="000000"/>
          <w:sz w:val="36"/>
          <w:szCs w:val="36"/>
        </w:rPr>
        <w:t>(</w:t>
      </w:r>
      <w:r w:rsidRPr="003C5007">
        <w:rPr>
          <w:b/>
          <w:bCs/>
          <w:color w:val="000000"/>
          <w:sz w:val="36"/>
          <w:szCs w:val="36"/>
        </w:rPr>
        <w:t>申万菱信中小板指数分级证券投资基金</w:t>
      </w:r>
      <w:r w:rsidRPr="003C5007">
        <w:rPr>
          <w:b/>
          <w:bCs/>
          <w:color w:val="000000"/>
          <w:sz w:val="36"/>
          <w:szCs w:val="36"/>
        </w:rPr>
        <w:t>)</w:t>
      </w:r>
    </w:p>
    <w:p w:rsidR="008D7EF7" w:rsidRPr="003C5007" w:rsidRDefault="008D7EF7" w:rsidP="003C5007">
      <w:pPr>
        <w:spacing w:line="360" w:lineRule="auto"/>
        <w:jc w:val="center"/>
        <w:rPr>
          <w:rFonts w:eastAsiaTheme="minorEastAsia"/>
          <w:b/>
          <w:color w:val="000000" w:themeColor="text1"/>
          <w:sz w:val="32"/>
          <w:szCs w:val="32"/>
        </w:rPr>
      </w:pPr>
      <w:r w:rsidRPr="003C5007">
        <w:rPr>
          <w:rFonts w:eastAsiaTheme="minorEastAsia"/>
          <w:b/>
          <w:color w:val="000000" w:themeColor="text1"/>
          <w:sz w:val="32"/>
          <w:szCs w:val="32"/>
        </w:rPr>
        <w:t>2017</w:t>
      </w:r>
      <w:r w:rsidRPr="003C5007">
        <w:rPr>
          <w:rFonts w:eastAsiaTheme="minorEastAsia"/>
          <w:b/>
          <w:color w:val="000000" w:themeColor="text1"/>
          <w:sz w:val="32"/>
          <w:szCs w:val="32"/>
        </w:rPr>
        <w:t>年第</w:t>
      </w:r>
      <w:r w:rsidRPr="003C5007">
        <w:rPr>
          <w:rFonts w:eastAsiaTheme="minorEastAsia"/>
          <w:b/>
          <w:color w:val="000000" w:themeColor="text1"/>
          <w:sz w:val="32"/>
          <w:szCs w:val="32"/>
        </w:rPr>
        <w:t>2</w:t>
      </w:r>
      <w:r w:rsidRPr="003C5007">
        <w:rPr>
          <w:rFonts w:eastAsiaTheme="minorEastAsia"/>
          <w:b/>
          <w:color w:val="000000" w:themeColor="text1"/>
          <w:sz w:val="32"/>
          <w:szCs w:val="32"/>
        </w:rPr>
        <w:t>季度报告</w:t>
      </w:r>
    </w:p>
    <w:p w:rsidR="00074E9F" w:rsidRPr="003C5007" w:rsidRDefault="005C0A04" w:rsidP="003C5007">
      <w:pPr>
        <w:spacing w:line="360" w:lineRule="auto"/>
        <w:jc w:val="center"/>
        <w:rPr>
          <w:rFonts w:eastAsiaTheme="minorEastAsia"/>
          <w:b/>
          <w:color w:val="000000" w:themeColor="text1"/>
          <w:sz w:val="32"/>
          <w:szCs w:val="32"/>
        </w:rPr>
      </w:pPr>
      <w:r w:rsidRPr="003C5007">
        <w:rPr>
          <w:rFonts w:eastAsiaTheme="minorEastAsia"/>
          <w:b/>
          <w:color w:val="000000" w:themeColor="text1"/>
          <w:sz w:val="32"/>
          <w:szCs w:val="32"/>
        </w:rPr>
        <w:t>2017</w:t>
      </w:r>
      <w:r w:rsidRPr="003C5007">
        <w:rPr>
          <w:rFonts w:eastAsiaTheme="minorEastAsia"/>
          <w:b/>
          <w:color w:val="000000" w:themeColor="text1"/>
          <w:sz w:val="32"/>
          <w:szCs w:val="32"/>
        </w:rPr>
        <w:t>年</w:t>
      </w:r>
      <w:r w:rsidRPr="003C5007">
        <w:rPr>
          <w:rFonts w:eastAsiaTheme="minorEastAsia"/>
          <w:b/>
          <w:color w:val="000000" w:themeColor="text1"/>
          <w:sz w:val="32"/>
          <w:szCs w:val="32"/>
        </w:rPr>
        <w:t>6</w:t>
      </w:r>
      <w:r w:rsidRPr="003C5007">
        <w:rPr>
          <w:rFonts w:eastAsiaTheme="minorEastAsia"/>
          <w:b/>
          <w:color w:val="000000" w:themeColor="text1"/>
          <w:sz w:val="32"/>
          <w:szCs w:val="32"/>
        </w:rPr>
        <w:t>月</w:t>
      </w:r>
      <w:r w:rsidRPr="003C5007">
        <w:rPr>
          <w:rFonts w:eastAsiaTheme="minorEastAsia"/>
          <w:b/>
          <w:color w:val="000000" w:themeColor="text1"/>
          <w:sz w:val="32"/>
          <w:szCs w:val="32"/>
        </w:rPr>
        <w:t>30</w:t>
      </w:r>
      <w:bookmarkStart w:id="0" w:name="_GoBack"/>
      <w:bookmarkEnd w:id="0"/>
      <w:r w:rsidRPr="003C5007">
        <w:rPr>
          <w:rFonts w:eastAsiaTheme="minorEastAsia"/>
          <w:b/>
          <w:color w:val="000000" w:themeColor="text1"/>
          <w:sz w:val="32"/>
          <w:szCs w:val="32"/>
        </w:rPr>
        <w:t>日</w:t>
      </w:r>
    </w:p>
    <w:p w:rsidR="00074E9F" w:rsidRPr="003C5007" w:rsidRDefault="00074E9F" w:rsidP="003C5007">
      <w:pPr>
        <w:spacing w:line="360" w:lineRule="auto"/>
        <w:jc w:val="center"/>
        <w:rPr>
          <w:rFonts w:eastAsiaTheme="minorEastAsia"/>
          <w:b/>
          <w:color w:val="000000" w:themeColor="text1"/>
          <w:szCs w:val="21"/>
        </w:rPr>
      </w:pPr>
    </w:p>
    <w:p w:rsidR="00074E9F" w:rsidRPr="003C5007" w:rsidRDefault="00074E9F" w:rsidP="003C5007">
      <w:pPr>
        <w:spacing w:line="360" w:lineRule="auto"/>
        <w:jc w:val="center"/>
        <w:rPr>
          <w:rFonts w:eastAsiaTheme="minorEastAsia"/>
          <w:b/>
          <w:color w:val="000000" w:themeColor="text1"/>
          <w:szCs w:val="21"/>
        </w:rPr>
      </w:pPr>
    </w:p>
    <w:p w:rsidR="00074E9F" w:rsidRPr="003C5007" w:rsidRDefault="00074E9F" w:rsidP="003C5007">
      <w:pPr>
        <w:spacing w:line="360" w:lineRule="auto"/>
        <w:jc w:val="center"/>
        <w:rPr>
          <w:rFonts w:eastAsiaTheme="minorEastAsia"/>
          <w:b/>
          <w:color w:val="000000" w:themeColor="text1"/>
          <w:szCs w:val="21"/>
        </w:rPr>
      </w:pPr>
    </w:p>
    <w:p w:rsidR="00074E9F" w:rsidRPr="003C5007" w:rsidRDefault="00074E9F" w:rsidP="003C5007">
      <w:pPr>
        <w:spacing w:line="360" w:lineRule="auto"/>
        <w:jc w:val="center"/>
        <w:rPr>
          <w:rFonts w:eastAsiaTheme="minorEastAsia"/>
          <w:b/>
          <w:color w:val="000000" w:themeColor="text1"/>
          <w:szCs w:val="21"/>
        </w:rPr>
      </w:pPr>
    </w:p>
    <w:p w:rsidR="00074E9F" w:rsidRPr="003C5007" w:rsidRDefault="00074E9F" w:rsidP="003C5007">
      <w:pPr>
        <w:spacing w:line="360" w:lineRule="auto"/>
        <w:jc w:val="center"/>
        <w:rPr>
          <w:rFonts w:eastAsiaTheme="minorEastAsia"/>
          <w:b/>
          <w:color w:val="000000" w:themeColor="text1"/>
          <w:szCs w:val="21"/>
        </w:rPr>
      </w:pPr>
    </w:p>
    <w:p w:rsidR="00074E9F" w:rsidRPr="003C5007" w:rsidRDefault="00074E9F" w:rsidP="003C5007">
      <w:pPr>
        <w:spacing w:line="360" w:lineRule="auto"/>
        <w:jc w:val="center"/>
        <w:rPr>
          <w:rFonts w:eastAsiaTheme="minorEastAsia"/>
          <w:b/>
          <w:color w:val="000000" w:themeColor="text1"/>
          <w:szCs w:val="21"/>
        </w:rPr>
      </w:pPr>
    </w:p>
    <w:p w:rsidR="00074E9F" w:rsidRPr="003C5007" w:rsidRDefault="00074E9F" w:rsidP="003C5007">
      <w:pPr>
        <w:spacing w:line="360" w:lineRule="auto"/>
        <w:jc w:val="center"/>
        <w:rPr>
          <w:rFonts w:eastAsiaTheme="minorEastAsia"/>
          <w:b/>
          <w:color w:val="000000" w:themeColor="text1"/>
          <w:szCs w:val="21"/>
        </w:rPr>
      </w:pPr>
    </w:p>
    <w:p w:rsidR="00074E9F" w:rsidRPr="003C5007" w:rsidRDefault="00074E9F" w:rsidP="003C5007">
      <w:pPr>
        <w:spacing w:line="360" w:lineRule="auto"/>
        <w:jc w:val="center"/>
        <w:rPr>
          <w:rFonts w:eastAsiaTheme="minorEastAsia"/>
          <w:b/>
          <w:color w:val="000000" w:themeColor="text1"/>
          <w:szCs w:val="21"/>
        </w:rPr>
      </w:pPr>
    </w:p>
    <w:p w:rsidR="00074E9F" w:rsidRPr="003C5007" w:rsidRDefault="00074E9F" w:rsidP="003C5007">
      <w:pPr>
        <w:spacing w:line="360" w:lineRule="auto"/>
        <w:jc w:val="center"/>
        <w:rPr>
          <w:rFonts w:eastAsiaTheme="minorEastAsia"/>
          <w:b/>
          <w:color w:val="000000" w:themeColor="text1"/>
          <w:szCs w:val="21"/>
        </w:rPr>
      </w:pPr>
    </w:p>
    <w:p w:rsidR="00074E9F" w:rsidRPr="003C5007" w:rsidRDefault="00074E9F" w:rsidP="003C5007">
      <w:pPr>
        <w:spacing w:line="360" w:lineRule="auto"/>
        <w:jc w:val="center"/>
        <w:rPr>
          <w:rFonts w:eastAsiaTheme="minorEastAsia"/>
          <w:b/>
          <w:color w:val="000000" w:themeColor="text1"/>
          <w:szCs w:val="21"/>
        </w:rPr>
      </w:pPr>
    </w:p>
    <w:p w:rsidR="00074E9F" w:rsidRPr="003C5007" w:rsidRDefault="00074E9F" w:rsidP="003C5007">
      <w:pPr>
        <w:spacing w:line="360" w:lineRule="auto"/>
        <w:jc w:val="center"/>
        <w:rPr>
          <w:rFonts w:eastAsiaTheme="minorEastAsia"/>
          <w:b/>
          <w:color w:val="000000" w:themeColor="text1"/>
          <w:szCs w:val="21"/>
        </w:rPr>
      </w:pPr>
    </w:p>
    <w:p w:rsidR="00074E9F" w:rsidRPr="003C5007" w:rsidRDefault="00074E9F" w:rsidP="003C5007">
      <w:pPr>
        <w:spacing w:line="360" w:lineRule="auto"/>
        <w:jc w:val="center"/>
        <w:rPr>
          <w:rFonts w:eastAsiaTheme="minorEastAsia"/>
          <w:b/>
          <w:color w:val="000000" w:themeColor="text1"/>
          <w:szCs w:val="21"/>
        </w:rPr>
      </w:pPr>
    </w:p>
    <w:p w:rsidR="00074E9F" w:rsidRPr="003C5007" w:rsidRDefault="00074E9F" w:rsidP="003C5007">
      <w:pPr>
        <w:spacing w:line="360" w:lineRule="auto"/>
        <w:jc w:val="center"/>
        <w:rPr>
          <w:rFonts w:eastAsiaTheme="minorEastAsia"/>
          <w:b/>
          <w:color w:val="000000" w:themeColor="text1"/>
          <w:szCs w:val="21"/>
        </w:rPr>
      </w:pPr>
    </w:p>
    <w:p w:rsidR="00074E9F" w:rsidRPr="003C5007" w:rsidRDefault="00074E9F" w:rsidP="003C5007">
      <w:pPr>
        <w:spacing w:line="360" w:lineRule="auto"/>
        <w:jc w:val="center"/>
        <w:rPr>
          <w:rFonts w:eastAsiaTheme="minorEastAsia"/>
          <w:b/>
          <w:color w:val="000000" w:themeColor="text1"/>
          <w:szCs w:val="21"/>
        </w:rPr>
      </w:pPr>
    </w:p>
    <w:p w:rsidR="00074E9F" w:rsidRPr="003C5007" w:rsidRDefault="00074E9F" w:rsidP="003C5007">
      <w:pPr>
        <w:spacing w:line="360" w:lineRule="auto"/>
        <w:ind w:firstLineChars="900" w:firstLine="2168"/>
        <w:rPr>
          <w:rFonts w:eastAsiaTheme="minorEastAsia"/>
          <w:b/>
          <w:color w:val="000000" w:themeColor="text1"/>
          <w:sz w:val="24"/>
        </w:rPr>
      </w:pPr>
      <w:r w:rsidRPr="003C5007">
        <w:rPr>
          <w:rFonts w:eastAsiaTheme="minorEastAsia"/>
          <w:b/>
          <w:color w:val="000000" w:themeColor="text1"/>
          <w:sz w:val="24"/>
        </w:rPr>
        <w:t>基金管理人：</w:t>
      </w:r>
      <w:r w:rsidR="008F4AAB" w:rsidRPr="003C5007">
        <w:rPr>
          <w:rFonts w:eastAsiaTheme="minorEastAsia"/>
          <w:b/>
          <w:color w:val="000000" w:themeColor="text1"/>
          <w:sz w:val="24"/>
        </w:rPr>
        <w:t>申万菱信基金管理有限公司</w:t>
      </w:r>
    </w:p>
    <w:p w:rsidR="00074E9F" w:rsidRPr="003C5007" w:rsidRDefault="00074E9F" w:rsidP="003C5007">
      <w:pPr>
        <w:spacing w:line="360" w:lineRule="auto"/>
        <w:ind w:firstLineChars="900" w:firstLine="2168"/>
        <w:rPr>
          <w:rFonts w:eastAsiaTheme="minorEastAsia"/>
          <w:b/>
          <w:color w:val="000000" w:themeColor="text1"/>
          <w:sz w:val="24"/>
        </w:rPr>
      </w:pPr>
      <w:r w:rsidRPr="003C5007">
        <w:rPr>
          <w:rFonts w:eastAsiaTheme="minorEastAsia"/>
          <w:b/>
          <w:color w:val="000000" w:themeColor="text1"/>
          <w:sz w:val="24"/>
        </w:rPr>
        <w:t>基金托管人：</w:t>
      </w:r>
      <w:r w:rsidR="008F4AAB" w:rsidRPr="003C5007">
        <w:rPr>
          <w:rFonts w:eastAsiaTheme="minorEastAsia"/>
          <w:b/>
          <w:color w:val="000000" w:themeColor="text1"/>
          <w:sz w:val="24"/>
        </w:rPr>
        <w:t>中国农业银行股份有限公司</w:t>
      </w:r>
    </w:p>
    <w:p w:rsidR="00074E9F" w:rsidRPr="003C5007" w:rsidRDefault="00074E9F" w:rsidP="003C5007">
      <w:pPr>
        <w:spacing w:line="360" w:lineRule="auto"/>
        <w:ind w:firstLineChars="900" w:firstLine="2168"/>
        <w:rPr>
          <w:rFonts w:eastAsiaTheme="minorEastAsia"/>
          <w:b/>
          <w:color w:val="000000" w:themeColor="text1"/>
          <w:sz w:val="24"/>
        </w:rPr>
        <w:sectPr w:rsidR="00074E9F" w:rsidRPr="003C5007" w:rsidSect="00230A66">
          <w:headerReference w:type="default" r:id="rId9"/>
          <w:footerReference w:type="default" r:id="rId10"/>
          <w:pgSz w:w="11926" w:h="15840"/>
          <w:pgMar w:top="1418" w:right="1418" w:bottom="851" w:left="1418" w:header="851" w:footer="992" w:gutter="0"/>
          <w:cols w:space="720"/>
          <w:noEndnote/>
        </w:sectPr>
      </w:pPr>
      <w:r w:rsidRPr="003C5007">
        <w:rPr>
          <w:rFonts w:eastAsiaTheme="minorEastAsia"/>
          <w:b/>
          <w:color w:val="000000" w:themeColor="text1"/>
          <w:sz w:val="24"/>
        </w:rPr>
        <w:t>报告送出日期：</w:t>
      </w:r>
      <w:r w:rsidR="00665677" w:rsidRPr="003C5007">
        <w:rPr>
          <w:rFonts w:eastAsiaTheme="minorEastAsia"/>
          <w:b/>
          <w:color w:val="000000" w:themeColor="text1"/>
          <w:sz w:val="24"/>
        </w:rPr>
        <w:t>二〇一七年七月二十一日</w:t>
      </w:r>
    </w:p>
    <w:p w:rsidR="00220542" w:rsidRPr="003C5007" w:rsidRDefault="00220542" w:rsidP="00767A35">
      <w:pPr>
        <w:pStyle w:val="1"/>
        <w:spacing w:beforeLines="100" w:before="312" w:afterLines="100" w:after="312" w:line="360" w:lineRule="auto"/>
        <w:jc w:val="center"/>
        <w:rPr>
          <w:rFonts w:eastAsiaTheme="minorEastAsia"/>
          <w:b w:val="0"/>
          <w:color w:val="000000" w:themeColor="text1"/>
          <w:kern w:val="0"/>
          <w:sz w:val="21"/>
          <w:szCs w:val="21"/>
        </w:rPr>
      </w:pPr>
      <w:r w:rsidRPr="003C5007">
        <w:rPr>
          <w:rFonts w:eastAsiaTheme="minorEastAsia"/>
          <w:color w:val="000000" w:themeColor="text1"/>
          <w:kern w:val="0"/>
          <w:sz w:val="21"/>
          <w:szCs w:val="21"/>
        </w:rPr>
        <w:lastRenderedPageBreak/>
        <w:t xml:space="preserve">§1  </w:t>
      </w:r>
      <w:r w:rsidRPr="003C5007">
        <w:rPr>
          <w:rFonts w:eastAsiaTheme="minorEastAsia"/>
          <w:color w:val="000000" w:themeColor="text1"/>
          <w:kern w:val="0"/>
          <w:sz w:val="21"/>
          <w:szCs w:val="21"/>
        </w:rPr>
        <w:t>重要提示</w:t>
      </w:r>
    </w:p>
    <w:p w:rsidR="008E3BA0" w:rsidRDefault="008E501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8E3BA0" w:rsidRDefault="008E501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基金托管人中国农业银行股份有限公司根据本基金合同规定，于</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8E3BA0" w:rsidRDefault="008E5013">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根据《基金合同》的相关规定，原</w:t>
      </w:r>
      <w:proofErr w:type="gramStart"/>
      <w:r>
        <w:rPr>
          <w:rFonts w:eastAsiaTheme="minorEastAsia"/>
          <w:color w:val="000000" w:themeColor="text1"/>
          <w:szCs w:val="21"/>
        </w:rPr>
        <w:t>申万菱</w:t>
      </w:r>
      <w:proofErr w:type="gramEnd"/>
      <w:r>
        <w:rPr>
          <w:rFonts w:eastAsiaTheme="minorEastAsia"/>
          <w:color w:val="000000" w:themeColor="text1"/>
          <w:szCs w:val="21"/>
        </w:rPr>
        <w:t>信中小</w:t>
      </w:r>
      <w:proofErr w:type="gramStart"/>
      <w:r>
        <w:rPr>
          <w:rFonts w:eastAsiaTheme="minorEastAsia"/>
          <w:color w:val="000000" w:themeColor="text1"/>
          <w:szCs w:val="21"/>
        </w:rPr>
        <w:t>板指数</w:t>
      </w:r>
      <w:proofErr w:type="gramEnd"/>
      <w:r>
        <w:rPr>
          <w:rFonts w:eastAsiaTheme="minorEastAsia"/>
          <w:color w:val="000000" w:themeColor="text1"/>
          <w:szCs w:val="21"/>
        </w:rPr>
        <w:t>分级证券投资基金分级运作期共包含五个运作周年。分级运作期结束，无需召开基金份额持有人大会，自动转换为上市开放式基金（</w:t>
      </w:r>
      <w:r>
        <w:rPr>
          <w:rFonts w:eastAsiaTheme="minorEastAsia"/>
          <w:color w:val="000000" w:themeColor="text1"/>
          <w:szCs w:val="21"/>
        </w:rPr>
        <w:t>LOF</w:t>
      </w:r>
      <w:r>
        <w:rPr>
          <w:rFonts w:eastAsiaTheme="minorEastAsia"/>
          <w:color w:val="000000" w:themeColor="text1"/>
          <w:szCs w:val="21"/>
        </w:rPr>
        <w:t>）。</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w:t>
      </w:r>
      <w:r>
        <w:rPr>
          <w:rFonts w:eastAsiaTheme="minorEastAsia"/>
          <w:color w:val="000000" w:themeColor="text1"/>
          <w:szCs w:val="21"/>
        </w:rPr>
        <w:t>8</w:t>
      </w:r>
      <w:r>
        <w:rPr>
          <w:rFonts w:eastAsiaTheme="minorEastAsia"/>
          <w:color w:val="000000" w:themeColor="text1"/>
          <w:szCs w:val="21"/>
        </w:rPr>
        <w:t>日，</w:t>
      </w:r>
      <w:proofErr w:type="gramStart"/>
      <w:r>
        <w:rPr>
          <w:rFonts w:eastAsiaTheme="minorEastAsia"/>
          <w:color w:val="000000" w:themeColor="text1"/>
          <w:szCs w:val="21"/>
        </w:rPr>
        <w:t>申万菱</w:t>
      </w:r>
      <w:proofErr w:type="gramEnd"/>
      <w:r>
        <w:rPr>
          <w:rFonts w:eastAsiaTheme="minorEastAsia"/>
          <w:color w:val="000000" w:themeColor="text1"/>
          <w:szCs w:val="21"/>
        </w:rPr>
        <w:t>信中小</w:t>
      </w:r>
      <w:proofErr w:type="gramStart"/>
      <w:r>
        <w:rPr>
          <w:rFonts w:eastAsiaTheme="minorEastAsia"/>
          <w:color w:val="000000" w:themeColor="text1"/>
          <w:szCs w:val="21"/>
        </w:rPr>
        <w:t>板指数</w:t>
      </w:r>
      <w:proofErr w:type="gramEnd"/>
      <w:r>
        <w:rPr>
          <w:rFonts w:eastAsiaTheme="minorEastAsia"/>
          <w:color w:val="000000" w:themeColor="text1"/>
          <w:szCs w:val="21"/>
        </w:rPr>
        <w:t>分级证券投资基金分级运作期结束，</w:t>
      </w:r>
      <w:proofErr w:type="gramStart"/>
      <w:r>
        <w:rPr>
          <w:rFonts w:eastAsiaTheme="minorEastAsia"/>
          <w:color w:val="000000" w:themeColor="text1"/>
          <w:szCs w:val="21"/>
        </w:rPr>
        <w:t>申万菱</w:t>
      </w:r>
      <w:proofErr w:type="gramEnd"/>
      <w:r>
        <w:rPr>
          <w:rFonts w:eastAsiaTheme="minorEastAsia"/>
          <w:color w:val="000000" w:themeColor="text1"/>
          <w:szCs w:val="21"/>
        </w:rPr>
        <w:t>信中小</w:t>
      </w:r>
      <w:proofErr w:type="gramStart"/>
      <w:r>
        <w:rPr>
          <w:rFonts w:eastAsiaTheme="minorEastAsia"/>
          <w:color w:val="000000" w:themeColor="text1"/>
          <w:szCs w:val="21"/>
        </w:rPr>
        <w:t>板指数</w:t>
      </w:r>
      <w:proofErr w:type="gramEnd"/>
      <w:r>
        <w:rPr>
          <w:rFonts w:eastAsiaTheme="minorEastAsia"/>
          <w:color w:val="000000" w:themeColor="text1"/>
          <w:szCs w:val="21"/>
        </w:rPr>
        <w:t>分级证券投资基金之稳健收益类份额、申万菱信中小</w:t>
      </w:r>
      <w:proofErr w:type="gramStart"/>
      <w:r>
        <w:rPr>
          <w:rFonts w:eastAsiaTheme="minorEastAsia"/>
          <w:color w:val="000000" w:themeColor="text1"/>
          <w:szCs w:val="21"/>
        </w:rPr>
        <w:t>板指数</w:t>
      </w:r>
      <w:proofErr w:type="gramEnd"/>
      <w:r>
        <w:rPr>
          <w:rFonts w:eastAsiaTheme="minorEastAsia"/>
          <w:color w:val="000000" w:themeColor="text1"/>
          <w:szCs w:val="21"/>
        </w:rPr>
        <w:t>分级证券投资基金之积极进取类份额按照《基金合同》约定折算成场内申万菱信中小</w:t>
      </w:r>
      <w:proofErr w:type="gramStart"/>
      <w:r>
        <w:rPr>
          <w:rFonts w:eastAsiaTheme="minorEastAsia"/>
          <w:color w:val="000000" w:themeColor="text1"/>
          <w:szCs w:val="21"/>
        </w:rPr>
        <w:t>板指数</w:t>
      </w:r>
      <w:proofErr w:type="gramEnd"/>
      <w:r>
        <w:rPr>
          <w:rFonts w:eastAsiaTheme="minorEastAsia"/>
          <w:color w:val="000000" w:themeColor="text1"/>
          <w:szCs w:val="21"/>
        </w:rPr>
        <w:t>分级证券投资基金之</w:t>
      </w:r>
      <w:proofErr w:type="gramStart"/>
      <w:r>
        <w:rPr>
          <w:rFonts w:eastAsiaTheme="minorEastAsia"/>
          <w:color w:val="000000" w:themeColor="text1"/>
          <w:szCs w:val="21"/>
        </w:rPr>
        <w:t>申万中小</w:t>
      </w:r>
      <w:proofErr w:type="gramEnd"/>
      <w:r>
        <w:rPr>
          <w:rFonts w:eastAsiaTheme="minorEastAsia"/>
          <w:color w:val="000000" w:themeColor="text1"/>
          <w:szCs w:val="21"/>
        </w:rPr>
        <w:t>板份额，基金名称变更为</w:t>
      </w:r>
      <w:r>
        <w:rPr>
          <w:rFonts w:eastAsiaTheme="minorEastAsia"/>
          <w:color w:val="000000" w:themeColor="text1"/>
          <w:szCs w:val="21"/>
        </w:rPr>
        <w:t>“</w:t>
      </w:r>
      <w:r>
        <w:rPr>
          <w:rFonts w:eastAsiaTheme="minorEastAsia"/>
          <w:color w:val="000000" w:themeColor="text1"/>
          <w:szCs w:val="21"/>
        </w:rPr>
        <w:t>申万菱信中小板指数证券投资基金（</w:t>
      </w:r>
      <w:r>
        <w:rPr>
          <w:rFonts w:eastAsiaTheme="minorEastAsia"/>
          <w:color w:val="000000" w:themeColor="text1"/>
          <w:szCs w:val="21"/>
        </w:rPr>
        <w:t>LOF</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w:t>
      </w:r>
    </w:p>
    <w:p w:rsidR="008E3BA0" w:rsidRDefault="008E501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8E3BA0" w:rsidRDefault="008E501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w:t>
      </w:r>
      <w:proofErr w:type="gramStart"/>
      <w:r>
        <w:rPr>
          <w:rFonts w:eastAsiaTheme="minorEastAsia"/>
          <w:color w:val="000000" w:themeColor="text1"/>
          <w:szCs w:val="21"/>
        </w:rPr>
        <w:t>作出</w:t>
      </w:r>
      <w:proofErr w:type="gramEnd"/>
      <w:r>
        <w:rPr>
          <w:rFonts w:eastAsiaTheme="minorEastAsia"/>
          <w:color w:val="000000" w:themeColor="text1"/>
          <w:szCs w:val="21"/>
        </w:rPr>
        <w:t>投资决策前应仔细阅读本基金的招募说明书。</w:t>
      </w:r>
      <w:r>
        <w:rPr>
          <w:rFonts w:eastAsiaTheme="minorEastAsia"/>
          <w:color w:val="000000" w:themeColor="text1"/>
          <w:szCs w:val="21"/>
        </w:rPr>
        <w:t xml:space="preserve"> </w:t>
      </w:r>
    </w:p>
    <w:p w:rsidR="008E3BA0" w:rsidRDefault="008E501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220542" w:rsidRPr="003C5007" w:rsidRDefault="000820A8" w:rsidP="003C5007">
      <w:pPr>
        <w:spacing w:line="360" w:lineRule="auto"/>
        <w:ind w:firstLineChars="200" w:firstLine="420"/>
        <w:rPr>
          <w:rFonts w:eastAsiaTheme="minorEastAsia"/>
          <w:color w:val="000000" w:themeColor="text1"/>
          <w:szCs w:val="21"/>
        </w:rPr>
      </w:pPr>
      <w:r w:rsidRPr="003C5007">
        <w:rPr>
          <w:rFonts w:eastAsiaTheme="minorEastAsia"/>
          <w:color w:val="000000" w:themeColor="text1"/>
          <w:szCs w:val="21"/>
        </w:rPr>
        <w:t>本报告期自</w:t>
      </w:r>
      <w:r w:rsidRPr="003C5007">
        <w:rPr>
          <w:rFonts w:eastAsiaTheme="minorEastAsia"/>
          <w:color w:val="000000" w:themeColor="text1"/>
          <w:szCs w:val="21"/>
        </w:rPr>
        <w:t>2017</w:t>
      </w:r>
      <w:r w:rsidRPr="003C5007">
        <w:rPr>
          <w:rFonts w:eastAsiaTheme="minorEastAsia"/>
          <w:color w:val="000000" w:themeColor="text1"/>
          <w:szCs w:val="21"/>
        </w:rPr>
        <w:t>年</w:t>
      </w:r>
      <w:r w:rsidRPr="003C5007">
        <w:rPr>
          <w:rFonts w:eastAsiaTheme="minorEastAsia"/>
          <w:color w:val="000000" w:themeColor="text1"/>
          <w:szCs w:val="21"/>
        </w:rPr>
        <w:t>4</w:t>
      </w:r>
      <w:r w:rsidRPr="003C5007">
        <w:rPr>
          <w:rFonts w:eastAsiaTheme="minorEastAsia"/>
          <w:color w:val="000000" w:themeColor="text1"/>
          <w:szCs w:val="21"/>
        </w:rPr>
        <w:t>月</w:t>
      </w:r>
      <w:r w:rsidRPr="003C5007">
        <w:rPr>
          <w:rFonts w:eastAsiaTheme="minorEastAsia"/>
          <w:color w:val="000000" w:themeColor="text1"/>
          <w:szCs w:val="21"/>
        </w:rPr>
        <w:t>1</w:t>
      </w:r>
      <w:r w:rsidRPr="003C5007">
        <w:rPr>
          <w:rFonts w:eastAsiaTheme="minorEastAsia"/>
          <w:color w:val="000000" w:themeColor="text1"/>
          <w:szCs w:val="21"/>
        </w:rPr>
        <w:t>日起至</w:t>
      </w:r>
      <w:r w:rsidRPr="003C5007">
        <w:rPr>
          <w:rFonts w:eastAsiaTheme="minorEastAsia"/>
          <w:color w:val="000000" w:themeColor="text1"/>
          <w:szCs w:val="21"/>
        </w:rPr>
        <w:t>6</w:t>
      </w:r>
      <w:r w:rsidRPr="003C5007">
        <w:rPr>
          <w:rFonts w:eastAsiaTheme="minorEastAsia"/>
          <w:color w:val="000000" w:themeColor="text1"/>
          <w:szCs w:val="21"/>
        </w:rPr>
        <w:t>月</w:t>
      </w:r>
      <w:r w:rsidRPr="003C5007">
        <w:rPr>
          <w:rFonts w:eastAsiaTheme="minorEastAsia"/>
          <w:color w:val="000000" w:themeColor="text1"/>
          <w:szCs w:val="21"/>
        </w:rPr>
        <w:t>30</w:t>
      </w:r>
      <w:r w:rsidRPr="003C5007">
        <w:rPr>
          <w:rFonts w:eastAsiaTheme="minorEastAsia"/>
          <w:color w:val="000000" w:themeColor="text1"/>
          <w:szCs w:val="21"/>
        </w:rPr>
        <w:t>日止。</w:t>
      </w:r>
    </w:p>
    <w:p w:rsidR="00220542" w:rsidRPr="003C5007" w:rsidRDefault="00220542" w:rsidP="00767A35">
      <w:pPr>
        <w:pStyle w:val="1"/>
        <w:spacing w:beforeLines="100" w:before="312" w:afterLines="100" w:after="312" w:line="360" w:lineRule="auto"/>
        <w:jc w:val="center"/>
        <w:rPr>
          <w:rFonts w:eastAsiaTheme="minorEastAsia"/>
          <w:color w:val="000000" w:themeColor="text1"/>
          <w:kern w:val="0"/>
          <w:sz w:val="21"/>
          <w:szCs w:val="21"/>
        </w:rPr>
      </w:pPr>
      <w:r w:rsidRPr="003C5007">
        <w:rPr>
          <w:rFonts w:eastAsiaTheme="minorEastAsia"/>
          <w:color w:val="000000" w:themeColor="text1"/>
          <w:kern w:val="0"/>
          <w:sz w:val="21"/>
          <w:szCs w:val="21"/>
        </w:rPr>
        <w:t xml:space="preserve">§2  </w:t>
      </w:r>
      <w:r w:rsidRPr="003C5007">
        <w:rPr>
          <w:rFonts w:eastAsiaTheme="minorEastAsia"/>
          <w:color w:val="000000" w:themeColor="text1"/>
          <w:kern w:val="0"/>
          <w:sz w:val="21"/>
          <w:szCs w:val="21"/>
        </w:rPr>
        <w:t>基金产品概况</w:t>
      </w:r>
    </w:p>
    <w:p w:rsidR="00675C50" w:rsidRPr="003C5007" w:rsidRDefault="00675C50" w:rsidP="00981A0F">
      <w:pPr>
        <w:pStyle w:val="a0"/>
        <w:spacing w:line="360" w:lineRule="auto"/>
        <w:ind w:firstLineChars="0" w:firstLine="0"/>
        <w:outlineLvl w:val="1"/>
        <w:rPr>
          <w:b/>
          <w:szCs w:val="21"/>
        </w:rPr>
      </w:pPr>
      <w:r w:rsidRPr="003C5007">
        <w:rPr>
          <w:b/>
          <w:szCs w:val="21"/>
        </w:rPr>
        <w:t xml:space="preserve">2.1 </w:t>
      </w:r>
      <w:r w:rsidRPr="003C5007">
        <w:rPr>
          <w:b/>
          <w:color w:val="000000"/>
          <w:kern w:val="0"/>
          <w:szCs w:val="21"/>
        </w:rPr>
        <w:t>申万菱信中小</w:t>
      </w:r>
      <w:proofErr w:type="gramStart"/>
      <w:r w:rsidRPr="003C5007">
        <w:rPr>
          <w:b/>
          <w:color w:val="000000"/>
          <w:kern w:val="0"/>
          <w:szCs w:val="21"/>
        </w:rPr>
        <w:t>板指数</w:t>
      </w:r>
      <w:proofErr w:type="gramEnd"/>
      <w:r w:rsidRPr="003C5007">
        <w:rPr>
          <w:b/>
          <w:color w:val="000000"/>
          <w:kern w:val="0"/>
          <w:szCs w:val="21"/>
        </w:rPr>
        <w:t>证券投资基金</w:t>
      </w:r>
      <w:r w:rsidRPr="003C5007">
        <w:rPr>
          <w:b/>
          <w:color w:val="000000"/>
          <w:kern w:val="0"/>
          <w:szCs w:val="21"/>
        </w:rPr>
        <w:t>(LOF)</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5904"/>
      </w:tblGrid>
      <w:tr w:rsidR="003E712B" w:rsidRPr="003C5007" w:rsidTr="008E5013">
        <w:tc>
          <w:tcPr>
            <w:tcW w:w="2410" w:type="dxa"/>
            <w:vAlign w:val="center"/>
          </w:tcPr>
          <w:p w:rsidR="000820A8" w:rsidRPr="003C5007" w:rsidRDefault="000820A8" w:rsidP="003C5007">
            <w:pPr>
              <w:adjustRightInd w:val="0"/>
              <w:spacing w:line="360" w:lineRule="auto"/>
              <w:ind w:left="17"/>
              <w:rPr>
                <w:rFonts w:eastAsiaTheme="minorEastAsia"/>
                <w:color w:val="000000" w:themeColor="text1"/>
                <w:kern w:val="0"/>
                <w:szCs w:val="21"/>
              </w:rPr>
            </w:pPr>
            <w:r w:rsidRPr="003C5007">
              <w:rPr>
                <w:rFonts w:eastAsiaTheme="minorEastAsia"/>
                <w:color w:val="000000" w:themeColor="text1"/>
                <w:kern w:val="0"/>
                <w:szCs w:val="21"/>
              </w:rPr>
              <w:t>基金简称</w:t>
            </w:r>
          </w:p>
        </w:tc>
        <w:tc>
          <w:tcPr>
            <w:tcW w:w="5904" w:type="dxa"/>
            <w:vAlign w:val="center"/>
          </w:tcPr>
          <w:p w:rsidR="000820A8" w:rsidRPr="003C5007" w:rsidRDefault="000820A8" w:rsidP="003C5007">
            <w:pPr>
              <w:adjustRightInd w:val="0"/>
              <w:spacing w:line="360" w:lineRule="auto"/>
              <w:ind w:left="17"/>
              <w:rPr>
                <w:rFonts w:eastAsiaTheme="minorEastAsia"/>
                <w:color w:val="000000" w:themeColor="text1"/>
                <w:kern w:val="0"/>
                <w:szCs w:val="21"/>
              </w:rPr>
            </w:pPr>
            <w:r w:rsidRPr="003C5007">
              <w:rPr>
                <w:rFonts w:eastAsiaTheme="minorEastAsia"/>
                <w:color w:val="000000" w:themeColor="text1"/>
                <w:kern w:val="0"/>
                <w:szCs w:val="21"/>
              </w:rPr>
              <w:t>申万菱信中小</w:t>
            </w:r>
            <w:proofErr w:type="gramStart"/>
            <w:r w:rsidRPr="003C5007">
              <w:rPr>
                <w:rFonts w:eastAsiaTheme="minorEastAsia"/>
                <w:color w:val="000000" w:themeColor="text1"/>
                <w:kern w:val="0"/>
                <w:szCs w:val="21"/>
              </w:rPr>
              <w:t>板指数</w:t>
            </w:r>
            <w:proofErr w:type="gramEnd"/>
            <w:r w:rsidRPr="003C5007">
              <w:rPr>
                <w:rFonts w:eastAsiaTheme="minorEastAsia"/>
                <w:color w:val="000000" w:themeColor="text1"/>
                <w:kern w:val="0"/>
                <w:szCs w:val="21"/>
              </w:rPr>
              <w:t>(LOF)</w:t>
            </w:r>
          </w:p>
        </w:tc>
      </w:tr>
      <w:tr w:rsidR="003E712B" w:rsidRPr="003C5007" w:rsidTr="008E5013">
        <w:tc>
          <w:tcPr>
            <w:tcW w:w="2410" w:type="dxa"/>
            <w:vAlign w:val="center"/>
          </w:tcPr>
          <w:p w:rsidR="00957C7C" w:rsidRPr="003C5007" w:rsidRDefault="00957C7C" w:rsidP="003C5007">
            <w:pPr>
              <w:spacing w:line="360" w:lineRule="auto"/>
              <w:rPr>
                <w:color w:val="000000" w:themeColor="text1"/>
                <w:szCs w:val="21"/>
              </w:rPr>
            </w:pPr>
            <w:r w:rsidRPr="003C5007">
              <w:rPr>
                <w:color w:val="000000" w:themeColor="text1"/>
                <w:szCs w:val="21"/>
              </w:rPr>
              <w:t>场内简称</w:t>
            </w:r>
          </w:p>
        </w:tc>
        <w:tc>
          <w:tcPr>
            <w:tcW w:w="5904" w:type="dxa"/>
            <w:vAlign w:val="center"/>
          </w:tcPr>
          <w:p w:rsidR="00957C7C" w:rsidRPr="003C5007" w:rsidRDefault="00957C7C" w:rsidP="003C5007">
            <w:pPr>
              <w:spacing w:line="360" w:lineRule="auto"/>
              <w:rPr>
                <w:color w:val="000000" w:themeColor="text1"/>
                <w:szCs w:val="21"/>
              </w:rPr>
            </w:pPr>
            <w:proofErr w:type="gramStart"/>
            <w:r w:rsidRPr="003C5007">
              <w:rPr>
                <w:color w:val="000000" w:themeColor="text1"/>
                <w:szCs w:val="21"/>
              </w:rPr>
              <w:t>申万中小</w:t>
            </w:r>
            <w:proofErr w:type="gramEnd"/>
          </w:p>
        </w:tc>
      </w:tr>
      <w:tr w:rsidR="003E712B" w:rsidRPr="003C5007" w:rsidTr="008E5013">
        <w:tc>
          <w:tcPr>
            <w:tcW w:w="2410" w:type="dxa"/>
            <w:tcBorders>
              <w:top w:val="single" w:sz="4" w:space="0" w:color="auto"/>
              <w:left w:val="single" w:sz="4" w:space="0" w:color="auto"/>
              <w:bottom w:val="single" w:sz="4" w:space="0" w:color="auto"/>
              <w:right w:val="single" w:sz="4" w:space="0" w:color="auto"/>
            </w:tcBorders>
            <w:vAlign w:val="center"/>
            <w:hideMark/>
          </w:tcPr>
          <w:p w:rsidR="00CD319D" w:rsidRPr="003C5007" w:rsidRDefault="00CD319D" w:rsidP="003C5007">
            <w:pPr>
              <w:adjustRightInd w:val="0"/>
              <w:spacing w:line="360" w:lineRule="auto"/>
              <w:ind w:left="17"/>
              <w:rPr>
                <w:rFonts w:eastAsiaTheme="minorEastAsia"/>
                <w:color w:val="000000" w:themeColor="text1"/>
                <w:kern w:val="0"/>
                <w:szCs w:val="21"/>
              </w:rPr>
            </w:pPr>
            <w:r w:rsidRPr="003C5007">
              <w:rPr>
                <w:rFonts w:eastAsiaTheme="minorEastAsia"/>
                <w:color w:val="000000" w:themeColor="text1"/>
                <w:kern w:val="0"/>
                <w:szCs w:val="21"/>
              </w:rPr>
              <w:t>基金主代码</w:t>
            </w:r>
          </w:p>
        </w:tc>
        <w:tc>
          <w:tcPr>
            <w:tcW w:w="5904" w:type="dxa"/>
            <w:tcBorders>
              <w:top w:val="single" w:sz="4" w:space="0" w:color="auto"/>
              <w:left w:val="single" w:sz="4" w:space="0" w:color="auto"/>
              <w:bottom w:val="single" w:sz="4" w:space="0" w:color="auto"/>
              <w:right w:val="single" w:sz="4" w:space="0" w:color="auto"/>
            </w:tcBorders>
            <w:vAlign w:val="center"/>
            <w:hideMark/>
          </w:tcPr>
          <w:p w:rsidR="00CD319D" w:rsidRPr="003C5007" w:rsidRDefault="00CD319D" w:rsidP="003C5007">
            <w:pPr>
              <w:adjustRightInd w:val="0"/>
              <w:spacing w:line="360" w:lineRule="auto"/>
              <w:ind w:left="17"/>
              <w:rPr>
                <w:rFonts w:eastAsiaTheme="minorEastAsia"/>
                <w:color w:val="000000" w:themeColor="text1"/>
                <w:kern w:val="0"/>
                <w:szCs w:val="21"/>
              </w:rPr>
            </w:pPr>
            <w:r w:rsidRPr="003C5007">
              <w:rPr>
                <w:rFonts w:eastAsiaTheme="minorEastAsia"/>
                <w:color w:val="000000" w:themeColor="text1"/>
                <w:kern w:val="0"/>
                <w:szCs w:val="21"/>
              </w:rPr>
              <w:t>163111</w:t>
            </w:r>
          </w:p>
        </w:tc>
      </w:tr>
      <w:tr w:rsidR="003E712B" w:rsidRPr="003C5007" w:rsidTr="008E5013">
        <w:tc>
          <w:tcPr>
            <w:tcW w:w="2410" w:type="dxa"/>
            <w:tcBorders>
              <w:top w:val="single" w:sz="4" w:space="0" w:color="auto"/>
              <w:left w:val="single" w:sz="4" w:space="0" w:color="auto"/>
              <w:bottom w:val="single" w:sz="4" w:space="0" w:color="auto"/>
              <w:right w:val="single" w:sz="4" w:space="0" w:color="auto"/>
            </w:tcBorders>
            <w:vAlign w:val="center"/>
          </w:tcPr>
          <w:p w:rsidR="00E57F92" w:rsidRPr="003C5007" w:rsidRDefault="00E57F92" w:rsidP="003C5007">
            <w:pPr>
              <w:adjustRightInd w:val="0"/>
              <w:spacing w:line="360" w:lineRule="auto"/>
              <w:ind w:left="17"/>
              <w:rPr>
                <w:rFonts w:eastAsiaTheme="minorEastAsia"/>
                <w:color w:val="000000" w:themeColor="text1"/>
                <w:kern w:val="0"/>
                <w:szCs w:val="21"/>
              </w:rPr>
            </w:pPr>
            <w:r w:rsidRPr="003C5007">
              <w:rPr>
                <w:rFonts w:eastAsiaTheme="minorEastAsia"/>
                <w:color w:val="000000" w:themeColor="text1"/>
                <w:kern w:val="0"/>
                <w:szCs w:val="21"/>
              </w:rPr>
              <w:t>交易代码</w:t>
            </w:r>
          </w:p>
        </w:tc>
        <w:tc>
          <w:tcPr>
            <w:tcW w:w="5904" w:type="dxa"/>
            <w:tcBorders>
              <w:top w:val="single" w:sz="4" w:space="0" w:color="auto"/>
              <w:left w:val="single" w:sz="4" w:space="0" w:color="auto"/>
              <w:bottom w:val="single" w:sz="4" w:space="0" w:color="auto"/>
              <w:right w:val="single" w:sz="4" w:space="0" w:color="auto"/>
            </w:tcBorders>
            <w:vAlign w:val="center"/>
          </w:tcPr>
          <w:p w:rsidR="00E57F92" w:rsidRPr="003C5007" w:rsidRDefault="00072E4F" w:rsidP="003C5007">
            <w:pPr>
              <w:adjustRightInd w:val="0"/>
              <w:spacing w:line="360" w:lineRule="auto"/>
              <w:ind w:left="17"/>
              <w:rPr>
                <w:rFonts w:eastAsiaTheme="minorEastAsia"/>
                <w:color w:val="000000" w:themeColor="text1"/>
                <w:kern w:val="0"/>
                <w:szCs w:val="21"/>
              </w:rPr>
            </w:pPr>
            <w:r w:rsidRPr="003C5007">
              <w:rPr>
                <w:rFonts w:eastAsiaTheme="minorEastAsia"/>
                <w:color w:val="000000" w:themeColor="text1"/>
                <w:kern w:val="0"/>
                <w:szCs w:val="21"/>
              </w:rPr>
              <w:t>163111</w:t>
            </w:r>
          </w:p>
        </w:tc>
      </w:tr>
      <w:tr w:rsidR="003E712B" w:rsidRPr="003C5007" w:rsidTr="008E5013">
        <w:tc>
          <w:tcPr>
            <w:tcW w:w="2410" w:type="dxa"/>
            <w:vAlign w:val="center"/>
          </w:tcPr>
          <w:p w:rsidR="00E57F92" w:rsidRPr="003C5007" w:rsidRDefault="00E57F92" w:rsidP="003C5007">
            <w:pPr>
              <w:adjustRightInd w:val="0"/>
              <w:spacing w:line="360" w:lineRule="auto"/>
              <w:ind w:left="17"/>
              <w:rPr>
                <w:rFonts w:eastAsiaTheme="minorEastAsia"/>
                <w:color w:val="000000" w:themeColor="text1"/>
                <w:szCs w:val="21"/>
              </w:rPr>
            </w:pPr>
            <w:r w:rsidRPr="003C5007">
              <w:rPr>
                <w:rFonts w:eastAsiaTheme="minorEastAsia"/>
                <w:color w:val="000000" w:themeColor="text1"/>
                <w:kern w:val="0"/>
                <w:szCs w:val="21"/>
              </w:rPr>
              <w:t>基金运作方式</w:t>
            </w:r>
          </w:p>
        </w:tc>
        <w:tc>
          <w:tcPr>
            <w:tcW w:w="5904" w:type="dxa"/>
            <w:vAlign w:val="center"/>
          </w:tcPr>
          <w:p w:rsidR="00E57F92" w:rsidRPr="003C5007" w:rsidRDefault="00E57F92" w:rsidP="003C5007">
            <w:pPr>
              <w:adjustRightInd w:val="0"/>
              <w:spacing w:line="360" w:lineRule="auto"/>
              <w:ind w:left="17"/>
              <w:rPr>
                <w:rFonts w:eastAsiaTheme="minorEastAsia"/>
                <w:color w:val="000000" w:themeColor="text1"/>
                <w:szCs w:val="21"/>
              </w:rPr>
            </w:pPr>
            <w:r w:rsidRPr="003C5007">
              <w:rPr>
                <w:rFonts w:eastAsiaTheme="minorEastAsia"/>
                <w:color w:val="000000" w:themeColor="text1"/>
                <w:kern w:val="0"/>
                <w:szCs w:val="21"/>
              </w:rPr>
              <w:t>契约型开放式</w:t>
            </w:r>
          </w:p>
        </w:tc>
      </w:tr>
      <w:tr w:rsidR="003E712B" w:rsidRPr="003C5007" w:rsidTr="008E5013">
        <w:tc>
          <w:tcPr>
            <w:tcW w:w="2410" w:type="dxa"/>
            <w:vAlign w:val="center"/>
          </w:tcPr>
          <w:p w:rsidR="00E57F92" w:rsidRPr="003C5007" w:rsidRDefault="00E57F92" w:rsidP="003C5007">
            <w:pPr>
              <w:adjustRightInd w:val="0"/>
              <w:spacing w:line="360" w:lineRule="auto"/>
              <w:ind w:left="17"/>
              <w:rPr>
                <w:rFonts w:eastAsiaTheme="minorEastAsia"/>
                <w:color w:val="000000" w:themeColor="text1"/>
                <w:szCs w:val="21"/>
              </w:rPr>
            </w:pPr>
            <w:r w:rsidRPr="003C5007">
              <w:rPr>
                <w:rFonts w:eastAsiaTheme="minorEastAsia"/>
                <w:color w:val="000000" w:themeColor="text1"/>
                <w:kern w:val="0"/>
                <w:szCs w:val="21"/>
              </w:rPr>
              <w:t>基金合同生效日</w:t>
            </w:r>
          </w:p>
        </w:tc>
        <w:tc>
          <w:tcPr>
            <w:tcW w:w="5904" w:type="dxa"/>
            <w:vAlign w:val="center"/>
          </w:tcPr>
          <w:p w:rsidR="00E57F92" w:rsidRPr="003C5007" w:rsidRDefault="00E57F92" w:rsidP="003C5007">
            <w:pPr>
              <w:adjustRightInd w:val="0"/>
              <w:spacing w:line="360" w:lineRule="auto"/>
              <w:ind w:left="17"/>
              <w:rPr>
                <w:rFonts w:eastAsiaTheme="minorEastAsia"/>
                <w:color w:val="000000" w:themeColor="text1"/>
                <w:szCs w:val="21"/>
              </w:rPr>
            </w:pPr>
            <w:r w:rsidRPr="003C5007">
              <w:rPr>
                <w:rFonts w:eastAsiaTheme="minorEastAsia"/>
                <w:color w:val="000000" w:themeColor="text1"/>
                <w:kern w:val="0"/>
                <w:szCs w:val="21"/>
              </w:rPr>
              <w:t>2017</w:t>
            </w:r>
            <w:r w:rsidRPr="003C5007">
              <w:rPr>
                <w:rFonts w:eastAsiaTheme="minorEastAsia"/>
                <w:color w:val="000000" w:themeColor="text1"/>
                <w:kern w:val="0"/>
                <w:szCs w:val="21"/>
              </w:rPr>
              <w:t>年</w:t>
            </w:r>
            <w:r w:rsidRPr="003C5007">
              <w:rPr>
                <w:rFonts w:eastAsiaTheme="minorEastAsia"/>
                <w:color w:val="000000" w:themeColor="text1"/>
                <w:kern w:val="0"/>
                <w:szCs w:val="21"/>
              </w:rPr>
              <w:t>5</w:t>
            </w:r>
            <w:r w:rsidRPr="003C5007">
              <w:rPr>
                <w:rFonts w:eastAsiaTheme="minorEastAsia"/>
                <w:color w:val="000000" w:themeColor="text1"/>
                <w:kern w:val="0"/>
                <w:szCs w:val="21"/>
              </w:rPr>
              <w:t>月</w:t>
            </w:r>
            <w:r w:rsidRPr="003C5007">
              <w:rPr>
                <w:rFonts w:eastAsiaTheme="minorEastAsia"/>
                <w:color w:val="000000" w:themeColor="text1"/>
                <w:kern w:val="0"/>
                <w:szCs w:val="21"/>
              </w:rPr>
              <w:t>9</w:t>
            </w:r>
            <w:r w:rsidRPr="003C5007">
              <w:rPr>
                <w:rFonts w:eastAsiaTheme="minorEastAsia"/>
                <w:color w:val="000000" w:themeColor="text1"/>
                <w:kern w:val="0"/>
                <w:szCs w:val="21"/>
              </w:rPr>
              <w:t>日</w:t>
            </w:r>
          </w:p>
        </w:tc>
      </w:tr>
      <w:tr w:rsidR="003E712B" w:rsidRPr="003C5007" w:rsidTr="008E5013">
        <w:tc>
          <w:tcPr>
            <w:tcW w:w="2410" w:type="dxa"/>
            <w:vAlign w:val="center"/>
          </w:tcPr>
          <w:p w:rsidR="00E57F92" w:rsidRPr="003C5007" w:rsidRDefault="00E57F92" w:rsidP="003C5007">
            <w:pPr>
              <w:adjustRightInd w:val="0"/>
              <w:spacing w:line="360" w:lineRule="auto"/>
              <w:ind w:left="17"/>
              <w:rPr>
                <w:rFonts w:eastAsiaTheme="minorEastAsia"/>
                <w:color w:val="000000" w:themeColor="text1"/>
                <w:szCs w:val="21"/>
              </w:rPr>
            </w:pPr>
            <w:r w:rsidRPr="003C5007">
              <w:rPr>
                <w:rFonts w:eastAsiaTheme="minorEastAsia"/>
                <w:color w:val="000000" w:themeColor="text1"/>
                <w:kern w:val="0"/>
                <w:szCs w:val="21"/>
              </w:rPr>
              <w:lastRenderedPageBreak/>
              <w:t>报告期末基金份额总额</w:t>
            </w:r>
          </w:p>
        </w:tc>
        <w:tc>
          <w:tcPr>
            <w:tcW w:w="5904" w:type="dxa"/>
            <w:vAlign w:val="center"/>
          </w:tcPr>
          <w:p w:rsidR="00E57F92" w:rsidRPr="003C5007" w:rsidRDefault="00E57F92" w:rsidP="003C5007">
            <w:pPr>
              <w:adjustRightInd w:val="0"/>
              <w:spacing w:line="360" w:lineRule="auto"/>
              <w:ind w:left="17"/>
              <w:rPr>
                <w:rFonts w:eastAsiaTheme="minorEastAsia"/>
                <w:color w:val="000000" w:themeColor="text1"/>
                <w:szCs w:val="21"/>
              </w:rPr>
            </w:pPr>
            <w:r w:rsidRPr="003C5007">
              <w:rPr>
                <w:rFonts w:eastAsiaTheme="minorEastAsia"/>
                <w:color w:val="000000" w:themeColor="text1"/>
                <w:kern w:val="0"/>
                <w:szCs w:val="21"/>
              </w:rPr>
              <w:t>154,305,715.08</w:t>
            </w:r>
            <w:r w:rsidRPr="003C5007">
              <w:rPr>
                <w:rFonts w:eastAsiaTheme="minorEastAsia"/>
                <w:color w:val="000000" w:themeColor="text1"/>
                <w:kern w:val="0"/>
                <w:szCs w:val="21"/>
              </w:rPr>
              <w:t>份</w:t>
            </w:r>
          </w:p>
        </w:tc>
      </w:tr>
      <w:tr w:rsidR="003E712B" w:rsidRPr="003C5007" w:rsidTr="008E5013">
        <w:tc>
          <w:tcPr>
            <w:tcW w:w="2410" w:type="dxa"/>
            <w:vAlign w:val="center"/>
          </w:tcPr>
          <w:p w:rsidR="00E57F92" w:rsidRPr="003C5007" w:rsidRDefault="00E57F92" w:rsidP="003C5007">
            <w:pPr>
              <w:adjustRightInd w:val="0"/>
              <w:spacing w:line="360" w:lineRule="auto"/>
              <w:ind w:left="17"/>
              <w:rPr>
                <w:rFonts w:eastAsiaTheme="minorEastAsia"/>
                <w:color w:val="000000" w:themeColor="text1"/>
                <w:szCs w:val="21"/>
              </w:rPr>
            </w:pPr>
            <w:r w:rsidRPr="003C5007">
              <w:rPr>
                <w:rFonts w:eastAsiaTheme="minorEastAsia"/>
                <w:color w:val="000000" w:themeColor="text1"/>
                <w:kern w:val="0"/>
                <w:szCs w:val="21"/>
              </w:rPr>
              <w:t>投资目标</w:t>
            </w:r>
          </w:p>
        </w:tc>
        <w:tc>
          <w:tcPr>
            <w:tcW w:w="5904" w:type="dxa"/>
            <w:vAlign w:val="center"/>
          </w:tcPr>
          <w:p w:rsidR="00E57F92" w:rsidRPr="003C5007" w:rsidRDefault="00E57F92" w:rsidP="003C5007">
            <w:pPr>
              <w:adjustRightInd w:val="0"/>
              <w:spacing w:line="360" w:lineRule="auto"/>
              <w:ind w:left="17"/>
              <w:rPr>
                <w:rFonts w:eastAsiaTheme="minorEastAsia"/>
                <w:color w:val="000000" w:themeColor="text1"/>
                <w:szCs w:val="21"/>
              </w:rPr>
            </w:pPr>
            <w:r w:rsidRPr="003C5007">
              <w:rPr>
                <w:rFonts w:eastAsiaTheme="minorEastAsia"/>
                <w:color w:val="000000" w:themeColor="text1"/>
                <w:kern w:val="0"/>
                <w:szCs w:val="21"/>
              </w:rPr>
              <w:t>本基金采取指数</w:t>
            </w:r>
            <w:proofErr w:type="gramStart"/>
            <w:r w:rsidRPr="003C5007">
              <w:rPr>
                <w:rFonts w:eastAsiaTheme="minorEastAsia"/>
                <w:color w:val="000000" w:themeColor="text1"/>
                <w:kern w:val="0"/>
                <w:szCs w:val="21"/>
              </w:rPr>
              <w:t>化投资</w:t>
            </w:r>
            <w:proofErr w:type="gramEnd"/>
            <w:r w:rsidRPr="003C5007">
              <w:rPr>
                <w:rFonts w:eastAsiaTheme="minorEastAsia"/>
                <w:color w:val="000000" w:themeColor="text1"/>
                <w:kern w:val="0"/>
                <w:szCs w:val="21"/>
              </w:rPr>
              <w:t>方式，通过严格的投资程序约束和数量化风险管理手段，力争控制本基金的净值增长率与业绩比较基准之间的日均跟踪偏离度的绝对值不超过</w:t>
            </w:r>
            <w:r w:rsidRPr="003C5007">
              <w:rPr>
                <w:rFonts w:eastAsiaTheme="minorEastAsia"/>
                <w:color w:val="000000" w:themeColor="text1"/>
                <w:kern w:val="0"/>
                <w:szCs w:val="21"/>
              </w:rPr>
              <w:t>0.35%</w:t>
            </w:r>
            <w:r w:rsidRPr="003C5007">
              <w:rPr>
                <w:rFonts w:eastAsiaTheme="minorEastAsia"/>
                <w:color w:val="000000" w:themeColor="text1"/>
                <w:kern w:val="0"/>
                <w:szCs w:val="21"/>
              </w:rPr>
              <w:t>，年跟踪误差不超过</w:t>
            </w:r>
            <w:r w:rsidRPr="003C5007">
              <w:rPr>
                <w:rFonts w:eastAsiaTheme="minorEastAsia"/>
                <w:color w:val="000000" w:themeColor="text1"/>
                <w:kern w:val="0"/>
                <w:szCs w:val="21"/>
              </w:rPr>
              <w:t>4%</w:t>
            </w:r>
            <w:r w:rsidRPr="003C5007">
              <w:rPr>
                <w:rFonts w:eastAsiaTheme="minorEastAsia"/>
                <w:color w:val="000000" w:themeColor="text1"/>
                <w:kern w:val="0"/>
                <w:szCs w:val="21"/>
              </w:rPr>
              <w:t>，实现对中小</w:t>
            </w:r>
            <w:proofErr w:type="gramStart"/>
            <w:r w:rsidRPr="003C5007">
              <w:rPr>
                <w:rFonts w:eastAsiaTheme="minorEastAsia"/>
                <w:color w:val="000000" w:themeColor="text1"/>
                <w:kern w:val="0"/>
                <w:szCs w:val="21"/>
              </w:rPr>
              <w:t>板指数</w:t>
            </w:r>
            <w:proofErr w:type="gramEnd"/>
            <w:r w:rsidRPr="003C5007">
              <w:rPr>
                <w:rFonts w:eastAsiaTheme="minorEastAsia"/>
                <w:color w:val="000000" w:themeColor="text1"/>
                <w:kern w:val="0"/>
                <w:szCs w:val="21"/>
              </w:rPr>
              <w:t>的有效跟踪。</w:t>
            </w:r>
          </w:p>
        </w:tc>
      </w:tr>
      <w:tr w:rsidR="003E712B" w:rsidRPr="003C5007" w:rsidTr="008E5013">
        <w:tc>
          <w:tcPr>
            <w:tcW w:w="2410" w:type="dxa"/>
            <w:vAlign w:val="center"/>
          </w:tcPr>
          <w:p w:rsidR="00E57F92" w:rsidRPr="003C5007" w:rsidRDefault="00E57F92" w:rsidP="003C5007">
            <w:pPr>
              <w:adjustRightInd w:val="0"/>
              <w:spacing w:line="360" w:lineRule="auto"/>
              <w:ind w:left="17"/>
              <w:rPr>
                <w:rFonts w:eastAsiaTheme="minorEastAsia"/>
                <w:color w:val="000000" w:themeColor="text1"/>
                <w:szCs w:val="21"/>
              </w:rPr>
            </w:pPr>
            <w:r w:rsidRPr="003C5007">
              <w:rPr>
                <w:rFonts w:eastAsiaTheme="minorEastAsia"/>
                <w:color w:val="000000" w:themeColor="text1"/>
                <w:kern w:val="0"/>
                <w:szCs w:val="21"/>
              </w:rPr>
              <w:t>投资策略</w:t>
            </w:r>
          </w:p>
        </w:tc>
        <w:tc>
          <w:tcPr>
            <w:tcW w:w="5904" w:type="dxa"/>
            <w:vAlign w:val="center"/>
          </w:tcPr>
          <w:p w:rsidR="008E3BA0" w:rsidRDefault="008E5013">
            <w:pPr>
              <w:adjustRightInd w:val="0"/>
              <w:spacing w:line="360" w:lineRule="auto"/>
              <w:ind w:left="17"/>
              <w:rPr>
                <w:rFonts w:eastAsiaTheme="minorEastAsia"/>
                <w:color w:val="000000" w:themeColor="text1"/>
                <w:szCs w:val="21"/>
              </w:rPr>
            </w:pPr>
            <w:r>
              <w:rPr>
                <w:rFonts w:eastAsiaTheme="minorEastAsia"/>
                <w:color w:val="000000" w:themeColor="text1"/>
                <w:kern w:val="0"/>
                <w:szCs w:val="21"/>
              </w:rPr>
              <w:t>本基金主要采用完全复制的方法进行投资，即按照标的指数成份股及其权重构建基金的股票投资组合，并根据标的指数成份股及其权重的变动对股票投资组合进行相应地调整。</w:t>
            </w:r>
            <w:r>
              <w:rPr>
                <w:rFonts w:eastAsiaTheme="minorEastAsia"/>
                <w:color w:val="000000" w:themeColor="text1"/>
                <w:kern w:val="0"/>
                <w:szCs w:val="21"/>
              </w:rPr>
              <w:t xml:space="preserve"> </w:t>
            </w:r>
          </w:p>
          <w:p w:rsidR="00E57F92" w:rsidRPr="003C5007" w:rsidRDefault="00E57F92" w:rsidP="003C5007">
            <w:pPr>
              <w:adjustRightInd w:val="0"/>
              <w:spacing w:line="360" w:lineRule="auto"/>
              <w:ind w:left="17"/>
              <w:rPr>
                <w:rFonts w:eastAsiaTheme="minorEastAsia"/>
                <w:color w:val="000000" w:themeColor="text1"/>
                <w:szCs w:val="21"/>
              </w:rPr>
            </w:pPr>
            <w:r w:rsidRPr="003C5007">
              <w:rPr>
                <w:rFonts w:eastAsiaTheme="minorEastAsia"/>
                <w:color w:val="000000" w:themeColor="text1"/>
                <w:kern w:val="0"/>
                <w:szCs w:val="21"/>
              </w:rPr>
              <w:t>在标的指数成份股发生变动、增发、配股、分红等公司行为导致成份股的构成及权重发生变化时，由于交易成本、交易制度、个别成份股停牌或者流动性不足等原因导致本基金无法及时完成投资组合同步调整的情况下，基金管理人将运用其他合理的投资方法构建本基金的实际投资组合，追求尽可能贴近标的指数的表现。</w:t>
            </w:r>
          </w:p>
        </w:tc>
      </w:tr>
      <w:tr w:rsidR="003E712B" w:rsidRPr="003C5007" w:rsidTr="008E5013">
        <w:tc>
          <w:tcPr>
            <w:tcW w:w="2410" w:type="dxa"/>
            <w:vAlign w:val="center"/>
          </w:tcPr>
          <w:p w:rsidR="00E57F92" w:rsidRPr="003C5007" w:rsidRDefault="00E57F92" w:rsidP="003C5007">
            <w:pPr>
              <w:adjustRightInd w:val="0"/>
              <w:spacing w:line="360" w:lineRule="auto"/>
              <w:ind w:left="17"/>
              <w:rPr>
                <w:rFonts w:eastAsiaTheme="minorEastAsia"/>
                <w:color w:val="000000" w:themeColor="text1"/>
                <w:szCs w:val="21"/>
              </w:rPr>
            </w:pPr>
            <w:r w:rsidRPr="003C5007">
              <w:rPr>
                <w:rFonts w:eastAsiaTheme="minorEastAsia"/>
                <w:color w:val="000000" w:themeColor="text1"/>
                <w:kern w:val="0"/>
                <w:szCs w:val="21"/>
              </w:rPr>
              <w:t>业绩比较基准</w:t>
            </w:r>
          </w:p>
        </w:tc>
        <w:tc>
          <w:tcPr>
            <w:tcW w:w="5904" w:type="dxa"/>
            <w:vAlign w:val="center"/>
          </w:tcPr>
          <w:p w:rsidR="00E57F92" w:rsidRPr="003C5007" w:rsidRDefault="00E57F92" w:rsidP="003C5007">
            <w:pPr>
              <w:adjustRightInd w:val="0"/>
              <w:spacing w:line="360" w:lineRule="auto"/>
              <w:ind w:left="17"/>
              <w:rPr>
                <w:rFonts w:eastAsiaTheme="minorEastAsia"/>
                <w:color w:val="000000" w:themeColor="text1"/>
                <w:szCs w:val="21"/>
              </w:rPr>
            </w:pPr>
            <w:r w:rsidRPr="003C5007">
              <w:rPr>
                <w:rFonts w:eastAsiaTheme="minorEastAsia"/>
                <w:color w:val="000000" w:themeColor="text1"/>
                <w:kern w:val="0"/>
                <w:szCs w:val="21"/>
              </w:rPr>
              <w:t>95%×</w:t>
            </w:r>
            <w:r w:rsidRPr="003C5007">
              <w:rPr>
                <w:rFonts w:eastAsiaTheme="minorEastAsia"/>
                <w:color w:val="000000" w:themeColor="text1"/>
                <w:kern w:val="0"/>
                <w:szCs w:val="21"/>
              </w:rPr>
              <w:t>中小</w:t>
            </w:r>
            <w:proofErr w:type="gramStart"/>
            <w:r w:rsidRPr="003C5007">
              <w:rPr>
                <w:rFonts w:eastAsiaTheme="minorEastAsia"/>
                <w:color w:val="000000" w:themeColor="text1"/>
                <w:kern w:val="0"/>
                <w:szCs w:val="21"/>
              </w:rPr>
              <w:t>板指数</w:t>
            </w:r>
            <w:proofErr w:type="gramEnd"/>
            <w:r w:rsidRPr="003C5007">
              <w:rPr>
                <w:rFonts w:eastAsiaTheme="minorEastAsia"/>
                <w:color w:val="000000" w:themeColor="text1"/>
                <w:kern w:val="0"/>
                <w:szCs w:val="21"/>
              </w:rPr>
              <w:t>收益率</w:t>
            </w:r>
            <w:r w:rsidRPr="003C5007">
              <w:rPr>
                <w:rFonts w:eastAsiaTheme="minorEastAsia"/>
                <w:color w:val="000000" w:themeColor="text1"/>
                <w:kern w:val="0"/>
                <w:szCs w:val="21"/>
              </w:rPr>
              <w:t>+5%×</w:t>
            </w:r>
            <w:r w:rsidRPr="003C5007">
              <w:rPr>
                <w:rFonts w:eastAsiaTheme="minorEastAsia"/>
                <w:color w:val="000000" w:themeColor="text1"/>
                <w:kern w:val="0"/>
                <w:szCs w:val="21"/>
              </w:rPr>
              <w:t>银行同业存款利率。</w:t>
            </w:r>
          </w:p>
        </w:tc>
      </w:tr>
      <w:tr w:rsidR="003E712B" w:rsidRPr="003C5007" w:rsidTr="008E5013">
        <w:tc>
          <w:tcPr>
            <w:tcW w:w="2410" w:type="dxa"/>
            <w:vAlign w:val="center"/>
          </w:tcPr>
          <w:p w:rsidR="00E57F92" w:rsidRPr="003C5007" w:rsidRDefault="00E57F92" w:rsidP="003C5007">
            <w:pPr>
              <w:adjustRightInd w:val="0"/>
              <w:spacing w:line="360" w:lineRule="auto"/>
              <w:ind w:left="17"/>
              <w:rPr>
                <w:rFonts w:eastAsiaTheme="minorEastAsia"/>
                <w:color w:val="000000" w:themeColor="text1"/>
                <w:szCs w:val="21"/>
              </w:rPr>
            </w:pPr>
            <w:r w:rsidRPr="003C5007">
              <w:rPr>
                <w:rFonts w:eastAsiaTheme="minorEastAsia"/>
                <w:color w:val="000000" w:themeColor="text1"/>
                <w:kern w:val="0"/>
                <w:szCs w:val="21"/>
              </w:rPr>
              <w:t>风险收益特征</w:t>
            </w:r>
          </w:p>
        </w:tc>
        <w:tc>
          <w:tcPr>
            <w:tcW w:w="5904" w:type="dxa"/>
            <w:vAlign w:val="center"/>
          </w:tcPr>
          <w:p w:rsidR="00E57F92" w:rsidRPr="003C5007" w:rsidRDefault="00E57F92" w:rsidP="003C5007">
            <w:pPr>
              <w:adjustRightInd w:val="0"/>
              <w:spacing w:line="360" w:lineRule="auto"/>
              <w:ind w:left="17"/>
              <w:rPr>
                <w:rFonts w:eastAsiaTheme="minorEastAsia"/>
                <w:color w:val="000000" w:themeColor="text1"/>
                <w:szCs w:val="21"/>
              </w:rPr>
            </w:pPr>
            <w:r w:rsidRPr="003C5007">
              <w:rPr>
                <w:rFonts w:eastAsiaTheme="minorEastAsia"/>
                <w:color w:val="000000" w:themeColor="text1"/>
                <w:kern w:val="0"/>
                <w:szCs w:val="21"/>
              </w:rPr>
              <w:t>本基金具有预期风险较高、预期收益较高的特征，其预期风险和预期收益水平均高于货币市场基金、债券型基金和混合型基金。</w:t>
            </w:r>
          </w:p>
        </w:tc>
      </w:tr>
      <w:tr w:rsidR="003E712B" w:rsidRPr="003C5007" w:rsidTr="008E5013">
        <w:tc>
          <w:tcPr>
            <w:tcW w:w="2410" w:type="dxa"/>
            <w:vAlign w:val="center"/>
          </w:tcPr>
          <w:p w:rsidR="00E57F92" w:rsidRPr="003C5007" w:rsidRDefault="00E57F92" w:rsidP="003C5007">
            <w:pPr>
              <w:adjustRightInd w:val="0"/>
              <w:spacing w:line="360" w:lineRule="auto"/>
              <w:ind w:left="17"/>
              <w:rPr>
                <w:rFonts w:eastAsiaTheme="minorEastAsia"/>
                <w:color w:val="000000" w:themeColor="text1"/>
                <w:szCs w:val="21"/>
              </w:rPr>
            </w:pPr>
            <w:r w:rsidRPr="003C5007">
              <w:rPr>
                <w:rFonts w:eastAsiaTheme="minorEastAsia"/>
                <w:color w:val="000000" w:themeColor="text1"/>
                <w:kern w:val="0"/>
                <w:szCs w:val="21"/>
              </w:rPr>
              <w:t>基金管理人</w:t>
            </w:r>
          </w:p>
        </w:tc>
        <w:tc>
          <w:tcPr>
            <w:tcW w:w="5904" w:type="dxa"/>
            <w:vAlign w:val="center"/>
          </w:tcPr>
          <w:p w:rsidR="00E57F92" w:rsidRPr="003C5007" w:rsidRDefault="00E57F92" w:rsidP="003C5007">
            <w:pPr>
              <w:adjustRightInd w:val="0"/>
              <w:spacing w:line="360" w:lineRule="auto"/>
              <w:ind w:left="17"/>
              <w:rPr>
                <w:rFonts w:eastAsiaTheme="minorEastAsia"/>
                <w:color w:val="000000" w:themeColor="text1"/>
                <w:szCs w:val="21"/>
              </w:rPr>
            </w:pPr>
            <w:r w:rsidRPr="003C5007">
              <w:rPr>
                <w:rFonts w:eastAsiaTheme="minorEastAsia"/>
                <w:color w:val="000000" w:themeColor="text1"/>
                <w:kern w:val="0"/>
                <w:szCs w:val="21"/>
              </w:rPr>
              <w:t>申万菱信基金管理有限公司</w:t>
            </w:r>
          </w:p>
        </w:tc>
      </w:tr>
      <w:tr w:rsidR="003E712B" w:rsidRPr="003C5007" w:rsidTr="008E5013">
        <w:tc>
          <w:tcPr>
            <w:tcW w:w="2410" w:type="dxa"/>
            <w:vAlign w:val="center"/>
          </w:tcPr>
          <w:p w:rsidR="00E57F92" w:rsidRPr="003C5007" w:rsidRDefault="00E57F92" w:rsidP="003C5007">
            <w:pPr>
              <w:adjustRightInd w:val="0"/>
              <w:spacing w:line="360" w:lineRule="auto"/>
              <w:ind w:left="17"/>
              <w:rPr>
                <w:rFonts w:eastAsiaTheme="minorEastAsia"/>
                <w:color w:val="000000" w:themeColor="text1"/>
                <w:szCs w:val="21"/>
              </w:rPr>
            </w:pPr>
            <w:r w:rsidRPr="003C5007">
              <w:rPr>
                <w:rFonts w:eastAsiaTheme="minorEastAsia"/>
                <w:color w:val="000000" w:themeColor="text1"/>
                <w:kern w:val="0"/>
                <w:szCs w:val="21"/>
              </w:rPr>
              <w:t>基金托管人</w:t>
            </w:r>
          </w:p>
        </w:tc>
        <w:tc>
          <w:tcPr>
            <w:tcW w:w="5904" w:type="dxa"/>
            <w:vAlign w:val="center"/>
          </w:tcPr>
          <w:p w:rsidR="00E57F92" w:rsidRPr="003C5007" w:rsidRDefault="00E57F92" w:rsidP="003C5007">
            <w:pPr>
              <w:adjustRightInd w:val="0"/>
              <w:spacing w:line="360" w:lineRule="auto"/>
              <w:ind w:left="17"/>
              <w:rPr>
                <w:rFonts w:eastAsiaTheme="minorEastAsia"/>
                <w:color w:val="000000" w:themeColor="text1"/>
                <w:szCs w:val="21"/>
              </w:rPr>
            </w:pPr>
            <w:r w:rsidRPr="003C5007">
              <w:rPr>
                <w:rFonts w:eastAsiaTheme="minorEastAsia"/>
                <w:color w:val="000000" w:themeColor="text1"/>
                <w:kern w:val="0"/>
                <w:szCs w:val="21"/>
              </w:rPr>
              <w:t>中国农业银行股份有限公司</w:t>
            </w:r>
          </w:p>
        </w:tc>
      </w:tr>
    </w:tbl>
    <w:p w:rsidR="00675C50" w:rsidRPr="003C5007" w:rsidRDefault="00675C50" w:rsidP="00981A0F">
      <w:pPr>
        <w:pStyle w:val="a0"/>
        <w:spacing w:line="360" w:lineRule="auto"/>
        <w:ind w:firstLineChars="0" w:firstLine="0"/>
        <w:outlineLvl w:val="1"/>
        <w:rPr>
          <w:b/>
          <w:szCs w:val="21"/>
        </w:rPr>
      </w:pPr>
      <w:r w:rsidRPr="003C5007">
        <w:rPr>
          <w:b/>
          <w:szCs w:val="21"/>
        </w:rPr>
        <w:t xml:space="preserve">2.2 </w:t>
      </w:r>
      <w:r w:rsidRPr="003C5007">
        <w:rPr>
          <w:b/>
          <w:color w:val="000000"/>
          <w:kern w:val="0"/>
          <w:szCs w:val="21"/>
        </w:rPr>
        <w:t>申万菱信中小</w:t>
      </w:r>
      <w:proofErr w:type="gramStart"/>
      <w:r w:rsidRPr="003C5007">
        <w:rPr>
          <w:b/>
          <w:color w:val="000000"/>
          <w:kern w:val="0"/>
          <w:szCs w:val="21"/>
        </w:rPr>
        <w:t>板指数</w:t>
      </w:r>
      <w:proofErr w:type="gramEnd"/>
      <w:r w:rsidRPr="003C5007">
        <w:rPr>
          <w:b/>
          <w:color w:val="000000"/>
          <w:kern w:val="0"/>
          <w:szCs w:val="21"/>
        </w:rPr>
        <w:t>分级证券投资基金</w:t>
      </w:r>
    </w:p>
    <w:tbl>
      <w:tblPr>
        <w:tblW w:w="831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936"/>
        <w:gridCol w:w="1754"/>
        <w:gridCol w:w="1794"/>
      </w:tblGrid>
      <w:tr w:rsidR="00675C50" w:rsidRPr="003C5007" w:rsidTr="008E5013">
        <w:trPr>
          <w:jc w:val="center"/>
        </w:trPr>
        <w:tc>
          <w:tcPr>
            <w:tcW w:w="2835" w:type="dxa"/>
            <w:vAlign w:val="center"/>
          </w:tcPr>
          <w:p w:rsidR="00675C50" w:rsidRPr="003C5007" w:rsidRDefault="00675C50" w:rsidP="003C5007">
            <w:pPr>
              <w:adjustRightInd w:val="0"/>
              <w:spacing w:line="360" w:lineRule="auto"/>
              <w:ind w:left="17"/>
              <w:rPr>
                <w:rFonts w:eastAsiaTheme="minorEastAsia"/>
                <w:color w:val="000000" w:themeColor="text1"/>
                <w:kern w:val="0"/>
                <w:szCs w:val="21"/>
              </w:rPr>
            </w:pPr>
            <w:r w:rsidRPr="003C5007">
              <w:rPr>
                <w:rFonts w:eastAsiaTheme="minorEastAsia"/>
                <w:color w:val="000000" w:themeColor="text1"/>
                <w:kern w:val="0"/>
                <w:szCs w:val="21"/>
              </w:rPr>
              <w:t>基金简称</w:t>
            </w:r>
          </w:p>
        </w:tc>
        <w:tc>
          <w:tcPr>
            <w:tcW w:w="5484" w:type="dxa"/>
            <w:gridSpan w:val="3"/>
            <w:vAlign w:val="center"/>
          </w:tcPr>
          <w:p w:rsidR="00675C50" w:rsidRPr="003C5007" w:rsidRDefault="00675C50" w:rsidP="003C5007">
            <w:pPr>
              <w:adjustRightInd w:val="0"/>
              <w:spacing w:line="360" w:lineRule="auto"/>
              <w:ind w:left="17"/>
              <w:rPr>
                <w:rFonts w:eastAsiaTheme="minorEastAsia"/>
                <w:color w:val="000000" w:themeColor="text1"/>
                <w:kern w:val="0"/>
                <w:szCs w:val="21"/>
              </w:rPr>
            </w:pPr>
            <w:r w:rsidRPr="003C5007">
              <w:rPr>
                <w:rFonts w:eastAsiaTheme="minorEastAsia"/>
                <w:color w:val="000000" w:themeColor="text1"/>
                <w:kern w:val="0"/>
                <w:szCs w:val="21"/>
              </w:rPr>
              <w:t>申万菱信中小</w:t>
            </w:r>
            <w:proofErr w:type="gramStart"/>
            <w:r w:rsidRPr="003C5007">
              <w:rPr>
                <w:rFonts w:eastAsiaTheme="minorEastAsia"/>
                <w:color w:val="000000" w:themeColor="text1"/>
                <w:kern w:val="0"/>
                <w:szCs w:val="21"/>
              </w:rPr>
              <w:t>板指数</w:t>
            </w:r>
            <w:proofErr w:type="gramEnd"/>
            <w:r w:rsidRPr="003C5007">
              <w:rPr>
                <w:rFonts w:eastAsiaTheme="minorEastAsia"/>
                <w:color w:val="000000" w:themeColor="text1"/>
                <w:kern w:val="0"/>
                <w:szCs w:val="21"/>
              </w:rPr>
              <w:t>分级</w:t>
            </w:r>
          </w:p>
        </w:tc>
      </w:tr>
      <w:tr w:rsidR="00675C50" w:rsidRPr="003C5007" w:rsidTr="008E5013">
        <w:trPr>
          <w:jc w:val="center"/>
        </w:trPr>
        <w:tc>
          <w:tcPr>
            <w:tcW w:w="2835" w:type="dxa"/>
            <w:vAlign w:val="center"/>
          </w:tcPr>
          <w:p w:rsidR="00675C50" w:rsidRPr="003C5007" w:rsidRDefault="00675C50" w:rsidP="003C5007">
            <w:pPr>
              <w:spacing w:line="360" w:lineRule="auto"/>
              <w:rPr>
                <w:color w:val="000000" w:themeColor="text1"/>
                <w:szCs w:val="21"/>
              </w:rPr>
            </w:pPr>
            <w:r w:rsidRPr="003C5007">
              <w:rPr>
                <w:color w:val="000000" w:themeColor="text1"/>
                <w:szCs w:val="21"/>
              </w:rPr>
              <w:t>场内简称</w:t>
            </w:r>
          </w:p>
        </w:tc>
        <w:tc>
          <w:tcPr>
            <w:tcW w:w="5484" w:type="dxa"/>
            <w:gridSpan w:val="3"/>
            <w:vAlign w:val="center"/>
          </w:tcPr>
          <w:p w:rsidR="00675C50" w:rsidRPr="003C5007" w:rsidRDefault="00675C50" w:rsidP="003C5007">
            <w:pPr>
              <w:spacing w:line="360" w:lineRule="auto"/>
              <w:rPr>
                <w:color w:val="000000" w:themeColor="text1"/>
                <w:szCs w:val="21"/>
              </w:rPr>
            </w:pPr>
            <w:proofErr w:type="gramStart"/>
            <w:r w:rsidRPr="003C5007">
              <w:rPr>
                <w:color w:val="000000" w:themeColor="text1"/>
                <w:szCs w:val="21"/>
              </w:rPr>
              <w:t>申万中小</w:t>
            </w:r>
            <w:proofErr w:type="gramEnd"/>
          </w:p>
        </w:tc>
      </w:tr>
      <w:tr w:rsidR="00675C50" w:rsidRPr="003C5007" w:rsidTr="008E5013">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675C50" w:rsidRPr="003C5007" w:rsidRDefault="00675C50" w:rsidP="003C5007">
            <w:pPr>
              <w:adjustRightInd w:val="0"/>
              <w:spacing w:line="360" w:lineRule="auto"/>
              <w:ind w:left="17"/>
              <w:rPr>
                <w:rFonts w:eastAsiaTheme="minorEastAsia"/>
                <w:color w:val="000000" w:themeColor="text1"/>
                <w:kern w:val="0"/>
                <w:szCs w:val="21"/>
              </w:rPr>
            </w:pPr>
            <w:r w:rsidRPr="003C5007">
              <w:rPr>
                <w:rFonts w:eastAsiaTheme="minorEastAsia"/>
                <w:color w:val="000000" w:themeColor="text1"/>
                <w:kern w:val="0"/>
                <w:szCs w:val="21"/>
              </w:rPr>
              <w:t>基金主代码</w:t>
            </w:r>
          </w:p>
        </w:tc>
        <w:tc>
          <w:tcPr>
            <w:tcW w:w="5484" w:type="dxa"/>
            <w:gridSpan w:val="3"/>
            <w:tcBorders>
              <w:top w:val="single" w:sz="4" w:space="0" w:color="auto"/>
              <w:left w:val="single" w:sz="4" w:space="0" w:color="auto"/>
              <w:bottom w:val="single" w:sz="4" w:space="0" w:color="auto"/>
              <w:right w:val="single" w:sz="4" w:space="0" w:color="auto"/>
            </w:tcBorders>
            <w:vAlign w:val="center"/>
            <w:hideMark/>
          </w:tcPr>
          <w:p w:rsidR="00675C50" w:rsidRPr="003C5007" w:rsidRDefault="00DF3B2B" w:rsidP="003C5007">
            <w:pPr>
              <w:adjustRightInd w:val="0"/>
              <w:spacing w:line="360" w:lineRule="auto"/>
              <w:ind w:left="17"/>
              <w:rPr>
                <w:rFonts w:eastAsiaTheme="minorEastAsia"/>
                <w:color w:val="000000" w:themeColor="text1"/>
                <w:kern w:val="0"/>
                <w:szCs w:val="21"/>
              </w:rPr>
            </w:pPr>
            <w:r w:rsidRPr="003C5007">
              <w:rPr>
                <w:rFonts w:eastAsiaTheme="minorEastAsia"/>
                <w:color w:val="000000" w:themeColor="text1"/>
                <w:kern w:val="0"/>
                <w:szCs w:val="21"/>
              </w:rPr>
              <w:t>163111</w:t>
            </w:r>
          </w:p>
        </w:tc>
      </w:tr>
      <w:tr w:rsidR="00675C50" w:rsidRPr="003C5007" w:rsidTr="008E5013">
        <w:trPr>
          <w:jc w:val="center"/>
        </w:trPr>
        <w:tc>
          <w:tcPr>
            <w:tcW w:w="2835" w:type="dxa"/>
            <w:tcBorders>
              <w:top w:val="single" w:sz="4" w:space="0" w:color="auto"/>
              <w:left w:val="single" w:sz="4" w:space="0" w:color="auto"/>
              <w:bottom w:val="single" w:sz="4" w:space="0" w:color="auto"/>
              <w:right w:val="single" w:sz="4" w:space="0" w:color="auto"/>
            </w:tcBorders>
            <w:vAlign w:val="center"/>
          </w:tcPr>
          <w:p w:rsidR="00675C50" w:rsidRPr="003C5007" w:rsidRDefault="00675C50" w:rsidP="003C5007">
            <w:pPr>
              <w:adjustRightInd w:val="0"/>
              <w:spacing w:line="360" w:lineRule="auto"/>
              <w:ind w:left="17"/>
              <w:rPr>
                <w:rFonts w:eastAsiaTheme="minorEastAsia"/>
                <w:color w:val="000000" w:themeColor="text1"/>
                <w:kern w:val="0"/>
                <w:szCs w:val="21"/>
              </w:rPr>
            </w:pPr>
            <w:r w:rsidRPr="003C5007">
              <w:rPr>
                <w:rFonts w:eastAsiaTheme="minorEastAsia"/>
                <w:color w:val="000000" w:themeColor="text1"/>
                <w:kern w:val="0"/>
                <w:szCs w:val="21"/>
              </w:rPr>
              <w:t>交易代码</w:t>
            </w:r>
          </w:p>
        </w:tc>
        <w:tc>
          <w:tcPr>
            <w:tcW w:w="5484" w:type="dxa"/>
            <w:gridSpan w:val="3"/>
            <w:tcBorders>
              <w:top w:val="single" w:sz="4" w:space="0" w:color="auto"/>
              <w:left w:val="single" w:sz="4" w:space="0" w:color="auto"/>
              <w:bottom w:val="single" w:sz="4" w:space="0" w:color="auto"/>
              <w:right w:val="single" w:sz="4" w:space="0" w:color="auto"/>
            </w:tcBorders>
            <w:vAlign w:val="center"/>
          </w:tcPr>
          <w:p w:rsidR="00675C50" w:rsidRPr="003C5007" w:rsidRDefault="00675C50" w:rsidP="003C5007">
            <w:pPr>
              <w:adjustRightInd w:val="0"/>
              <w:spacing w:line="360" w:lineRule="auto"/>
              <w:ind w:left="17"/>
              <w:rPr>
                <w:rFonts w:eastAsiaTheme="minorEastAsia"/>
                <w:color w:val="000000" w:themeColor="text1"/>
                <w:kern w:val="0"/>
                <w:szCs w:val="21"/>
              </w:rPr>
            </w:pPr>
            <w:r w:rsidRPr="003C5007">
              <w:rPr>
                <w:rFonts w:eastAsiaTheme="minorEastAsia"/>
                <w:color w:val="000000" w:themeColor="text1"/>
                <w:kern w:val="0"/>
                <w:szCs w:val="21"/>
              </w:rPr>
              <w:t>163111</w:t>
            </w:r>
          </w:p>
        </w:tc>
      </w:tr>
      <w:tr w:rsidR="00675C50" w:rsidRPr="003C5007" w:rsidTr="008E5013">
        <w:trPr>
          <w:jc w:val="center"/>
        </w:trPr>
        <w:tc>
          <w:tcPr>
            <w:tcW w:w="2835" w:type="dxa"/>
            <w:vAlign w:val="center"/>
          </w:tcPr>
          <w:p w:rsidR="00675C50" w:rsidRPr="003C5007" w:rsidRDefault="00675C50" w:rsidP="003C5007">
            <w:pPr>
              <w:adjustRightInd w:val="0"/>
              <w:spacing w:line="360" w:lineRule="auto"/>
              <w:ind w:left="17"/>
              <w:rPr>
                <w:rFonts w:eastAsiaTheme="minorEastAsia"/>
                <w:color w:val="000000" w:themeColor="text1"/>
                <w:szCs w:val="21"/>
              </w:rPr>
            </w:pPr>
            <w:r w:rsidRPr="003C5007">
              <w:rPr>
                <w:rFonts w:eastAsiaTheme="minorEastAsia"/>
                <w:color w:val="000000" w:themeColor="text1"/>
                <w:kern w:val="0"/>
                <w:szCs w:val="21"/>
              </w:rPr>
              <w:t>基金运作方式</w:t>
            </w:r>
          </w:p>
        </w:tc>
        <w:tc>
          <w:tcPr>
            <w:tcW w:w="5484" w:type="dxa"/>
            <w:gridSpan w:val="3"/>
            <w:vAlign w:val="center"/>
          </w:tcPr>
          <w:p w:rsidR="00675C50" w:rsidRPr="003C5007" w:rsidRDefault="00DF3B2B" w:rsidP="003C5007">
            <w:pPr>
              <w:adjustRightInd w:val="0"/>
              <w:spacing w:line="360" w:lineRule="auto"/>
              <w:ind w:left="17"/>
              <w:rPr>
                <w:rFonts w:eastAsiaTheme="minorEastAsia"/>
                <w:color w:val="000000" w:themeColor="text1"/>
                <w:szCs w:val="21"/>
              </w:rPr>
            </w:pPr>
            <w:r w:rsidRPr="003C5007">
              <w:rPr>
                <w:rFonts w:eastAsiaTheme="minorEastAsia"/>
                <w:color w:val="000000" w:themeColor="text1"/>
                <w:kern w:val="0"/>
                <w:szCs w:val="21"/>
              </w:rPr>
              <w:t>契约型开放式</w:t>
            </w:r>
          </w:p>
        </w:tc>
      </w:tr>
      <w:tr w:rsidR="00675C50" w:rsidRPr="003C5007" w:rsidTr="008E5013">
        <w:trPr>
          <w:jc w:val="center"/>
        </w:trPr>
        <w:tc>
          <w:tcPr>
            <w:tcW w:w="2835" w:type="dxa"/>
            <w:vAlign w:val="center"/>
          </w:tcPr>
          <w:p w:rsidR="00675C50" w:rsidRPr="003C5007" w:rsidRDefault="00675C50" w:rsidP="003C5007">
            <w:pPr>
              <w:adjustRightInd w:val="0"/>
              <w:spacing w:line="360" w:lineRule="auto"/>
              <w:ind w:left="17"/>
              <w:rPr>
                <w:rFonts w:eastAsiaTheme="minorEastAsia"/>
                <w:color w:val="000000" w:themeColor="text1"/>
                <w:szCs w:val="21"/>
              </w:rPr>
            </w:pPr>
            <w:r w:rsidRPr="003C5007">
              <w:rPr>
                <w:rFonts w:eastAsiaTheme="minorEastAsia"/>
                <w:color w:val="000000" w:themeColor="text1"/>
                <w:kern w:val="0"/>
                <w:szCs w:val="21"/>
              </w:rPr>
              <w:t>基金合同生效日</w:t>
            </w:r>
          </w:p>
        </w:tc>
        <w:tc>
          <w:tcPr>
            <w:tcW w:w="5484" w:type="dxa"/>
            <w:gridSpan w:val="3"/>
            <w:vAlign w:val="center"/>
          </w:tcPr>
          <w:p w:rsidR="00675C50" w:rsidRPr="003C5007" w:rsidRDefault="00DF3B2B" w:rsidP="003C5007">
            <w:pPr>
              <w:adjustRightInd w:val="0"/>
              <w:spacing w:line="360" w:lineRule="auto"/>
              <w:ind w:left="17"/>
              <w:rPr>
                <w:rFonts w:eastAsiaTheme="minorEastAsia"/>
                <w:color w:val="000000" w:themeColor="text1"/>
                <w:szCs w:val="21"/>
              </w:rPr>
            </w:pPr>
            <w:r w:rsidRPr="003C5007">
              <w:rPr>
                <w:rFonts w:eastAsiaTheme="minorEastAsia"/>
                <w:color w:val="000000" w:themeColor="text1"/>
                <w:kern w:val="0"/>
                <w:szCs w:val="21"/>
              </w:rPr>
              <w:t>2012</w:t>
            </w:r>
            <w:r w:rsidRPr="003C5007">
              <w:rPr>
                <w:rFonts w:eastAsiaTheme="minorEastAsia"/>
                <w:color w:val="000000" w:themeColor="text1"/>
                <w:kern w:val="0"/>
                <w:szCs w:val="21"/>
              </w:rPr>
              <w:t>年</w:t>
            </w:r>
            <w:r w:rsidRPr="003C5007">
              <w:rPr>
                <w:rFonts w:eastAsiaTheme="minorEastAsia"/>
                <w:color w:val="000000" w:themeColor="text1"/>
                <w:kern w:val="0"/>
                <w:szCs w:val="21"/>
              </w:rPr>
              <w:t>5</w:t>
            </w:r>
            <w:r w:rsidRPr="003C5007">
              <w:rPr>
                <w:rFonts w:eastAsiaTheme="minorEastAsia"/>
                <w:color w:val="000000" w:themeColor="text1"/>
                <w:kern w:val="0"/>
                <w:szCs w:val="21"/>
              </w:rPr>
              <w:t>月</w:t>
            </w:r>
            <w:r w:rsidRPr="003C5007">
              <w:rPr>
                <w:rFonts w:eastAsiaTheme="minorEastAsia"/>
                <w:color w:val="000000" w:themeColor="text1"/>
                <w:kern w:val="0"/>
                <w:szCs w:val="21"/>
              </w:rPr>
              <w:t>8</w:t>
            </w:r>
            <w:r w:rsidRPr="003C5007">
              <w:rPr>
                <w:rFonts w:eastAsiaTheme="minorEastAsia"/>
                <w:color w:val="000000" w:themeColor="text1"/>
                <w:kern w:val="0"/>
                <w:szCs w:val="21"/>
              </w:rPr>
              <w:t>日</w:t>
            </w:r>
          </w:p>
        </w:tc>
      </w:tr>
      <w:tr w:rsidR="00675C50" w:rsidRPr="003C5007" w:rsidTr="008E5013">
        <w:trPr>
          <w:jc w:val="center"/>
        </w:trPr>
        <w:tc>
          <w:tcPr>
            <w:tcW w:w="2835" w:type="dxa"/>
            <w:vAlign w:val="center"/>
          </w:tcPr>
          <w:p w:rsidR="00675C50" w:rsidRPr="003C5007" w:rsidRDefault="00675C50" w:rsidP="003C5007">
            <w:pPr>
              <w:adjustRightInd w:val="0"/>
              <w:spacing w:line="360" w:lineRule="auto"/>
              <w:ind w:left="17"/>
              <w:rPr>
                <w:rFonts w:eastAsiaTheme="minorEastAsia"/>
                <w:color w:val="000000" w:themeColor="text1"/>
                <w:szCs w:val="21"/>
              </w:rPr>
            </w:pPr>
            <w:r w:rsidRPr="003C5007">
              <w:rPr>
                <w:rFonts w:eastAsiaTheme="minorEastAsia"/>
                <w:color w:val="000000" w:themeColor="text1"/>
                <w:kern w:val="0"/>
                <w:szCs w:val="21"/>
              </w:rPr>
              <w:t>报告期末基金份额总额</w:t>
            </w:r>
          </w:p>
        </w:tc>
        <w:tc>
          <w:tcPr>
            <w:tcW w:w="5484" w:type="dxa"/>
            <w:gridSpan w:val="3"/>
            <w:vAlign w:val="center"/>
          </w:tcPr>
          <w:p w:rsidR="00675C50" w:rsidRPr="003C5007" w:rsidRDefault="00DF3B2B" w:rsidP="003C5007">
            <w:pPr>
              <w:adjustRightInd w:val="0"/>
              <w:spacing w:line="360" w:lineRule="auto"/>
              <w:ind w:left="17"/>
              <w:rPr>
                <w:rFonts w:eastAsiaTheme="minorEastAsia"/>
                <w:color w:val="000000" w:themeColor="text1"/>
                <w:szCs w:val="21"/>
              </w:rPr>
            </w:pPr>
            <w:r w:rsidRPr="003C5007">
              <w:rPr>
                <w:rFonts w:eastAsiaTheme="minorEastAsia"/>
                <w:color w:val="000000" w:themeColor="text1"/>
                <w:kern w:val="0"/>
                <w:szCs w:val="21"/>
              </w:rPr>
              <w:t>324,950,387.61</w:t>
            </w:r>
            <w:r w:rsidR="00675C50" w:rsidRPr="003C5007">
              <w:rPr>
                <w:rFonts w:eastAsiaTheme="minorEastAsia"/>
                <w:color w:val="000000" w:themeColor="text1"/>
                <w:kern w:val="0"/>
                <w:szCs w:val="21"/>
              </w:rPr>
              <w:t>份</w:t>
            </w:r>
          </w:p>
        </w:tc>
      </w:tr>
      <w:tr w:rsidR="00675C50" w:rsidRPr="003C5007" w:rsidTr="008E5013">
        <w:trPr>
          <w:jc w:val="center"/>
        </w:trPr>
        <w:tc>
          <w:tcPr>
            <w:tcW w:w="2835" w:type="dxa"/>
            <w:vAlign w:val="center"/>
          </w:tcPr>
          <w:p w:rsidR="00675C50" w:rsidRPr="003C5007" w:rsidRDefault="00675C50" w:rsidP="003C5007">
            <w:pPr>
              <w:adjustRightInd w:val="0"/>
              <w:spacing w:line="360" w:lineRule="auto"/>
              <w:ind w:left="17"/>
              <w:rPr>
                <w:rFonts w:eastAsiaTheme="minorEastAsia"/>
                <w:color w:val="000000" w:themeColor="text1"/>
                <w:szCs w:val="21"/>
              </w:rPr>
            </w:pPr>
            <w:r w:rsidRPr="003C5007">
              <w:rPr>
                <w:rFonts w:eastAsiaTheme="minorEastAsia"/>
                <w:color w:val="000000" w:themeColor="text1"/>
                <w:kern w:val="0"/>
                <w:szCs w:val="21"/>
              </w:rPr>
              <w:t>投资目标</w:t>
            </w:r>
          </w:p>
        </w:tc>
        <w:tc>
          <w:tcPr>
            <w:tcW w:w="5484" w:type="dxa"/>
            <w:gridSpan w:val="3"/>
            <w:vAlign w:val="center"/>
          </w:tcPr>
          <w:p w:rsidR="00675C50" w:rsidRPr="003C5007" w:rsidRDefault="00DF3B2B" w:rsidP="003C5007">
            <w:pPr>
              <w:adjustRightInd w:val="0"/>
              <w:spacing w:line="360" w:lineRule="auto"/>
              <w:ind w:left="17"/>
              <w:rPr>
                <w:rFonts w:eastAsiaTheme="minorEastAsia"/>
                <w:color w:val="000000" w:themeColor="text1"/>
                <w:szCs w:val="21"/>
              </w:rPr>
            </w:pPr>
            <w:r w:rsidRPr="003C5007">
              <w:rPr>
                <w:rFonts w:eastAsiaTheme="minorEastAsia"/>
                <w:color w:val="000000" w:themeColor="text1"/>
                <w:kern w:val="0"/>
                <w:szCs w:val="21"/>
              </w:rPr>
              <w:t>本基金采取指数</w:t>
            </w:r>
            <w:proofErr w:type="gramStart"/>
            <w:r w:rsidRPr="003C5007">
              <w:rPr>
                <w:rFonts w:eastAsiaTheme="minorEastAsia"/>
                <w:color w:val="000000" w:themeColor="text1"/>
                <w:kern w:val="0"/>
                <w:szCs w:val="21"/>
              </w:rPr>
              <w:t>化投资</w:t>
            </w:r>
            <w:proofErr w:type="gramEnd"/>
            <w:r w:rsidRPr="003C5007">
              <w:rPr>
                <w:rFonts w:eastAsiaTheme="minorEastAsia"/>
                <w:color w:val="000000" w:themeColor="text1"/>
                <w:kern w:val="0"/>
                <w:szCs w:val="21"/>
              </w:rPr>
              <w:t>方式，通过严格的投资程序约束和数量化风险管理手段，力争控制本基金的净值增长率与业绩比较基准之间的日均跟踪偏离度的绝对值不超过</w:t>
            </w:r>
            <w:r w:rsidRPr="003C5007">
              <w:rPr>
                <w:rFonts w:eastAsiaTheme="minorEastAsia"/>
                <w:color w:val="000000" w:themeColor="text1"/>
                <w:kern w:val="0"/>
                <w:szCs w:val="21"/>
              </w:rPr>
              <w:t>0.35%</w:t>
            </w:r>
            <w:r w:rsidRPr="003C5007">
              <w:rPr>
                <w:rFonts w:eastAsiaTheme="minorEastAsia"/>
                <w:color w:val="000000" w:themeColor="text1"/>
                <w:kern w:val="0"/>
                <w:szCs w:val="21"/>
              </w:rPr>
              <w:t>，年跟踪误差不超过</w:t>
            </w:r>
            <w:r w:rsidRPr="003C5007">
              <w:rPr>
                <w:rFonts w:eastAsiaTheme="minorEastAsia"/>
                <w:color w:val="000000" w:themeColor="text1"/>
                <w:kern w:val="0"/>
                <w:szCs w:val="21"/>
              </w:rPr>
              <w:t>4%</w:t>
            </w:r>
            <w:r w:rsidRPr="003C5007">
              <w:rPr>
                <w:rFonts w:eastAsiaTheme="minorEastAsia"/>
                <w:color w:val="000000" w:themeColor="text1"/>
                <w:kern w:val="0"/>
                <w:szCs w:val="21"/>
              </w:rPr>
              <w:t>，实现对中小</w:t>
            </w:r>
            <w:proofErr w:type="gramStart"/>
            <w:r w:rsidRPr="003C5007">
              <w:rPr>
                <w:rFonts w:eastAsiaTheme="minorEastAsia"/>
                <w:color w:val="000000" w:themeColor="text1"/>
                <w:kern w:val="0"/>
                <w:szCs w:val="21"/>
              </w:rPr>
              <w:t>板指数</w:t>
            </w:r>
            <w:proofErr w:type="gramEnd"/>
            <w:r w:rsidRPr="003C5007">
              <w:rPr>
                <w:rFonts w:eastAsiaTheme="minorEastAsia"/>
                <w:color w:val="000000" w:themeColor="text1"/>
                <w:kern w:val="0"/>
                <w:szCs w:val="21"/>
              </w:rPr>
              <w:t>的有效跟踪。</w:t>
            </w:r>
          </w:p>
        </w:tc>
      </w:tr>
      <w:tr w:rsidR="00675C50" w:rsidRPr="003C5007" w:rsidTr="008E5013">
        <w:trPr>
          <w:jc w:val="center"/>
        </w:trPr>
        <w:tc>
          <w:tcPr>
            <w:tcW w:w="2835" w:type="dxa"/>
            <w:vAlign w:val="center"/>
          </w:tcPr>
          <w:p w:rsidR="00675C50" w:rsidRPr="003C5007" w:rsidRDefault="00675C50" w:rsidP="003C5007">
            <w:pPr>
              <w:adjustRightInd w:val="0"/>
              <w:spacing w:line="360" w:lineRule="auto"/>
              <w:ind w:left="17"/>
              <w:rPr>
                <w:rFonts w:eastAsiaTheme="minorEastAsia"/>
                <w:color w:val="000000" w:themeColor="text1"/>
                <w:szCs w:val="21"/>
              </w:rPr>
            </w:pPr>
            <w:r w:rsidRPr="003C5007">
              <w:rPr>
                <w:rFonts w:eastAsiaTheme="minorEastAsia"/>
                <w:color w:val="000000" w:themeColor="text1"/>
                <w:kern w:val="0"/>
                <w:szCs w:val="21"/>
              </w:rPr>
              <w:t>投资策略</w:t>
            </w:r>
          </w:p>
        </w:tc>
        <w:tc>
          <w:tcPr>
            <w:tcW w:w="5484" w:type="dxa"/>
            <w:gridSpan w:val="3"/>
            <w:vAlign w:val="center"/>
          </w:tcPr>
          <w:p w:rsidR="008E3BA0" w:rsidRDefault="008E5013">
            <w:pPr>
              <w:adjustRightInd w:val="0"/>
              <w:spacing w:line="360" w:lineRule="auto"/>
              <w:ind w:left="17"/>
              <w:rPr>
                <w:rFonts w:eastAsiaTheme="minorEastAsia"/>
                <w:color w:val="000000" w:themeColor="text1"/>
                <w:szCs w:val="21"/>
              </w:rPr>
            </w:pPr>
            <w:r>
              <w:rPr>
                <w:rFonts w:eastAsiaTheme="minorEastAsia"/>
                <w:color w:val="000000" w:themeColor="text1"/>
                <w:kern w:val="0"/>
                <w:szCs w:val="21"/>
              </w:rPr>
              <w:t>本基金主要采用完全复制的方法进行投资，即按照标的指数成份股及其权重构建基金的股票投资组合，并根据标的指数成份股及其权重的变动对股票投资组合进行相应地调整。</w:t>
            </w:r>
            <w:r>
              <w:rPr>
                <w:rFonts w:eastAsiaTheme="minorEastAsia"/>
                <w:color w:val="000000" w:themeColor="text1"/>
                <w:kern w:val="0"/>
                <w:szCs w:val="21"/>
              </w:rPr>
              <w:t xml:space="preserve"> </w:t>
            </w:r>
          </w:p>
          <w:p w:rsidR="00675C50" w:rsidRPr="003C5007" w:rsidRDefault="00DF3B2B" w:rsidP="003C5007">
            <w:pPr>
              <w:adjustRightInd w:val="0"/>
              <w:spacing w:line="360" w:lineRule="auto"/>
              <w:ind w:left="17"/>
              <w:rPr>
                <w:rFonts w:eastAsiaTheme="minorEastAsia"/>
                <w:color w:val="000000" w:themeColor="text1"/>
                <w:szCs w:val="21"/>
              </w:rPr>
            </w:pPr>
            <w:r w:rsidRPr="003C5007">
              <w:rPr>
                <w:rFonts w:eastAsiaTheme="minorEastAsia"/>
                <w:color w:val="000000" w:themeColor="text1"/>
                <w:kern w:val="0"/>
                <w:szCs w:val="21"/>
              </w:rPr>
              <w:t>在标的指数成份股发生变动、增发、配股、分红等公司行为导致成份股的构成及权重发生变化时，由于交易成本、交易制度、个别成份股停牌或者流动性不足等原因导致本基金无法及时完成投资组合同步调整的情况下，基金管理人将运用其他合理的投资方法构建本基金的实际投资组合，追求尽可能贴近标的指数的表现。</w:t>
            </w:r>
          </w:p>
        </w:tc>
      </w:tr>
      <w:tr w:rsidR="00675C50" w:rsidRPr="003C5007" w:rsidTr="008E5013">
        <w:trPr>
          <w:jc w:val="center"/>
        </w:trPr>
        <w:tc>
          <w:tcPr>
            <w:tcW w:w="2835" w:type="dxa"/>
            <w:vAlign w:val="center"/>
          </w:tcPr>
          <w:p w:rsidR="00675C50" w:rsidRPr="003C5007" w:rsidRDefault="00675C50" w:rsidP="003C5007">
            <w:pPr>
              <w:adjustRightInd w:val="0"/>
              <w:spacing w:line="360" w:lineRule="auto"/>
              <w:ind w:left="17"/>
              <w:rPr>
                <w:rFonts w:eastAsiaTheme="minorEastAsia"/>
                <w:color w:val="000000" w:themeColor="text1"/>
                <w:szCs w:val="21"/>
              </w:rPr>
            </w:pPr>
            <w:r w:rsidRPr="003C5007">
              <w:rPr>
                <w:rFonts w:eastAsiaTheme="minorEastAsia"/>
                <w:color w:val="000000" w:themeColor="text1"/>
                <w:kern w:val="0"/>
                <w:szCs w:val="21"/>
              </w:rPr>
              <w:t>业绩比较基准</w:t>
            </w:r>
          </w:p>
        </w:tc>
        <w:tc>
          <w:tcPr>
            <w:tcW w:w="5484" w:type="dxa"/>
            <w:gridSpan w:val="3"/>
            <w:vAlign w:val="center"/>
          </w:tcPr>
          <w:p w:rsidR="00675C50" w:rsidRPr="003C5007" w:rsidRDefault="00DF3B2B" w:rsidP="003C5007">
            <w:pPr>
              <w:adjustRightInd w:val="0"/>
              <w:spacing w:line="360" w:lineRule="auto"/>
              <w:ind w:left="17"/>
              <w:rPr>
                <w:rFonts w:eastAsiaTheme="minorEastAsia"/>
                <w:color w:val="000000" w:themeColor="text1"/>
                <w:szCs w:val="21"/>
              </w:rPr>
            </w:pPr>
            <w:r w:rsidRPr="003C5007">
              <w:rPr>
                <w:rFonts w:eastAsiaTheme="minorEastAsia"/>
                <w:color w:val="000000" w:themeColor="text1"/>
                <w:kern w:val="0"/>
                <w:szCs w:val="21"/>
              </w:rPr>
              <w:t>95%×</w:t>
            </w:r>
            <w:r w:rsidRPr="003C5007">
              <w:rPr>
                <w:rFonts w:eastAsiaTheme="minorEastAsia"/>
                <w:color w:val="000000" w:themeColor="text1"/>
                <w:kern w:val="0"/>
                <w:szCs w:val="21"/>
              </w:rPr>
              <w:t>中小</w:t>
            </w:r>
            <w:proofErr w:type="gramStart"/>
            <w:r w:rsidRPr="003C5007">
              <w:rPr>
                <w:rFonts w:eastAsiaTheme="minorEastAsia"/>
                <w:color w:val="000000" w:themeColor="text1"/>
                <w:kern w:val="0"/>
                <w:szCs w:val="21"/>
              </w:rPr>
              <w:t>板指数</w:t>
            </w:r>
            <w:proofErr w:type="gramEnd"/>
            <w:r w:rsidRPr="003C5007">
              <w:rPr>
                <w:rFonts w:eastAsiaTheme="minorEastAsia"/>
                <w:color w:val="000000" w:themeColor="text1"/>
                <w:kern w:val="0"/>
                <w:szCs w:val="21"/>
              </w:rPr>
              <w:t>收益率</w:t>
            </w:r>
            <w:r w:rsidRPr="003C5007">
              <w:rPr>
                <w:rFonts w:eastAsiaTheme="minorEastAsia"/>
                <w:color w:val="000000" w:themeColor="text1"/>
                <w:kern w:val="0"/>
                <w:szCs w:val="21"/>
              </w:rPr>
              <w:t>+5%×</w:t>
            </w:r>
            <w:r w:rsidRPr="003C5007">
              <w:rPr>
                <w:rFonts w:eastAsiaTheme="minorEastAsia"/>
                <w:color w:val="000000" w:themeColor="text1"/>
                <w:kern w:val="0"/>
                <w:szCs w:val="21"/>
              </w:rPr>
              <w:t>银行同业存款利率。</w:t>
            </w:r>
          </w:p>
        </w:tc>
      </w:tr>
      <w:tr w:rsidR="00675C50" w:rsidRPr="003C5007" w:rsidTr="008E5013">
        <w:trPr>
          <w:jc w:val="center"/>
        </w:trPr>
        <w:tc>
          <w:tcPr>
            <w:tcW w:w="2835" w:type="dxa"/>
            <w:vAlign w:val="center"/>
          </w:tcPr>
          <w:p w:rsidR="00675C50" w:rsidRPr="003C5007" w:rsidRDefault="00675C50" w:rsidP="003C5007">
            <w:pPr>
              <w:adjustRightInd w:val="0"/>
              <w:spacing w:line="360" w:lineRule="auto"/>
              <w:ind w:left="17"/>
              <w:rPr>
                <w:rFonts w:eastAsiaTheme="minorEastAsia"/>
                <w:color w:val="000000" w:themeColor="text1"/>
                <w:szCs w:val="21"/>
              </w:rPr>
            </w:pPr>
            <w:r w:rsidRPr="003C5007">
              <w:rPr>
                <w:rFonts w:eastAsiaTheme="minorEastAsia"/>
                <w:color w:val="000000" w:themeColor="text1"/>
                <w:kern w:val="0"/>
                <w:szCs w:val="21"/>
              </w:rPr>
              <w:t>基金管理人</w:t>
            </w:r>
          </w:p>
        </w:tc>
        <w:tc>
          <w:tcPr>
            <w:tcW w:w="5484" w:type="dxa"/>
            <w:gridSpan w:val="3"/>
            <w:vAlign w:val="center"/>
          </w:tcPr>
          <w:p w:rsidR="00675C50" w:rsidRPr="003C5007" w:rsidRDefault="00DF3B2B" w:rsidP="003C5007">
            <w:pPr>
              <w:adjustRightInd w:val="0"/>
              <w:spacing w:line="360" w:lineRule="auto"/>
              <w:ind w:left="17"/>
              <w:rPr>
                <w:rFonts w:eastAsiaTheme="minorEastAsia"/>
                <w:color w:val="000000" w:themeColor="text1"/>
                <w:szCs w:val="21"/>
              </w:rPr>
            </w:pPr>
            <w:r w:rsidRPr="003C5007">
              <w:rPr>
                <w:rFonts w:eastAsiaTheme="minorEastAsia"/>
                <w:color w:val="000000" w:themeColor="text1"/>
                <w:kern w:val="0"/>
                <w:szCs w:val="21"/>
              </w:rPr>
              <w:t>申万菱信基金管理有限公司</w:t>
            </w:r>
          </w:p>
        </w:tc>
      </w:tr>
      <w:tr w:rsidR="00675C50" w:rsidRPr="003C5007" w:rsidTr="008E5013">
        <w:trPr>
          <w:jc w:val="center"/>
        </w:trPr>
        <w:tc>
          <w:tcPr>
            <w:tcW w:w="2835" w:type="dxa"/>
            <w:vAlign w:val="center"/>
          </w:tcPr>
          <w:p w:rsidR="00675C50" w:rsidRPr="003C5007" w:rsidRDefault="00675C50" w:rsidP="003C5007">
            <w:pPr>
              <w:adjustRightInd w:val="0"/>
              <w:spacing w:line="360" w:lineRule="auto"/>
              <w:ind w:left="17"/>
              <w:rPr>
                <w:rFonts w:eastAsiaTheme="minorEastAsia"/>
                <w:color w:val="000000" w:themeColor="text1"/>
                <w:szCs w:val="21"/>
              </w:rPr>
            </w:pPr>
            <w:r w:rsidRPr="003C5007">
              <w:rPr>
                <w:rFonts w:eastAsiaTheme="minorEastAsia"/>
                <w:color w:val="000000" w:themeColor="text1"/>
                <w:kern w:val="0"/>
                <w:szCs w:val="21"/>
              </w:rPr>
              <w:t>基金托管人</w:t>
            </w:r>
          </w:p>
        </w:tc>
        <w:tc>
          <w:tcPr>
            <w:tcW w:w="5484" w:type="dxa"/>
            <w:gridSpan w:val="3"/>
            <w:vAlign w:val="center"/>
          </w:tcPr>
          <w:p w:rsidR="00675C50" w:rsidRPr="003C5007" w:rsidRDefault="00DF3B2B" w:rsidP="003C5007">
            <w:pPr>
              <w:adjustRightInd w:val="0"/>
              <w:spacing w:line="360" w:lineRule="auto"/>
              <w:ind w:left="17"/>
              <w:rPr>
                <w:rFonts w:eastAsiaTheme="minorEastAsia"/>
                <w:color w:val="000000" w:themeColor="text1"/>
                <w:szCs w:val="21"/>
              </w:rPr>
            </w:pPr>
            <w:r w:rsidRPr="003C5007">
              <w:rPr>
                <w:rFonts w:eastAsiaTheme="minorEastAsia"/>
                <w:color w:val="000000" w:themeColor="text1"/>
                <w:kern w:val="0"/>
                <w:szCs w:val="21"/>
              </w:rPr>
              <w:t>中国农业银行股份有限公司</w:t>
            </w:r>
          </w:p>
        </w:tc>
      </w:tr>
      <w:tr w:rsidR="00614F27" w:rsidRPr="003C5007" w:rsidTr="008E5013">
        <w:trPr>
          <w:jc w:val="center"/>
        </w:trPr>
        <w:tc>
          <w:tcPr>
            <w:tcW w:w="2835" w:type="dxa"/>
            <w:vAlign w:val="center"/>
          </w:tcPr>
          <w:p w:rsidR="00614F27" w:rsidRPr="003C5007" w:rsidRDefault="00614F27" w:rsidP="003C5007">
            <w:pPr>
              <w:adjustRightInd w:val="0"/>
              <w:spacing w:line="360" w:lineRule="auto"/>
              <w:jc w:val="left"/>
              <w:rPr>
                <w:rFonts w:eastAsiaTheme="minorEastAsia"/>
                <w:color w:val="000000" w:themeColor="text1"/>
                <w:kern w:val="0"/>
                <w:szCs w:val="21"/>
              </w:rPr>
            </w:pPr>
            <w:r w:rsidRPr="003C5007">
              <w:rPr>
                <w:rFonts w:eastAsiaTheme="minorEastAsia"/>
                <w:color w:val="000000" w:themeColor="text1"/>
                <w:kern w:val="0"/>
                <w:szCs w:val="21"/>
              </w:rPr>
              <w:t>下属分级基金的基金简称</w:t>
            </w:r>
          </w:p>
        </w:tc>
        <w:tc>
          <w:tcPr>
            <w:tcW w:w="1936" w:type="dxa"/>
            <w:vAlign w:val="center"/>
          </w:tcPr>
          <w:p w:rsidR="00614F27" w:rsidRPr="003C5007" w:rsidRDefault="00614F27" w:rsidP="008E5013">
            <w:pPr>
              <w:spacing w:line="360" w:lineRule="auto"/>
              <w:jc w:val="center"/>
              <w:rPr>
                <w:rFonts w:eastAsiaTheme="minorEastAsia"/>
                <w:color w:val="000000" w:themeColor="text1"/>
                <w:szCs w:val="21"/>
              </w:rPr>
            </w:pPr>
            <w:proofErr w:type="gramStart"/>
            <w:r w:rsidRPr="003C5007">
              <w:rPr>
                <w:rFonts w:eastAsiaTheme="minorEastAsia"/>
                <w:color w:val="000000" w:themeColor="text1"/>
                <w:szCs w:val="21"/>
              </w:rPr>
              <w:t>申万中小</w:t>
            </w:r>
            <w:proofErr w:type="gramEnd"/>
          </w:p>
        </w:tc>
        <w:tc>
          <w:tcPr>
            <w:tcW w:w="1754" w:type="dxa"/>
            <w:vAlign w:val="center"/>
          </w:tcPr>
          <w:p w:rsidR="00614F27" w:rsidRPr="003C5007" w:rsidRDefault="00614F27" w:rsidP="008E5013">
            <w:pPr>
              <w:spacing w:line="360" w:lineRule="auto"/>
              <w:jc w:val="center"/>
              <w:rPr>
                <w:rFonts w:eastAsiaTheme="minorEastAsia"/>
                <w:color w:val="000000" w:themeColor="text1"/>
                <w:szCs w:val="21"/>
              </w:rPr>
            </w:pPr>
            <w:r w:rsidRPr="003C5007">
              <w:rPr>
                <w:rFonts w:eastAsiaTheme="minorEastAsia"/>
                <w:color w:val="000000" w:themeColor="text1"/>
                <w:szCs w:val="21"/>
              </w:rPr>
              <w:t>中小板</w:t>
            </w:r>
            <w:r w:rsidRPr="003C5007">
              <w:rPr>
                <w:rFonts w:eastAsiaTheme="minorEastAsia"/>
                <w:color w:val="000000" w:themeColor="text1"/>
                <w:szCs w:val="21"/>
              </w:rPr>
              <w:t>A</w:t>
            </w:r>
          </w:p>
        </w:tc>
        <w:tc>
          <w:tcPr>
            <w:tcW w:w="1794" w:type="dxa"/>
            <w:vAlign w:val="center"/>
          </w:tcPr>
          <w:p w:rsidR="00614F27" w:rsidRPr="003C5007" w:rsidRDefault="00614F27" w:rsidP="008E5013">
            <w:pPr>
              <w:spacing w:line="360" w:lineRule="auto"/>
              <w:jc w:val="center"/>
              <w:rPr>
                <w:rFonts w:eastAsiaTheme="minorEastAsia"/>
                <w:color w:val="000000" w:themeColor="text1"/>
                <w:szCs w:val="21"/>
              </w:rPr>
            </w:pPr>
            <w:r w:rsidRPr="003C5007">
              <w:rPr>
                <w:rFonts w:eastAsiaTheme="minorEastAsia"/>
                <w:color w:val="000000" w:themeColor="text1"/>
                <w:szCs w:val="21"/>
              </w:rPr>
              <w:t>中小板</w:t>
            </w:r>
            <w:r w:rsidRPr="003C5007">
              <w:rPr>
                <w:rFonts w:eastAsiaTheme="minorEastAsia"/>
                <w:color w:val="000000" w:themeColor="text1"/>
                <w:szCs w:val="21"/>
              </w:rPr>
              <w:t>B</w:t>
            </w:r>
          </w:p>
        </w:tc>
      </w:tr>
      <w:tr w:rsidR="00614F27" w:rsidRPr="003C5007" w:rsidTr="008E5013">
        <w:trPr>
          <w:jc w:val="center"/>
        </w:trPr>
        <w:tc>
          <w:tcPr>
            <w:tcW w:w="2835" w:type="dxa"/>
            <w:vAlign w:val="center"/>
          </w:tcPr>
          <w:p w:rsidR="00614F27" w:rsidRPr="003C5007" w:rsidRDefault="00614F27" w:rsidP="003C5007">
            <w:pPr>
              <w:adjustRightInd w:val="0"/>
              <w:spacing w:line="360" w:lineRule="auto"/>
              <w:jc w:val="left"/>
              <w:rPr>
                <w:rFonts w:eastAsiaTheme="minorEastAsia"/>
                <w:color w:val="000000" w:themeColor="text1"/>
                <w:kern w:val="0"/>
                <w:szCs w:val="21"/>
              </w:rPr>
            </w:pPr>
            <w:r w:rsidRPr="003C5007">
              <w:rPr>
                <w:rFonts w:eastAsiaTheme="minorEastAsia"/>
                <w:color w:val="000000" w:themeColor="text1"/>
                <w:kern w:val="0"/>
                <w:szCs w:val="21"/>
              </w:rPr>
              <w:t>下属分级基金的交易代码</w:t>
            </w:r>
          </w:p>
        </w:tc>
        <w:tc>
          <w:tcPr>
            <w:tcW w:w="1936" w:type="dxa"/>
            <w:vAlign w:val="center"/>
          </w:tcPr>
          <w:p w:rsidR="00614F27" w:rsidRPr="003C5007" w:rsidRDefault="00614F27" w:rsidP="008E5013">
            <w:pPr>
              <w:spacing w:line="360" w:lineRule="auto"/>
              <w:jc w:val="center"/>
              <w:rPr>
                <w:rFonts w:eastAsiaTheme="minorEastAsia"/>
                <w:color w:val="000000" w:themeColor="text1"/>
                <w:szCs w:val="21"/>
              </w:rPr>
            </w:pPr>
            <w:r w:rsidRPr="003C5007">
              <w:rPr>
                <w:rFonts w:eastAsiaTheme="minorEastAsia"/>
                <w:color w:val="000000" w:themeColor="text1"/>
                <w:szCs w:val="21"/>
              </w:rPr>
              <w:t>163111</w:t>
            </w:r>
          </w:p>
        </w:tc>
        <w:tc>
          <w:tcPr>
            <w:tcW w:w="1754" w:type="dxa"/>
            <w:vAlign w:val="center"/>
          </w:tcPr>
          <w:p w:rsidR="00614F27" w:rsidRPr="003C5007" w:rsidRDefault="00614F27" w:rsidP="008E5013">
            <w:pPr>
              <w:spacing w:line="360" w:lineRule="auto"/>
              <w:jc w:val="center"/>
              <w:rPr>
                <w:rFonts w:eastAsiaTheme="minorEastAsia"/>
                <w:color w:val="000000" w:themeColor="text1"/>
                <w:szCs w:val="21"/>
              </w:rPr>
            </w:pPr>
            <w:r w:rsidRPr="003C5007">
              <w:rPr>
                <w:rFonts w:eastAsiaTheme="minorEastAsia"/>
                <w:color w:val="000000" w:themeColor="text1"/>
                <w:szCs w:val="21"/>
              </w:rPr>
              <w:t>150085</w:t>
            </w:r>
          </w:p>
        </w:tc>
        <w:tc>
          <w:tcPr>
            <w:tcW w:w="1794" w:type="dxa"/>
            <w:vAlign w:val="center"/>
          </w:tcPr>
          <w:p w:rsidR="00614F27" w:rsidRPr="003C5007" w:rsidRDefault="00614F27" w:rsidP="008E5013">
            <w:pPr>
              <w:spacing w:line="360" w:lineRule="auto"/>
              <w:jc w:val="center"/>
              <w:rPr>
                <w:rFonts w:eastAsiaTheme="minorEastAsia"/>
                <w:color w:val="000000" w:themeColor="text1"/>
                <w:szCs w:val="21"/>
              </w:rPr>
            </w:pPr>
            <w:r w:rsidRPr="003C5007">
              <w:rPr>
                <w:rFonts w:eastAsiaTheme="minorEastAsia"/>
                <w:color w:val="000000" w:themeColor="text1"/>
                <w:szCs w:val="21"/>
              </w:rPr>
              <w:t>150086</w:t>
            </w:r>
          </w:p>
        </w:tc>
      </w:tr>
      <w:tr w:rsidR="00614F27" w:rsidRPr="003C5007" w:rsidTr="008E5013">
        <w:trPr>
          <w:jc w:val="center"/>
        </w:trPr>
        <w:tc>
          <w:tcPr>
            <w:tcW w:w="2835" w:type="dxa"/>
            <w:vAlign w:val="center"/>
          </w:tcPr>
          <w:p w:rsidR="00614F27" w:rsidRPr="003C5007" w:rsidRDefault="00614F27" w:rsidP="003C5007">
            <w:pPr>
              <w:adjustRightInd w:val="0"/>
              <w:spacing w:line="360" w:lineRule="auto"/>
              <w:jc w:val="left"/>
              <w:rPr>
                <w:rFonts w:eastAsiaTheme="minorEastAsia"/>
                <w:color w:val="000000" w:themeColor="text1"/>
                <w:kern w:val="0"/>
                <w:szCs w:val="21"/>
              </w:rPr>
            </w:pPr>
            <w:r w:rsidRPr="003C5007">
              <w:rPr>
                <w:rFonts w:eastAsiaTheme="minorEastAsia"/>
                <w:color w:val="000000" w:themeColor="text1"/>
                <w:kern w:val="0"/>
                <w:szCs w:val="21"/>
              </w:rPr>
              <w:t>报告期末下属分级基金的份额总额</w:t>
            </w:r>
          </w:p>
        </w:tc>
        <w:tc>
          <w:tcPr>
            <w:tcW w:w="1936" w:type="dxa"/>
            <w:vAlign w:val="center"/>
          </w:tcPr>
          <w:p w:rsidR="00614F27" w:rsidRPr="003C5007" w:rsidRDefault="00614F27" w:rsidP="008E5013">
            <w:pPr>
              <w:spacing w:line="360" w:lineRule="auto"/>
              <w:jc w:val="center"/>
              <w:rPr>
                <w:rFonts w:eastAsiaTheme="minorEastAsia"/>
                <w:color w:val="000000" w:themeColor="text1"/>
                <w:szCs w:val="21"/>
              </w:rPr>
            </w:pPr>
            <w:r w:rsidRPr="003C5007">
              <w:rPr>
                <w:rFonts w:eastAsiaTheme="minorEastAsia"/>
                <w:color w:val="000000" w:themeColor="text1"/>
                <w:szCs w:val="21"/>
              </w:rPr>
              <w:t>101,058,751.61</w:t>
            </w:r>
            <w:r w:rsidRPr="003C5007">
              <w:rPr>
                <w:rFonts w:eastAsiaTheme="minorEastAsia"/>
                <w:color w:val="000000" w:themeColor="text1"/>
                <w:kern w:val="0"/>
                <w:szCs w:val="21"/>
              </w:rPr>
              <w:t>份</w:t>
            </w:r>
          </w:p>
        </w:tc>
        <w:tc>
          <w:tcPr>
            <w:tcW w:w="1754" w:type="dxa"/>
            <w:vAlign w:val="center"/>
          </w:tcPr>
          <w:p w:rsidR="00614F27" w:rsidRPr="003C5007" w:rsidRDefault="00614F27" w:rsidP="008E5013">
            <w:pPr>
              <w:spacing w:line="360" w:lineRule="auto"/>
              <w:jc w:val="center"/>
              <w:rPr>
                <w:rFonts w:eastAsiaTheme="minorEastAsia"/>
                <w:color w:val="000000" w:themeColor="text1"/>
                <w:szCs w:val="21"/>
              </w:rPr>
            </w:pPr>
            <w:r w:rsidRPr="003C5007">
              <w:rPr>
                <w:rFonts w:eastAsiaTheme="minorEastAsia"/>
                <w:color w:val="000000" w:themeColor="text1"/>
                <w:szCs w:val="21"/>
              </w:rPr>
              <w:t>111,945,818.00</w:t>
            </w:r>
            <w:r w:rsidRPr="003C5007">
              <w:rPr>
                <w:rFonts w:eastAsiaTheme="minorEastAsia"/>
                <w:color w:val="000000" w:themeColor="text1"/>
                <w:kern w:val="0"/>
                <w:szCs w:val="21"/>
              </w:rPr>
              <w:t>份</w:t>
            </w:r>
          </w:p>
        </w:tc>
        <w:tc>
          <w:tcPr>
            <w:tcW w:w="1794" w:type="dxa"/>
            <w:vAlign w:val="center"/>
          </w:tcPr>
          <w:p w:rsidR="00614F27" w:rsidRPr="003C5007" w:rsidRDefault="00614F27" w:rsidP="008E5013">
            <w:pPr>
              <w:spacing w:line="360" w:lineRule="auto"/>
              <w:jc w:val="center"/>
              <w:rPr>
                <w:rFonts w:eastAsiaTheme="minorEastAsia"/>
                <w:color w:val="000000" w:themeColor="text1"/>
                <w:szCs w:val="21"/>
              </w:rPr>
            </w:pPr>
            <w:r w:rsidRPr="003C5007">
              <w:rPr>
                <w:rFonts w:eastAsiaTheme="minorEastAsia"/>
                <w:color w:val="000000" w:themeColor="text1"/>
                <w:szCs w:val="21"/>
              </w:rPr>
              <w:t>111,945,818.00</w:t>
            </w:r>
            <w:r w:rsidRPr="003C5007">
              <w:rPr>
                <w:rFonts w:eastAsiaTheme="minorEastAsia"/>
                <w:color w:val="000000" w:themeColor="text1"/>
                <w:kern w:val="0"/>
                <w:szCs w:val="21"/>
              </w:rPr>
              <w:t>份</w:t>
            </w:r>
          </w:p>
        </w:tc>
      </w:tr>
      <w:tr w:rsidR="00614F27" w:rsidRPr="003C5007" w:rsidTr="008E5013">
        <w:trPr>
          <w:jc w:val="center"/>
        </w:trPr>
        <w:tc>
          <w:tcPr>
            <w:tcW w:w="2835" w:type="dxa"/>
            <w:vAlign w:val="center"/>
          </w:tcPr>
          <w:p w:rsidR="00614F27" w:rsidRPr="003C5007" w:rsidRDefault="00614F27" w:rsidP="003C5007">
            <w:pPr>
              <w:adjustRightInd w:val="0"/>
              <w:snapToGrid w:val="0"/>
              <w:spacing w:line="360" w:lineRule="auto"/>
              <w:rPr>
                <w:rFonts w:eastAsiaTheme="minorEastAsia"/>
                <w:color w:val="000000" w:themeColor="text1"/>
                <w:kern w:val="0"/>
                <w:szCs w:val="21"/>
              </w:rPr>
            </w:pPr>
            <w:r w:rsidRPr="003C5007">
              <w:rPr>
                <w:rFonts w:eastAsiaTheme="minorEastAsia"/>
                <w:color w:val="000000" w:themeColor="text1"/>
                <w:kern w:val="0"/>
                <w:szCs w:val="21"/>
              </w:rPr>
              <w:t>下属分级基金的风险收益特征</w:t>
            </w:r>
          </w:p>
        </w:tc>
        <w:tc>
          <w:tcPr>
            <w:tcW w:w="1936" w:type="dxa"/>
            <w:vAlign w:val="center"/>
          </w:tcPr>
          <w:p w:rsidR="00614F27" w:rsidRPr="003C5007" w:rsidRDefault="00614F27" w:rsidP="003C5007">
            <w:pPr>
              <w:spacing w:line="360" w:lineRule="auto"/>
              <w:jc w:val="left"/>
              <w:rPr>
                <w:rFonts w:eastAsiaTheme="minorEastAsia"/>
                <w:color w:val="000000" w:themeColor="text1"/>
                <w:kern w:val="0"/>
                <w:szCs w:val="21"/>
              </w:rPr>
            </w:pPr>
            <w:proofErr w:type="gramStart"/>
            <w:r w:rsidRPr="003C5007">
              <w:rPr>
                <w:rFonts w:eastAsiaTheme="minorEastAsia"/>
                <w:color w:val="000000" w:themeColor="text1"/>
                <w:kern w:val="0"/>
                <w:szCs w:val="21"/>
              </w:rPr>
              <w:t>申万中小</w:t>
            </w:r>
            <w:proofErr w:type="gramEnd"/>
            <w:r w:rsidRPr="003C5007">
              <w:rPr>
                <w:rFonts w:eastAsiaTheme="minorEastAsia"/>
                <w:color w:val="000000" w:themeColor="text1"/>
                <w:kern w:val="0"/>
                <w:szCs w:val="21"/>
              </w:rPr>
              <w:t>板份额为常规指数基金份额，具有预期风险较高、预期收益较高的特征，其预期风险和预期收益水平均高于货币市场基金、债券型基金和混合型基金。</w:t>
            </w:r>
            <w:r w:rsidRPr="003C5007">
              <w:rPr>
                <w:rFonts w:eastAsiaTheme="minorEastAsia"/>
                <w:color w:val="000000" w:themeColor="text1"/>
                <w:kern w:val="0"/>
                <w:szCs w:val="21"/>
              </w:rPr>
              <w:t xml:space="preserve"> </w:t>
            </w:r>
          </w:p>
        </w:tc>
        <w:tc>
          <w:tcPr>
            <w:tcW w:w="1754" w:type="dxa"/>
            <w:vAlign w:val="center"/>
          </w:tcPr>
          <w:p w:rsidR="00614F27" w:rsidRPr="003C5007" w:rsidRDefault="00614F27" w:rsidP="003C5007">
            <w:pPr>
              <w:spacing w:line="360" w:lineRule="auto"/>
              <w:jc w:val="left"/>
              <w:rPr>
                <w:rFonts w:eastAsiaTheme="minorEastAsia"/>
                <w:color w:val="000000" w:themeColor="text1"/>
                <w:kern w:val="0"/>
                <w:szCs w:val="21"/>
              </w:rPr>
            </w:pPr>
            <w:r w:rsidRPr="003C5007">
              <w:rPr>
                <w:rFonts w:eastAsiaTheme="minorEastAsia"/>
                <w:color w:val="000000" w:themeColor="text1"/>
                <w:kern w:val="0"/>
                <w:szCs w:val="21"/>
              </w:rPr>
              <w:t>中小板</w:t>
            </w:r>
            <w:r w:rsidRPr="003C5007">
              <w:rPr>
                <w:rFonts w:eastAsiaTheme="minorEastAsia"/>
                <w:color w:val="000000" w:themeColor="text1"/>
                <w:kern w:val="0"/>
                <w:szCs w:val="21"/>
              </w:rPr>
              <w:t>A</w:t>
            </w:r>
            <w:r w:rsidRPr="003C5007">
              <w:rPr>
                <w:rFonts w:eastAsiaTheme="minorEastAsia"/>
                <w:color w:val="000000" w:themeColor="text1"/>
                <w:kern w:val="0"/>
                <w:szCs w:val="21"/>
              </w:rPr>
              <w:t>份额，具有预期风险低，预期收益低的特征。</w:t>
            </w:r>
          </w:p>
        </w:tc>
        <w:tc>
          <w:tcPr>
            <w:tcW w:w="1794" w:type="dxa"/>
            <w:vAlign w:val="center"/>
          </w:tcPr>
          <w:p w:rsidR="00614F27" w:rsidRPr="003C5007" w:rsidRDefault="00614F27" w:rsidP="003C5007">
            <w:pPr>
              <w:spacing w:line="360" w:lineRule="auto"/>
              <w:jc w:val="left"/>
              <w:rPr>
                <w:rFonts w:eastAsiaTheme="minorEastAsia"/>
                <w:color w:val="000000" w:themeColor="text1"/>
                <w:kern w:val="0"/>
                <w:szCs w:val="21"/>
              </w:rPr>
            </w:pPr>
            <w:r w:rsidRPr="003C5007">
              <w:rPr>
                <w:rFonts w:eastAsiaTheme="minorEastAsia"/>
                <w:color w:val="000000" w:themeColor="text1"/>
                <w:kern w:val="0"/>
                <w:szCs w:val="21"/>
              </w:rPr>
              <w:t>中小板</w:t>
            </w:r>
            <w:r w:rsidRPr="003C5007">
              <w:rPr>
                <w:rFonts w:eastAsiaTheme="minorEastAsia"/>
                <w:color w:val="000000" w:themeColor="text1"/>
                <w:kern w:val="0"/>
                <w:szCs w:val="21"/>
              </w:rPr>
              <w:t>B</w:t>
            </w:r>
            <w:r w:rsidRPr="003C5007">
              <w:rPr>
                <w:rFonts w:eastAsiaTheme="minorEastAsia"/>
                <w:color w:val="000000" w:themeColor="text1"/>
                <w:kern w:val="0"/>
                <w:szCs w:val="21"/>
              </w:rPr>
              <w:t>份额由于利用杠杆投资，具有预期风险高、预期收益高的特征。</w:t>
            </w:r>
          </w:p>
        </w:tc>
      </w:tr>
    </w:tbl>
    <w:p w:rsidR="00675C50" w:rsidRPr="003C5007" w:rsidRDefault="00614F27" w:rsidP="003C5007">
      <w:pPr>
        <w:autoSpaceDE w:val="0"/>
        <w:autoSpaceDN w:val="0"/>
        <w:adjustRightInd w:val="0"/>
        <w:spacing w:line="360" w:lineRule="auto"/>
        <w:jc w:val="left"/>
        <w:rPr>
          <w:rFonts w:eastAsiaTheme="minorEastAsia"/>
          <w:color w:val="000000" w:themeColor="text1"/>
          <w:kern w:val="0"/>
          <w:szCs w:val="21"/>
        </w:rPr>
      </w:pPr>
      <w:r w:rsidRPr="003C5007">
        <w:rPr>
          <w:rFonts w:eastAsiaTheme="minorEastAsia"/>
          <w:color w:val="000000" w:themeColor="text1"/>
          <w:kern w:val="0"/>
          <w:szCs w:val="21"/>
        </w:rPr>
        <w:t>注：转型前报告</w:t>
      </w:r>
      <w:proofErr w:type="gramStart"/>
      <w:r w:rsidRPr="003C5007">
        <w:rPr>
          <w:rFonts w:eastAsiaTheme="minorEastAsia"/>
          <w:color w:val="000000" w:themeColor="text1"/>
          <w:kern w:val="0"/>
          <w:szCs w:val="21"/>
        </w:rPr>
        <w:t>期末是</w:t>
      </w:r>
      <w:proofErr w:type="gramEnd"/>
      <w:r w:rsidRPr="003C5007">
        <w:rPr>
          <w:rFonts w:eastAsiaTheme="minorEastAsia"/>
          <w:color w:val="000000" w:themeColor="text1"/>
          <w:kern w:val="0"/>
          <w:szCs w:val="21"/>
        </w:rPr>
        <w:t>指</w:t>
      </w:r>
      <w:r w:rsidRPr="003C5007">
        <w:rPr>
          <w:rFonts w:eastAsiaTheme="minorEastAsia"/>
          <w:color w:val="000000" w:themeColor="text1"/>
          <w:kern w:val="0"/>
          <w:szCs w:val="21"/>
        </w:rPr>
        <w:t>2017</w:t>
      </w:r>
      <w:r w:rsidRPr="003C5007">
        <w:rPr>
          <w:rFonts w:eastAsiaTheme="minorEastAsia"/>
          <w:color w:val="000000" w:themeColor="text1"/>
          <w:kern w:val="0"/>
          <w:szCs w:val="21"/>
        </w:rPr>
        <w:t>年</w:t>
      </w:r>
      <w:r w:rsidRPr="003C5007">
        <w:rPr>
          <w:rFonts w:eastAsiaTheme="minorEastAsia"/>
          <w:color w:val="000000" w:themeColor="text1"/>
          <w:kern w:val="0"/>
          <w:szCs w:val="21"/>
        </w:rPr>
        <w:t>5</w:t>
      </w:r>
      <w:r w:rsidRPr="003C5007">
        <w:rPr>
          <w:rFonts w:eastAsiaTheme="minorEastAsia"/>
          <w:color w:val="000000" w:themeColor="text1"/>
          <w:kern w:val="0"/>
          <w:szCs w:val="21"/>
        </w:rPr>
        <w:t>月</w:t>
      </w:r>
      <w:r w:rsidRPr="003C5007">
        <w:rPr>
          <w:rFonts w:eastAsiaTheme="minorEastAsia"/>
          <w:color w:val="000000" w:themeColor="text1"/>
          <w:kern w:val="0"/>
          <w:szCs w:val="21"/>
        </w:rPr>
        <w:t>8</w:t>
      </w:r>
      <w:r w:rsidRPr="003C5007">
        <w:rPr>
          <w:rFonts w:eastAsiaTheme="minorEastAsia"/>
          <w:color w:val="000000" w:themeColor="text1"/>
          <w:kern w:val="0"/>
          <w:szCs w:val="21"/>
        </w:rPr>
        <w:t>日。</w:t>
      </w:r>
    </w:p>
    <w:p w:rsidR="00220542" w:rsidRPr="003C5007" w:rsidRDefault="00220542" w:rsidP="00767A35">
      <w:pPr>
        <w:pStyle w:val="1"/>
        <w:spacing w:beforeLines="100" w:before="312" w:afterLines="100" w:after="312" w:line="360" w:lineRule="auto"/>
        <w:jc w:val="center"/>
        <w:rPr>
          <w:rFonts w:eastAsiaTheme="minorEastAsia"/>
          <w:color w:val="000000" w:themeColor="text1"/>
          <w:kern w:val="0"/>
          <w:sz w:val="21"/>
          <w:szCs w:val="21"/>
        </w:rPr>
      </w:pPr>
      <w:r w:rsidRPr="003C5007">
        <w:rPr>
          <w:rFonts w:eastAsiaTheme="minorEastAsia"/>
          <w:color w:val="000000" w:themeColor="text1"/>
          <w:kern w:val="0"/>
          <w:sz w:val="21"/>
          <w:szCs w:val="21"/>
        </w:rPr>
        <w:t xml:space="preserve">§3  </w:t>
      </w:r>
      <w:r w:rsidRPr="003C5007">
        <w:rPr>
          <w:rFonts w:eastAsiaTheme="minorEastAsia"/>
          <w:color w:val="000000" w:themeColor="text1"/>
          <w:kern w:val="0"/>
          <w:sz w:val="21"/>
          <w:szCs w:val="21"/>
        </w:rPr>
        <w:t>主要财务指标和基金净值表现</w:t>
      </w:r>
    </w:p>
    <w:p w:rsidR="00220542" w:rsidRPr="003C5007" w:rsidRDefault="00220542" w:rsidP="003C5007">
      <w:pPr>
        <w:autoSpaceDE w:val="0"/>
        <w:autoSpaceDN w:val="0"/>
        <w:adjustRightInd w:val="0"/>
        <w:spacing w:line="360" w:lineRule="auto"/>
        <w:jc w:val="left"/>
        <w:rPr>
          <w:rFonts w:eastAsiaTheme="minorEastAsia"/>
          <w:b/>
          <w:color w:val="000000" w:themeColor="text1"/>
          <w:kern w:val="0"/>
          <w:szCs w:val="21"/>
        </w:rPr>
      </w:pPr>
      <w:r w:rsidRPr="003C5007">
        <w:rPr>
          <w:rFonts w:eastAsiaTheme="minorEastAsia"/>
          <w:b/>
          <w:color w:val="000000" w:themeColor="text1"/>
          <w:kern w:val="0"/>
          <w:szCs w:val="21"/>
        </w:rPr>
        <w:t xml:space="preserve">3.1 </w:t>
      </w:r>
      <w:r w:rsidRPr="003C5007">
        <w:rPr>
          <w:rFonts w:eastAsiaTheme="minorEastAsia"/>
          <w:b/>
          <w:color w:val="000000" w:themeColor="text1"/>
          <w:kern w:val="0"/>
          <w:szCs w:val="21"/>
        </w:rPr>
        <w:t>主要财务指标</w:t>
      </w:r>
    </w:p>
    <w:p w:rsidR="00220542" w:rsidRPr="003C5007" w:rsidRDefault="00220542" w:rsidP="003C5007">
      <w:pPr>
        <w:autoSpaceDE w:val="0"/>
        <w:autoSpaceDN w:val="0"/>
        <w:adjustRightInd w:val="0"/>
        <w:spacing w:line="360" w:lineRule="auto"/>
        <w:ind w:left="15"/>
        <w:jc w:val="right"/>
        <w:rPr>
          <w:rFonts w:eastAsiaTheme="minorEastAsia"/>
          <w:color w:val="000000" w:themeColor="text1"/>
          <w:kern w:val="0"/>
          <w:szCs w:val="21"/>
        </w:rPr>
      </w:pPr>
      <w:r w:rsidRPr="003C5007">
        <w:rPr>
          <w:rFonts w:eastAsiaTheme="minorEastAsia"/>
          <w:color w:val="000000" w:themeColor="text1"/>
          <w:kern w:val="0"/>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552"/>
        <w:gridCol w:w="2410"/>
      </w:tblGrid>
      <w:tr w:rsidR="003E712B" w:rsidRPr="003C5007" w:rsidTr="002141B6">
        <w:tc>
          <w:tcPr>
            <w:tcW w:w="3402" w:type="dxa"/>
            <w:vAlign w:val="center"/>
          </w:tcPr>
          <w:p w:rsidR="000820A8" w:rsidRPr="003C5007" w:rsidRDefault="000820A8" w:rsidP="003C5007">
            <w:pPr>
              <w:adjustRightInd w:val="0"/>
              <w:spacing w:line="360" w:lineRule="auto"/>
              <w:ind w:left="17"/>
              <w:jc w:val="center"/>
              <w:rPr>
                <w:rFonts w:eastAsiaTheme="minorEastAsia"/>
                <w:color w:val="000000" w:themeColor="text1"/>
                <w:kern w:val="0"/>
                <w:szCs w:val="21"/>
              </w:rPr>
            </w:pPr>
            <w:r w:rsidRPr="003C5007">
              <w:rPr>
                <w:rFonts w:eastAsiaTheme="minorEastAsia"/>
                <w:color w:val="000000" w:themeColor="text1"/>
                <w:kern w:val="0"/>
                <w:szCs w:val="21"/>
              </w:rPr>
              <w:t>主要财务指标</w:t>
            </w:r>
          </w:p>
        </w:tc>
        <w:tc>
          <w:tcPr>
            <w:tcW w:w="2552" w:type="dxa"/>
            <w:vAlign w:val="center"/>
          </w:tcPr>
          <w:p w:rsidR="00225421" w:rsidRPr="003C5007" w:rsidRDefault="00225421" w:rsidP="003C5007">
            <w:pPr>
              <w:adjustRightInd w:val="0"/>
              <w:spacing w:line="360" w:lineRule="auto"/>
              <w:ind w:left="17"/>
              <w:jc w:val="center"/>
              <w:rPr>
                <w:rFonts w:eastAsiaTheme="minorEastAsia"/>
                <w:color w:val="000000" w:themeColor="text1"/>
                <w:szCs w:val="21"/>
              </w:rPr>
            </w:pPr>
            <w:r w:rsidRPr="003C5007">
              <w:rPr>
                <w:rFonts w:eastAsiaTheme="minorEastAsia"/>
                <w:color w:val="000000" w:themeColor="text1"/>
                <w:szCs w:val="21"/>
              </w:rPr>
              <w:t>报告期</w:t>
            </w:r>
          </w:p>
          <w:p w:rsidR="000820A8" w:rsidRPr="003C5007" w:rsidRDefault="00E97795" w:rsidP="003C5007">
            <w:pPr>
              <w:adjustRightInd w:val="0"/>
              <w:spacing w:line="360" w:lineRule="auto"/>
              <w:ind w:left="17"/>
              <w:jc w:val="center"/>
              <w:rPr>
                <w:rFonts w:eastAsiaTheme="minorEastAsia"/>
                <w:color w:val="000000" w:themeColor="text1"/>
                <w:szCs w:val="21"/>
              </w:rPr>
            </w:pPr>
            <w:r w:rsidRPr="003C5007">
              <w:rPr>
                <w:color w:val="000000"/>
                <w:kern w:val="0"/>
                <w:szCs w:val="21"/>
              </w:rPr>
              <w:t>(2017</w:t>
            </w:r>
            <w:r w:rsidRPr="003C5007">
              <w:rPr>
                <w:color w:val="000000"/>
                <w:kern w:val="0"/>
                <w:szCs w:val="21"/>
              </w:rPr>
              <w:t>年</w:t>
            </w:r>
            <w:r w:rsidRPr="003C5007">
              <w:rPr>
                <w:color w:val="000000"/>
                <w:kern w:val="0"/>
                <w:szCs w:val="21"/>
              </w:rPr>
              <w:t>5</w:t>
            </w:r>
            <w:r w:rsidRPr="003C5007">
              <w:rPr>
                <w:color w:val="000000"/>
                <w:kern w:val="0"/>
                <w:szCs w:val="21"/>
              </w:rPr>
              <w:t>月</w:t>
            </w:r>
            <w:r w:rsidRPr="003C5007">
              <w:rPr>
                <w:color w:val="000000"/>
                <w:kern w:val="0"/>
                <w:szCs w:val="21"/>
              </w:rPr>
              <w:t>9</w:t>
            </w:r>
            <w:r w:rsidRPr="003C5007">
              <w:rPr>
                <w:color w:val="000000"/>
                <w:kern w:val="0"/>
                <w:szCs w:val="21"/>
              </w:rPr>
              <w:t>日</w:t>
            </w:r>
            <w:r w:rsidRPr="003C5007">
              <w:rPr>
                <w:color w:val="000000"/>
                <w:kern w:val="0"/>
                <w:szCs w:val="21"/>
              </w:rPr>
              <w:t>-2017</w:t>
            </w:r>
            <w:r w:rsidRPr="003C5007">
              <w:rPr>
                <w:color w:val="000000"/>
                <w:kern w:val="0"/>
                <w:szCs w:val="21"/>
              </w:rPr>
              <w:t>年</w:t>
            </w:r>
            <w:r w:rsidRPr="003C5007">
              <w:rPr>
                <w:color w:val="000000"/>
                <w:kern w:val="0"/>
                <w:szCs w:val="21"/>
              </w:rPr>
              <w:t>6</w:t>
            </w:r>
            <w:r w:rsidRPr="003C5007">
              <w:rPr>
                <w:color w:val="000000"/>
                <w:kern w:val="0"/>
                <w:szCs w:val="21"/>
              </w:rPr>
              <w:t>月</w:t>
            </w:r>
            <w:r w:rsidRPr="003C5007">
              <w:rPr>
                <w:color w:val="000000"/>
                <w:kern w:val="0"/>
                <w:szCs w:val="21"/>
              </w:rPr>
              <w:t>30</w:t>
            </w:r>
            <w:r w:rsidRPr="003C5007">
              <w:rPr>
                <w:color w:val="000000"/>
                <w:kern w:val="0"/>
                <w:szCs w:val="21"/>
              </w:rPr>
              <w:t>日</w:t>
            </w:r>
            <w:r w:rsidRPr="003C5007">
              <w:rPr>
                <w:color w:val="000000"/>
                <w:kern w:val="0"/>
                <w:szCs w:val="21"/>
              </w:rPr>
              <w:t>)</w:t>
            </w:r>
          </w:p>
        </w:tc>
        <w:tc>
          <w:tcPr>
            <w:tcW w:w="2410" w:type="dxa"/>
            <w:vAlign w:val="center"/>
          </w:tcPr>
          <w:p w:rsidR="00E97795" w:rsidRPr="003C5007" w:rsidRDefault="00E97795" w:rsidP="003C5007">
            <w:pPr>
              <w:autoSpaceDE w:val="0"/>
              <w:autoSpaceDN w:val="0"/>
              <w:adjustRightInd w:val="0"/>
              <w:spacing w:line="360" w:lineRule="auto"/>
              <w:jc w:val="center"/>
              <w:rPr>
                <w:color w:val="000000"/>
                <w:kern w:val="0"/>
                <w:szCs w:val="21"/>
              </w:rPr>
            </w:pPr>
            <w:r w:rsidRPr="003C5007">
              <w:rPr>
                <w:color w:val="000000"/>
                <w:kern w:val="0"/>
                <w:szCs w:val="21"/>
              </w:rPr>
              <w:t>报告期</w:t>
            </w:r>
          </w:p>
          <w:p w:rsidR="000820A8" w:rsidRPr="003C5007" w:rsidRDefault="00E97795" w:rsidP="003C5007">
            <w:pPr>
              <w:adjustRightInd w:val="0"/>
              <w:spacing w:line="360" w:lineRule="auto"/>
              <w:ind w:left="17"/>
              <w:jc w:val="center"/>
              <w:rPr>
                <w:rFonts w:eastAsiaTheme="minorEastAsia"/>
                <w:color w:val="000000" w:themeColor="text1"/>
                <w:szCs w:val="21"/>
              </w:rPr>
            </w:pPr>
            <w:r w:rsidRPr="003C5007">
              <w:rPr>
                <w:color w:val="000000"/>
                <w:kern w:val="0"/>
                <w:szCs w:val="21"/>
              </w:rPr>
              <w:t>(2017</w:t>
            </w:r>
            <w:r w:rsidRPr="003C5007">
              <w:rPr>
                <w:color w:val="000000"/>
                <w:kern w:val="0"/>
                <w:szCs w:val="21"/>
              </w:rPr>
              <w:t>年</w:t>
            </w:r>
            <w:r w:rsidRPr="003C5007">
              <w:rPr>
                <w:color w:val="000000"/>
                <w:kern w:val="0"/>
                <w:szCs w:val="21"/>
              </w:rPr>
              <w:t>4</w:t>
            </w:r>
            <w:r w:rsidRPr="003C5007">
              <w:rPr>
                <w:color w:val="000000"/>
                <w:kern w:val="0"/>
                <w:szCs w:val="21"/>
              </w:rPr>
              <w:t>月</w:t>
            </w:r>
            <w:r w:rsidRPr="003C5007">
              <w:rPr>
                <w:color w:val="000000"/>
                <w:kern w:val="0"/>
                <w:szCs w:val="21"/>
              </w:rPr>
              <w:t>1</w:t>
            </w:r>
            <w:r w:rsidRPr="003C5007">
              <w:rPr>
                <w:color w:val="000000"/>
                <w:kern w:val="0"/>
                <w:szCs w:val="21"/>
              </w:rPr>
              <w:t>日</w:t>
            </w:r>
            <w:r w:rsidRPr="003C5007">
              <w:rPr>
                <w:color w:val="000000"/>
                <w:kern w:val="0"/>
                <w:szCs w:val="21"/>
              </w:rPr>
              <w:t>-2017</w:t>
            </w:r>
            <w:r w:rsidRPr="003C5007">
              <w:rPr>
                <w:color w:val="000000"/>
                <w:kern w:val="0"/>
                <w:szCs w:val="21"/>
              </w:rPr>
              <w:t>年</w:t>
            </w:r>
            <w:r w:rsidRPr="003C5007">
              <w:rPr>
                <w:color w:val="000000"/>
                <w:kern w:val="0"/>
                <w:szCs w:val="21"/>
              </w:rPr>
              <w:t>5</w:t>
            </w:r>
            <w:r w:rsidRPr="003C5007">
              <w:rPr>
                <w:color w:val="000000"/>
                <w:kern w:val="0"/>
                <w:szCs w:val="21"/>
              </w:rPr>
              <w:t>月</w:t>
            </w:r>
            <w:r w:rsidRPr="003C5007">
              <w:rPr>
                <w:color w:val="000000"/>
                <w:kern w:val="0"/>
                <w:szCs w:val="21"/>
              </w:rPr>
              <w:t>8</w:t>
            </w:r>
            <w:r w:rsidRPr="003C5007">
              <w:rPr>
                <w:color w:val="000000"/>
                <w:kern w:val="0"/>
                <w:szCs w:val="21"/>
              </w:rPr>
              <w:t>日</w:t>
            </w:r>
            <w:r w:rsidRPr="003C5007">
              <w:rPr>
                <w:color w:val="000000"/>
                <w:kern w:val="0"/>
                <w:szCs w:val="21"/>
              </w:rPr>
              <w:t>)</w:t>
            </w:r>
          </w:p>
        </w:tc>
      </w:tr>
      <w:tr w:rsidR="00E97795" w:rsidRPr="003C5007" w:rsidTr="002141B6">
        <w:tc>
          <w:tcPr>
            <w:tcW w:w="3402" w:type="dxa"/>
            <w:vAlign w:val="center"/>
          </w:tcPr>
          <w:p w:rsidR="00E97795" w:rsidRPr="003C5007" w:rsidRDefault="00E97795" w:rsidP="003C5007">
            <w:pPr>
              <w:adjustRightInd w:val="0"/>
              <w:spacing w:line="360" w:lineRule="auto"/>
              <w:ind w:left="17"/>
              <w:rPr>
                <w:rFonts w:eastAsiaTheme="minorEastAsia"/>
                <w:color w:val="000000" w:themeColor="text1"/>
                <w:kern w:val="0"/>
                <w:szCs w:val="21"/>
              </w:rPr>
            </w:pPr>
            <w:r w:rsidRPr="003C5007">
              <w:rPr>
                <w:rFonts w:eastAsiaTheme="minorEastAsia"/>
                <w:color w:val="000000" w:themeColor="text1"/>
                <w:kern w:val="0"/>
                <w:szCs w:val="21"/>
              </w:rPr>
              <w:t>1.</w:t>
            </w:r>
            <w:r w:rsidRPr="003C5007">
              <w:rPr>
                <w:rFonts w:eastAsiaTheme="minorEastAsia"/>
                <w:color w:val="000000" w:themeColor="text1"/>
                <w:kern w:val="0"/>
                <w:szCs w:val="21"/>
              </w:rPr>
              <w:t>本期已实现收益</w:t>
            </w:r>
          </w:p>
        </w:tc>
        <w:tc>
          <w:tcPr>
            <w:tcW w:w="2552" w:type="dxa"/>
            <w:vAlign w:val="center"/>
          </w:tcPr>
          <w:p w:rsidR="00E97795" w:rsidRPr="003C5007" w:rsidRDefault="00E97795" w:rsidP="003C5007">
            <w:pPr>
              <w:autoSpaceDE w:val="0"/>
              <w:autoSpaceDN w:val="0"/>
              <w:adjustRightInd w:val="0"/>
              <w:spacing w:line="360" w:lineRule="auto"/>
              <w:jc w:val="right"/>
              <w:rPr>
                <w:color w:val="000000"/>
                <w:kern w:val="0"/>
                <w:szCs w:val="21"/>
              </w:rPr>
            </w:pPr>
            <w:r w:rsidRPr="003C5007">
              <w:rPr>
                <w:color w:val="000000"/>
                <w:kern w:val="0"/>
                <w:szCs w:val="21"/>
              </w:rPr>
              <w:t>-17,748,125.84</w:t>
            </w:r>
          </w:p>
        </w:tc>
        <w:tc>
          <w:tcPr>
            <w:tcW w:w="2410" w:type="dxa"/>
            <w:vAlign w:val="center"/>
          </w:tcPr>
          <w:p w:rsidR="00E97795" w:rsidRPr="003C5007" w:rsidRDefault="00E97795" w:rsidP="003C5007">
            <w:pPr>
              <w:adjustRightInd w:val="0"/>
              <w:spacing w:line="360" w:lineRule="auto"/>
              <w:ind w:left="17"/>
              <w:jc w:val="right"/>
              <w:rPr>
                <w:rFonts w:eastAsiaTheme="minorEastAsia"/>
                <w:color w:val="000000" w:themeColor="text1"/>
                <w:szCs w:val="21"/>
              </w:rPr>
            </w:pPr>
            <w:r w:rsidRPr="003C5007">
              <w:rPr>
                <w:color w:val="000000"/>
                <w:kern w:val="0"/>
                <w:szCs w:val="21"/>
              </w:rPr>
              <w:t>-4,043,564.91</w:t>
            </w:r>
          </w:p>
        </w:tc>
      </w:tr>
      <w:tr w:rsidR="00E97795" w:rsidRPr="003C5007" w:rsidTr="002141B6">
        <w:tc>
          <w:tcPr>
            <w:tcW w:w="3402" w:type="dxa"/>
            <w:vAlign w:val="center"/>
          </w:tcPr>
          <w:p w:rsidR="00E97795" w:rsidRPr="003C5007" w:rsidRDefault="00E97795" w:rsidP="003C5007">
            <w:pPr>
              <w:adjustRightInd w:val="0"/>
              <w:spacing w:line="360" w:lineRule="auto"/>
              <w:ind w:left="17"/>
              <w:rPr>
                <w:rFonts w:eastAsiaTheme="minorEastAsia"/>
                <w:color w:val="000000" w:themeColor="text1"/>
                <w:kern w:val="0"/>
                <w:szCs w:val="21"/>
              </w:rPr>
            </w:pPr>
            <w:r w:rsidRPr="003C5007">
              <w:rPr>
                <w:rFonts w:eastAsiaTheme="minorEastAsia"/>
                <w:color w:val="000000" w:themeColor="text1"/>
                <w:kern w:val="0"/>
                <w:szCs w:val="21"/>
              </w:rPr>
              <w:t>2.</w:t>
            </w:r>
            <w:r w:rsidRPr="003C5007">
              <w:rPr>
                <w:rFonts w:eastAsiaTheme="minorEastAsia"/>
                <w:color w:val="000000" w:themeColor="text1"/>
                <w:kern w:val="0"/>
                <w:szCs w:val="21"/>
              </w:rPr>
              <w:t>本期利润</w:t>
            </w:r>
          </w:p>
        </w:tc>
        <w:tc>
          <w:tcPr>
            <w:tcW w:w="2552" w:type="dxa"/>
            <w:vAlign w:val="center"/>
          </w:tcPr>
          <w:p w:rsidR="00E97795" w:rsidRPr="003C5007" w:rsidRDefault="00E97795" w:rsidP="003C5007">
            <w:pPr>
              <w:autoSpaceDE w:val="0"/>
              <w:autoSpaceDN w:val="0"/>
              <w:adjustRightInd w:val="0"/>
              <w:spacing w:line="360" w:lineRule="auto"/>
              <w:jc w:val="right"/>
              <w:rPr>
                <w:color w:val="000000"/>
                <w:kern w:val="0"/>
                <w:szCs w:val="21"/>
              </w:rPr>
            </w:pPr>
            <w:r w:rsidRPr="003C5007">
              <w:rPr>
                <w:color w:val="000000"/>
                <w:kern w:val="0"/>
                <w:szCs w:val="21"/>
              </w:rPr>
              <w:t>18,616,642.92</w:t>
            </w:r>
          </w:p>
        </w:tc>
        <w:tc>
          <w:tcPr>
            <w:tcW w:w="2410" w:type="dxa"/>
            <w:vAlign w:val="center"/>
          </w:tcPr>
          <w:p w:rsidR="00E97795" w:rsidRPr="003C5007" w:rsidRDefault="00E97795" w:rsidP="003C5007">
            <w:pPr>
              <w:autoSpaceDE w:val="0"/>
              <w:autoSpaceDN w:val="0"/>
              <w:adjustRightInd w:val="0"/>
              <w:spacing w:line="360" w:lineRule="auto"/>
              <w:jc w:val="right"/>
              <w:rPr>
                <w:color w:val="000000"/>
                <w:kern w:val="0"/>
                <w:szCs w:val="21"/>
              </w:rPr>
            </w:pPr>
            <w:r w:rsidRPr="003C5007">
              <w:rPr>
                <w:color w:val="000000"/>
                <w:kern w:val="0"/>
                <w:szCs w:val="21"/>
              </w:rPr>
              <w:t>-15,973,827.43</w:t>
            </w:r>
          </w:p>
        </w:tc>
      </w:tr>
      <w:tr w:rsidR="00E97795" w:rsidRPr="003C5007" w:rsidTr="002141B6">
        <w:tc>
          <w:tcPr>
            <w:tcW w:w="3402" w:type="dxa"/>
            <w:vAlign w:val="center"/>
          </w:tcPr>
          <w:p w:rsidR="00E97795" w:rsidRPr="003C5007" w:rsidRDefault="00E97795" w:rsidP="003C5007">
            <w:pPr>
              <w:adjustRightInd w:val="0"/>
              <w:spacing w:line="360" w:lineRule="auto"/>
              <w:ind w:left="17"/>
              <w:rPr>
                <w:rFonts w:eastAsiaTheme="minorEastAsia"/>
                <w:color w:val="000000" w:themeColor="text1"/>
                <w:kern w:val="0"/>
                <w:szCs w:val="21"/>
              </w:rPr>
            </w:pPr>
            <w:r w:rsidRPr="003C5007">
              <w:rPr>
                <w:rFonts w:eastAsiaTheme="minorEastAsia"/>
                <w:color w:val="000000" w:themeColor="text1"/>
                <w:kern w:val="0"/>
                <w:szCs w:val="21"/>
              </w:rPr>
              <w:t>3.</w:t>
            </w:r>
            <w:r w:rsidRPr="003C5007">
              <w:rPr>
                <w:rFonts w:eastAsiaTheme="minorEastAsia"/>
                <w:color w:val="000000" w:themeColor="text1"/>
                <w:kern w:val="0"/>
                <w:szCs w:val="21"/>
              </w:rPr>
              <w:t>加权平均基金份额本期利润</w:t>
            </w:r>
          </w:p>
        </w:tc>
        <w:tc>
          <w:tcPr>
            <w:tcW w:w="2552" w:type="dxa"/>
            <w:vAlign w:val="center"/>
          </w:tcPr>
          <w:p w:rsidR="00E97795" w:rsidRPr="003C5007" w:rsidRDefault="00E97795" w:rsidP="003C5007">
            <w:pPr>
              <w:autoSpaceDE w:val="0"/>
              <w:autoSpaceDN w:val="0"/>
              <w:adjustRightInd w:val="0"/>
              <w:spacing w:line="360" w:lineRule="auto"/>
              <w:jc w:val="right"/>
              <w:rPr>
                <w:color w:val="000000"/>
                <w:kern w:val="0"/>
                <w:szCs w:val="21"/>
              </w:rPr>
            </w:pPr>
            <w:r w:rsidRPr="003C5007">
              <w:rPr>
                <w:color w:val="000000"/>
                <w:kern w:val="0"/>
                <w:szCs w:val="21"/>
              </w:rPr>
              <w:t>0.0745</w:t>
            </w:r>
          </w:p>
        </w:tc>
        <w:tc>
          <w:tcPr>
            <w:tcW w:w="2410" w:type="dxa"/>
            <w:vAlign w:val="center"/>
          </w:tcPr>
          <w:p w:rsidR="00E97795" w:rsidRPr="003C5007" w:rsidRDefault="00E97795" w:rsidP="003C5007">
            <w:pPr>
              <w:autoSpaceDE w:val="0"/>
              <w:autoSpaceDN w:val="0"/>
              <w:adjustRightInd w:val="0"/>
              <w:spacing w:line="360" w:lineRule="auto"/>
              <w:jc w:val="right"/>
              <w:rPr>
                <w:color w:val="000000"/>
                <w:kern w:val="0"/>
                <w:szCs w:val="21"/>
              </w:rPr>
            </w:pPr>
            <w:r w:rsidRPr="003C5007">
              <w:rPr>
                <w:color w:val="000000"/>
                <w:kern w:val="0"/>
                <w:szCs w:val="21"/>
              </w:rPr>
              <w:t>-0.0458</w:t>
            </w:r>
          </w:p>
        </w:tc>
      </w:tr>
      <w:tr w:rsidR="00E97795" w:rsidRPr="003C5007" w:rsidTr="002141B6">
        <w:tc>
          <w:tcPr>
            <w:tcW w:w="3402" w:type="dxa"/>
            <w:vAlign w:val="center"/>
          </w:tcPr>
          <w:p w:rsidR="00E97795" w:rsidRPr="003C5007" w:rsidRDefault="00E97795" w:rsidP="003C5007">
            <w:pPr>
              <w:adjustRightInd w:val="0"/>
              <w:spacing w:line="360" w:lineRule="auto"/>
              <w:ind w:left="17"/>
              <w:rPr>
                <w:rFonts w:eastAsiaTheme="minorEastAsia"/>
                <w:color w:val="000000" w:themeColor="text1"/>
                <w:kern w:val="0"/>
                <w:szCs w:val="21"/>
              </w:rPr>
            </w:pPr>
            <w:r w:rsidRPr="003C5007">
              <w:rPr>
                <w:rFonts w:eastAsiaTheme="minorEastAsia"/>
                <w:color w:val="000000" w:themeColor="text1"/>
                <w:kern w:val="0"/>
                <w:szCs w:val="21"/>
              </w:rPr>
              <w:t>4.</w:t>
            </w:r>
            <w:r w:rsidRPr="003C5007">
              <w:rPr>
                <w:rFonts w:eastAsiaTheme="minorEastAsia"/>
                <w:color w:val="000000" w:themeColor="text1"/>
                <w:kern w:val="0"/>
                <w:szCs w:val="21"/>
              </w:rPr>
              <w:t>期末基金资产净值</w:t>
            </w:r>
          </w:p>
        </w:tc>
        <w:tc>
          <w:tcPr>
            <w:tcW w:w="2552" w:type="dxa"/>
            <w:vAlign w:val="center"/>
          </w:tcPr>
          <w:p w:rsidR="00E97795" w:rsidRPr="003C5007" w:rsidRDefault="00E97795" w:rsidP="003C5007">
            <w:pPr>
              <w:autoSpaceDE w:val="0"/>
              <w:autoSpaceDN w:val="0"/>
              <w:adjustRightInd w:val="0"/>
              <w:spacing w:line="360" w:lineRule="auto"/>
              <w:jc w:val="right"/>
              <w:rPr>
                <w:color w:val="000000"/>
                <w:kern w:val="0"/>
                <w:szCs w:val="21"/>
              </w:rPr>
            </w:pPr>
            <w:r w:rsidRPr="003C5007">
              <w:rPr>
                <w:color w:val="000000"/>
                <w:kern w:val="0"/>
                <w:szCs w:val="21"/>
              </w:rPr>
              <w:t>163,650,895.80</w:t>
            </w:r>
          </w:p>
        </w:tc>
        <w:tc>
          <w:tcPr>
            <w:tcW w:w="2410" w:type="dxa"/>
            <w:vAlign w:val="center"/>
          </w:tcPr>
          <w:p w:rsidR="00E97795" w:rsidRPr="003C5007" w:rsidRDefault="00E97795" w:rsidP="003C5007">
            <w:pPr>
              <w:autoSpaceDE w:val="0"/>
              <w:autoSpaceDN w:val="0"/>
              <w:adjustRightInd w:val="0"/>
              <w:spacing w:line="360" w:lineRule="auto"/>
              <w:jc w:val="right"/>
              <w:rPr>
                <w:color w:val="000000"/>
                <w:kern w:val="0"/>
                <w:szCs w:val="21"/>
              </w:rPr>
            </w:pPr>
            <w:r w:rsidRPr="003C5007">
              <w:rPr>
                <w:color w:val="000000"/>
                <w:kern w:val="0"/>
                <w:szCs w:val="21"/>
              </w:rPr>
              <w:t>316,180,963.89</w:t>
            </w:r>
          </w:p>
        </w:tc>
      </w:tr>
      <w:tr w:rsidR="00E97795" w:rsidRPr="003C5007" w:rsidTr="002141B6">
        <w:trPr>
          <w:trHeight w:val="158"/>
        </w:trPr>
        <w:tc>
          <w:tcPr>
            <w:tcW w:w="3402" w:type="dxa"/>
            <w:vAlign w:val="center"/>
          </w:tcPr>
          <w:p w:rsidR="00E97795" w:rsidRPr="003C5007" w:rsidRDefault="00E97795" w:rsidP="003C5007">
            <w:pPr>
              <w:adjustRightInd w:val="0"/>
              <w:spacing w:line="360" w:lineRule="auto"/>
              <w:ind w:left="17"/>
              <w:rPr>
                <w:rFonts w:eastAsiaTheme="minorEastAsia"/>
                <w:color w:val="000000" w:themeColor="text1"/>
                <w:kern w:val="0"/>
                <w:szCs w:val="21"/>
              </w:rPr>
            </w:pPr>
            <w:r w:rsidRPr="003C5007">
              <w:rPr>
                <w:rFonts w:eastAsiaTheme="minorEastAsia"/>
                <w:color w:val="000000" w:themeColor="text1"/>
                <w:kern w:val="0"/>
                <w:szCs w:val="21"/>
              </w:rPr>
              <w:t>5.</w:t>
            </w:r>
            <w:r w:rsidRPr="003C5007">
              <w:rPr>
                <w:rFonts w:eastAsiaTheme="minorEastAsia"/>
                <w:color w:val="000000" w:themeColor="text1"/>
                <w:kern w:val="0"/>
                <w:szCs w:val="21"/>
              </w:rPr>
              <w:t>期末基金份额净值</w:t>
            </w:r>
          </w:p>
        </w:tc>
        <w:tc>
          <w:tcPr>
            <w:tcW w:w="2552" w:type="dxa"/>
            <w:vAlign w:val="center"/>
          </w:tcPr>
          <w:p w:rsidR="00E97795" w:rsidRPr="003C5007" w:rsidRDefault="00E97795" w:rsidP="003C5007">
            <w:pPr>
              <w:autoSpaceDE w:val="0"/>
              <w:autoSpaceDN w:val="0"/>
              <w:adjustRightInd w:val="0"/>
              <w:spacing w:line="360" w:lineRule="auto"/>
              <w:jc w:val="right"/>
              <w:rPr>
                <w:color w:val="000000"/>
                <w:kern w:val="0"/>
                <w:szCs w:val="21"/>
              </w:rPr>
            </w:pPr>
            <w:r w:rsidRPr="003C5007">
              <w:rPr>
                <w:color w:val="000000"/>
                <w:kern w:val="0"/>
                <w:szCs w:val="21"/>
              </w:rPr>
              <w:t>1.0606</w:t>
            </w:r>
          </w:p>
        </w:tc>
        <w:tc>
          <w:tcPr>
            <w:tcW w:w="2410" w:type="dxa"/>
            <w:vAlign w:val="center"/>
          </w:tcPr>
          <w:p w:rsidR="00E97795" w:rsidRPr="003C5007" w:rsidRDefault="00E97795" w:rsidP="003C5007">
            <w:pPr>
              <w:autoSpaceDE w:val="0"/>
              <w:autoSpaceDN w:val="0"/>
              <w:adjustRightInd w:val="0"/>
              <w:spacing w:line="360" w:lineRule="auto"/>
              <w:jc w:val="right"/>
              <w:rPr>
                <w:color w:val="000000"/>
                <w:kern w:val="0"/>
                <w:szCs w:val="21"/>
              </w:rPr>
            </w:pPr>
            <w:r w:rsidRPr="003C5007">
              <w:rPr>
                <w:color w:val="000000"/>
                <w:kern w:val="0"/>
                <w:szCs w:val="21"/>
              </w:rPr>
              <w:t>0.9730</w:t>
            </w:r>
          </w:p>
        </w:tc>
      </w:tr>
    </w:tbl>
    <w:p w:rsidR="008E3BA0" w:rsidRDefault="008E5013">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）本期已实现收益指基金本期利息收入、投资收益、其他收入（不含公允价值变动收益）扣除相关费用后的余额，本期利润为本期已实现收益加上本期公允价值变动收益。</w:t>
      </w:r>
    </w:p>
    <w:p w:rsidR="00220542" w:rsidRPr="003C5007" w:rsidRDefault="000820A8" w:rsidP="003C5007">
      <w:pPr>
        <w:autoSpaceDE w:val="0"/>
        <w:autoSpaceDN w:val="0"/>
        <w:adjustRightInd w:val="0"/>
        <w:spacing w:line="360" w:lineRule="auto"/>
        <w:jc w:val="left"/>
        <w:rPr>
          <w:rFonts w:eastAsiaTheme="minorEastAsia"/>
          <w:color w:val="000000" w:themeColor="text1"/>
          <w:szCs w:val="21"/>
        </w:rPr>
      </w:pPr>
      <w:r w:rsidRPr="003C5007">
        <w:rPr>
          <w:rFonts w:eastAsiaTheme="minorEastAsia"/>
          <w:color w:val="000000" w:themeColor="text1"/>
          <w:szCs w:val="21"/>
        </w:rPr>
        <w:t>2</w:t>
      </w:r>
      <w:r w:rsidRPr="003C5007">
        <w:rPr>
          <w:rFonts w:eastAsiaTheme="minorEastAsia"/>
          <w:color w:val="000000" w:themeColor="text1"/>
          <w:szCs w:val="21"/>
        </w:rPr>
        <w:t>）上述基金业绩指标已扣除了基金的管理费、托管费和各项交易费用，但不包括持有人认购或交易基金的各项费用（例如：申购费、赎回费等），计入认购或交易基金的各项费用后，实际收益水平要低于所列数字。</w:t>
      </w:r>
    </w:p>
    <w:p w:rsidR="00220542" w:rsidRPr="003C5007" w:rsidRDefault="00220542" w:rsidP="003C5007">
      <w:pPr>
        <w:autoSpaceDE w:val="0"/>
        <w:autoSpaceDN w:val="0"/>
        <w:adjustRightInd w:val="0"/>
        <w:spacing w:line="360" w:lineRule="auto"/>
        <w:jc w:val="left"/>
        <w:rPr>
          <w:rFonts w:eastAsiaTheme="minorEastAsia"/>
          <w:b/>
          <w:color w:val="000000" w:themeColor="text1"/>
          <w:kern w:val="0"/>
          <w:szCs w:val="21"/>
        </w:rPr>
      </w:pPr>
      <w:r w:rsidRPr="003C5007">
        <w:rPr>
          <w:rFonts w:eastAsiaTheme="minorEastAsia"/>
          <w:b/>
          <w:color w:val="000000" w:themeColor="text1"/>
          <w:kern w:val="0"/>
          <w:szCs w:val="21"/>
        </w:rPr>
        <w:t xml:space="preserve">3.2 </w:t>
      </w:r>
      <w:r w:rsidRPr="003C5007">
        <w:rPr>
          <w:rFonts w:eastAsiaTheme="minorEastAsia"/>
          <w:b/>
          <w:color w:val="000000" w:themeColor="text1"/>
          <w:kern w:val="0"/>
          <w:szCs w:val="21"/>
        </w:rPr>
        <w:t>基金净值表现</w:t>
      </w:r>
    </w:p>
    <w:p w:rsidR="00FB0137" w:rsidRPr="003C5007" w:rsidRDefault="00220542" w:rsidP="003C5007">
      <w:pPr>
        <w:autoSpaceDE w:val="0"/>
        <w:autoSpaceDN w:val="0"/>
        <w:adjustRightInd w:val="0"/>
        <w:spacing w:line="360" w:lineRule="auto"/>
        <w:ind w:left="17"/>
        <w:jc w:val="left"/>
        <w:rPr>
          <w:b/>
          <w:color w:val="000000"/>
          <w:kern w:val="0"/>
          <w:szCs w:val="21"/>
        </w:rPr>
      </w:pPr>
      <w:r w:rsidRPr="003C5007">
        <w:rPr>
          <w:rFonts w:eastAsiaTheme="minorEastAsia"/>
          <w:b/>
          <w:color w:val="000000" w:themeColor="text1"/>
          <w:kern w:val="0"/>
          <w:szCs w:val="21"/>
        </w:rPr>
        <w:t>3.2.1</w:t>
      </w:r>
      <w:r w:rsidR="00FB0137" w:rsidRPr="003C5007">
        <w:rPr>
          <w:b/>
          <w:color w:val="000000"/>
          <w:kern w:val="0"/>
          <w:szCs w:val="21"/>
        </w:rPr>
        <w:t>申万菱信中小</w:t>
      </w:r>
      <w:proofErr w:type="gramStart"/>
      <w:r w:rsidR="00FB0137" w:rsidRPr="003C5007">
        <w:rPr>
          <w:b/>
          <w:color w:val="000000"/>
          <w:kern w:val="0"/>
          <w:szCs w:val="21"/>
        </w:rPr>
        <w:t>板指数</w:t>
      </w:r>
      <w:proofErr w:type="gramEnd"/>
      <w:r w:rsidR="00FB0137" w:rsidRPr="003C5007">
        <w:rPr>
          <w:b/>
          <w:color w:val="000000"/>
          <w:kern w:val="0"/>
          <w:szCs w:val="21"/>
        </w:rPr>
        <w:t>证券投资基金</w:t>
      </w:r>
      <w:r w:rsidR="00FB0137" w:rsidRPr="003C5007">
        <w:rPr>
          <w:b/>
          <w:color w:val="000000"/>
          <w:kern w:val="0"/>
          <w:szCs w:val="21"/>
        </w:rPr>
        <w:t>(LOF)</w:t>
      </w:r>
    </w:p>
    <w:p w:rsidR="00FB0137" w:rsidRPr="003C5007" w:rsidRDefault="00FB0137" w:rsidP="003C5007">
      <w:pPr>
        <w:autoSpaceDE w:val="0"/>
        <w:autoSpaceDN w:val="0"/>
        <w:adjustRightInd w:val="0"/>
        <w:spacing w:line="360" w:lineRule="auto"/>
        <w:ind w:left="17"/>
        <w:jc w:val="left"/>
        <w:rPr>
          <w:b/>
          <w:color w:val="000000"/>
          <w:kern w:val="0"/>
          <w:szCs w:val="21"/>
        </w:rPr>
      </w:pPr>
      <w:r w:rsidRPr="003C5007">
        <w:rPr>
          <w:b/>
          <w:color w:val="000000"/>
          <w:kern w:val="0"/>
          <w:szCs w:val="21"/>
        </w:rPr>
        <w:t>（报告期：</w:t>
      </w:r>
      <w:r w:rsidRPr="003C5007">
        <w:rPr>
          <w:b/>
          <w:color w:val="000000"/>
          <w:kern w:val="0"/>
          <w:szCs w:val="21"/>
        </w:rPr>
        <w:t>2017</w:t>
      </w:r>
      <w:r w:rsidRPr="003C5007">
        <w:rPr>
          <w:b/>
          <w:color w:val="000000"/>
          <w:kern w:val="0"/>
          <w:szCs w:val="21"/>
        </w:rPr>
        <w:t>年</w:t>
      </w:r>
      <w:r w:rsidRPr="003C5007">
        <w:rPr>
          <w:b/>
          <w:color w:val="000000"/>
          <w:kern w:val="0"/>
          <w:szCs w:val="21"/>
        </w:rPr>
        <w:t>5</w:t>
      </w:r>
      <w:r w:rsidRPr="003C5007">
        <w:rPr>
          <w:b/>
          <w:color w:val="000000"/>
          <w:kern w:val="0"/>
          <w:szCs w:val="21"/>
        </w:rPr>
        <w:t>月</w:t>
      </w:r>
      <w:r w:rsidRPr="003C5007">
        <w:rPr>
          <w:b/>
          <w:color w:val="000000"/>
          <w:kern w:val="0"/>
          <w:szCs w:val="21"/>
        </w:rPr>
        <w:t>9</w:t>
      </w:r>
      <w:r w:rsidRPr="003C5007">
        <w:rPr>
          <w:b/>
          <w:color w:val="000000"/>
          <w:kern w:val="0"/>
          <w:szCs w:val="21"/>
        </w:rPr>
        <w:t>日</w:t>
      </w:r>
      <w:r w:rsidRPr="003C5007">
        <w:rPr>
          <w:b/>
          <w:color w:val="000000"/>
          <w:kern w:val="0"/>
          <w:szCs w:val="21"/>
        </w:rPr>
        <w:t>-2017</w:t>
      </w:r>
      <w:r w:rsidRPr="003C5007">
        <w:rPr>
          <w:b/>
          <w:color w:val="000000"/>
          <w:kern w:val="0"/>
          <w:szCs w:val="21"/>
        </w:rPr>
        <w:t>年</w:t>
      </w:r>
      <w:r w:rsidRPr="003C5007">
        <w:rPr>
          <w:b/>
          <w:color w:val="000000"/>
          <w:kern w:val="0"/>
          <w:szCs w:val="21"/>
        </w:rPr>
        <w:t>6</w:t>
      </w:r>
      <w:r w:rsidRPr="003C5007">
        <w:rPr>
          <w:b/>
          <w:color w:val="000000"/>
          <w:kern w:val="0"/>
          <w:szCs w:val="21"/>
        </w:rPr>
        <w:t>月</w:t>
      </w:r>
      <w:r w:rsidRPr="003C5007">
        <w:rPr>
          <w:b/>
          <w:color w:val="000000"/>
          <w:kern w:val="0"/>
          <w:szCs w:val="21"/>
        </w:rPr>
        <w:t>30</w:t>
      </w:r>
      <w:r w:rsidRPr="003C5007">
        <w:rPr>
          <w:b/>
          <w:color w:val="000000"/>
          <w:kern w:val="0"/>
          <w:szCs w:val="21"/>
        </w:rPr>
        <w:t>日）</w:t>
      </w:r>
    </w:p>
    <w:p w:rsidR="00220542" w:rsidRPr="003C5007" w:rsidRDefault="00FB0137" w:rsidP="003C5007">
      <w:pPr>
        <w:autoSpaceDE w:val="0"/>
        <w:autoSpaceDN w:val="0"/>
        <w:adjustRightInd w:val="0"/>
        <w:spacing w:line="360" w:lineRule="auto"/>
        <w:jc w:val="left"/>
        <w:rPr>
          <w:rFonts w:eastAsiaTheme="minorEastAsia"/>
          <w:b/>
          <w:color w:val="000000" w:themeColor="text1"/>
          <w:kern w:val="0"/>
          <w:szCs w:val="21"/>
        </w:rPr>
      </w:pPr>
      <w:r w:rsidRPr="003C5007">
        <w:rPr>
          <w:rFonts w:eastAsiaTheme="minorEastAsia"/>
          <w:b/>
          <w:color w:val="000000" w:themeColor="text1"/>
          <w:kern w:val="0"/>
          <w:szCs w:val="21"/>
        </w:rPr>
        <w:t xml:space="preserve">3.2.1.1 </w:t>
      </w:r>
      <w:r w:rsidR="00220542" w:rsidRPr="003C5007">
        <w:rPr>
          <w:rFonts w:eastAsiaTheme="minorEastAsia"/>
          <w:b/>
          <w:color w:val="000000" w:themeColor="text1"/>
          <w:kern w:val="0"/>
          <w:szCs w:val="21"/>
        </w:rPr>
        <w:t>本报告</w:t>
      </w:r>
      <w:proofErr w:type="gramStart"/>
      <w:r w:rsidR="00220542" w:rsidRPr="003C5007">
        <w:rPr>
          <w:rFonts w:eastAsiaTheme="minorEastAsia"/>
          <w:b/>
          <w:color w:val="000000" w:themeColor="text1"/>
          <w:kern w:val="0"/>
          <w:szCs w:val="21"/>
        </w:rPr>
        <w:t>期基金</w:t>
      </w:r>
      <w:proofErr w:type="gramEnd"/>
      <w:r w:rsidR="00220542" w:rsidRPr="003C5007">
        <w:rPr>
          <w:rFonts w:eastAsiaTheme="minorEastAsia"/>
          <w:b/>
          <w:color w:val="000000" w:themeColor="text1"/>
          <w:kern w:val="0"/>
          <w:szCs w:val="21"/>
        </w:rPr>
        <w:t>份额净值增长率及其与同期业绩比较基准收益率的比较</w:t>
      </w:r>
    </w:p>
    <w:tbl>
      <w:tblPr>
        <w:tblStyle w:val="af7"/>
        <w:tblW w:w="0" w:type="auto"/>
        <w:tblInd w:w="108" w:type="dxa"/>
        <w:tblLayout w:type="fixed"/>
        <w:tblLook w:val="04A0" w:firstRow="1" w:lastRow="0" w:firstColumn="1" w:lastColumn="0" w:noHBand="0" w:noVBand="1"/>
      </w:tblPr>
      <w:tblGrid>
        <w:gridCol w:w="1395"/>
        <w:gridCol w:w="873"/>
        <w:gridCol w:w="1134"/>
        <w:gridCol w:w="1418"/>
        <w:gridCol w:w="1843"/>
        <w:gridCol w:w="850"/>
        <w:gridCol w:w="851"/>
      </w:tblGrid>
      <w:tr w:rsidR="003E712B" w:rsidRPr="003C5007" w:rsidTr="008E5013">
        <w:tc>
          <w:tcPr>
            <w:tcW w:w="1395" w:type="dxa"/>
            <w:vAlign w:val="center"/>
          </w:tcPr>
          <w:p w:rsidR="000820A8" w:rsidRPr="003C5007" w:rsidRDefault="000820A8" w:rsidP="003C5007">
            <w:pPr>
              <w:autoSpaceDE w:val="0"/>
              <w:autoSpaceDN w:val="0"/>
              <w:adjustRightInd w:val="0"/>
              <w:spacing w:line="360" w:lineRule="auto"/>
              <w:ind w:left="17"/>
              <w:jc w:val="center"/>
              <w:rPr>
                <w:rFonts w:eastAsiaTheme="minorEastAsia"/>
                <w:color w:val="000000" w:themeColor="text1"/>
                <w:szCs w:val="21"/>
              </w:rPr>
            </w:pPr>
            <w:r w:rsidRPr="003C5007">
              <w:rPr>
                <w:rFonts w:eastAsiaTheme="minorEastAsia"/>
                <w:color w:val="000000" w:themeColor="text1"/>
                <w:szCs w:val="21"/>
              </w:rPr>
              <w:t>阶段</w:t>
            </w:r>
          </w:p>
        </w:tc>
        <w:tc>
          <w:tcPr>
            <w:tcW w:w="873" w:type="dxa"/>
            <w:vAlign w:val="center"/>
          </w:tcPr>
          <w:p w:rsidR="000820A8" w:rsidRPr="003C5007" w:rsidRDefault="000820A8" w:rsidP="003C5007">
            <w:pPr>
              <w:autoSpaceDE w:val="0"/>
              <w:autoSpaceDN w:val="0"/>
              <w:adjustRightInd w:val="0"/>
              <w:spacing w:line="360" w:lineRule="auto"/>
              <w:ind w:left="17"/>
              <w:jc w:val="center"/>
              <w:rPr>
                <w:rFonts w:eastAsiaTheme="minorEastAsia"/>
                <w:color w:val="000000" w:themeColor="text1"/>
                <w:szCs w:val="21"/>
              </w:rPr>
            </w:pPr>
            <w:r w:rsidRPr="003C5007">
              <w:rPr>
                <w:rFonts w:eastAsiaTheme="minorEastAsia"/>
                <w:color w:val="000000" w:themeColor="text1"/>
                <w:szCs w:val="21"/>
              </w:rPr>
              <w:t>净值增长率</w:t>
            </w:r>
            <w:r w:rsidRPr="003C5007">
              <w:rPr>
                <w:rFonts w:ascii="宋体" w:hAnsi="宋体" w:cs="宋体" w:hint="eastAsia"/>
                <w:color w:val="000000" w:themeColor="text1"/>
                <w:szCs w:val="21"/>
              </w:rPr>
              <w:t>①</w:t>
            </w:r>
          </w:p>
        </w:tc>
        <w:tc>
          <w:tcPr>
            <w:tcW w:w="1134" w:type="dxa"/>
            <w:vAlign w:val="center"/>
          </w:tcPr>
          <w:p w:rsidR="000820A8" w:rsidRPr="003C5007" w:rsidRDefault="000820A8" w:rsidP="008E5013">
            <w:pPr>
              <w:autoSpaceDE w:val="0"/>
              <w:autoSpaceDN w:val="0"/>
              <w:adjustRightInd w:val="0"/>
              <w:spacing w:line="360" w:lineRule="auto"/>
              <w:ind w:left="-108" w:rightChars="-51" w:right="-107"/>
              <w:jc w:val="center"/>
              <w:rPr>
                <w:rFonts w:eastAsiaTheme="minorEastAsia"/>
                <w:color w:val="000000" w:themeColor="text1"/>
                <w:szCs w:val="21"/>
              </w:rPr>
            </w:pPr>
            <w:r w:rsidRPr="003C5007">
              <w:rPr>
                <w:rFonts w:eastAsiaTheme="minorEastAsia"/>
                <w:color w:val="000000" w:themeColor="text1"/>
                <w:szCs w:val="21"/>
              </w:rPr>
              <w:t>净值增长率标准差</w:t>
            </w:r>
            <w:r w:rsidRPr="003C5007">
              <w:rPr>
                <w:rFonts w:ascii="宋体" w:hAnsi="宋体" w:cs="宋体" w:hint="eastAsia"/>
                <w:color w:val="000000" w:themeColor="text1"/>
                <w:szCs w:val="21"/>
              </w:rPr>
              <w:t>②</w:t>
            </w:r>
          </w:p>
        </w:tc>
        <w:tc>
          <w:tcPr>
            <w:tcW w:w="1418" w:type="dxa"/>
            <w:vAlign w:val="center"/>
          </w:tcPr>
          <w:p w:rsidR="000820A8" w:rsidRPr="003C5007" w:rsidRDefault="000820A8" w:rsidP="003C5007">
            <w:pPr>
              <w:autoSpaceDE w:val="0"/>
              <w:autoSpaceDN w:val="0"/>
              <w:adjustRightInd w:val="0"/>
              <w:spacing w:line="360" w:lineRule="auto"/>
              <w:ind w:left="17"/>
              <w:jc w:val="center"/>
              <w:rPr>
                <w:rFonts w:eastAsiaTheme="minorEastAsia"/>
                <w:color w:val="000000" w:themeColor="text1"/>
                <w:szCs w:val="21"/>
              </w:rPr>
            </w:pPr>
            <w:r w:rsidRPr="003C5007">
              <w:rPr>
                <w:rFonts w:eastAsiaTheme="minorEastAsia"/>
                <w:color w:val="000000" w:themeColor="text1"/>
                <w:szCs w:val="21"/>
              </w:rPr>
              <w:t>业绩比较基准收益率</w:t>
            </w:r>
            <w:r w:rsidRPr="003C5007">
              <w:rPr>
                <w:rFonts w:ascii="宋体" w:hAnsi="宋体" w:cs="宋体" w:hint="eastAsia"/>
                <w:color w:val="000000" w:themeColor="text1"/>
                <w:szCs w:val="21"/>
              </w:rPr>
              <w:t>③</w:t>
            </w:r>
          </w:p>
        </w:tc>
        <w:tc>
          <w:tcPr>
            <w:tcW w:w="1843" w:type="dxa"/>
            <w:vAlign w:val="center"/>
          </w:tcPr>
          <w:p w:rsidR="000820A8" w:rsidRPr="003C5007" w:rsidRDefault="000820A8" w:rsidP="003C5007">
            <w:pPr>
              <w:autoSpaceDE w:val="0"/>
              <w:autoSpaceDN w:val="0"/>
              <w:adjustRightInd w:val="0"/>
              <w:spacing w:line="360" w:lineRule="auto"/>
              <w:ind w:left="17"/>
              <w:jc w:val="center"/>
              <w:rPr>
                <w:rFonts w:eastAsiaTheme="minorEastAsia"/>
                <w:color w:val="000000" w:themeColor="text1"/>
                <w:szCs w:val="21"/>
              </w:rPr>
            </w:pPr>
            <w:r w:rsidRPr="003C5007">
              <w:rPr>
                <w:rFonts w:eastAsiaTheme="minorEastAsia"/>
                <w:color w:val="000000" w:themeColor="text1"/>
                <w:szCs w:val="21"/>
              </w:rPr>
              <w:t>业绩比较基准收益率标准差</w:t>
            </w:r>
            <w:r w:rsidRPr="003C5007">
              <w:rPr>
                <w:rFonts w:ascii="宋体" w:hAnsi="宋体" w:cs="宋体" w:hint="eastAsia"/>
                <w:color w:val="000000" w:themeColor="text1"/>
                <w:szCs w:val="21"/>
              </w:rPr>
              <w:t>④</w:t>
            </w:r>
          </w:p>
        </w:tc>
        <w:tc>
          <w:tcPr>
            <w:tcW w:w="850" w:type="dxa"/>
            <w:vAlign w:val="center"/>
          </w:tcPr>
          <w:p w:rsidR="000820A8" w:rsidRPr="003C5007" w:rsidRDefault="000820A8" w:rsidP="003C5007">
            <w:pPr>
              <w:autoSpaceDE w:val="0"/>
              <w:autoSpaceDN w:val="0"/>
              <w:adjustRightInd w:val="0"/>
              <w:spacing w:line="360" w:lineRule="auto"/>
              <w:ind w:left="17"/>
              <w:jc w:val="center"/>
              <w:rPr>
                <w:rFonts w:eastAsiaTheme="minorEastAsia"/>
                <w:color w:val="000000" w:themeColor="text1"/>
                <w:szCs w:val="21"/>
              </w:rPr>
            </w:pPr>
            <w:r w:rsidRPr="003C5007">
              <w:rPr>
                <w:rFonts w:ascii="宋体" w:hAnsi="宋体" w:cs="宋体" w:hint="eastAsia"/>
                <w:color w:val="000000" w:themeColor="text1"/>
                <w:szCs w:val="21"/>
              </w:rPr>
              <w:t>①</w:t>
            </w:r>
            <w:r w:rsidRPr="003C5007">
              <w:rPr>
                <w:rFonts w:eastAsiaTheme="minorEastAsia"/>
                <w:color w:val="000000" w:themeColor="text1"/>
                <w:szCs w:val="21"/>
              </w:rPr>
              <w:t>-</w:t>
            </w:r>
            <w:r w:rsidRPr="003C5007">
              <w:rPr>
                <w:rFonts w:ascii="宋体" w:hAnsi="宋体" w:cs="宋体" w:hint="eastAsia"/>
                <w:color w:val="000000" w:themeColor="text1"/>
                <w:szCs w:val="21"/>
              </w:rPr>
              <w:t>③</w:t>
            </w:r>
          </w:p>
        </w:tc>
        <w:tc>
          <w:tcPr>
            <w:tcW w:w="851" w:type="dxa"/>
            <w:vAlign w:val="center"/>
          </w:tcPr>
          <w:p w:rsidR="000820A8" w:rsidRPr="003C5007" w:rsidRDefault="000820A8" w:rsidP="003C5007">
            <w:pPr>
              <w:autoSpaceDE w:val="0"/>
              <w:autoSpaceDN w:val="0"/>
              <w:adjustRightInd w:val="0"/>
              <w:spacing w:line="360" w:lineRule="auto"/>
              <w:ind w:left="17"/>
              <w:jc w:val="center"/>
              <w:rPr>
                <w:rFonts w:eastAsiaTheme="minorEastAsia"/>
                <w:color w:val="000000" w:themeColor="text1"/>
                <w:szCs w:val="21"/>
              </w:rPr>
            </w:pPr>
            <w:r w:rsidRPr="003C5007">
              <w:rPr>
                <w:rFonts w:ascii="宋体" w:hAnsi="宋体" w:cs="宋体" w:hint="eastAsia"/>
                <w:color w:val="000000" w:themeColor="text1"/>
                <w:szCs w:val="21"/>
              </w:rPr>
              <w:t>②</w:t>
            </w:r>
            <w:r w:rsidRPr="003C5007">
              <w:rPr>
                <w:rFonts w:eastAsiaTheme="minorEastAsia"/>
                <w:color w:val="000000" w:themeColor="text1"/>
                <w:szCs w:val="21"/>
              </w:rPr>
              <w:t>-</w:t>
            </w:r>
            <w:r w:rsidRPr="003C5007">
              <w:rPr>
                <w:rFonts w:ascii="宋体" w:hAnsi="宋体" w:cs="宋体" w:hint="eastAsia"/>
                <w:color w:val="000000" w:themeColor="text1"/>
                <w:szCs w:val="21"/>
              </w:rPr>
              <w:t>④</w:t>
            </w:r>
          </w:p>
        </w:tc>
      </w:tr>
      <w:tr w:rsidR="008E3BA0" w:rsidTr="008E5013">
        <w:tc>
          <w:tcPr>
            <w:tcW w:w="1395" w:type="dxa"/>
            <w:vAlign w:val="center"/>
          </w:tcPr>
          <w:p w:rsidR="008E3BA0" w:rsidRDefault="008E5013">
            <w:pPr>
              <w:jc w:val="left"/>
            </w:pPr>
            <w:r>
              <w:rPr>
                <w:rFonts w:eastAsiaTheme="minorEastAsia"/>
                <w:color w:val="000000" w:themeColor="text1"/>
                <w:szCs w:val="21"/>
              </w:rPr>
              <w:t>自</w:t>
            </w:r>
            <w:r w:rsidR="00C733F6">
              <w:rPr>
                <w:rFonts w:eastAsiaTheme="minorEastAsia" w:hint="eastAsia"/>
                <w:color w:val="000000" w:themeColor="text1"/>
                <w:szCs w:val="21"/>
              </w:rPr>
              <w:t>分级运作终止</w:t>
            </w:r>
            <w:r w:rsidR="00C733F6">
              <w:rPr>
                <w:rFonts w:eastAsiaTheme="minorEastAsia"/>
                <w:color w:val="000000" w:themeColor="text1"/>
                <w:szCs w:val="21"/>
              </w:rPr>
              <w:t>日</w:t>
            </w:r>
            <w:r>
              <w:rPr>
                <w:rFonts w:eastAsiaTheme="minorEastAsia"/>
                <w:color w:val="000000" w:themeColor="text1"/>
                <w:szCs w:val="21"/>
              </w:rPr>
              <w:t>次日起至本报告期末（</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w:t>
            </w:r>
            <w:r>
              <w:rPr>
                <w:rFonts w:eastAsiaTheme="minorEastAsia"/>
                <w:color w:val="000000" w:themeColor="text1"/>
                <w:szCs w:val="21"/>
              </w:rPr>
              <w:t>9</w:t>
            </w:r>
            <w:r>
              <w:rPr>
                <w:rFonts w:eastAsiaTheme="minorEastAsia"/>
                <w:color w:val="000000" w:themeColor="text1"/>
                <w:szCs w:val="21"/>
              </w:rPr>
              <w:t>日至</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w:t>
            </w:r>
          </w:p>
        </w:tc>
        <w:tc>
          <w:tcPr>
            <w:tcW w:w="873" w:type="dxa"/>
            <w:vAlign w:val="center"/>
          </w:tcPr>
          <w:p w:rsidR="008E3BA0" w:rsidRDefault="008E5013">
            <w:pPr>
              <w:jc w:val="center"/>
            </w:pPr>
            <w:r>
              <w:rPr>
                <w:rFonts w:eastAsiaTheme="minorEastAsia"/>
                <w:color w:val="000000" w:themeColor="text1"/>
                <w:szCs w:val="21"/>
              </w:rPr>
              <w:t>9.00%</w:t>
            </w:r>
          </w:p>
        </w:tc>
        <w:tc>
          <w:tcPr>
            <w:tcW w:w="1134" w:type="dxa"/>
            <w:vAlign w:val="center"/>
          </w:tcPr>
          <w:p w:rsidR="008E3BA0" w:rsidRDefault="008E5013">
            <w:pPr>
              <w:jc w:val="center"/>
            </w:pPr>
            <w:r>
              <w:rPr>
                <w:rFonts w:eastAsiaTheme="minorEastAsia"/>
                <w:color w:val="000000" w:themeColor="text1"/>
                <w:szCs w:val="21"/>
              </w:rPr>
              <w:t>0.80%</w:t>
            </w:r>
          </w:p>
        </w:tc>
        <w:tc>
          <w:tcPr>
            <w:tcW w:w="1418" w:type="dxa"/>
            <w:vAlign w:val="center"/>
          </w:tcPr>
          <w:p w:rsidR="008E3BA0" w:rsidRDefault="008E5013">
            <w:pPr>
              <w:jc w:val="center"/>
            </w:pPr>
            <w:r>
              <w:rPr>
                <w:rFonts w:eastAsiaTheme="minorEastAsia"/>
                <w:color w:val="000000" w:themeColor="text1"/>
                <w:szCs w:val="21"/>
              </w:rPr>
              <w:t>7.95%</w:t>
            </w:r>
          </w:p>
        </w:tc>
        <w:tc>
          <w:tcPr>
            <w:tcW w:w="1843" w:type="dxa"/>
            <w:vAlign w:val="center"/>
          </w:tcPr>
          <w:p w:rsidR="008E3BA0" w:rsidRDefault="008E5013">
            <w:pPr>
              <w:jc w:val="center"/>
            </w:pPr>
            <w:r>
              <w:rPr>
                <w:rFonts w:eastAsiaTheme="minorEastAsia"/>
                <w:color w:val="000000" w:themeColor="text1"/>
                <w:szCs w:val="21"/>
              </w:rPr>
              <w:t>0.80%</w:t>
            </w:r>
          </w:p>
        </w:tc>
        <w:tc>
          <w:tcPr>
            <w:tcW w:w="850" w:type="dxa"/>
            <w:vAlign w:val="center"/>
          </w:tcPr>
          <w:p w:rsidR="008E3BA0" w:rsidRDefault="008E5013">
            <w:pPr>
              <w:jc w:val="center"/>
            </w:pPr>
            <w:r>
              <w:rPr>
                <w:rFonts w:eastAsiaTheme="minorEastAsia"/>
                <w:color w:val="000000" w:themeColor="text1"/>
                <w:szCs w:val="21"/>
              </w:rPr>
              <w:t>1.05%</w:t>
            </w:r>
          </w:p>
        </w:tc>
        <w:tc>
          <w:tcPr>
            <w:tcW w:w="851" w:type="dxa"/>
            <w:vAlign w:val="center"/>
          </w:tcPr>
          <w:p w:rsidR="008E3BA0" w:rsidRDefault="008E5013">
            <w:pPr>
              <w:jc w:val="center"/>
            </w:pPr>
            <w:r>
              <w:rPr>
                <w:rFonts w:eastAsiaTheme="minorEastAsia"/>
                <w:color w:val="000000" w:themeColor="text1"/>
                <w:szCs w:val="21"/>
              </w:rPr>
              <w:t>0.00%</w:t>
            </w:r>
          </w:p>
        </w:tc>
      </w:tr>
    </w:tbl>
    <w:p w:rsidR="00220542" w:rsidRPr="003C5007" w:rsidRDefault="00220542" w:rsidP="003C5007">
      <w:pPr>
        <w:spacing w:line="360" w:lineRule="auto"/>
        <w:rPr>
          <w:rFonts w:eastAsiaTheme="minorEastAsia"/>
          <w:b/>
          <w:color w:val="000000" w:themeColor="text1"/>
          <w:kern w:val="0"/>
          <w:szCs w:val="21"/>
        </w:rPr>
      </w:pPr>
      <w:r w:rsidRPr="003C5007">
        <w:rPr>
          <w:rFonts w:eastAsiaTheme="minorEastAsia"/>
          <w:b/>
          <w:color w:val="000000" w:themeColor="text1"/>
          <w:kern w:val="0"/>
          <w:szCs w:val="21"/>
        </w:rPr>
        <w:t>3.2</w:t>
      </w:r>
      <w:r w:rsidR="00C8538F" w:rsidRPr="003C5007">
        <w:rPr>
          <w:rFonts w:eastAsiaTheme="minorEastAsia"/>
          <w:b/>
          <w:color w:val="000000" w:themeColor="text1"/>
          <w:kern w:val="0"/>
          <w:szCs w:val="21"/>
        </w:rPr>
        <w:t>.1</w:t>
      </w:r>
      <w:r w:rsidRPr="003C5007">
        <w:rPr>
          <w:rFonts w:eastAsiaTheme="minorEastAsia"/>
          <w:b/>
          <w:color w:val="000000" w:themeColor="text1"/>
          <w:kern w:val="0"/>
          <w:szCs w:val="21"/>
        </w:rPr>
        <w:t>.2</w:t>
      </w:r>
      <w:r w:rsidR="004F759F" w:rsidRPr="003C5007">
        <w:rPr>
          <w:rStyle w:val="af8"/>
          <w:color w:val="000000" w:themeColor="text1"/>
          <w:szCs w:val="21"/>
          <w:shd w:val="clear" w:color="auto" w:fill="FFFFFF"/>
        </w:rPr>
        <w:t>自基金转型以来</w:t>
      </w:r>
      <w:r w:rsidRPr="003C5007">
        <w:rPr>
          <w:rFonts w:eastAsiaTheme="minorEastAsia"/>
          <w:b/>
          <w:bCs/>
          <w:color w:val="000000" w:themeColor="text1"/>
          <w:szCs w:val="21"/>
        </w:rPr>
        <w:t>基金累计净值增长率变动及其与同期业绩比较基准收益率变动的比较</w:t>
      </w:r>
    </w:p>
    <w:p w:rsidR="00CE3519" w:rsidRPr="003C5007" w:rsidRDefault="00CE3519" w:rsidP="003C5007">
      <w:pPr>
        <w:spacing w:line="360" w:lineRule="auto"/>
        <w:jc w:val="center"/>
        <w:rPr>
          <w:rFonts w:eastAsiaTheme="minorEastAsia"/>
          <w:color w:val="000000" w:themeColor="text1"/>
          <w:szCs w:val="21"/>
        </w:rPr>
      </w:pPr>
      <w:r w:rsidRPr="003C5007">
        <w:rPr>
          <w:rFonts w:eastAsiaTheme="minorEastAsia"/>
          <w:color w:val="000000" w:themeColor="text1"/>
          <w:szCs w:val="21"/>
        </w:rPr>
        <w:t>申万菱信中小</w:t>
      </w:r>
      <w:proofErr w:type="gramStart"/>
      <w:r w:rsidRPr="003C5007">
        <w:rPr>
          <w:rFonts w:eastAsiaTheme="minorEastAsia"/>
          <w:color w:val="000000" w:themeColor="text1"/>
          <w:szCs w:val="21"/>
        </w:rPr>
        <w:t>板指数</w:t>
      </w:r>
      <w:proofErr w:type="gramEnd"/>
      <w:r w:rsidRPr="003C5007">
        <w:rPr>
          <w:rFonts w:eastAsiaTheme="minorEastAsia"/>
          <w:color w:val="000000" w:themeColor="text1"/>
          <w:szCs w:val="21"/>
        </w:rPr>
        <w:t>证券投资基金</w:t>
      </w:r>
      <w:r w:rsidRPr="003C5007">
        <w:rPr>
          <w:rFonts w:eastAsiaTheme="minorEastAsia"/>
          <w:color w:val="000000" w:themeColor="text1"/>
          <w:szCs w:val="21"/>
        </w:rPr>
        <w:t>(LOF)</w:t>
      </w:r>
    </w:p>
    <w:p w:rsidR="00CE3519" w:rsidRPr="003C5007" w:rsidRDefault="00CE3519" w:rsidP="003C5007">
      <w:pPr>
        <w:pStyle w:val="a5"/>
        <w:snapToGrid w:val="0"/>
        <w:spacing w:line="360" w:lineRule="auto"/>
        <w:jc w:val="center"/>
        <w:rPr>
          <w:rFonts w:ascii="Times New Roman" w:eastAsiaTheme="minorEastAsia" w:hAnsi="Times New Roman"/>
          <w:color w:val="000000" w:themeColor="text1"/>
        </w:rPr>
      </w:pPr>
      <w:r w:rsidRPr="003C5007">
        <w:rPr>
          <w:rFonts w:ascii="Times New Roman" w:eastAsiaTheme="minorEastAsia" w:hAnsi="Times New Roman"/>
          <w:color w:val="000000" w:themeColor="text1"/>
        </w:rPr>
        <w:t>累计净值增长率与业绩比较基准收益率历史走势对比图</w:t>
      </w:r>
    </w:p>
    <w:p w:rsidR="00C8538F" w:rsidRPr="003C5007" w:rsidRDefault="00C8538F" w:rsidP="003C5007">
      <w:pPr>
        <w:spacing w:line="360" w:lineRule="auto"/>
        <w:jc w:val="center"/>
        <w:rPr>
          <w:color w:val="000000"/>
          <w:szCs w:val="21"/>
        </w:rPr>
      </w:pPr>
      <w:r w:rsidRPr="003C5007">
        <w:rPr>
          <w:color w:val="000000"/>
          <w:szCs w:val="21"/>
        </w:rPr>
        <w:t>(2017</w:t>
      </w:r>
      <w:r w:rsidRPr="003C5007">
        <w:rPr>
          <w:color w:val="000000"/>
          <w:szCs w:val="21"/>
        </w:rPr>
        <w:t>年</w:t>
      </w:r>
      <w:r w:rsidRPr="003C5007">
        <w:rPr>
          <w:color w:val="000000"/>
          <w:szCs w:val="21"/>
        </w:rPr>
        <w:t>5</w:t>
      </w:r>
      <w:r w:rsidRPr="003C5007">
        <w:rPr>
          <w:color w:val="000000"/>
          <w:szCs w:val="21"/>
        </w:rPr>
        <w:t>月</w:t>
      </w:r>
      <w:r w:rsidRPr="003C5007">
        <w:rPr>
          <w:color w:val="000000"/>
          <w:szCs w:val="21"/>
        </w:rPr>
        <w:t>9</w:t>
      </w:r>
      <w:r w:rsidRPr="003C5007">
        <w:rPr>
          <w:color w:val="000000"/>
          <w:szCs w:val="21"/>
        </w:rPr>
        <w:t>日</w:t>
      </w:r>
      <w:r w:rsidRPr="003C5007">
        <w:rPr>
          <w:color w:val="000000"/>
          <w:szCs w:val="21"/>
        </w:rPr>
        <w:t>-2017</w:t>
      </w:r>
      <w:r w:rsidRPr="003C5007">
        <w:rPr>
          <w:color w:val="000000"/>
          <w:szCs w:val="21"/>
        </w:rPr>
        <w:t>年</w:t>
      </w:r>
      <w:r w:rsidRPr="003C5007">
        <w:rPr>
          <w:color w:val="000000"/>
          <w:szCs w:val="21"/>
        </w:rPr>
        <w:t>6</w:t>
      </w:r>
      <w:r w:rsidRPr="003C5007">
        <w:rPr>
          <w:color w:val="000000"/>
          <w:szCs w:val="21"/>
        </w:rPr>
        <w:t>月</w:t>
      </w:r>
      <w:r w:rsidRPr="003C5007">
        <w:rPr>
          <w:color w:val="000000"/>
          <w:szCs w:val="21"/>
        </w:rPr>
        <w:t>30</w:t>
      </w:r>
      <w:r w:rsidRPr="003C5007">
        <w:rPr>
          <w:color w:val="000000"/>
          <w:szCs w:val="21"/>
        </w:rPr>
        <w:t>日</w:t>
      </w:r>
      <w:r w:rsidRPr="003C5007">
        <w:rPr>
          <w:color w:val="000000"/>
          <w:szCs w:val="21"/>
        </w:rPr>
        <w:t>)</w:t>
      </w:r>
    </w:p>
    <w:p w:rsidR="00CE3519" w:rsidRPr="003C5007" w:rsidRDefault="006F2F3E" w:rsidP="003C5007">
      <w:pPr>
        <w:tabs>
          <w:tab w:val="left" w:pos="1800"/>
        </w:tabs>
        <w:spacing w:line="360" w:lineRule="auto"/>
        <w:jc w:val="center"/>
        <w:rPr>
          <w:rFonts w:eastAsiaTheme="minorEastAsia"/>
          <w:color w:val="000000" w:themeColor="text1"/>
          <w:szCs w:val="21"/>
        </w:rPr>
      </w:pPr>
      <w:r w:rsidRPr="003C5007">
        <w:rPr>
          <w:rFonts w:eastAsiaTheme="minorEastAsia"/>
          <w:noProof/>
          <w:color w:val="000000" w:themeColor="text1"/>
          <w:szCs w:val="21"/>
        </w:rPr>
        <w:drawing>
          <wp:inline distT="0" distB="0" distL="0" distR="0">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rsidR="008E3BA0" w:rsidRDefault="008E5013">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w:t>
      </w:r>
      <w:r w:rsidR="007B4504">
        <w:rPr>
          <w:rFonts w:eastAsiaTheme="minorEastAsia"/>
          <w:color w:val="000000" w:themeColor="text1"/>
          <w:szCs w:val="21"/>
        </w:rPr>
        <w:t>根据《基金合同》的相关规定，原申万菱信中小</w:t>
      </w:r>
      <w:proofErr w:type="gramStart"/>
      <w:r w:rsidR="007B4504">
        <w:rPr>
          <w:rFonts w:eastAsiaTheme="minorEastAsia"/>
          <w:color w:val="000000" w:themeColor="text1"/>
          <w:szCs w:val="21"/>
        </w:rPr>
        <w:t>板指数</w:t>
      </w:r>
      <w:proofErr w:type="gramEnd"/>
      <w:r w:rsidR="007B4504">
        <w:rPr>
          <w:rFonts w:eastAsiaTheme="minorEastAsia"/>
          <w:color w:val="000000" w:themeColor="text1"/>
          <w:szCs w:val="21"/>
        </w:rPr>
        <w:t>分级证券投资基金分级运作期共包含五个运作周年。分级运作期结束，无需召开基金份额持有人大会，自动转换为上市开放式基金（</w:t>
      </w:r>
      <w:r w:rsidR="007B4504">
        <w:rPr>
          <w:rFonts w:eastAsiaTheme="minorEastAsia"/>
          <w:color w:val="000000" w:themeColor="text1"/>
          <w:szCs w:val="21"/>
        </w:rPr>
        <w:t>LOF</w:t>
      </w:r>
      <w:r w:rsidR="007B4504">
        <w:rPr>
          <w:rFonts w:eastAsiaTheme="minorEastAsia"/>
          <w:color w:val="000000" w:themeColor="text1"/>
          <w:szCs w:val="21"/>
        </w:rPr>
        <w:t>）。</w:t>
      </w:r>
      <w:r w:rsidR="007B4504">
        <w:rPr>
          <w:rFonts w:eastAsiaTheme="minorEastAsia"/>
          <w:color w:val="000000" w:themeColor="text1"/>
          <w:szCs w:val="21"/>
        </w:rPr>
        <w:t>2017</w:t>
      </w:r>
      <w:r w:rsidR="007B4504">
        <w:rPr>
          <w:rFonts w:eastAsiaTheme="minorEastAsia"/>
          <w:color w:val="000000" w:themeColor="text1"/>
          <w:szCs w:val="21"/>
        </w:rPr>
        <w:t>年</w:t>
      </w:r>
      <w:r w:rsidR="007B4504">
        <w:rPr>
          <w:rFonts w:eastAsiaTheme="minorEastAsia"/>
          <w:color w:val="000000" w:themeColor="text1"/>
          <w:szCs w:val="21"/>
        </w:rPr>
        <w:t>5</w:t>
      </w:r>
      <w:r w:rsidR="007B4504">
        <w:rPr>
          <w:rFonts w:eastAsiaTheme="minorEastAsia"/>
          <w:color w:val="000000" w:themeColor="text1"/>
          <w:szCs w:val="21"/>
        </w:rPr>
        <w:t>月</w:t>
      </w:r>
      <w:r w:rsidR="007B4504">
        <w:rPr>
          <w:rFonts w:eastAsiaTheme="minorEastAsia"/>
          <w:color w:val="000000" w:themeColor="text1"/>
          <w:szCs w:val="21"/>
        </w:rPr>
        <w:t>8</w:t>
      </w:r>
      <w:r w:rsidR="007B4504">
        <w:rPr>
          <w:rFonts w:eastAsiaTheme="minorEastAsia"/>
          <w:color w:val="000000" w:themeColor="text1"/>
          <w:szCs w:val="21"/>
        </w:rPr>
        <w:t>日，申万菱信中小</w:t>
      </w:r>
      <w:proofErr w:type="gramStart"/>
      <w:r w:rsidR="007B4504">
        <w:rPr>
          <w:rFonts w:eastAsiaTheme="minorEastAsia"/>
          <w:color w:val="000000" w:themeColor="text1"/>
          <w:szCs w:val="21"/>
        </w:rPr>
        <w:t>板指数</w:t>
      </w:r>
      <w:proofErr w:type="gramEnd"/>
      <w:r w:rsidR="007B4504">
        <w:rPr>
          <w:rFonts w:eastAsiaTheme="minorEastAsia"/>
          <w:color w:val="000000" w:themeColor="text1"/>
          <w:szCs w:val="21"/>
        </w:rPr>
        <w:t>分级证券投资基金分级运作期结束，申万菱信中小</w:t>
      </w:r>
      <w:proofErr w:type="gramStart"/>
      <w:r w:rsidR="007B4504">
        <w:rPr>
          <w:rFonts w:eastAsiaTheme="minorEastAsia"/>
          <w:color w:val="000000" w:themeColor="text1"/>
          <w:szCs w:val="21"/>
        </w:rPr>
        <w:t>板指数</w:t>
      </w:r>
      <w:proofErr w:type="gramEnd"/>
      <w:r w:rsidR="007B4504">
        <w:rPr>
          <w:rFonts w:eastAsiaTheme="minorEastAsia"/>
          <w:color w:val="000000" w:themeColor="text1"/>
          <w:szCs w:val="21"/>
        </w:rPr>
        <w:t>分级证券投资基金之稳健收益类份额、申万菱信中小</w:t>
      </w:r>
      <w:proofErr w:type="gramStart"/>
      <w:r w:rsidR="007B4504">
        <w:rPr>
          <w:rFonts w:eastAsiaTheme="minorEastAsia"/>
          <w:color w:val="000000" w:themeColor="text1"/>
          <w:szCs w:val="21"/>
        </w:rPr>
        <w:t>板指数</w:t>
      </w:r>
      <w:proofErr w:type="gramEnd"/>
      <w:r w:rsidR="007B4504">
        <w:rPr>
          <w:rFonts w:eastAsiaTheme="minorEastAsia"/>
          <w:color w:val="000000" w:themeColor="text1"/>
          <w:szCs w:val="21"/>
        </w:rPr>
        <w:t>分级证券投资基金之积极进取类份额按照《基金合同》约定折算成场内申万菱信中小</w:t>
      </w:r>
      <w:proofErr w:type="gramStart"/>
      <w:r w:rsidR="007B4504">
        <w:rPr>
          <w:rFonts w:eastAsiaTheme="minorEastAsia"/>
          <w:color w:val="000000" w:themeColor="text1"/>
          <w:szCs w:val="21"/>
        </w:rPr>
        <w:t>板指数</w:t>
      </w:r>
      <w:proofErr w:type="gramEnd"/>
      <w:r w:rsidR="007B4504">
        <w:rPr>
          <w:rFonts w:eastAsiaTheme="minorEastAsia"/>
          <w:color w:val="000000" w:themeColor="text1"/>
          <w:szCs w:val="21"/>
        </w:rPr>
        <w:t>分级证券投资基金之</w:t>
      </w:r>
      <w:proofErr w:type="gramStart"/>
      <w:r w:rsidR="007B4504">
        <w:rPr>
          <w:rFonts w:eastAsiaTheme="minorEastAsia"/>
          <w:color w:val="000000" w:themeColor="text1"/>
          <w:szCs w:val="21"/>
        </w:rPr>
        <w:t>申万中小</w:t>
      </w:r>
      <w:proofErr w:type="gramEnd"/>
      <w:r w:rsidR="007B4504">
        <w:rPr>
          <w:rFonts w:eastAsiaTheme="minorEastAsia"/>
          <w:color w:val="000000" w:themeColor="text1"/>
          <w:szCs w:val="21"/>
        </w:rPr>
        <w:t>板份额，基金名称变更为</w:t>
      </w:r>
      <w:r w:rsidR="007B4504">
        <w:rPr>
          <w:rFonts w:eastAsiaTheme="minorEastAsia"/>
          <w:color w:val="000000" w:themeColor="text1"/>
          <w:szCs w:val="21"/>
        </w:rPr>
        <w:t>“</w:t>
      </w:r>
      <w:r w:rsidR="007B4504">
        <w:rPr>
          <w:rFonts w:eastAsiaTheme="minorEastAsia"/>
          <w:color w:val="000000" w:themeColor="text1"/>
          <w:szCs w:val="21"/>
        </w:rPr>
        <w:t>申万菱信中小板指数证券投资基金（</w:t>
      </w:r>
      <w:r w:rsidR="007B4504">
        <w:rPr>
          <w:rFonts w:eastAsiaTheme="minorEastAsia"/>
          <w:color w:val="000000" w:themeColor="text1"/>
          <w:szCs w:val="21"/>
        </w:rPr>
        <w:t>LOF</w:t>
      </w:r>
      <w:r w:rsidR="007B4504">
        <w:rPr>
          <w:rFonts w:eastAsiaTheme="minorEastAsia"/>
          <w:color w:val="000000" w:themeColor="text1"/>
          <w:szCs w:val="21"/>
        </w:rPr>
        <w:t>）</w:t>
      </w:r>
      <w:r w:rsidR="007B4504">
        <w:rPr>
          <w:rFonts w:eastAsiaTheme="minorEastAsia"/>
          <w:color w:val="000000" w:themeColor="text1"/>
          <w:szCs w:val="21"/>
        </w:rPr>
        <w:t>”</w:t>
      </w:r>
      <w:r>
        <w:rPr>
          <w:rFonts w:eastAsiaTheme="minorEastAsia"/>
          <w:color w:val="000000" w:themeColor="text1"/>
          <w:szCs w:val="21"/>
        </w:rPr>
        <w:t>；</w:t>
      </w:r>
    </w:p>
    <w:p w:rsidR="00CE3519" w:rsidRPr="003C5007" w:rsidRDefault="00CE3519" w:rsidP="003C5007">
      <w:pPr>
        <w:autoSpaceDE w:val="0"/>
        <w:autoSpaceDN w:val="0"/>
        <w:adjustRightInd w:val="0"/>
        <w:spacing w:line="360" w:lineRule="auto"/>
        <w:jc w:val="left"/>
        <w:rPr>
          <w:rFonts w:eastAsiaTheme="minorEastAsia"/>
          <w:color w:val="000000" w:themeColor="text1"/>
          <w:szCs w:val="21"/>
        </w:rPr>
      </w:pPr>
      <w:r w:rsidRPr="003C5007">
        <w:rPr>
          <w:rFonts w:eastAsiaTheme="minorEastAsia"/>
          <w:color w:val="000000" w:themeColor="text1"/>
          <w:szCs w:val="21"/>
        </w:rPr>
        <w:t>2</w:t>
      </w:r>
      <w:r w:rsidRPr="003C5007">
        <w:rPr>
          <w:rFonts w:eastAsiaTheme="minorEastAsia"/>
          <w:color w:val="000000" w:themeColor="text1"/>
          <w:szCs w:val="21"/>
        </w:rPr>
        <w:t>）本基金的投资范围为具有良好流动性的金融工具，包括国内依法发行上市的股票（包括中小板及其他经中国证监会核准上市的股票）、债券以及中国证监会允许基金投资的其它金融工具（但须符合中国证监会的相关规定）。本基金投资于中小</w:t>
      </w:r>
      <w:proofErr w:type="gramStart"/>
      <w:r w:rsidRPr="003C5007">
        <w:rPr>
          <w:rFonts w:eastAsiaTheme="minorEastAsia"/>
          <w:color w:val="000000" w:themeColor="text1"/>
          <w:szCs w:val="21"/>
        </w:rPr>
        <w:t>板指数</w:t>
      </w:r>
      <w:proofErr w:type="gramEnd"/>
      <w:r w:rsidRPr="003C5007">
        <w:rPr>
          <w:rFonts w:eastAsiaTheme="minorEastAsia"/>
          <w:color w:val="000000" w:themeColor="text1"/>
          <w:szCs w:val="21"/>
        </w:rPr>
        <w:t>成份股及其备选成份股的比例不低于基金资产的</w:t>
      </w:r>
      <w:r w:rsidRPr="003C5007">
        <w:rPr>
          <w:rFonts w:eastAsiaTheme="minorEastAsia"/>
          <w:color w:val="000000" w:themeColor="text1"/>
          <w:szCs w:val="21"/>
        </w:rPr>
        <w:t>90%</w:t>
      </w:r>
      <w:r w:rsidRPr="003C5007">
        <w:rPr>
          <w:rFonts w:eastAsiaTheme="minorEastAsia"/>
          <w:color w:val="000000" w:themeColor="text1"/>
          <w:szCs w:val="21"/>
        </w:rPr>
        <w:t>，现金或者到期日在一年以内的政府债券不低于基金资产的</w:t>
      </w:r>
      <w:r w:rsidRPr="003C5007">
        <w:rPr>
          <w:rFonts w:eastAsiaTheme="minorEastAsia"/>
          <w:color w:val="000000" w:themeColor="text1"/>
          <w:szCs w:val="21"/>
        </w:rPr>
        <w:t>5%</w:t>
      </w:r>
      <w:r w:rsidRPr="003C5007">
        <w:rPr>
          <w:rFonts w:eastAsiaTheme="minorEastAsia"/>
          <w:color w:val="000000" w:themeColor="text1"/>
          <w:szCs w:val="21"/>
        </w:rPr>
        <w:t>。原申万菱信中小</w:t>
      </w:r>
      <w:proofErr w:type="gramStart"/>
      <w:r w:rsidRPr="003C5007">
        <w:rPr>
          <w:rFonts w:eastAsiaTheme="minorEastAsia"/>
          <w:color w:val="000000" w:themeColor="text1"/>
          <w:szCs w:val="21"/>
        </w:rPr>
        <w:t>板指数</w:t>
      </w:r>
      <w:proofErr w:type="gramEnd"/>
      <w:r w:rsidRPr="003C5007">
        <w:rPr>
          <w:rFonts w:eastAsiaTheme="minorEastAsia"/>
          <w:color w:val="000000" w:themeColor="text1"/>
          <w:szCs w:val="21"/>
        </w:rPr>
        <w:t>分级证券投资基金合同于</w:t>
      </w:r>
      <w:r w:rsidRPr="003C5007">
        <w:rPr>
          <w:rFonts w:eastAsiaTheme="minorEastAsia"/>
          <w:color w:val="000000" w:themeColor="text1"/>
          <w:szCs w:val="21"/>
        </w:rPr>
        <w:t>2012</w:t>
      </w:r>
      <w:r w:rsidRPr="003C5007">
        <w:rPr>
          <w:rFonts w:eastAsiaTheme="minorEastAsia"/>
          <w:color w:val="000000" w:themeColor="text1"/>
          <w:szCs w:val="21"/>
        </w:rPr>
        <w:t>年</w:t>
      </w:r>
      <w:r w:rsidRPr="003C5007">
        <w:rPr>
          <w:rFonts w:eastAsiaTheme="minorEastAsia"/>
          <w:color w:val="000000" w:themeColor="text1"/>
          <w:szCs w:val="21"/>
        </w:rPr>
        <w:t>5</w:t>
      </w:r>
      <w:r w:rsidRPr="003C5007">
        <w:rPr>
          <w:rFonts w:eastAsiaTheme="minorEastAsia"/>
          <w:color w:val="000000" w:themeColor="text1"/>
          <w:szCs w:val="21"/>
        </w:rPr>
        <w:t>月</w:t>
      </w:r>
      <w:r w:rsidRPr="003C5007">
        <w:rPr>
          <w:rFonts w:eastAsiaTheme="minorEastAsia"/>
          <w:color w:val="000000" w:themeColor="text1"/>
          <w:szCs w:val="21"/>
        </w:rPr>
        <w:t>8</w:t>
      </w:r>
      <w:r w:rsidRPr="003C5007">
        <w:rPr>
          <w:rFonts w:eastAsiaTheme="minorEastAsia"/>
          <w:color w:val="000000" w:themeColor="text1"/>
          <w:szCs w:val="21"/>
        </w:rPr>
        <w:t>日生效。本基金已在基金合同生效之日起</w:t>
      </w:r>
      <w:r w:rsidRPr="003C5007">
        <w:rPr>
          <w:rFonts w:eastAsiaTheme="minorEastAsia"/>
          <w:color w:val="000000" w:themeColor="text1"/>
          <w:szCs w:val="21"/>
        </w:rPr>
        <w:t>6</w:t>
      </w:r>
      <w:r w:rsidRPr="003C5007">
        <w:rPr>
          <w:rFonts w:eastAsiaTheme="minorEastAsia"/>
          <w:color w:val="000000" w:themeColor="text1"/>
          <w:szCs w:val="21"/>
        </w:rPr>
        <w:t>个月内，使基金的投资组合比例符合基金合同的有关约定。</w:t>
      </w:r>
    </w:p>
    <w:p w:rsidR="001C5D85" w:rsidRPr="003C5007" w:rsidRDefault="001C5D85" w:rsidP="00767A35">
      <w:pPr>
        <w:spacing w:beforeLines="50" w:before="156" w:line="360" w:lineRule="auto"/>
        <w:rPr>
          <w:b/>
          <w:color w:val="000000"/>
          <w:kern w:val="0"/>
          <w:szCs w:val="21"/>
        </w:rPr>
      </w:pPr>
      <w:r w:rsidRPr="003C5007">
        <w:rPr>
          <w:b/>
          <w:color w:val="000000"/>
          <w:kern w:val="0"/>
          <w:szCs w:val="21"/>
        </w:rPr>
        <w:t xml:space="preserve">3.2.2 </w:t>
      </w:r>
      <w:r w:rsidRPr="003C5007">
        <w:rPr>
          <w:b/>
          <w:color w:val="000000"/>
          <w:kern w:val="0"/>
          <w:szCs w:val="21"/>
        </w:rPr>
        <w:t>申万菱信中小</w:t>
      </w:r>
      <w:proofErr w:type="gramStart"/>
      <w:r w:rsidRPr="003C5007">
        <w:rPr>
          <w:b/>
          <w:color w:val="000000"/>
          <w:kern w:val="0"/>
          <w:szCs w:val="21"/>
        </w:rPr>
        <w:t>板指数</w:t>
      </w:r>
      <w:proofErr w:type="gramEnd"/>
      <w:r w:rsidRPr="003C5007">
        <w:rPr>
          <w:b/>
          <w:color w:val="000000"/>
          <w:kern w:val="0"/>
          <w:szCs w:val="21"/>
        </w:rPr>
        <w:t>分级证券投资基金</w:t>
      </w:r>
    </w:p>
    <w:p w:rsidR="001C5D85" w:rsidRPr="003C5007" w:rsidRDefault="001C5D85" w:rsidP="003C5007">
      <w:pPr>
        <w:autoSpaceDE w:val="0"/>
        <w:autoSpaceDN w:val="0"/>
        <w:adjustRightInd w:val="0"/>
        <w:spacing w:line="360" w:lineRule="auto"/>
        <w:ind w:left="15"/>
        <w:jc w:val="left"/>
        <w:rPr>
          <w:b/>
          <w:color w:val="000000"/>
          <w:kern w:val="0"/>
          <w:szCs w:val="21"/>
        </w:rPr>
      </w:pPr>
      <w:r w:rsidRPr="003C5007">
        <w:rPr>
          <w:b/>
          <w:color w:val="000000"/>
          <w:kern w:val="0"/>
          <w:szCs w:val="21"/>
        </w:rPr>
        <w:t>（报告期：</w:t>
      </w:r>
      <w:r w:rsidRPr="003C5007">
        <w:rPr>
          <w:b/>
          <w:color w:val="000000"/>
          <w:kern w:val="0"/>
          <w:szCs w:val="21"/>
        </w:rPr>
        <w:t>2017</w:t>
      </w:r>
      <w:r w:rsidRPr="003C5007">
        <w:rPr>
          <w:b/>
          <w:color w:val="000000"/>
          <w:kern w:val="0"/>
          <w:szCs w:val="21"/>
        </w:rPr>
        <w:t>年</w:t>
      </w:r>
      <w:r w:rsidRPr="003C5007">
        <w:rPr>
          <w:b/>
          <w:color w:val="000000"/>
          <w:kern w:val="0"/>
          <w:szCs w:val="21"/>
        </w:rPr>
        <w:t>4</w:t>
      </w:r>
      <w:r w:rsidRPr="003C5007">
        <w:rPr>
          <w:b/>
          <w:color w:val="000000"/>
          <w:kern w:val="0"/>
          <w:szCs w:val="21"/>
        </w:rPr>
        <w:t>月</w:t>
      </w:r>
      <w:r w:rsidRPr="003C5007">
        <w:rPr>
          <w:b/>
          <w:color w:val="000000"/>
          <w:kern w:val="0"/>
          <w:szCs w:val="21"/>
        </w:rPr>
        <w:t>1</w:t>
      </w:r>
      <w:r w:rsidRPr="003C5007">
        <w:rPr>
          <w:b/>
          <w:color w:val="000000"/>
          <w:kern w:val="0"/>
          <w:szCs w:val="21"/>
        </w:rPr>
        <w:t>日</w:t>
      </w:r>
      <w:r w:rsidRPr="003C5007">
        <w:rPr>
          <w:b/>
          <w:color w:val="000000"/>
          <w:kern w:val="0"/>
          <w:szCs w:val="21"/>
        </w:rPr>
        <w:t>-2017</w:t>
      </w:r>
      <w:r w:rsidRPr="003C5007">
        <w:rPr>
          <w:b/>
          <w:color w:val="000000"/>
          <w:kern w:val="0"/>
          <w:szCs w:val="21"/>
        </w:rPr>
        <w:t>年</w:t>
      </w:r>
      <w:r w:rsidRPr="003C5007">
        <w:rPr>
          <w:b/>
          <w:color w:val="000000"/>
          <w:kern w:val="0"/>
          <w:szCs w:val="21"/>
        </w:rPr>
        <w:t>5</w:t>
      </w:r>
      <w:r w:rsidRPr="003C5007">
        <w:rPr>
          <w:b/>
          <w:color w:val="000000"/>
          <w:kern w:val="0"/>
          <w:szCs w:val="21"/>
        </w:rPr>
        <w:t>月</w:t>
      </w:r>
      <w:r w:rsidRPr="003C5007">
        <w:rPr>
          <w:b/>
          <w:color w:val="000000"/>
          <w:kern w:val="0"/>
          <w:szCs w:val="21"/>
        </w:rPr>
        <w:t>8</w:t>
      </w:r>
      <w:r w:rsidRPr="003C5007">
        <w:rPr>
          <w:b/>
          <w:color w:val="000000"/>
          <w:kern w:val="0"/>
          <w:szCs w:val="21"/>
        </w:rPr>
        <w:t>日）</w:t>
      </w:r>
    </w:p>
    <w:p w:rsidR="001C5D85" w:rsidRPr="003C5007" w:rsidRDefault="001C5D85" w:rsidP="00767A35">
      <w:pPr>
        <w:spacing w:beforeLines="50" w:before="156" w:line="360" w:lineRule="auto"/>
        <w:rPr>
          <w:b/>
          <w:color w:val="000000"/>
          <w:kern w:val="0"/>
          <w:szCs w:val="21"/>
        </w:rPr>
      </w:pPr>
      <w:r w:rsidRPr="003C5007">
        <w:rPr>
          <w:b/>
          <w:color w:val="000000"/>
          <w:kern w:val="0"/>
          <w:szCs w:val="21"/>
        </w:rPr>
        <w:t xml:space="preserve">3.2.2.2 </w:t>
      </w:r>
      <w:r w:rsidRPr="003C5007">
        <w:rPr>
          <w:b/>
          <w:color w:val="000000"/>
          <w:kern w:val="0"/>
          <w:szCs w:val="21"/>
        </w:rPr>
        <w:t>本报告</w:t>
      </w:r>
      <w:proofErr w:type="gramStart"/>
      <w:r w:rsidRPr="003C5007">
        <w:rPr>
          <w:b/>
          <w:color w:val="000000"/>
          <w:kern w:val="0"/>
          <w:szCs w:val="21"/>
        </w:rPr>
        <w:t>期基金</w:t>
      </w:r>
      <w:proofErr w:type="gramEnd"/>
      <w:r w:rsidRPr="003C5007">
        <w:rPr>
          <w:b/>
          <w:color w:val="000000"/>
          <w:kern w:val="0"/>
          <w:szCs w:val="21"/>
        </w:rPr>
        <w:t>份额净值增长率及其与同期业绩比较基准收益率的比较</w:t>
      </w:r>
    </w:p>
    <w:tbl>
      <w:tblPr>
        <w:tblStyle w:val="af7"/>
        <w:tblW w:w="0" w:type="auto"/>
        <w:tblInd w:w="108" w:type="dxa"/>
        <w:tblLayout w:type="fixed"/>
        <w:tblLook w:val="04A0" w:firstRow="1" w:lastRow="0" w:firstColumn="1" w:lastColumn="0" w:noHBand="0" w:noVBand="1"/>
      </w:tblPr>
      <w:tblGrid>
        <w:gridCol w:w="1395"/>
        <w:gridCol w:w="1092"/>
        <w:gridCol w:w="1161"/>
        <w:gridCol w:w="1455"/>
        <w:gridCol w:w="1560"/>
        <w:gridCol w:w="850"/>
        <w:gridCol w:w="907"/>
      </w:tblGrid>
      <w:tr w:rsidR="001C5D85" w:rsidRPr="003C5007" w:rsidTr="008E5013">
        <w:tc>
          <w:tcPr>
            <w:tcW w:w="1395" w:type="dxa"/>
            <w:vAlign w:val="center"/>
          </w:tcPr>
          <w:p w:rsidR="001C5D85" w:rsidRPr="003C5007" w:rsidRDefault="001C5D85" w:rsidP="003C5007">
            <w:pPr>
              <w:autoSpaceDE w:val="0"/>
              <w:autoSpaceDN w:val="0"/>
              <w:adjustRightInd w:val="0"/>
              <w:spacing w:line="360" w:lineRule="auto"/>
              <w:ind w:left="15"/>
              <w:jc w:val="center"/>
              <w:rPr>
                <w:color w:val="000000"/>
                <w:szCs w:val="21"/>
              </w:rPr>
            </w:pPr>
            <w:r w:rsidRPr="003C5007">
              <w:rPr>
                <w:color w:val="000000"/>
                <w:szCs w:val="21"/>
              </w:rPr>
              <w:t>阶段</w:t>
            </w:r>
          </w:p>
        </w:tc>
        <w:tc>
          <w:tcPr>
            <w:tcW w:w="1092" w:type="dxa"/>
            <w:vAlign w:val="center"/>
          </w:tcPr>
          <w:p w:rsidR="001C5D85" w:rsidRPr="003C5007" w:rsidRDefault="001C5D85" w:rsidP="003C5007">
            <w:pPr>
              <w:autoSpaceDE w:val="0"/>
              <w:autoSpaceDN w:val="0"/>
              <w:adjustRightInd w:val="0"/>
              <w:spacing w:line="360" w:lineRule="auto"/>
              <w:ind w:left="15"/>
              <w:jc w:val="center"/>
              <w:rPr>
                <w:color w:val="000000"/>
                <w:szCs w:val="21"/>
              </w:rPr>
            </w:pPr>
            <w:r w:rsidRPr="003C5007">
              <w:rPr>
                <w:color w:val="000000"/>
                <w:szCs w:val="21"/>
              </w:rPr>
              <w:t>净值增长率</w:t>
            </w:r>
            <w:r w:rsidRPr="003C5007">
              <w:rPr>
                <w:rFonts w:ascii="宋体" w:hAnsi="宋体" w:cs="宋体" w:hint="eastAsia"/>
                <w:color w:val="000000"/>
                <w:szCs w:val="21"/>
              </w:rPr>
              <w:t>①</w:t>
            </w:r>
          </w:p>
        </w:tc>
        <w:tc>
          <w:tcPr>
            <w:tcW w:w="1161" w:type="dxa"/>
            <w:vAlign w:val="center"/>
          </w:tcPr>
          <w:p w:rsidR="001C5D85" w:rsidRPr="003C5007" w:rsidRDefault="001C5D85" w:rsidP="008E5013">
            <w:pPr>
              <w:autoSpaceDE w:val="0"/>
              <w:autoSpaceDN w:val="0"/>
              <w:adjustRightInd w:val="0"/>
              <w:spacing w:line="360" w:lineRule="auto"/>
              <w:ind w:left="-43" w:rightChars="-69" w:right="-145"/>
              <w:jc w:val="center"/>
              <w:rPr>
                <w:color w:val="000000"/>
                <w:szCs w:val="21"/>
              </w:rPr>
            </w:pPr>
            <w:r w:rsidRPr="003C5007">
              <w:rPr>
                <w:color w:val="000000"/>
                <w:szCs w:val="21"/>
              </w:rPr>
              <w:t>净值增长率标准差</w:t>
            </w:r>
            <w:r w:rsidRPr="003C5007">
              <w:rPr>
                <w:rFonts w:ascii="宋体" w:hAnsi="宋体" w:cs="宋体" w:hint="eastAsia"/>
                <w:color w:val="000000"/>
                <w:szCs w:val="21"/>
              </w:rPr>
              <w:t>②</w:t>
            </w:r>
          </w:p>
        </w:tc>
        <w:tc>
          <w:tcPr>
            <w:tcW w:w="1455" w:type="dxa"/>
            <w:vAlign w:val="center"/>
          </w:tcPr>
          <w:p w:rsidR="001C5D85" w:rsidRPr="003C5007" w:rsidRDefault="001C5D85" w:rsidP="003C5007">
            <w:pPr>
              <w:autoSpaceDE w:val="0"/>
              <w:autoSpaceDN w:val="0"/>
              <w:adjustRightInd w:val="0"/>
              <w:spacing w:line="360" w:lineRule="auto"/>
              <w:ind w:left="15"/>
              <w:jc w:val="center"/>
              <w:rPr>
                <w:color w:val="000000"/>
                <w:szCs w:val="21"/>
              </w:rPr>
            </w:pPr>
            <w:r w:rsidRPr="003C5007">
              <w:rPr>
                <w:color w:val="000000"/>
                <w:szCs w:val="21"/>
              </w:rPr>
              <w:t>业绩比较基准收益率</w:t>
            </w:r>
            <w:r w:rsidRPr="003C5007">
              <w:rPr>
                <w:rFonts w:ascii="宋体" w:hAnsi="宋体" w:cs="宋体" w:hint="eastAsia"/>
                <w:color w:val="000000"/>
                <w:szCs w:val="21"/>
              </w:rPr>
              <w:t>③</w:t>
            </w:r>
          </w:p>
        </w:tc>
        <w:tc>
          <w:tcPr>
            <w:tcW w:w="1560" w:type="dxa"/>
            <w:vAlign w:val="center"/>
          </w:tcPr>
          <w:p w:rsidR="001C5D85" w:rsidRPr="003C5007" w:rsidRDefault="001C5D85" w:rsidP="008E5013">
            <w:pPr>
              <w:autoSpaceDE w:val="0"/>
              <w:autoSpaceDN w:val="0"/>
              <w:adjustRightInd w:val="0"/>
              <w:spacing w:line="360" w:lineRule="auto"/>
              <w:ind w:left="-108" w:rightChars="-51" w:right="-107"/>
              <w:jc w:val="center"/>
              <w:rPr>
                <w:color w:val="000000"/>
                <w:szCs w:val="21"/>
              </w:rPr>
            </w:pPr>
            <w:r w:rsidRPr="003C5007">
              <w:rPr>
                <w:color w:val="000000"/>
                <w:szCs w:val="21"/>
              </w:rPr>
              <w:t>业绩比较基准收益率标准差</w:t>
            </w:r>
            <w:r w:rsidRPr="003C5007">
              <w:rPr>
                <w:rFonts w:ascii="宋体" w:hAnsi="宋体" w:cs="宋体" w:hint="eastAsia"/>
                <w:color w:val="000000"/>
                <w:szCs w:val="21"/>
              </w:rPr>
              <w:t>④</w:t>
            </w:r>
          </w:p>
        </w:tc>
        <w:tc>
          <w:tcPr>
            <w:tcW w:w="850" w:type="dxa"/>
            <w:vAlign w:val="center"/>
          </w:tcPr>
          <w:p w:rsidR="001C5D85" w:rsidRPr="003C5007" w:rsidRDefault="001C5D85" w:rsidP="003C5007">
            <w:pPr>
              <w:autoSpaceDE w:val="0"/>
              <w:autoSpaceDN w:val="0"/>
              <w:adjustRightInd w:val="0"/>
              <w:spacing w:line="360" w:lineRule="auto"/>
              <w:ind w:left="15"/>
              <w:jc w:val="center"/>
              <w:rPr>
                <w:color w:val="000000"/>
                <w:szCs w:val="21"/>
              </w:rPr>
            </w:pPr>
            <w:r w:rsidRPr="003C5007">
              <w:rPr>
                <w:rFonts w:ascii="宋体" w:hAnsi="宋体" w:cs="宋体" w:hint="eastAsia"/>
                <w:color w:val="000000"/>
                <w:szCs w:val="21"/>
              </w:rPr>
              <w:t>①</w:t>
            </w:r>
            <w:r w:rsidRPr="003C5007">
              <w:rPr>
                <w:color w:val="000000"/>
                <w:szCs w:val="21"/>
              </w:rPr>
              <w:t>-</w:t>
            </w:r>
            <w:r w:rsidRPr="003C5007">
              <w:rPr>
                <w:rFonts w:ascii="宋体" w:hAnsi="宋体" w:cs="宋体" w:hint="eastAsia"/>
                <w:color w:val="000000"/>
                <w:szCs w:val="21"/>
              </w:rPr>
              <w:t>③</w:t>
            </w:r>
          </w:p>
        </w:tc>
        <w:tc>
          <w:tcPr>
            <w:tcW w:w="907" w:type="dxa"/>
            <w:vAlign w:val="center"/>
          </w:tcPr>
          <w:p w:rsidR="001C5D85" w:rsidRPr="003C5007" w:rsidRDefault="001C5D85" w:rsidP="003C5007">
            <w:pPr>
              <w:autoSpaceDE w:val="0"/>
              <w:autoSpaceDN w:val="0"/>
              <w:adjustRightInd w:val="0"/>
              <w:spacing w:line="360" w:lineRule="auto"/>
              <w:ind w:left="15"/>
              <w:jc w:val="center"/>
              <w:rPr>
                <w:color w:val="000000"/>
                <w:szCs w:val="21"/>
              </w:rPr>
            </w:pPr>
            <w:r w:rsidRPr="003C5007">
              <w:rPr>
                <w:rFonts w:ascii="宋体" w:hAnsi="宋体" w:cs="宋体" w:hint="eastAsia"/>
                <w:color w:val="000000"/>
                <w:szCs w:val="21"/>
              </w:rPr>
              <w:t>②</w:t>
            </w:r>
            <w:r w:rsidRPr="003C5007">
              <w:rPr>
                <w:color w:val="000000"/>
                <w:szCs w:val="21"/>
              </w:rPr>
              <w:t>-</w:t>
            </w:r>
            <w:r w:rsidRPr="003C5007">
              <w:rPr>
                <w:rFonts w:ascii="宋体" w:hAnsi="宋体" w:cs="宋体" w:hint="eastAsia"/>
                <w:color w:val="000000"/>
                <w:szCs w:val="21"/>
              </w:rPr>
              <w:t>④</w:t>
            </w:r>
          </w:p>
        </w:tc>
      </w:tr>
      <w:tr w:rsidR="008E3BA0" w:rsidTr="008E5013">
        <w:tc>
          <w:tcPr>
            <w:tcW w:w="1395" w:type="dxa"/>
            <w:vAlign w:val="center"/>
          </w:tcPr>
          <w:p w:rsidR="008E3BA0" w:rsidRDefault="008E5013">
            <w:pPr>
              <w:jc w:val="left"/>
            </w:pPr>
            <w:r>
              <w:rPr>
                <w:color w:val="000000"/>
                <w:szCs w:val="21"/>
              </w:rPr>
              <w:t>自本报告期初至</w:t>
            </w:r>
            <w:r w:rsidR="00C733F6">
              <w:rPr>
                <w:rFonts w:eastAsiaTheme="minorEastAsia" w:hint="eastAsia"/>
                <w:color w:val="000000" w:themeColor="text1"/>
                <w:szCs w:val="21"/>
              </w:rPr>
              <w:t>分级运作终止</w:t>
            </w:r>
            <w:r w:rsidR="00C733F6">
              <w:rPr>
                <w:rFonts w:eastAsiaTheme="minorEastAsia"/>
                <w:color w:val="000000" w:themeColor="text1"/>
                <w:szCs w:val="21"/>
              </w:rPr>
              <w:t>日</w:t>
            </w:r>
            <w:r>
              <w:rPr>
                <w:color w:val="000000"/>
                <w:szCs w:val="21"/>
              </w:rPr>
              <w:t>（</w:t>
            </w:r>
            <w:r>
              <w:rPr>
                <w:color w:val="000000"/>
                <w:szCs w:val="21"/>
              </w:rPr>
              <w:t>2017</w:t>
            </w:r>
            <w:r>
              <w:rPr>
                <w:color w:val="000000"/>
                <w:szCs w:val="21"/>
              </w:rPr>
              <w:t>年</w:t>
            </w:r>
            <w:r>
              <w:rPr>
                <w:color w:val="000000"/>
                <w:szCs w:val="21"/>
              </w:rPr>
              <w:t>4</w:t>
            </w:r>
            <w:r>
              <w:rPr>
                <w:color w:val="000000"/>
                <w:szCs w:val="21"/>
              </w:rPr>
              <w:t>月</w:t>
            </w:r>
            <w:r>
              <w:rPr>
                <w:color w:val="000000"/>
                <w:szCs w:val="21"/>
              </w:rPr>
              <w:t>1</w:t>
            </w:r>
            <w:r>
              <w:rPr>
                <w:color w:val="000000"/>
                <w:szCs w:val="21"/>
              </w:rPr>
              <w:t>日至</w:t>
            </w:r>
            <w:r>
              <w:rPr>
                <w:color w:val="000000"/>
                <w:szCs w:val="21"/>
              </w:rPr>
              <w:t>2017</w:t>
            </w:r>
            <w:r>
              <w:rPr>
                <w:color w:val="000000"/>
                <w:szCs w:val="21"/>
              </w:rPr>
              <w:t>年</w:t>
            </w:r>
            <w:r>
              <w:rPr>
                <w:color w:val="000000"/>
                <w:szCs w:val="21"/>
              </w:rPr>
              <w:t>5</w:t>
            </w:r>
            <w:r>
              <w:rPr>
                <w:color w:val="000000"/>
                <w:szCs w:val="21"/>
              </w:rPr>
              <w:t>月</w:t>
            </w:r>
            <w:r>
              <w:rPr>
                <w:color w:val="000000"/>
                <w:szCs w:val="21"/>
              </w:rPr>
              <w:t>8</w:t>
            </w:r>
            <w:r>
              <w:rPr>
                <w:color w:val="000000"/>
                <w:szCs w:val="21"/>
              </w:rPr>
              <w:t>日）</w:t>
            </w:r>
          </w:p>
        </w:tc>
        <w:tc>
          <w:tcPr>
            <w:tcW w:w="1092" w:type="dxa"/>
            <w:vAlign w:val="center"/>
          </w:tcPr>
          <w:p w:rsidR="008E3BA0" w:rsidRDefault="008E5013">
            <w:pPr>
              <w:jc w:val="center"/>
            </w:pPr>
            <w:r>
              <w:rPr>
                <w:color w:val="000000"/>
                <w:szCs w:val="21"/>
              </w:rPr>
              <w:t>-4.75%</w:t>
            </w:r>
          </w:p>
        </w:tc>
        <w:tc>
          <w:tcPr>
            <w:tcW w:w="1161" w:type="dxa"/>
            <w:vAlign w:val="center"/>
          </w:tcPr>
          <w:p w:rsidR="008E3BA0" w:rsidRDefault="008E5013">
            <w:pPr>
              <w:jc w:val="center"/>
            </w:pPr>
            <w:r>
              <w:rPr>
                <w:color w:val="000000"/>
                <w:szCs w:val="21"/>
              </w:rPr>
              <w:t>0.78%</w:t>
            </w:r>
          </w:p>
        </w:tc>
        <w:tc>
          <w:tcPr>
            <w:tcW w:w="1455" w:type="dxa"/>
            <w:vAlign w:val="center"/>
          </w:tcPr>
          <w:p w:rsidR="008E3BA0" w:rsidRDefault="008E5013">
            <w:pPr>
              <w:jc w:val="center"/>
            </w:pPr>
            <w:r>
              <w:rPr>
                <w:color w:val="000000"/>
                <w:szCs w:val="21"/>
              </w:rPr>
              <w:t>-4.73%</w:t>
            </w:r>
          </w:p>
        </w:tc>
        <w:tc>
          <w:tcPr>
            <w:tcW w:w="1560" w:type="dxa"/>
            <w:vAlign w:val="center"/>
          </w:tcPr>
          <w:p w:rsidR="008E3BA0" w:rsidRDefault="008E5013">
            <w:pPr>
              <w:jc w:val="center"/>
            </w:pPr>
            <w:r>
              <w:rPr>
                <w:color w:val="000000"/>
                <w:szCs w:val="21"/>
              </w:rPr>
              <w:t>0.79%</w:t>
            </w:r>
          </w:p>
        </w:tc>
        <w:tc>
          <w:tcPr>
            <w:tcW w:w="850" w:type="dxa"/>
            <w:vAlign w:val="center"/>
          </w:tcPr>
          <w:p w:rsidR="008E3BA0" w:rsidRDefault="008E5013">
            <w:pPr>
              <w:jc w:val="center"/>
            </w:pPr>
            <w:r>
              <w:rPr>
                <w:color w:val="000000"/>
                <w:szCs w:val="21"/>
              </w:rPr>
              <w:t>-0.02%</w:t>
            </w:r>
          </w:p>
        </w:tc>
        <w:tc>
          <w:tcPr>
            <w:tcW w:w="907" w:type="dxa"/>
            <w:vAlign w:val="center"/>
          </w:tcPr>
          <w:p w:rsidR="008E3BA0" w:rsidRDefault="008E5013">
            <w:pPr>
              <w:jc w:val="center"/>
            </w:pPr>
            <w:r>
              <w:rPr>
                <w:color w:val="000000"/>
                <w:szCs w:val="21"/>
              </w:rPr>
              <w:t>-0.01%</w:t>
            </w:r>
          </w:p>
        </w:tc>
      </w:tr>
    </w:tbl>
    <w:p w:rsidR="00D42BEA" w:rsidRPr="00514C11" w:rsidRDefault="00D42BEA" w:rsidP="00D42BEA">
      <w:pPr>
        <w:spacing w:line="360" w:lineRule="auto"/>
        <w:ind w:rightChars="-60" w:right="-126"/>
        <w:rPr>
          <w:b/>
          <w:color w:val="000000"/>
          <w:kern w:val="0"/>
        </w:rPr>
      </w:pPr>
      <w:r w:rsidRPr="00514C11">
        <w:rPr>
          <w:b/>
          <w:color w:val="000000"/>
          <w:kern w:val="0"/>
        </w:rPr>
        <w:t>3.2.2.2</w:t>
      </w:r>
      <w:r w:rsidRPr="00514C11">
        <w:rPr>
          <w:b/>
          <w:color w:val="000000"/>
          <w:kern w:val="0"/>
        </w:rPr>
        <w:t>自基金转型以来基金份额累计净值增长率变动及其与同期业绩比较基准收益率变动的比较</w:t>
      </w:r>
    </w:p>
    <w:p w:rsidR="00D42BEA" w:rsidRPr="00514C11" w:rsidRDefault="00D42BEA" w:rsidP="00D42BEA">
      <w:pPr>
        <w:spacing w:line="360" w:lineRule="auto"/>
        <w:jc w:val="center"/>
        <w:rPr>
          <w:color w:val="000000"/>
        </w:rPr>
      </w:pPr>
      <w:r w:rsidRPr="00514C11">
        <w:rPr>
          <w:color w:val="000000"/>
        </w:rPr>
        <w:t>申万菱信中小</w:t>
      </w:r>
      <w:proofErr w:type="gramStart"/>
      <w:r w:rsidRPr="00514C11">
        <w:rPr>
          <w:color w:val="000000"/>
        </w:rPr>
        <w:t>板指数</w:t>
      </w:r>
      <w:proofErr w:type="gramEnd"/>
      <w:r w:rsidRPr="00514C11">
        <w:rPr>
          <w:color w:val="000000"/>
        </w:rPr>
        <w:t>分级证券投资基金</w:t>
      </w:r>
    </w:p>
    <w:p w:rsidR="00D42BEA" w:rsidRPr="00514C11" w:rsidRDefault="00D42BEA" w:rsidP="00D42BEA">
      <w:pPr>
        <w:spacing w:line="360" w:lineRule="auto"/>
        <w:jc w:val="center"/>
        <w:rPr>
          <w:color w:val="000000"/>
        </w:rPr>
      </w:pPr>
      <w:r w:rsidRPr="00514C11">
        <w:rPr>
          <w:color w:val="000000"/>
        </w:rPr>
        <w:t>份额累计净值增长率与业绩比较基准收益率历史走势对比图</w:t>
      </w:r>
    </w:p>
    <w:p w:rsidR="00D42BEA" w:rsidRPr="00514C11" w:rsidRDefault="00D42BEA" w:rsidP="00D42BEA">
      <w:pPr>
        <w:spacing w:line="360" w:lineRule="auto"/>
        <w:jc w:val="center"/>
        <w:rPr>
          <w:color w:val="000000"/>
        </w:rPr>
      </w:pPr>
      <w:r w:rsidRPr="00514C11">
        <w:rPr>
          <w:color w:val="000000"/>
        </w:rPr>
        <w:t>(2017</w:t>
      </w:r>
      <w:r w:rsidRPr="00514C11">
        <w:rPr>
          <w:color w:val="000000"/>
        </w:rPr>
        <w:t>年</w:t>
      </w:r>
      <w:r w:rsidRPr="00514C11">
        <w:rPr>
          <w:color w:val="000000"/>
        </w:rPr>
        <w:t>4</w:t>
      </w:r>
      <w:r w:rsidRPr="00514C11">
        <w:rPr>
          <w:color w:val="000000"/>
        </w:rPr>
        <w:t>月</w:t>
      </w:r>
      <w:r w:rsidRPr="00514C11">
        <w:rPr>
          <w:color w:val="000000"/>
        </w:rPr>
        <w:t>1</w:t>
      </w:r>
      <w:r w:rsidRPr="00514C11">
        <w:rPr>
          <w:color w:val="000000"/>
        </w:rPr>
        <w:t>日</w:t>
      </w:r>
      <w:r w:rsidRPr="00514C11">
        <w:rPr>
          <w:color w:val="000000"/>
        </w:rPr>
        <w:t>-2017</w:t>
      </w:r>
      <w:r w:rsidRPr="00514C11">
        <w:rPr>
          <w:color w:val="000000"/>
        </w:rPr>
        <w:t>年</w:t>
      </w:r>
      <w:r w:rsidRPr="00514C11">
        <w:rPr>
          <w:color w:val="000000"/>
        </w:rPr>
        <w:t>5</w:t>
      </w:r>
      <w:r w:rsidRPr="00514C11">
        <w:rPr>
          <w:color w:val="000000"/>
        </w:rPr>
        <w:t>月</w:t>
      </w:r>
      <w:r w:rsidRPr="00514C11">
        <w:rPr>
          <w:color w:val="000000"/>
        </w:rPr>
        <w:t>8</w:t>
      </w:r>
      <w:r w:rsidRPr="00514C11">
        <w:rPr>
          <w:color w:val="000000"/>
        </w:rPr>
        <w:t>日</w:t>
      </w:r>
      <w:r w:rsidRPr="00514C11">
        <w:rPr>
          <w:color w:val="000000"/>
        </w:rPr>
        <w:t>)</w:t>
      </w:r>
    </w:p>
    <w:p w:rsidR="00D42BEA" w:rsidRPr="00514C11" w:rsidRDefault="00B75658" w:rsidP="00D42BEA">
      <w:pPr>
        <w:pStyle w:val="a5"/>
        <w:snapToGrid w:val="0"/>
        <w:spacing w:before="120" w:line="360" w:lineRule="auto"/>
        <w:jc w:val="center"/>
        <w:rPr>
          <w:rFonts w:ascii="Times New Roman" w:eastAsiaTheme="minorEastAsia" w:hAnsi="Times New Roman"/>
          <w:color w:val="000000" w:themeColor="text1"/>
        </w:rPr>
      </w:pPr>
      <w:r w:rsidRPr="00AB7B59">
        <w:rPr>
          <w:rFonts w:eastAsiaTheme="minorEastAsia"/>
          <w:noProof/>
          <w:color w:val="000000"/>
        </w:rPr>
        <w:drawing>
          <wp:inline distT="0" distB="0" distL="0" distR="0">
            <wp:extent cx="5278120" cy="3093468"/>
            <wp:effectExtent l="0" t="0" r="0" b="0"/>
            <wp:docPr id="8" name="图片 8" descr="D:\XBRL\cache\fund\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XBRL\cache\fund\走势图柱状图\走势图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78120" cy="3093468"/>
                    </a:xfrm>
                    <a:prstGeom prst="rect">
                      <a:avLst/>
                    </a:prstGeom>
                    <a:noFill/>
                    <a:ln>
                      <a:noFill/>
                    </a:ln>
                  </pic:spPr>
                </pic:pic>
              </a:graphicData>
            </a:graphic>
          </wp:inline>
        </w:drawing>
      </w:r>
    </w:p>
    <w:p w:rsidR="008E3BA0" w:rsidRDefault="008E5013">
      <w:pPr>
        <w:tabs>
          <w:tab w:val="left" w:pos="1800"/>
        </w:tabs>
        <w:adjustRightInd w:val="0"/>
        <w:snapToGrid w:val="0"/>
        <w:spacing w:line="360" w:lineRule="auto"/>
        <w:rPr>
          <w:color w:val="000000"/>
        </w:rPr>
      </w:pPr>
      <w:r>
        <w:rPr>
          <w:color w:val="000000"/>
        </w:rPr>
        <w:t>注：</w:t>
      </w:r>
      <w:r>
        <w:rPr>
          <w:color w:val="000000"/>
        </w:rPr>
        <w:t>1</w:t>
      </w:r>
      <w:r>
        <w:rPr>
          <w:color w:val="000000"/>
        </w:rPr>
        <w:t>）</w:t>
      </w:r>
      <w:r w:rsidR="007B4504">
        <w:rPr>
          <w:rFonts w:eastAsiaTheme="minorEastAsia"/>
          <w:color w:val="000000" w:themeColor="text1"/>
          <w:szCs w:val="21"/>
        </w:rPr>
        <w:t>根据《基金合同》的相关规定，原申万菱信中小</w:t>
      </w:r>
      <w:proofErr w:type="gramStart"/>
      <w:r w:rsidR="007B4504">
        <w:rPr>
          <w:rFonts w:eastAsiaTheme="minorEastAsia"/>
          <w:color w:val="000000" w:themeColor="text1"/>
          <w:szCs w:val="21"/>
        </w:rPr>
        <w:t>板指数</w:t>
      </w:r>
      <w:proofErr w:type="gramEnd"/>
      <w:r w:rsidR="007B4504">
        <w:rPr>
          <w:rFonts w:eastAsiaTheme="minorEastAsia"/>
          <w:color w:val="000000" w:themeColor="text1"/>
          <w:szCs w:val="21"/>
        </w:rPr>
        <w:t>分级证券投资基金分级运作期共包含五个运作周年。分级运作期结束，无需召开基金份额持有人大会，自动转换为上市开放式基金（</w:t>
      </w:r>
      <w:r w:rsidR="007B4504">
        <w:rPr>
          <w:rFonts w:eastAsiaTheme="minorEastAsia"/>
          <w:color w:val="000000" w:themeColor="text1"/>
          <w:szCs w:val="21"/>
        </w:rPr>
        <w:t>LOF</w:t>
      </w:r>
      <w:r w:rsidR="007B4504">
        <w:rPr>
          <w:rFonts w:eastAsiaTheme="minorEastAsia"/>
          <w:color w:val="000000" w:themeColor="text1"/>
          <w:szCs w:val="21"/>
        </w:rPr>
        <w:t>）。</w:t>
      </w:r>
      <w:r w:rsidR="007B4504">
        <w:rPr>
          <w:rFonts w:eastAsiaTheme="minorEastAsia"/>
          <w:color w:val="000000" w:themeColor="text1"/>
          <w:szCs w:val="21"/>
        </w:rPr>
        <w:t>2017</w:t>
      </w:r>
      <w:r w:rsidR="007B4504">
        <w:rPr>
          <w:rFonts w:eastAsiaTheme="minorEastAsia"/>
          <w:color w:val="000000" w:themeColor="text1"/>
          <w:szCs w:val="21"/>
        </w:rPr>
        <w:t>年</w:t>
      </w:r>
      <w:r w:rsidR="007B4504">
        <w:rPr>
          <w:rFonts w:eastAsiaTheme="minorEastAsia"/>
          <w:color w:val="000000" w:themeColor="text1"/>
          <w:szCs w:val="21"/>
        </w:rPr>
        <w:t>5</w:t>
      </w:r>
      <w:r w:rsidR="007B4504">
        <w:rPr>
          <w:rFonts w:eastAsiaTheme="minorEastAsia"/>
          <w:color w:val="000000" w:themeColor="text1"/>
          <w:szCs w:val="21"/>
        </w:rPr>
        <w:t>月</w:t>
      </w:r>
      <w:r w:rsidR="007B4504">
        <w:rPr>
          <w:rFonts w:eastAsiaTheme="minorEastAsia"/>
          <w:color w:val="000000" w:themeColor="text1"/>
          <w:szCs w:val="21"/>
        </w:rPr>
        <w:t>8</w:t>
      </w:r>
      <w:r w:rsidR="007B4504">
        <w:rPr>
          <w:rFonts w:eastAsiaTheme="minorEastAsia"/>
          <w:color w:val="000000" w:themeColor="text1"/>
          <w:szCs w:val="21"/>
        </w:rPr>
        <w:t>日，申万菱信中小</w:t>
      </w:r>
      <w:proofErr w:type="gramStart"/>
      <w:r w:rsidR="007B4504">
        <w:rPr>
          <w:rFonts w:eastAsiaTheme="minorEastAsia"/>
          <w:color w:val="000000" w:themeColor="text1"/>
          <w:szCs w:val="21"/>
        </w:rPr>
        <w:t>板指数</w:t>
      </w:r>
      <w:proofErr w:type="gramEnd"/>
      <w:r w:rsidR="007B4504">
        <w:rPr>
          <w:rFonts w:eastAsiaTheme="minorEastAsia"/>
          <w:color w:val="000000" w:themeColor="text1"/>
          <w:szCs w:val="21"/>
        </w:rPr>
        <w:t>分级证券投资基金分级运作期结束，申万菱信中小</w:t>
      </w:r>
      <w:proofErr w:type="gramStart"/>
      <w:r w:rsidR="007B4504">
        <w:rPr>
          <w:rFonts w:eastAsiaTheme="minorEastAsia"/>
          <w:color w:val="000000" w:themeColor="text1"/>
          <w:szCs w:val="21"/>
        </w:rPr>
        <w:t>板指数</w:t>
      </w:r>
      <w:proofErr w:type="gramEnd"/>
      <w:r w:rsidR="007B4504">
        <w:rPr>
          <w:rFonts w:eastAsiaTheme="minorEastAsia"/>
          <w:color w:val="000000" w:themeColor="text1"/>
          <w:szCs w:val="21"/>
        </w:rPr>
        <w:t>分级证券投资基金之稳健收益类份额、申万菱信中小</w:t>
      </w:r>
      <w:proofErr w:type="gramStart"/>
      <w:r w:rsidR="007B4504">
        <w:rPr>
          <w:rFonts w:eastAsiaTheme="minorEastAsia"/>
          <w:color w:val="000000" w:themeColor="text1"/>
          <w:szCs w:val="21"/>
        </w:rPr>
        <w:t>板指数</w:t>
      </w:r>
      <w:proofErr w:type="gramEnd"/>
      <w:r w:rsidR="007B4504">
        <w:rPr>
          <w:rFonts w:eastAsiaTheme="minorEastAsia"/>
          <w:color w:val="000000" w:themeColor="text1"/>
          <w:szCs w:val="21"/>
        </w:rPr>
        <w:t>分级证券投资基金之积极进取类份额按照《基金合同》约定折算成场内申万菱信中小</w:t>
      </w:r>
      <w:proofErr w:type="gramStart"/>
      <w:r w:rsidR="007B4504">
        <w:rPr>
          <w:rFonts w:eastAsiaTheme="minorEastAsia"/>
          <w:color w:val="000000" w:themeColor="text1"/>
          <w:szCs w:val="21"/>
        </w:rPr>
        <w:t>板指数</w:t>
      </w:r>
      <w:proofErr w:type="gramEnd"/>
      <w:r w:rsidR="007B4504">
        <w:rPr>
          <w:rFonts w:eastAsiaTheme="minorEastAsia"/>
          <w:color w:val="000000" w:themeColor="text1"/>
          <w:szCs w:val="21"/>
        </w:rPr>
        <w:t>分级证券投资基金之</w:t>
      </w:r>
      <w:proofErr w:type="gramStart"/>
      <w:r w:rsidR="007B4504">
        <w:rPr>
          <w:rFonts w:eastAsiaTheme="minorEastAsia"/>
          <w:color w:val="000000" w:themeColor="text1"/>
          <w:szCs w:val="21"/>
        </w:rPr>
        <w:t>申万中小</w:t>
      </w:r>
      <w:proofErr w:type="gramEnd"/>
      <w:r w:rsidR="007B4504">
        <w:rPr>
          <w:rFonts w:eastAsiaTheme="minorEastAsia"/>
          <w:color w:val="000000" w:themeColor="text1"/>
          <w:szCs w:val="21"/>
        </w:rPr>
        <w:t>板份额，基金名称变更为</w:t>
      </w:r>
      <w:r w:rsidR="007B4504">
        <w:rPr>
          <w:rFonts w:eastAsiaTheme="minorEastAsia"/>
          <w:color w:val="000000" w:themeColor="text1"/>
          <w:szCs w:val="21"/>
        </w:rPr>
        <w:t>“</w:t>
      </w:r>
      <w:r w:rsidR="007B4504">
        <w:rPr>
          <w:rFonts w:eastAsiaTheme="minorEastAsia"/>
          <w:color w:val="000000" w:themeColor="text1"/>
          <w:szCs w:val="21"/>
        </w:rPr>
        <w:t>申万菱信中小板指数证券投资基金（</w:t>
      </w:r>
      <w:r w:rsidR="007B4504">
        <w:rPr>
          <w:rFonts w:eastAsiaTheme="minorEastAsia"/>
          <w:color w:val="000000" w:themeColor="text1"/>
          <w:szCs w:val="21"/>
        </w:rPr>
        <w:t>LOF</w:t>
      </w:r>
      <w:r w:rsidR="007B4504">
        <w:rPr>
          <w:rFonts w:eastAsiaTheme="minorEastAsia"/>
          <w:color w:val="000000" w:themeColor="text1"/>
          <w:szCs w:val="21"/>
        </w:rPr>
        <w:t>）</w:t>
      </w:r>
      <w:r w:rsidR="007B4504">
        <w:rPr>
          <w:rFonts w:eastAsiaTheme="minorEastAsia"/>
          <w:color w:val="000000" w:themeColor="text1"/>
          <w:szCs w:val="21"/>
        </w:rPr>
        <w:t>”</w:t>
      </w:r>
      <w:r>
        <w:rPr>
          <w:color w:val="000000"/>
        </w:rPr>
        <w:t>；</w:t>
      </w:r>
    </w:p>
    <w:p w:rsidR="00D42BEA" w:rsidRPr="00514C11" w:rsidRDefault="00D42BEA" w:rsidP="00D42BEA">
      <w:pPr>
        <w:tabs>
          <w:tab w:val="left" w:pos="1800"/>
        </w:tabs>
        <w:adjustRightInd w:val="0"/>
        <w:snapToGrid w:val="0"/>
        <w:spacing w:line="360" w:lineRule="auto"/>
        <w:rPr>
          <w:color w:val="000000"/>
        </w:rPr>
      </w:pPr>
      <w:r w:rsidRPr="00514C11">
        <w:rPr>
          <w:color w:val="000000"/>
        </w:rPr>
        <w:t>2</w:t>
      </w:r>
      <w:r w:rsidRPr="00514C11">
        <w:rPr>
          <w:color w:val="000000"/>
        </w:rPr>
        <w:t>）本基金的投资范围为具有良好流动性的金融工具，包括国内依法发行上市的股票（包括中小板及其他经中国证监会核准上市的股票）、债券以及中国证监会允许基金投资的其它金融工具（但须符合中国证监会的相关规定）。本基金投资于中小</w:t>
      </w:r>
      <w:proofErr w:type="gramStart"/>
      <w:r w:rsidRPr="00514C11">
        <w:rPr>
          <w:color w:val="000000"/>
        </w:rPr>
        <w:t>板指数</w:t>
      </w:r>
      <w:proofErr w:type="gramEnd"/>
      <w:r w:rsidRPr="00514C11">
        <w:rPr>
          <w:color w:val="000000"/>
        </w:rPr>
        <w:t>成份股及其备选成份股的比例不低于基金资产的</w:t>
      </w:r>
      <w:r w:rsidRPr="00514C11">
        <w:rPr>
          <w:color w:val="000000"/>
        </w:rPr>
        <w:t>90%</w:t>
      </w:r>
      <w:r w:rsidRPr="00514C11">
        <w:rPr>
          <w:color w:val="000000"/>
        </w:rPr>
        <w:t>，现金或者到期日在一年以内的政府债券不低于基金资产的</w:t>
      </w:r>
      <w:r w:rsidRPr="00514C11">
        <w:rPr>
          <w:color w:val="000000"/>
        </w:rPr>
        <w:t>5%</w:t>
      </w:r>
      <w:r w:rsidRPr="00514C11">
        <w:rPr>
          <w:color w:val="000000"/>
        </w:rPr>
        <w:t>。原申万菱信中小</w:t>
      </w:r>
      <w:proofErr w:type="gramStart"/>
      <w:r w:rsidRPr="00514C11">
        <w:rPr>
          <w:color w:val="000000"/>
        </w:rPr>
        <w:t>板指数</w:t>
      </w:r>
      <w:proofErr w:type="gramEnd"/>
      <w:r w:rsidRPr="00514C11">
        <w:rPr>
          <w:color w:val="000000"/>
        </w:rPr>
        <w:t>分级证券投资基金合同于</w:t>
      </w:r>
      <w:r w:rsidRPr="00514C11">
        <w:rPr>
          <w:color w:val="000000"/>
        </w:rPr>
        <w:t>2012</w:t>
      </w:r>
      <w:r w:rsidRPr="00514C11">
        <w:rPr>
          <w:color w:val="000000"/>
        </w:rPr>
        <w:t>年</w:t>
      </w:r>
      <w:r w:rsidRPr="00514C11">
        <w:rPr>
          <w:color w:val="000000"/>
        </w:rPr>
        <w:t>5</w:t>
      </w:r>
      <w:r w:rsidRPr="00514C11">
        <w:rPr>
          <w:color w:val="000000"/>
        </w:rPr>
        <w:t>月</w:t>
      </w:r>
      <w:r w:rsidRPr="00514C11">
        <w:rPr>
          <w:color w:val="000000"/>
        </w:rPr>
        <w:t>8</w:t>
      </w:r>
      <w:r w:rsidRPr="00514C11">
        <w:rPr>
          <w:color w:val="000000"/>
        </w:rPr>
        <w:t>日生效。本基金已在基金合同生效之日起</w:t>
      </w:r>
      <w:r w:rsidRPr="00514C11">
        <w:rPr>
          <w:color w:val="000000"/>
        </w:rPr>
        <w:t>6</w:t>
      </w:r>
      <w:r w:rsidRPr="00514C11">
        <w:rPr>
          <w:color w:val="000000"/>
        </w:rPr>
        <w:t>个月内，使基金的投资组合比例符合基金合同的有关约定。</w:t>
      </w:r>
    </w:p>
    <w:p w:rsidR="00220542" w:rsidRPr="003C5007" w:rsidRDefault="00220542" w:rsidP="00767A35">
      <w:pPr>
        <w:pStyle w:val="1"/>
        <w:spacing w:beforeLines="100" w:before="312" w:afterLines="100" w:after="312" w:line="360" w:lineRule="auto"/>
        <w:jc w:val="center"/>
        <w:rPr>
          <w:rFonts w:eastAsiaTheme="minorEastAsia"/>
          <w:color w:val="000000" w:themeColor="text1"/>
          <w:kern w:val="0"/>
          <w:sz w:val="21"/>
          <w:szCs w:val="21"/>
        </w:rPr>
      </w:pPr>
      <w:r w:rsidRPr="003C5007">
        <w:rPr>
          <w:rFonts w:eastAsiaTheme="minorEastAsia"/>
          <w:color w:val="000000" w:themeColor="text1"/>
          <w:kern w:val="0"/>
          <w:sz w:val="21"/>
          <w:szCs w:val="21"/>
        </w:rPr>
        <w:t xml:space="preserve">§4  </w:t>
      </w:r>
      <w:r w:rsidRPr="003C5007">
        <w:rPr>
          <w:rFonts w:eastAsiaTheme="minorEastAsia"/>
          <w:color w:val="000000" w:themeColor="text1"/>
          <w:kern w:val="0"/>
          <w:sz w:val="21"/>
          <w:szCs w:val="21"/>
        </w:rPr>
        <w:t>管理人报告</w:t>
      </w:r>
    </w:p>
    <w:p w:rsidR="00220542" w:rsidRPr="003C5007" w:rsidRDefault="00220542" w:rsidP="003C5007">
      <w:pPr>
        <w:autoSpaceDE w:val="0"/>
        <w:autoSpaceDN w:val="0"/>
        <w:adjustRightInd w:val="0"/>
        <w:spacing w:line="360" w:lineRule="auto"/>
        <w:jc w:val="left"/>
        <w:rPr>
          <w:rFonts w:eastAsiaTheme="minorEastAsia"/>
          <w:b/>
          <w:color w:val="000000" w:themeColor="text1"/>
          <w:kern w:val="0"/>
          <w:szCs w:val="21"/>
        </w:rPr>
      </w:pPr>
      <w:r w:rsidRPr="003C5007">
        <w:rPr>
          <w:rFonts w:eastAsiaTheme="minorEastAsia"/>
          <w:b/>
          <w:color w:val="000000" w:themeColor="text1"/>
          <w:kern w:val="0"/>
          <w:szCs w:val="21"/>
        </w:rPr>
        <w:t xml:space="preserve">4.1 </w:t>
      </w:r>
      <w:r w:rsidRPr="003C5007">
        <w:rPr>
          <w:rFonts w:eastAsiaTheme="minorEastAsia"/>
          <w:b/>
          <w:color w:val="000000" w:themeColor="text1"/>
          <w:kern w:val="0"/>
          <w:szCs w:val="21"/>
        </w:rPr>
        <w:t>基金经理（或基金经理小组）简介</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567"/>
        <w:gridCol w:w="1276"/>
        <w:gridCol w:w="1134"/>
        <w:gridCol w:w="992"/>
        <w:gridCol w:w="3686"/>
      </w:tblGrid>
      <w:tr w:rsidR="003E712B" w:rsidRPr="003C5007" w:rsidTr="008E5013">
        <w:trPr>
          <w:cantSplit/>
          <w:trHeight w:val="292"/>
        </w:trPr>
        <w:tc>
          <w:tcPr>
            <w:tcW w:w="709" w:type="dxa"/>
            <w:vMerge w:val="restart"/>
            <w:vAlign w:val="center"/>
          </w:tcPr>
          <w:p w:rsidR="000820A8" w:rsidRPr="003C5007" w:rsidRDefault="000820A8" w:rsidP="008E5013">
            <w:pPr>
              <w:widowControl/>
              <w:spacing w:line="360" w:lineRule="auto"/>
              <w:ind w:left="-108" w:rightChars="-51" w:right="-107"/>
              <w:jc w:val="center"/>
              <w:rPr>
                <w:rFonts w:eastAsiaTheme="minorEastAsia"/>
                <w:color w:val="000000" w:themeColor="text1"/>
                <w:kern w:val="0"/>
                <w:szCs w:val="21"/>
              </w:rPr>
            </w:pPr>
            <w:r w:rsidRPr="003C5007">
              <w:rPr>
                <w:rFonts w:eastAsiaTheme="minorEastAsia"/>
                <w:color w:val="000000" w:themeColor="text1"/>
                <w:kern w:val="0"/>
                <w:szCs w:val="21"/>
              </w:rPr>
              <w:t>姓名</w:t>
            </w:r>
          </w:p>
        </w:tc>
        <w:tc>
          <w:tcPr>
            <w:tcW w:w="567" w:type="dxa"/>
            <w:vMerge w:val="restart"/>
            <w:vAlign w:val="center"/>
          </w:tcPr>
          <w:p w:rsidR="000820A8" w:rsidRPr="003C5007" w:rsidRDefault="000820A8" w:rsidP="008E5013">
            <w:pPr>
              <w:widowControl/>
              <w:spacing w:line="360" w:lineRule="auto"/>
              <w:ind w:left="-108" w:rightChars="-51" w:right="-107"/>
              <w:jc w:val="center"/>
              <w:rPr>
                <w:rFonts w:eastAsiaTheme="minorEastAsia"/>
                <w:color w:val="000000" w:themeColor="text1"/>
                <w:kern w:val="0"/>
                <w:szCs w:val="21"/>
              </w:rPr>
            </w:pPr>
            <w:r w:rsidRPr="003C5007">
              <w:rPr>
                <w:rFonts w:eastAsiaTheme="minorEastAsia"/>
                <w:color w:val="000000" w:themeColor="text1"/>
                <w:kern w:val="0"/>
                <w:szCs w:val="21"/>
              </w:rPr>
              <w:t>职务</w:t>
            </w:r>
          </w:p>
        </w:tc>
        <w:tc>
          <w:tcPr>
            <w:tcW w:w="2410" w:type="dxa"/>
            <w:gridSpan w:val="2"/>
            <w:vAlign w:val="center"/>
          </w:tcPr>
          <w:p w:rsidR="000820A8" w:rsidRPr="003C5007" w:rsidRDefault="000820A8" w:rsidP="008E5013">
            <w:pPr>
              <w:autoSpaceDE w:val="0"/>
              <w:autoSpaceDN w:val="0"/>
              <w:adjustRightInd w:val="0"/>
              <w:spacing w:line="360" w:lineRule="auto"/>
              <w:ind w:left="-108" w:rightChars="-51" w:right="-107"/>
              <w:jc w:val="center"/>
              <w:rPr>
                <w:rFonts w:eastAsiaTheme="minorEastAsia"/>
                <w:color w:val="000000" w:themeColor="text1"/>
                <w:kern w:val="0"/>
                <w:szCs w:val="21"/>
              </w:rPr>
            </w:pPr>
            <w:proofErr w:type="gramStart"/>
            <w:r w:rsidRPr="003C5007">
              <w:rPr>
                <w:rFonts w:eastAsiaTheme="minorEastAsia"/>
                <w:color w:val="000000" w:themeColor="text1"/>
                <w:kern w:val="0"/>
                <w:szCs w:val="21"/>
              </w:rPr>
              <w:t>任本基金</w:t>
            </w:r>
            <w:proofErr w:type="gramEnd"/>
            <w:r w:rsidRPr="003C5007">
              <w:rPr>
                <w:rFonts w:eastAsiaTheme="minorEastAsia"/>
                <w:color w:val="000000" w:themeColor="text1"/>
                <w:kern w:val="0"/>
                <w:szCs w:val="21"/>
              </w:rPr>
              <w:t>的基金经理期限</w:t>
            </w:r>
          </w:p>
        </w:tc>
        <w:tc>
          <w:tcPr>
            <w:tcW w:w="992" w:type="dxa"/>
            <w:vMerge w:val="restart"/>
            <w:vAlign w:val="center"/>
          </w:tcPr>
          <w:p w:rsidR="000820A8" w:rsidRPr="003C5007" w:rsidRDefault="000820A8" w:rsidP="003C5007">
            <w:pPr>
              <w:autoSpaceDE w:val="0"/>
              <w:autoSpaceDN w:val="0"/>
              <w:adjustRightInd w:val="0"/>
              <w:spacing w:line="360" w:lineRule="auto"/>
              <w:ind w:left="17"/>
              <w:jc w:val="center"/>
              <w:rPr>
                <w:rFonts w:eastAsiaTheme="minorEastAsia"/>
                <w:color w:val="000000" w:themeColor="text1"/>
                <w:kern w:val="0"/>
                <w:szCs w:val="21"/>
              </w:rPr>
            </w:pPr>
            <w:r w:rsidRPr="003C5007">
              <w:rPr>
                <w:rFonts w:eastAsiaTheme="minorEastAsia"/>
                <w:color w:val="000000" w:themeColor="text1"/>
                <w:kern w:val="0"/>
                <w:szCs w:val="21"/>
              </w:rPr>
              <w:t>证券从业年限</w:t>
            </w:r>
          </w:p>
        </w:tc>
        <w:tc>
          <w:tcPr>
            <w:tcW w:w="3686" w:type="dxa"/>
            <w:vMerge w:val="restart"/>
            <w:vAlign w:val="center"/>
          </w:tcPr>
          <w:p w:rsidR="000820A8" w:rsidRPr="003C5007" w:rsidRDefault="000820A8" w:rsidP="003C5007">
            <w:pPr>
              <w:widowControl/>
              <w:spacing w:line="360" w:lineRule="auto"/>
              <w:ind w:left="17"/>
              <w:jc w:val="center"/>
              <w:rPr>
                <w:rFonts w:eastAsiaTheme="minorEastAsia"/>
                <w:color w:val="000000" w:themeColor="text1"/>
                <w:kern w:val="0"/>
                <w:szCs w:val="21"/>
              </w:rPr>
            </w:pPr>
            <w:r w:rsidRPr="003C5007">
              <w:rPr>
                <w:rFonts w:eastAsiaTheme="minorEastAsia"/>
                <w:color w:val="000000" w:themeColor="text1"/>
                <w:kern w:val="0"/>
                <w:szCs w:val="21"/>
              </w:rPr>
              <w:t>说明</w:t>
            </w:r>
          </w:p>
        </w:tc>
      </w:tr>
      <w:tr w:rsidR="003E712B" w:rsidRPr="003C5007" w:rsidTr="008E5013">
        <w:trPr>
          <w:cantSplit/>
        </w:trPr>
        <w:tc>
          <w:tcPr>
            <w:tcW w:w="709" w:type="dxa"/>
            <w:vMerge/>
            <w:vAlign w:val="center"/>
          </w:tcPr>
          <w:p w:rsidR="000820A8" w:rsidRPr="003C5007" w:rsidRDefault="000820A8" w:rsidP="008E5013">
            <w:pPr>
              <w:widowControl/>
              <w:spacing w:line="360" w:lineRule="auto"/>
              <w:ind w:left="-108" w:rightChars="-51" w:right="-107"/>
              <w:jc w:val="left"/>
              <w:rPr>
                <w:rFonts w:eastAsiaTheme="minorEastAsia"/>
                <w:color w:val="000000" w:themeColor="text1"/>
                <w:kern w:val="0"/>
                <w:szCs w:val="21"/>
              </w:rPr>
            </w:pPr>
          </w:p>
        </w:tc>
        <w:tc>
          <w:tcPr>
            <w:tcW w:w="567" w:type="dxa"/>
            <w:vMerge/>
            <w:vAlign w:val="center"/>
          </w:tcPr>
          <w:p w:rsidR="000820A8" w:rsidRPr="003C5007" w:rsidRDefault="000820A8" w:rsidP="008E5013">
            <w:pPr>
              <w:widowControl/>
              <w:spacing w:line="360" w:lineRule="auto"/>
              <w:ind w:left="-108" w:rightChars="-51" w:right="-107"/>
              <w:jc w:val="left"/>
              <w:rPr>
                <w:rFonts w:eastAsiaTheme="minorEastAsia"/>
                <w:color w:val="000000" w:themeColor="text1"/>
                <w:kern w:val="0"/>
                <w:szCs w:val="21"/>
              </w:rPr>
            </w:pPr>
          </w:p>
        </w:tc>
        <w:tc>
          <w:tcPr>
            <w:tcW w:w="1276" w:type="dxa"/>
            <w:vAlign w:val="center"/>
          </w:tcPr>
          <w:p w:rsidR="000820A8" w:rsidRPr="003C5007" w:rsidRDefault="000820A8" w:rsidP="003C5007">
            <w:pPr>
              <w:autoSpaceDE w:val="0"/>
              <w:autoSpaceDN w:val="0"/>
              <w:adjustRightInd w:val="0"/>
              <w:spacing w:line="360" w:lineRule="auto"/>
              <w:ind w:left="17"/>
              <w:jc w:val="center"/>
              <w:rPr>
                <w:rFonts w:eastAsiaTheme="minorEastAsia"/>
                <w:color w:val="000000" w:themeColor="text1"/>
                <w:kern w:val="0"/>
                <w:szCs w:val="21"/>
              </w:rPr>
            </w:pPr>
            <w:r w:rsidRPr="003C5007">
              <w:rPr>
                <w:rFonts w:eastAsiaTheme="minorEastAsia"/>
                <w:color w:val="000000" w:themeColor="text1"/>
                <w:kern w:val="0"/>
                <w:szCs w:val="21"/>
              </w:rPr>
              <w:t>任职日期</w:t>
            </w:r>
          </w:p>
        </w:tc>
        <w:tc>
          <w:tcPr>
            <w:tcW w:w="1134" w:type="dxa"/>
            <w:vAlign w:val="center"/>
          </w:tcPr>
          <w:p w:rsidR="000820A8" w:rsidRPr="003C5007" w:rsidRDefault="000820A8" w:rsidP="003C5007">
            <w:pPr>
              <w:autoSpaceDE w:val="0"/>
              <w:autoSpaceDN w:val="0"/>
              <w:adjustRightInd w:val="0"/>
              <w:spacing w:line="360" w:lineRule="auto"/>
              <w:ind w:left="17"/>
              <w:jc w:val="center"/>
              <w:rPr>
                <w:rFonts w:eastAsiaTheme="minorEastAsia"/>
                <w:color w:val="000000" w:themeColor="text1"/>
                <w:kern w:val="0"/>
                <w:szCs w:val="21"/>
              </w:rPr>
            </w:pPr>
            <w:r w:rsidRPr="003C5007">
              <w:rPr>
                <w:rFonts w:eastAsiaTheme="minorEastAsia"/>
                <w:color w:val="000000" w:themeColor="text1"/>
                <w:kern w:val="0"/>
                <w:szCs w:val="21"/>
              </w:rPr>
              <w:t>离任日期</w:t>
            </w:r>
          </w:p>
        </w:tc>
        <w:tc>
          <w:tcPr>
            <w:tcW w:w="992" w:type="dxa"/>
            <w:vMerge/>
            <w:vAlign w:val="center"/>
          </w:tcPr>
          <w:p w:rsidR="000820A8" w:rsidRPr="003C5007" w:rsidRDefault="000820A8" w:rsidP="003C5007">
            <w:pPr>
              <w:widowControl/>
              <w:spacing w:line="360" w:lineRule="auto"/>
              <w:jc w:val="left"/>
              <w:rPr>
                <w:rFonts w:eastAsiaTheme="minorEastAsia"/>
                <w:color w:val="000000" w:themeColor="text1"/>
                <w:kern w:val="0"/>
                <w:szCs w:val="21"/>
              </w:rPr>
            </w:pPr>
          </w:p>
        </w:tc>
        <w:tc>
          <w:tcPr>
            <w:tcW w:w="3686" w:type="dxa"/>
            <w:vMerge/>
            <w:vAlign w:val="center"/>
          </w:tcPr>
          <w:p w:rsidR="000820A8" w:rsidRPr="003C5007" w:rsidRDefault="000820A8" w:rsidP="003C5007">
            <w:pPr>
              <w:widowControl/>
              <w:spacing w:line="360" w:lineRule="auto"/>
              <w:jc w:val="left"/>
              <w:rPr>
                <w:rFonts w:eastAsiaTheme="minorEastAsia"/>
                <w:color w:val="000000" w:themeColor="text1"/>
                <w:kern w:val="0"/>
                <w:szCs w:val="21"/>
              </w:rPr>
            </w:pPr>
          </w:p>
        </w:tc>
      </w:tr>
      <w:tr w:rsidR="008E3BA0" w:rsidTr="008E5013">
        <w:tc>
          <w:tcPr>
            <w:tcW w:w="709" w:type="dxa"/>
            <w:vAlign w:val="center"/>
          </w:tcPr>
          <w:p w:rsidR="008E3BA0" w:rsidRDefault="008E5013" w:rsidP="008E5013">
            <w:pPr>
              <w:ind w:left="-108" w:rightChars="-51" w:right="-107"/>
              <w:jc w:val="center"/>
            </w:pPr>
            <w:r>
              <w:rPr>
                <w:rFonts w:eastAsiaTheme="minorEastAsia"/>
                <w:color w:val="000000" w:themeColor="text1"/>
                <w:szCs w:val="21"/>
              </w:rPr>
              <w:t>袁英杰</w:t>
            </w:r>
          </w:p>
        </w:tc>
        <w:tc>
          <w:tcPr>
            <w:tcW w:w="567" w:type="dxa"/>
            <w:vAlign w:val="center"/>
          </w:tcPr>
          <w:p w:rsidR="008E3BA0" w:rsidRDefault="008E5013" w:rsidP="008E5013">
            <w:pPr>
              <w:ind w:left="-108" w:rightChars="-51" w:right="-107"/>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w:t>
            </w:r>
          </w:p>
        </w:tc>
        <w:tc>
          <w:tcPr>
            <w:tcW w:w="1276" w:type="dxa"/>
            <w:vAlign w:val="center"/>
          </w:tcPr>
          <w:p w:rsidR="008E3BA0" w:rsidRDefault="008E5013">
            <w:pPr>
              <w:jc w:val="center"/>
            </w:pPr>
            <w:r>
              <w:rPr>
                <w:rFonts w:eastAsiaTheme="minorEastAsia"/>
                <w:color w:val="000000" w:themeColor="text1"/>
                <w:szCs w:val="21"/>
              </w:rPr>
              <w:t>2015-01-30</w:t>
            </w:r>
          </w:p>
        </w:tc>
        <w:tc>
          <w:tcPr>
            <w:tcW w:w="1134" w:type="dxa"/>
            <w:vAlign w:val="center"/>
          </w:tcPr>
          <w:p w:rsidR="008E3BA0" w:rsidRDefault="008E5013">
            <w:pPr>
              <w:jc w:val="center"/>
            </w:pPr>
            <w:r>
              <w:rPr>
                <w:rFonts w:eastAsiaTheme="minorEastAsia"/>
                <w:color w:val="000000" w:themeColor="text1"/>
                <w:szCs w:val="21"/>
              </w:rPr>
              <w:t>-</w:t>
            </w:r>
          </w:p>
        </w:tc>
        <w:tc>
          <w:tcPr>
            <w:tcW w:w="992" w:type="dxa"/>
            <w:vAlign w:val="center"/>
          </w:tcPr>
          <w:p w:rsidR="008E3BA0" w:rsidRDefault="008E5013">
            <w:pPr>
              <w:jc w:val="center"/>
            </w:pPr>
            <w:r>
              <w:rPr>
                <w:rFonts w:eastAsiaTheme="minorEastAsia"/>
                <w:color w:val="000000" w:themeColor="text1"/>
                <w:szCs w:val="21"/>
              </w:rPr>
              <w:t>10</w:t>
            </w:r>
            <w:r>
              <w:rPr>
                <w:rFonts w:eastAsiaTheme="minorEastAsia"/>
                <w:color w:val="000000" w:themeColor="text1"/>
                <w:szCs w:val="21"/>
              </w:rPr>
              <w:t>年</w:t>
            </w:r>
          </w:p>
        </w:tc>
        <w:tc>
          <w:tcPr>
            <w:tcW w:w="3686" w:type="dxa"/>
            <w:vAlign w:val="center"/>
          </w:tcPr>
          <w:p w:rsidR="008E3BA0" w:rsidRDefault="008E5013">
            <w:r>
              <w:rPr>
                <w:rFonts w:eastAsiaTheme="minorEastAsia"/>
                <w:color w:val="000000" w:themeColor="text1"/>
                <w:szCs w:val="21"/>
              </w:rPr>
              <w:t>袁英杰先生，硕士研究生。曾任职于兴业证券、申银万国证券研究所等，</w:t>
            </w:r>
            <w:r>
              <w:rPr>
                <w:rFonts w:eastAsiaTheme="minorEastAsia"/>
                <w:color w:val="000000" w:themeColor="text1"/>
                <w:szCs w:val="21"/>
              </w:rPr>
              <w:t>2013</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月加入申万菱信基金管理有限公司，曾任高级数量研究员，基金经理助理，申万</w:t>
            </w:r>
            <w:proofErr w:type="gramStart"/>
            <w:r>
              <w:rPr>
                <w:rFonts w:eastAsiaTheme="minorEastAsia"/>
                <w:color w:val="000000" w:themeColor="text1"/>
                <w:szCs w:val="21"/>
              </w:rPr>
              <w:t>菱</w:t>
            </w:r>
            <w:proofErr w:type="gramEnd"/>
            <w:r>
              <w:rPr>
                <w:rFonts w:eastAsiaTheme="minorEastAsia"/>
                <w:color w:val="000000" w:themeColor="text1"/>
                <w:szCs w:val="21"/>
              </w:rPr>
              <w:t>信中证申万电子行业投资指数分级证券投资基金、申万</w:t>
            </w:r>
            <w:proofErr w:type="gramStart"/>
            <w:r>
              <w:rPr>
                <w:rFonts w:eastAsiaTheme="minorEastAsia"/>
                <w:color w:val="000000" w:themeColor="text1"/>
                <w:szCs w:val="21"/>
              </w:rPr>
              <w:t>菱</w:t>
            </w:r>
            <w:proofErr w:type="gramEnd"/>
            <w:r>
              <w:rPr>
                <w:rFonts w:eastAsiaTheme="minorEastAsia"/>
                <w:color w:val="000000" w:themeColor="text1"/>
                <w:szCs w:val="21"/>
              </w:rPr>
              <w:t>信中证申万传媒行业投资指数分级证券投资基金、申万</w:t>
            </w:r>
            <w:proofErr w:type="gramStart"/>
            <w:r>
              <w:rPr>
                <w:rFonts w:eastAsiaTheme="minorEastAsia"/>
                <w:color w:val="000000" w:themeColor="text1"/>
                <w:szCs w:val="21"/>
              </w:rPr>
              <w:t>菱</w:t>
            </w:r>
            <w:proofErr w:type="gramEnd"/>
            <w:r>
              <w:rPr>
                <w:rFonts w:eastAsiaTheme="minorEastAsia"/>
                <w:color w:val="000000" w:themeColor="text1"/>
                <w:szCs w:val="21"/>
              </w:rPr>
              <w:t>信中证申万医药生物指数分级证券投资</w:t>
            </w:r>
            <w:proofErr w:type="gramStart"/>
            <w:r>
              <w:rPr>
                <w:rFonts w:eastAsiaTheme="minorEastAsia"/>
                <w:color w:val="000000" w:themeColor="text1"/>
                <w:szCs w:val="21"/>
              </w:rPr>
              <w:t>基金基金</w:t>
            </w:r>
            <w:proofErr w:type="gramEnd"/>
            <w:r>
              <w:rPr>
                <w:rFonts w:eastAsiaTheme="minorEastAsia"/>
                <w:color w:val="000000" w:themeColor="text1"/>
                <w:szCs w:val="21"/>
              </w:rPr>
              <w:t>经理，现任申万菱信深证成指分级证券投资基金、申万菱信中小</w:t>
            </w:r>
            <w:proofErr w:type="gramStart"/>
            <w:r>
              <w:rPr>
                <w:rFonts w:eastAsiaTheme="minorEastAsia"/>
                <w:color w:val="000000" w:themeColor="text1"/>
                <w:szCs w:val="21"/>
              </w:rPr>
              <w:t>板指数</w:t>
            </w:r>
            <w:proofErr w:type="gramEnd"/>
            <w:r>
              <w:rPr>
                <w:rFonts w:eastAsiaTheme="minorEastAsia"/>
                <w:color w:val="000000" w:themeColor="text1"/>
                <w:szCs w:val="21"/>
              </w:rPr>
              <w:t>证券投资基金（</w:t>
            </w:r>
            <w:r>
              <w:rPr>
                <w:rFonts w:eastAsiaTheme="minorEastAsia"/>
                <w:color w:val="000000" w:themeColor="text1"/>
                <w:szCs w:val="21"/>
              </w:rPr>
              <w:t>LOF</w:t>
            </w:r>
            <w:r>
              <w:rPr>
                <w:rFonts w:eastAsiaTheme="minorEastAsia"/>
                <w:color w:val="000000" w:themeColor="text1"/>
                <w:szCs w:val="21"/>
              </w:rPr>
              <w:t>）、申万</w:t>
            </w:r>
            <w:proofErr w:type="gramStart"/>
            <w:r>
              <w:rPr>
                <w:rFonts w:eastAsiaTheme="minorEastAsia"/>
                <w:color w:val="000000" w:themeColor="text1"/>
                <w:szCs w:val="21"/>
              </w:rPr>
              <w:t>菱</w:t>
            </w:r>
            <w:proofErr w:type="gramEnd"/>
            <w:r>
              <w:rPr>
                <w:rFonts w:eastAsiaTheme="minorEastAsia"/>
                <w:color w:val="000000" w:themeColor="text1"/>
                <w:szCs w:val="21"/>
              </w:rPr>
              <w:t>信中证申万证券行业指数分级证券投资基金、申万</w:t>
            </w:r>
            <w:proofErr w:type="gramStart"/>
            <w:r>
              <w:rPr>
                <w:rFonts w:eastAsiaTheme="minorEastAsia"/>
                <w:color w:val="000000" w:themeColor="text1"/>
                <w:szCs w:val="21"/>
              </w:rPr>
              <w:t>菱</w:t>
            </w:r>
            <w:proofErr w:type="gramEnd"/>
            <w:r>
              <w:rPr>
                <w:rFonts w:eastAsiaTheme="minorEastAsia"/>
                <w:color w:val="000000" w:themeColor="text1"/>
                <w:szCs w:val="21"/>
              </w:rPr>
              <w:t>信中证环保产业指数分级证券投资基金、申万</w:t>
            </w:r>
            <w:proofErr w:type="gramStart"/>
            <w:r>
              <w:rPr>
                <w:rFonts w:eastAsiaTheme="minorEastAsia"/>
                <w:color w:val="000000" w:themeColor="text1"/>
                <w:szCs w:val="21"/>
              </w:rPr>
              <w:t>菱</w:t>
            </w:r>
            <w:proofErr w:type="gramEnd"/>
            <w:r>
              <w:rPr>
                <w:rFonts w:eastAsiaTheme="minorEastAsia"/>
                <w:color w:val="000000" w:themeColor="text1"/>
                <w:szCs w:val="21"/>
              </w:rPr>
              <w:t>信中证军工指数分级证券投资基金、申万</w:t>
            </w:r>
            <w:proofErr w:type="gramStart"/>
            <w:r>
              <w:rPr>
                <w:rFonts w:eastAsiaTheme="minorEastAsia"/>
                <w:color w:val="000000" w:themeColor="text1"/>
                <w:szCs w:val="21"/>
              </w:rPr>
              <w:t>菱信沪深</w:t>
            </w:r>
            <w:proofErr w:type="gramEnd"/>
            <w:r>
              <w:rPr>
                <w:rFonts w:eastAsiaTheme="minorEastAsia"/>
                <w:color w:val="000000" w:themeColor="text1"/>
                <w:szCs w:val="21"/>
              </w:rPr>
              <w:t>300</w:t>
            </w:r>
            <w:r>
              <w:rPr>
                <w:rFonts w:eastAsiaTheme="minorEastAsia"/>
                <w:color w:val="000000" w:themeColor="text1"/>
                <w:szCs w:val="21"/>
              </w:rPr>
              <w:t>指数增强型证券投资基金、申万</w:t>
            </w:r>
            <w:proofErr w:type="gramStart"/>
            <w:r>
              <w:rPr>
                <w:rFonts w:eastAsiaTheme="minorEastAsia"/>
                <w:color w:val="000000" w:themeColor="text1"/>
                <w:szCs w:val="21"/>
              </w:rPr>
              <w:t>菱</w:t>
            </w:r>
            <w:proofErr w:type="gramEnd"/>
            <w:r>
              <w:rPr>
                <w:rFonts w:eastAsiaTheme="minorEastAsia"/>
                <w:color w:val="000000" w:themeColor="text1"/>
                <w:szCs w:val="21"/>
              </w:rPr>
              <w:t>信中证</w:t>
            </w:r>
            <w:r>
              <w:rPr>
                <w:rFonts w:eastAsiaTheme="minorEastAsia"/>
                <w:color w:val="000000" w:themeColor="text1"/>
                <w:szCs w:val="21"/>
              </w:rPr>
              <w:t>500</w:t>
            </w:r>
            <w:r>
              <w:rPr>
                <w:rFonts w:eastAsiaTheme="minorEastAsia"/>
                <w:color w:val="000000" w:themeColor="text1"/>
                <w:szCs w:val="21"/>
              </w:rPr>
              <w:t>指数优选增强型证券投资基金、申万</w:t>
            </w:r>
            <w:proofErr w:type="gramStart"/>
            <w:r>
              <w:rPr>
                <w:rFonts w:eastAsiaTheme="minorEastAsia"/>
                <w:color w:val="000000" w:themeColor="text1"/>
                <w:szCs w:val="21"/>
              </w:rPr>
              <w:t>菱</w:t>
            </w:r>
            <w:proofErr w:type="gramEnd"/>
            <w:r>
              <w:rPr>
                <w:rFonts w:eastAsiaTheme="minorEastAsia"/>
                <w:color w:val="000000" w:themeColor="text1"/>
                <w:szCs w:val="21"/>
              </w:rPr>
              <w:t>信中证申万新兴健康产业主题投资指数证券投资基金</w:t>
            </w:r>
            <w:r>
              <w:rPr>
                <w:rFonts w:eastAsiaTheme="minorEastAsia"/>
                <w:color w:val="000000" w:themeColor="text1"/>
                <w:szCs w:val="21"/>
              </w:rPr>
              <w:t>(LOF)</w:t>
            </w:r>
            <w:r>
              <w:rPr>
                <w:rFonts w:eastAsiaTheme="minorEastAsia"/>
                <w:color w:val="000000" w:themeColor="text1"/>
                <w:szCs w:val="21"/>
              </w:rPr>
              <w:t>、申万菱信</w:t>
            </w:r>
            <w:proofErr w:type="gramStart"/>
            <w:r>
              <w:rPr>
                <w:rFonts w:eastAsiaTheme="minorEastAsia"/>
                <w:color w:val="000000" w:themeColor="text1"/>
                <w:szCs w:val="21"/>
              </w:rPr>
              <w:t>臻</w:t>
            </w:r>
            <w:proofErr w:type="gramEnd"/>
            <w:r>
              <w:rPr>
                <w:rFonts w:eastAsiaTheme="minorEastAsia"/>
                <w:color w:val="000000" w:themeColor="text1"/>
                <w:szCs w:val="21"/>
              </w:rPr>
              <w:t>选</w:t>
            </w:r>
            <w:r>
              <w:rPr>
                <w:rFonts w:eastAsiaTheme="minorEastAsia"/>
                <w:color w:val="000000" w:themeColor="text1"/>
                <w:szCs w:val="21"/>
              </w:rPr>
              <w:t>6</w:t>
            </w:r>
            <w:r>
              <w:rPr>
                <w:rFonts w:eastAsiaTheme="minorEastAsia"/>
                <w:color w:val="000000" w:themeColor="text1"/>
                <w:szCs w:val="21"/>
              </w:rPr>
              <w:t>个月定期开放混合型证券投资基金、申万菱信智选一年期定期开放混合型证券投资</w:t>
            </w:r>
            <w:proofErr w:type="gramStart"/>
            <w:r>
              <w:rPr>
                <w:rFonts w:eastAsiaTheme="minorEastAsia"/>
                <w:color w:val="000000" w:themeColor="text1"/>
                <w:szCs w:val="21"/>
              </w:rPr>
              <w:t>基金基金</w:t>
            </w:r>
            <w:proofErr w:type="gramEnd"/>
            <w:r>
              <w:rPr>
                <w:rFonts w:eastAsiaTheme="minorEastAsia"/>
                <w:color w:val="000000" w:themeColor="text1"/>
                <w:szCs w:val="21"/>
              </w:rPr>
              <w:t>经理。</w:t>
            </w:r>
          </w:p>
        </w:tc>
      </w:tr>
      <w:tr w:rsidR="008E3BA0" w:rsidTr="008E5013">
        <w:tc>
          <w:tcPr>
            <w:tcW w:w="709" w:type="dxa"/>
            <w:vAlign w:val="center"/>
          </w:tcPr>
          <w:p w:rsidR="008E3BA0" w:rsidRDefault="008E5013" w:rsidP="008E5013">
            <w:pPr>
              <w:ind w:left="-108" w:rightChars="-51" w:right="-107"/>
              <w:jc w:val="center"/>
            </w:pPr>
            <w:r>
              <w:rPr>
                <w:rFonts w:eastAsiaTheme="minorEastAsia"/>
                <w:color w:val="000000" w:themeColor="text1"/>
                <w:szCs w:val="21"/>
              </w:rPr>
              <w:t>俞诚</w:t>
            </w:r>
          </w:p>
        </w:tc>
        <w:tc>
          <w:tcPr>
            <w:tcW w:w="567" w:type="dxa"/>
            <w:vAlign w:val="center"/>
          </w:tcPr>
          <w:p w:rsidR="008E3BA0" w:rsidRDefault="008E5013" w:rsidP="008E5013">
            <w:pPr>
              <w:ind w:left="-108" w:rightChars="-51" w:right="-107"/>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w:t>
            </w:r>
          </w:p>
        </w:tc>
        <w:tc>
          <w:tcPr>
            <w:tcW w:w="1276" w:type="dxa"/>
            <w:vAlign w:val="center"/>
          </w:tcPr>
          <w:p w:rsidR="008E3BA0" w:rsidRDefault="008E5013">
            <w:pPr>
              <w:jc w:val="center"/>
            </w:pPr>
            <w:r>
              <w:rPr>
                <w:rFonts w:eastAsiaTheme="minorEastAsia"/>
                <w:color w:val="000000" w:themeColor="text1"/>
                <w:szCs w:val="21"/>
              </w:rPr>
              <w:t>2015-12-03</w:t>
            </w:r>
          </w:p>
        </w:tc>
        <w:tc>
          <w:tcPr>
            <w:tcW w:w="1134" w:type="dxa"/>
            <w:vAlign w:val="center"/>
          </w:tcPr>
          <w:p w:rsidR="008E3BA0" w:rsidRDefault="008E5013">
            <w:pPr>
              <w:jc w:val="center"/>
            </w:pPr>
            <w:r>
              <w:rPr>
                <w:rFonts w:eastAsiaTheme="minorEastAsia"/>
                <w:color w:val="000000" w:themeColor="text1"/>
                <w:szCs w:val="21"/>
              </w:rPr>
              <w:t>-</w:t>
            </w:r>
          </w:p>
        </w:tc>
        <w:tc>
          <w:tcPr>
            <w:tcW w:w="992" w:type="dxa"/>
            <w:vAlign w:val="center"/>
          </w:tcPr>
          <w:p w:rsidR="008E3BA0" w:rsidRDefault="008E5013">
            <w:pPr>
              <w:jc w:val="center"/>
            </w:pPr>
            <w:r>
              <w:rPr>
                <w:rFonts w:eastAsiaTheme="minorEastAsia"/>
                <w:color w:val="000000" w:themeColor="text1"/>
                <w:szCs w:val="21"/>
              </w:rPr>
              <w:t>7</w:t>
            </w:r>
            <w:r>
              <w:rPr>
                <w:rFonts w:eastAsiaTheme="minorEastAsia"/>
                <w:color w:val="000000" w:themeColor="text1"/>
                <w:szCs w:val="21"/>
              </w:rPr>
              <w:t>年</w:t>
            </w:r>
          </w:p>
        </w:tc>
        <w:tc>
          <w:tcPr>
            <w:tcW w:w="3686" w:type="dxa"/>
            <w:vAlign w:val="center"/>
          </w:tcPr>
          <w:p w:rsidR="008E3BA0" w:rsidRDefault="008E5013">
            <w:r>
              <w:rPr>
                <w:rFonts w:eastAsiaTheme="minorEastAsia"/>
                <w:color w:val="000000" w:themeColor="text1"/>
                <w:szCs w:val="21"/>
              </w:rPr>
              <w:t>俞诚先生，经济学学士，金融风险管理师（</w:t>
            </w:r>
            <w:r>
              <w:rPr>
                <w:rFonts w:eastAsiaTheme="minorEastAsia"/>
                <w:color w:val="000000" w:themeColor="text1"/>
                <w:szCs w:val="21"/>
              </w:rPr>
              <w:t>FRM</w:t>
            </w:r>
            <w:r>
              <w:rPr>
                <w:rFonts w:eastAsiaTheme="minorEastAsia"/>
                <w:color w:val="000000" w:themeColor="text1"/>
                <w:szCs w:val="21"/>
              </w:rPr>
              <w:t>）。</w:t>
            </w:r>
            <w:r>
              <w:rPr>
                <w:rFonts w:eastAsiaTheme="minorEastAsia"/>
                <w:color w:val="000000" w:themeColor="text1"/>
                <w:szCs w:val="21"/>
              </w:rPr>
              <w:t>2009</w:t>
            </w:r>
            <w:r>
              <w:rPr>
                <w:rFonts w:eastAsiaTheme="minorEastAsia"/>
                <w:color w:val="000000" w:themeColor="text1"/>
                <w:szCs w:val="21"/>
              </w:rPr>
              <w:t>年开始从事证券相关工作，</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月加入申万菱信基金管理有限公司，历任产品与金融工程总部金融工程师，数量研究员，申万</w:t>
            </w:r>
            <w:proofErr w:type="gramStart"/>
            <w:r>
              <w:rPr>
                <w:rFonts w:eastAsiaTheme="minorEastAsia"/>
                <w:color w:val="000000" w:themeColor="text1"/>
                <w:szCs w:val="21"/>
              </w:rPr>
              <w:t>菱</w:t>
            </w:r>
            <w:proofErr w:type="gramEnd"/>
            <w:r>
              <w:rPr>
                <w:rFonts w:eastAsiaTheme="minorEastAsia"/>
                <w:color w:val="000000" w:themeColor="text1"/>
                <w:szCs w:val="21"/>
              </w:rPr>
              <w:t>信中证申万电子行业投资指数分级证券投资基金、申万</w:t>
            </w:r>
            <w:proofErr w:type="gramStart"/>
            <w:r>
              <w:rPr>
                <w:rFonts w:eastAsiaTheme="minorEastAsia"/>
                <w:color w:val="000000" w:themeColor="text1"/>
                <w:szCs w:val="21"/>
              </w:rPr>
              <w:t>菱</w:t>
            </w:r>
            <w:proofErr w:type="gramEnd"/>
            <w:r>
              <w:rPr>
                <w:rFonts w:eastAsiaTheme="minorEastAsia"/>
                <w:color w:val="000000" w:themeColor="text1"/>
                <w:szCs w:val="21"/>
              </w:rPr>
              <w:t>信中证申万传媒行业投资指数分级证券投资基金、申万</w:t>
            </w:r>
            <w:proofErr w:type="gramStart"/>
            <w:r>
              <w:rPr>
                <w:rFonts w:eastAsiaTheme="minorEastAsia"/>
                <w:color w:val="000000" w:themeColor="text1"/>
                <w:szCs w:val="21"/>
              </w:rPr>
              <w:t>菱</w:t>
            </w:r>
            <w:proofErr w:type="gramEnd"/>
            <w:r>
              <w:rPr>
                <w:rFonts w:eastAsiaTheme="minorEastAsia"/>
                <w:color w:val="000000" w:themeColor="text1"/>
                <w:szCs w:val="21"/>
              </w:rPr>
              <w:t>信中证申万医药生物指数分级证券投资</w:t>
            </w:r>
            <w:proofErr w:type="gramStart"/>
            <w:r>
              <w:rPr>
                <w:rFonts w:eastAsiaTheme="minorEastAsia"/>
                <w:color w:val="000000" w:themeColor="text1"/>
                <w:szCs w:val="21"/>
              </w:rPr>
              <w:t>基金基金</w:t>
            </w:r>
            <w:proofErr w:type="gramEnd"/>
            <w:r>
              <w:rPr>
                <w:rFonts w:eastAsiaTheme="minorEastAsia"/>
                <w:color w:val="000000" w:themeColor="text1"/>
                <w:szCs w:val="21"/>
              </w:rPr>
              <w:t>经理，现任申万</w:t>
            </w:r>
            <w:proofErr w:type="gramStart"/>
            <w:r>
              <w:rPr>
                <w:rFonts w:eastAsiaTheme="minorEastAsia"/>
                <w:color w:val="000000" w:themeColor="text1"/>
                <w:szCs w:val="21"/>
              </w:rPr>
              <w:t>菱信沪深</w:t>
            </w:r>
            <w:proofErr w:type="gramEnd"/>
            <w:r>
              <w:rPr>
                <w:rFonts w:eastAsiaTheme="minorEastAsia"/>
                <w:color w:val="000000" w:themeColor="text1"/>
                <w:szCs w:val="21"/>
              </w:rPr>
              <w:t>300</w:t>
            </w:r>
            <w:r>
              <w:rPr>
                <w:rFonts w:eastAsiaTheme="minorEastAsia"/>
                <w:color w:val="000000" w:themeColor="text1"/>
                <w:szCs w:val="21"/>
              </w:rPr>
              <w:t>价值指数证券投资基金、申万菱信深证成指分级证券投资基金、申万菱信中小</w:t>
            </w:r>
            <w:proofErr w:type="gramStart"/>
            <w:r>
              <w:rPr>
                <w:rFonts w:eastAsiaTheme="minorEastAsia"/>
                <w:color w:val="000000" w:themeColor="text1"/>
                <w:szCs w:val="21"/>
              </w:rPr>
              <w:t>板指数</w:t>
            </w:r>
            <w:proofErr w:type="gramEnd"/>
            <w:r>
              <w:rPr>
                <w:rFonts w:eastAsiaTheme="minorEastAsia"/>
                <w:color w:val="000000" w:themeColor="text1"/>
                <w:szCs w:val="21"/>
              </w:rPr>
              <w:t>证券投资基金（</w:t>
            </w:r>
            <w:r>
              <w:rPr>
                <w:rFonts w:eastAsiaTheme="minorEastAsia"/>
                <w:color w:val="000000" w:themeColor="text1"/>
                <w:szCs w:val="21"/>
              </w:rPr>
              <w:t>LOF</w:t>
            </w:r>
            <w:r>
              <w:rPr>
                <w:rFonts w:eastAsiaTheme="minorEastAsia"/>
                <w:color w:val="000000" w:themeColor="text1"/>
                <w:szCs w:val="21"/>
              </w:rPr>
              <w:t>）、申万</w:t>
            </w:r>
            <w:proofErr w:type="gramStart"/>
            <w:r>
              <w:rPr>
                <w:rFonts w:eastAsiaTheme="minorEastAsia"/>
                <w:color w:val="000000" w:themeColor="text1"/>
                <w:szCs w:val="21"/>
              </w:rPr>
              <w:t>菱</w:t>
            </w:r>
            <w:proofErr w:type="gramEnd"/>
            <w:r>
              <w:rPr>
                <w:rFonts w:eastAsiaTheme="minorEastAsia"/>
                <w:color w:val="000000" w:themeColor="text1"/>
                <w:szCs w:val="21"/>
              </w:rPr>
              <w:t>信中证申万证券行业指数分级证券投资基金、申万</w:t>
            </w:r>
            <w:proofErr w:type="gramStart"/>
            <w:r>
              <w:rPr>
                <w:rFonts w:eastAsiaTheme="minorEastAsia"/>
                <w:color w:val="000000" w:themeColor="text1"/>
                <w:szCs w:val="21"/>
              </w:rPr>
              <w:t>菱</w:t>
            </w:r>
            <w:proofErr w:type="gramEnd"/>
            <w:r>
              <w:rPr>
                <w:rFonts w:eastAsiaTheme="minorEastAsia"/>
                <w:color w:val="000000" w:themeColor="text1"/>
                <w:szCs w:val="21"/>
              </w:rPr>
              <w:t>信中证环保产业指数分级证券投资基金、申万</w:t>
            </w:r>
            <w:proofErr w:type="gramStart"/>
            <w:r>
              <w:rPr>
                <w:rFonts w:eastAsiaTheme="minorEastAsia"/>
                <w:color w:val="000000" w:themeColor="text1"/>
                <w:szCs w:val="21"/>
              </w:rPr>
              <w:t>菱</w:t>
            </w:r>
            <w:proofErr w:type="gramEnd"/>
            <w:r>
              <w:rPr>
                <w:rFonts w:eastAsiaTheme="minorEastAsia"/>
                <w:color w:val="000000" w:themeColor="text1"/>
                <w:szCs w:val="21"/>
              </w:rPr>
              <w:t>信中证军工指数分级证券投资基金、申万</w:t>
            </w:r>
            <w:proofErr w:type="gramStart"/>
            <w:r>
              <w:rPr>
                <w:rFonts w:eastAsiaTheme="minorEastAsia"/>
                <w:color w:val="000000" w:themeColor="text1"/>
                <w:szCs w:val="21"/>
              </w:rPr>
              <w:t>菱</w:t>
            </w:r>
            <w:proofErr w:type="gramEnd"/>
            <w:r>
              <w:rPr>
                <w:rFonts w:eastAsiaTheme="minorEastAsia"/>
                <w:color w:val="000000" w:themeColor="text1"/>
                <w:szCs w:val="21"/>
              </w:rPr>
              <w:t>信中证</w:t>
            </w:r>
            <w:r>
              <w:rPr>
                <w:rFonts w:eastAsiaTheme="minorEastAsia"/>
                <w:color w:val="000000" w:themeColor="text1"/>
                <w:szCs w:val="21"/>
              </w:rPr>
              <w:t>500</w:t>
            </w:r>
            <w:r>
              <w:rPr>
                <w:rFonts w:eastAsiaTheme="minorEastAsia"/>
                <w:color w:val="000000" w:themeColor="text1"/>
                <w:szCs w:val="21"/>
              </w:rPr>
              <w:t>指数增强型证券投资</w:t>
            </w:r>
            <w:proofErr w:type="gramStart"/>
            <w:r>
              <w:rPr>
                <w:rFonts w:eastAsiaTheme="minorEastAsia"/>
                <w:color w:val="000000" w:themeColor="text1"/>
                <w:szCs w:val="21"/>
              </w:rPr>
              <w:t>基金基金</w:t>
            </w:r>
            <w:proofErr w:type="gramEnd"/>
            <w:r>
              <w:rPr>
                <w:rFonts w:eastAsiaTheme="minorEastAsia"/>
                <w:color w:val="000000" w:themeColor="text1"/>
                <w:szCs w:val="21"/>
              </w:rPr>
              <w:t>经理。</w:t>
            </w:r>
          </w:p>
        </w:tc>
      </w:tr>
    </w:tbl>
    <w:p w:rsidR="008E3BA0" w:rsidRDefault="008E5013">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任职日期和离任日期一般情况下指公司</w:t>
      </w:r>
      <w:proofErr w:type="gramStart"/>
      <w:r>
        <w:rPr>
          <w:rFonts w:eastAsiaTheme="minorEastAsia"/>
          <w:color w:val="000000" w:themeColor="text1"/>
          <w:szCs w:val="21"/>
        </w:rPr>
        <w:t>作出</w:t>
      </w:r>
      <w:proofErr w:type="gramEnd"/>
      <w:r>
        <w:rPr>
          <w:rFonts w:eastAsiaTheme="minorEastAsia"/>
          <w:color w:val="000000" w:themeColor="text1"/>
          <w:szCs w:val="21"/>
        </w:rPr>
        <w:t>决定之日；若该基金经理自基金合同生效日起即任职，则任职日期为基金合同生效日。</w:t>
      </w:r>
    </w:p>
    <w:p w:rsidR="00220542" w:rsidRPr="003C5007" w:rsidRDefault="000820A8" w:rsidP="003C5007">
      <w:pPr>
        <w:autoSpaceDE w:val="0"/>
        <w:autoSpaceDN w:val="0"/>
        <w:adjustRightInd w:val="0"/>
        <w:spacing w:line="360" w:lineRule="auto"/>
        <w:jc w:val="left"/>
        <w:rPr>
          <w:rFonts w:eastAsiaTheme="minorEastAsia"/>
          <w:color w:val="000000" w:themeColor="text1"/>
          <w:szCs w:val="21"/>
        </w:rPr>
      </w:pPr>
      <w:r w:rsidRPr="003C5007">
        <w:rPr>
          <w:rFonts w:eastAsiaTheme="minorEastAsia"/>
          <w:color w:val="000000" w:themeColor="text1"/>
          <w:szCs w:val="21"/>
        </w:rPr>
        <w:t>2.</w:t>
      </w:r>
      <w:r w:rsidRPr="003C5007">
        <w:rPr>
          <w:rFonts w:eastAsiaTheme="minorEastAsia"/>
          <w:color w:val="000000" w:themeColor="text1"/>
          <w:szCs w:val="21"/>
        </w:rPr>
        <w:t>证券从业的含义遵从行业协会《证券业从业人员资格管理办法》的相关规定。</w:t>
      </w:r>
    </w:p>
    <w:p w:rsidR="00220542" w:rsidRPr="003C5007" w:rsidRDefault="00220542" w:rsidP="003C5007">
      <w:pPr>
        <w:autoSpaceDE w:val="0"/>
        <w:autoSpaceDN w:val="0"/>
        <w:adjustRightInd w:val="0"/>
        <w:spacing w:line="360" w:lineRule="auto"/>
        <w:jc w:val="left"/>
        <w:rPr>
          <w:rFonts w:eastAsiaTheme="minorEastAsia"/>
          <w:b/>
          <w:color w:val="000000" w:themeColor="text1"/>
          <w:kern w:val="0"/>
          <w:szCs w:val="21"/>
        </w:rPr>
      </w:pPr>
      <w:r w:rsidRPr="003C5007">
        <w:rPr>
          <w:rFonts w:eastAsiaTheme="minorEastAsia"/>
          <w:b/>
          <w:color w:val="000000" w:themeColor="text1"/>
          <w:kern w:val="0"/>
          <w:szCs w:val="21"/>
        </w:rPr>
        <w:t>4.2</w:t>
      </w:r>
      <w:r w:rsidR="00131D06" w:rsidRPr="003C5007">
        <w:rPr>
          <w:b/>
          <w:color w:val="000000"/>
          <w:szCs w:val="21"/>
          <w:shd w:val="clear" w:color="auto" w:fill="FFFFFF"/>
        </w:rPr>
        <w:t>管理人对报告期内本基金运作遵规守信情况的说明</w:t>
      </w:r>
    </w:p>
    <w:p w:rsidR="008E3BA0" w:rsidRDefault="008E501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内，本基金管理人严格遵守《证券法》、《证券投资基金法》及其配套法规的规定，严格遵守基金合同约定，本着诚实信用、勤勉尽责等原则管理和运用基金资产，在严格控制风险的基础上为持有人谋求最大利益。</w:t>
      </w:r>
    </w:p>
    <w:p w:rsidR="00220542" w:rsidRPr="003C5007" w:rsidRDefault="000820A8" w:rsidP="003C5007">
      <w:pPr>
        <w:spacing w:line="360" w:lineRule="auto"/>
        <w:ind w:firstLineChars="200" w:firstLine="420"/>
        <w:rPr>
          <w:rFonts w:eastAsiaTheme="minorEastAsia"/>
          <w:color w:val="000000" w:themeColor="text1"/>
          <w:szCs w:val="21"/>
        </w:rPr>
      </w:pPr>
      <w:r w:rsidRPr="003C5007">
        <w:rPr>
          <w:rFonts w:eastAsiaTheme="minorEastAsia"/>
          <w:color w:val="000000" w:themeColor="text1"/>
          <w:szCs w:val="21"/>
        </w:rPr>
        <w:t>本基金投资运作符合法律法规和基金合同的规定</w:t>
      </w:r>
      <w:r w:rsidRPr="003C5007">
        <w:rPr>
          <w:rFonts w:eastAsiaTheme="minorEastAsia"/>
          <w:color w:val="000000" w:themeColor="text1"/>
          <w:szCs w:val="21"/>
        </w:rPr>
        <w:t>,</w:t>
      </w:r>
      <w:r w:rsidRPr="003C5007">
        <w:rPr>
          <w:rFonts w:eastAsiaTheme="minorEastAsia"/>
          <w:color w:val="000000" w:themeColor="text1"/>
          <w:szCs w:val="21"/>
        </w:rPr>
        <w:t>信息披露及时、准确、完整；本基金资产与本基金管理人与公司资产之间严格分开；没有发生内幕交易、操纵市场和不当关联交易及其他违规行为。在基金资产的管理运作中</w:t>
      </w:r>
      <w:r w:rsidRPr="003C5007">
        <w:rPr>
          <w:rFonts w:eastAsiaTheme="minorEastAsia"/>
          <w:color w:val="000000" w:themeColor="text1"/>
          <w:szCs w:val="21"/>
        </w:rPr>
        <w:t>,</w:t>
      </w:r>
      <w:r w:rsidRPr="003C5007">
        <w:rPr>
          <w:rFonts w:eastAsiaTheme="minorEastAsia"/>
          <w:color w:val="000000" w:themeColor="text1"/>
          <w:szCs w:val="21"/>
        </w:rPr>
        <w:t>无任何损害基金持有人利益的行为</w:t>
      </w:r>
      <w:r w:rsidRPr="003C5007">
        <w:rPr>
          <w:rFonts w:eastAsiaTheme="minorEastAsia"/>
          <w:color w:val="000000" w:themeColor="text1"/>
          <w:szCs w:val="21"/>
        </w:rPr>
        <w:t>,</w:t>
      </w:r>
      <w:r w:rsidRPr="003C5007">
        <w:rPr>
          <w:rFonts w:eastAsiaTheme="minorEastAsia"/>
          <w:color w:val="000000" w:themeColor="text1"/>
          <w:szCs w:val="21"/>
        </w:rPr>
        <w:t>并通过稳健经营、规范运作、规避风险</w:t>
      </w:r>
      <w:r w:rsidRPr="003C5007">
        <w:rPr>
          <w:rFonts w:eastAsiaTheme="minorEastAsia"/>
          <w:color w:val="000000" w:themeColor="text1"/>
          <w:szCs w:val="21"/>
        </w:rPr>
        <w:t>,</w:t>
      </w:r>
      <w:r w:rsidRPr="003C5007">
        <w:rPr>
          <w:rFonts w:eastAsiaTheme="minorEastAsia"/>
          <w:color w:val="000000" w:themeColor="text1"/>
          <w:szCs w:val="21"/>
        </w:rPr>
        <w:t>保护了基金持有人的合法权益。</w:t>
      </w:r>
    </w:p>
    <w:p w:rsidR="00220542" w:rsidRPr="003C5007" w:rsidRDefault="00220542" w:rsidP="003C5007">
      <w:pPr>
        <w:autoSpaceDE w:val="0"/>
        <w:autoSpaceDN w:val="0"/>
        <w:adjustRightInd w:val="0"/>
        <w:spacing w:line="360" w:lineRule="auto"/>
        <w:jc w:val="left"/>
        <w:rPr>
          <w:rFonts w:eastAsiaTheme="minorEastAsia"/>
          <w:b/>
          <w:color w:val="000000" w:themeColor="text1"/>
          <w:kern w:val="0"/>
          <w:szCs w:val="21"/>
        </w:rPr>
      </w:pPr>
      <w:r w:rsidRPr="003C5007">
        <w:rPr>
          <w:rFonts w:eastAsiaTheme="minorEastAsia"/>
          <w:b/>
          <w:color w:val="000000" w:themeColor="text1"/>
          <w:kern w:val="0"/>
          <w:szCs w:val="21"/>
        </w:rPr>
        <w:t xml:space="preserve">4.3 </w:t>
      </w:r>
      <w:r w:rsidRPr="003C5007">
        <w:rPr>
          <w:rFonts w:eastAsiaTheme="minorEastAsia"/>
          <w:b/>
          <w:color w:val="000000" w:themeColor="text1"/>
          <w:kern w:val="0"/>
          <w:szCs w:val="21"/>
        </w:rPr>
        <w:t>公平交易专项说明</w:t>
      </w:r>
    </w:p>
    <w:p w:rsidR="00EB0BF5" w:rsidRPr="003C5007" w:rsidRDefault="00EB0BF5" w:rsidP="003C5007">
      <w:pPr>
        <w:spacing w:line="360" w:lineRule="auto"/>
        <w:rPr>
          <w:rFonts w:eastAsiaTheme="minorEastAsia"/>
          <w:color w:val="000000" w:themeColor="text1"/>
          <w:szCs w:val="21"/>
        </w:rPr>
      </w:pPr>
      <w:smartTag w:uri="urn:schemas-microsoft-com:office:smarttags" w:element="chsdate">
        <w:smartTagPr>
          <w:attr w:name="Year" w:val="1899"/>
          <w:attr w:name="Month" w:val="12"/>
          <w:attr w:name="Day" w:val="30"/>
          <w:attr w:name="IsLunarDate" w:val="False"/>
          <w:attr w:name="IsROCDate" w:val="False"/>
        </w:smartTagPr>
        <w:r w:rsidRPr="003C5007">
          <w:rPr>
            <w:rFonts w:eastAsiaTheme="minorEastAsia"/>
            <w:color w:val="000000" w:themeColor="text1"/>
            <w:szCs w:val="21"/>
          </w:rPr>
          <w:t>4.3.1</w:t>
        </w:r>
      </w:smartTag>
      <w:r w:rsidRPr="003C5007">
        <w:rPr>
          <w:rFonts w:eastAsiaTheme="minorEastAsia"/>
          <w:color w:val="000000" w:themeColor="text1"/>
          <w:szCs w:val="21"/>
        </w:rPr>
        <w:t>公平交易制度的执行情况</w:t>
      </w:r>
    </w:p>
    <w:p w:rsidR="008E3BA0" w:rsidRDefault="008E5013">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证券投资基金管理公司公平交易制度指导意见》，本公司制定了《公平交易制度》，通过组织结构的设置、工作制度、流程和技术手段全面落实公平交易原则在具体业务（包括研究分析、投资决策、交易执行等）环节中的实现，在保证各投资组合投资决策相对独立性的同时，确保各投资组合在获得投资信息、投资建议和实施投资决策方面享有公平的机会；同时，通过对投资交易行为的日常监控和事后分析评估来加强对公平交易过程和结果的监督。</w:t>
      </w:r>
    </w:p>
    <w:p w:rsidR="008E3BA0" w:rsidRDefault="008E5013">
      <w:pPr>
        <w:spacing w:line="360" w:lineRule="auto"/>
        <w:ind w:firstLineChars="200" w:firstLine="420"/>
        <w:rPr>
          <w:rFonts w:eastAsiaTheme="minorEastAsia"/>
          <w:color w:val="000000" w:themeColor="text1"/>
          <w:szCs w:val="21"/>
        </w:rPr>
      </w:pPr>
      <w:r>
        <w:rPr>
          <w:rFonts w:eastAsiaTheme="minorEastAsia"/>
          <w:color w:val="000000" w:themeColor="text1"/>
          <w:szCs w:val="21"/>
        </w:rPr>
        <w:t>在投资和研究方面，本公司投资和研究部门不断完善研究方法和投资决策流程，提高投资决策的科学性和客观性，确保各投资组合享有公平的投资决策机会，建立公平交易的制度环境。</w:t>
      </w:r>
    </w:p>
    <w:p w:rsidR="008E3BA0" w:rsidRDefault="008E5013">
      <w:pPr>
        <w:spacing w:line="360" w:lineRule="auto"/>
        <w:ind w:firstLineChars="200" w:firstLine="420"/>
        <w:rPr>
          <w:rFonts w:eastAsiaTheme="minorEastAsia"/>
          <w:color w:val="000000" w:themeColor="text1"/>
          <w:szCs w:val="21"/>
        </w:rPr>
      </w:pPr>
      <w:r>
        <w:rPr>
          <w:rFonts w:eastAsiaTheme="minorEastAsia"/>
          <w:color w:val="000000" w:themeColor="text1"/>
          <w:szCs w:val="21"/>
        </w:rPr>
        <w:t>在交易执行方面，本公司的投资管理职能和交易执行职能相隔离，通过实行集中交易制度和公平的交易分配制度，确保各投资组合享有公平的交易执行机会。</w:t>
      </w:r>
    </w:p>
    <w:p w:rsidR="008E3BA0" w:rsidRDefault="008E5013">
      <w:pPr>
        <w:spacing w:line="360" w:lineRule="auto"/>
        <w:ind w:firstLineChars="200" w:firstLine="420"/>
        <w:rPr>
          <w:rFonts w:eastAsiaTheme="minorEastAsia"/>
          <w:color w:val="000000" w:themeColor="text1"/>
          <w:szCs w:val="21"/>
        </w:rPr>
      </w:pPr>
      <w:r>
        <w:rPr>
          <w:rFonts w:eastAsiaTheme="minorEastAsia"/>
          <w:color w:val="000000" w:themeColor="text1"/>
          <w:szCs w:val="21"/>
        </w:rPr>
        <w:t>在日常监控和事后分析评估方面，本公司风险管理总部开展</w:t>
      </w:r>
      <w:proofErr w:type="gramStart"/>
      <w:r>
        <w:rPr>
          <w:rFonts w:eastAsiaTheme="minorEastAsia"/>
          <w:color w:val="000000" w:themeColor="text1"/>
          <w:szCs w:val="21"/>
        </w:rPr>
        <w:t>日内和</w:t>
      </w:r>
      <w:proofErr w:type="gramEnd"/>
      <w:r>
        <w:rPr>
          <w:rFonts w:eastAsiaTheme="minorEastAsia"/>
          <w:color w:val="000000" w:themeColor="text1"/>
          <w:szCs w:val="21"/>
        </w:rPr>
        <w:t>定期的工作对公平交易执行情况作整体监控和效果评估。风险管理总部通过对不同组合之间同向交易的价差率的假设检验、价格占优的次数百分比统计、价差交易模拟贡献与组合收益率差异的比较等方法对本报告期以及连续四个季度期间内、不同时间窗口下公司管理的不同投资组合同向交易的交易价差进行了分析；对于场外交易，还特别对比了组合之间发生的同向交易的市场公允价格和交易对手，判断交易是否公平</w:t>
      </w:r>
      <w:proofErr w:type="gramStart"/>
      <w:r>
        <w:rPr>
          <w:rFonts w:eastAsiaTheme="minorEastAsia"/>
          <w:color w:val="000000" w:themeColor="text1"/>
          <w:szCs w:val="21"/>
        </w:rPr>
        <w:t>且是否</w:t>
      </w:r>
      <w:proofErr w:type="gramEnd"/>
      <w:r>
        <w:rPr>
          <w:rFonts w:eastAsiaTheme="minorEastAsia"/>
          <w:color w:val="000000" w:themeColor="text1"/>
          <w:szCs w:val="21"/>
        </w:rPr>
        <w:t>涉及利益输送。</w:t>
      </w:r>
    </w:p>
    <w:p w:rsidR="00EB0BF5" w:rsidRPr="003C5007" w:rsidRDefault="000820A8" w:rsidP="003C5007">
      <w:pPr>
        <w:spacing w:line="360" w:lineRule="auto"/>
        <w:ind w:firstLineChars="200" w:firstLine="420"/>
        <w:rPr>
          <w:rFonts w:eastAsiaTheme="minorEastAsia"/>
          <w:color w:val="000000" w:themeColor="text1"/>
          <w:szCs w:val="21"/>
        </w:rPr>
      </w:pPr>
      <w:r w:rsidRPr="003C5007">
        <w:rPr>
          <w:rFonts w:eastAsiaTheme="minorEastAsia"/>
          <w:color w:val="000000" w:themeColor="text1"/>
          <w:szCs w:val="21"/>
        </w:rPr>
        <w:t>本公司通过事前的制度规范、事中的监控和事后的分析评估，严格执行了公平交易制度，公平对待了旗下各投资组合。本报告期内，未出现违反公平交易制度的情况。</w:t>
      </w:r>
    </w:p>
    <w:p w:rsidR="00EB0BF5" w:rsidRPr="003C5007" w:rsidRDefault="00EB0BF5" w:rsidP="003C5007">
      <w:pPr>
        <w:spacing w:line="360" w:lineRule="auto"/>
        <w:rPr>
          <w:rFonts w:eastAsiaTheme="minorEastAsia"/>
          <w:color w:val="000000" w:themeColor="text1"/>
          <w:szCs w:val="21"/>
        </w:rPr>
      </w:pPr>
      <w:r w:rsidRPr="003C5007">
        <w:rPr>
          <w:rFonts w:eastAsiaTheme="minorEastAsia"/>
          <w:color w:val="000000" w:themeColor="text1"/>
          <w:szCs w:val="21"/>
        </w:rPr>
        <w:t>4.3.</w:t>
      </w:r>
      <w:r w:rsidR="003347EF" w:rsidRPr="003C5007">
        <w:rPr>
          <w:rFonts w:eastAsiaTheme="minorEastAsia"/>
          <w:color w:val="000000" w:themeColor="text1"/>
          <w:szCs w:val="21"/>
        </w:rPr>
        <w:t>2</w:t>
      </w:r>
      <w:r w:rsidRPr="003C5007">
        <w:rPr>
          <w:rFonts w:eastAsiaTheme="minorEastAsia"/>
          <w:color w:val="000000" w:themeColor="text1"/>
          <w:szCs w:val="21"/>
        </w:rPr>
        <w:t>异常交易行为的专项说明</w:t>
      </w:r>
    </w:p>
    <w:p w:rsidR="008E3BA0" w:rsidRDefault="008E5013">
      <w:pPr>
        <w:spacing w:line="360" w:lineRule="auto"/>
        <w:ind w:firstLineChars="200" w:firstLine="420"/>
        <w:rPr>
          <w:rFonts w:eastAsiaTheme="minorEastAsia"/>
          <w:color w:val="000000" w:themeColor="text1"/>
          <w:szCs w:val="21"/>
        </w:rPr>
      </w:pPr>
      <w:r>
        <w:rPr>
          <w:rFonts w:eastAsiaTheme="minorEastAsia"/>
          <w:color w:val="000000" w:themeColor="text1"/>
          <w:szCs w:val="21"/>
        </w:rPr>
        <w:t>本公司制定了《异常交易监控报告制度》，明确定义了在投资交易过程中出现的各种可能导致不公平交易和利益输送的异常交易类型，并规定</w:t>
      </w:r>
      <w:proofErr w:type="gramStart"/>
      <w:r>
        <w:rPr>
          <w:rFonts w:eastAsiaTheme="minorEastAsia"/>
          <w:color w:val="000000" w:themeColor="text1"/>
          <w:szCs w:val="21"/>
        </w:rPr>
        <w:t>且落实</w:t>
      </w:r>
      <w:proofErr w:type="gramEnd"/>
      <w:r>
        <w:rPr>
          <w:rFonts w:eastAsiaTheme="minorEastAsia"/>
          <w:color w:val="000000" w:themeColor="text1"/>
          <w:szCs w:val="21"/>
        </w:rPr>
        <w:t>了异常交易的日常监控、识别以及事后的分析流程。</w:t>
      </w:r>
    </w:p>
    <w:p w:rsidR="00EB0BF5" w:rsidRPr="003C5007" w:rsidRDefault="000820A8" w:rsidP="003C5007">
      <w:pPr>
        <w:spacing w:line="360" w:lineRule="auto"/>
        <w:ind w:firstLineChars="200" w:firstLine="420"/>
        <w:rPr>
          <w:rFonts w:eastAsiaTheme="minorEastAsia"/>
          <w:color w:val="000000" w:themeColor="text1"/>
          <w:szCs w:val="21"/>
        </w:rPr>
      </w:pPr>
      <w:r w:rsidRPr="003C5007">
        <w:rPr>
          <w:rFonts w:eastAsiaTheme="minorEastAsia"/>
          <w:color w:val="000000" w:themeColor="text1"/>
          <w:szCs w:val="21"/>
        </w:rPr>
        <w:t>本基金本报告期内未出现异常交易的情况。本报告期内，本公司所有投资组合参与的交易所公开竞价同日反向交易成交较少的单边交易量超过该证券当日成交量的</w:t>
      </w:r>
      <w:r w:rsidRPr="003C5007">
        <w:rPr>
          <w:rFonts w:eastAsiaTheme="minorEastAsia"/>
          <w:color w:val="000000" w:themeColor="text1"/>
          <w:szCs w:val="21"/>
        </w:rPr>
        <w:t>5%</w:t>
      </w:r>
      <w:r w:rsidRPr="003C5007">
        <w:rPr>
          <w:rFonts w:eastAsiaTheme="minorEastAsia"/>
          <w:color w:val="000000" w:themeColor="text1"/>
          <w:szCs w:val="21"/>
        </w:rPr>
        <w:t>的情况有一次。投资组合经理因投资组合的投资策略而发生同日反向交易，未导致不公平交易和利益输送。</w:t>
      </w:r>
    </w:p>
    <w:p w:rsidR="00D33924" w:rsidRPr="003C5007" w:rsidRDefault="00D33924" w:rsidP="003C5007">
      <w:pPr>
        <w:autoSpaceDE w:val="0"/>
        <w:autoSpaceDN w:val="0"/>
        <w:adjustRightInd w:val="0"/>
        <w:spacing w:line="360" w:lineRule="auto"/>
        <w:jc w:val="left"/>
        <w:rPr>
          <w:rFonts w:eastAsiaTheme="minorEastAsia"/>
          <w:b/>
          <w:color w:val="000000" w:themeColor="text1"/>
          <w:kern w:val="0"/>
          <w:szCs w:val="21"/>
        </w:rPr>
      </w:pPr>
      <w:r w:rsidRPr="003C5007">
        <w:rPr>
          <w:rFonts w:eastAsiaTheme="minorEastAsia"/>
          <w:b/>
          <w:color w:val="000000" w:themeColor="text1"/>
          <w:kern w:val="0"/>
          <w:szCs w:val="21"/>
        </w:rPr>
        <w:t xml:space="preserve">4.4 </w:t>
      </w:r>
      <w:r w:rsidRPr="003C5007">
        <w:rPr>
          <w:rFonts w:eastAsiaTheme="minorEastAsia"/>
          <w:b/>
          <w:color w:val="000000" w:themeColor="text1"/>
          <w:kern w:val="0"/>
          <w:szCs w:val="21"/>
        </w:rPr>
        <w:t>报告期内基金的投资策略和业绩表现说明</w:t>
      </w:r>
    </w:p>
    <w:p w:rsidR="00D33924" w:rsidRPr="003C5007" w:rsidRDefault="00D33924" w:rsidP="003C5007">
      <w:pPr>
        <w:spacing w:line="360" w:lineRule="auto"/>
        <w:rPr>
          <w:rFonts w:eastAsiaTheme="minorEastAsia"/>
          <w:color w:val="000000" w:themeColor="text1"/>
          <w:szCs w:val="21"/>
        </w:rPr>
      </w:pPr>
      <w:smartTag w:uri="urn:schemas-microsoft-com:office:smarttags" w:element="chsdate">
        <w:smartTagPr>
          <w:attr w:name="Year" w:val="1899"/>
          <w:attr w:name="Month" w:val="12"/>
          <w:attr w:name="Day" w:val="30"/>
          <w:attr w:name="IsLunarDate" w:val="False"/>
          <w:attr w:name="IsROCDate" w:val="False"/>
        </w:smartTagPr>
        <w:r w:rsidRPr="003C5007">
          <w:rPr>
            <w:rFonts w:eastAsiaTheme="minorEastAsia"/>
            <w:color w:val="000000" w:themeColor="text1"/>
            <w:szCs w:val="21"/>
          </w:rPr>
          <w:t>4.4.1</w:t>
        </w:r>
      </w:smartTag>
      <w:r w:rsidRPr="003C5007">
        <w:rPr>
          <w:rFonts w:eastAsiaTheme="minorEastAsia"/>
          <w:color w:val="000000" w:themeColor="text1"/>
          <w:szCs w:val="21"/>
        </w:rPr>
        <w:t>报告期内基金投资策略和运作分析</w:t>
      </w:r>
    </w:p>
    <w:p w:rsidR="008E3BA0" w:rsidRDefault="008E5013">
      <w:pPr>
        <w:spacing w:line="360" w:lineRule="auto"/>
        <w:ind w:firstLineChars="200" w:firstLine="420"/>
        <w:rPr>
          <w:rFonts w:eastAsiaTheme="minorEastAsia"/>
          <w:color w:val="000000" w:themeColor="text1"/>
          <w:szCs w:val="21"/>
        </w:rPr>
      </w:pPr>
      <w:r>
        <w:rPr>
          <w:rFonts w:eastAsiaTheme="minorEastAsia"/>
          <w:color w:val="000000" w:themeColor="text1"/>
          <w:szCs w:val="21"/>
        </w:rPr>
        <w:t>2017</w:t>
      </w:r>
      <w:r>
        <w:rPr>
          <w:rFonts w:eastAsiaTheme="minorEastAsia"/>
          <w:color w:val="000000" w:themeColor="text1"/>
          <w:szCs w:val="21"/>
        </w:rPr>
        <w:t>年二季度，沪深</w:t>
      </w:r>
      <w:r>
        <w:rPr>
          <w:rFonts w:eastAsiaTheme="minorEastAsia"/>
          <w:color w:val="000000" w:themeColor="text1"/>
          <w:szCs w:val="21"/>
        </w:rPr>
        <w:t>A</w:t>
      </w:r>
      <w:r>
        <w:rPr>
          <w:rFonts w:eastAsiaTheme="minorEastAsia"/>
          <w:color w:val="000000" w:themeColor="text1"/>
          <w:szCs w:val="21"/>
        </w:rPr>
        <w:t>股整体走势较为平稳，指数表现结构化特征明显。报告期内，大小盘风格差显著扩大，在流动性中性的环境下，市场更青睐业绩稳定，估值更具有优势的蓝筹板块。而市场担忧的是以小盘为代表的创业板个股未来高增长能否持续。目前，风格的波动很大程度来源于资金对各种不确定性容忍度降低，对应风险溢价在提升。</w:t>
      </w:r>
      <w:r>
        <w:rPr>
          <w:rFonts w:eastAsiaTheme="minorEastAsia"/>
          <w:color w:val="000000" w:themeColor="text1"/>
          <w:szCs w:val="21"/>
        </w:rPr>
        <w:t>2017</w:t>
      </w:r>
      <w:r>
        <w:rPr>
          <w:rFonts w:eastAsiaTheme="minorEastAsia"/>
          <w:color w:val="000000" w:themeColor="text1"/>
          <w:szCs w:val="21"/>
        </w:rPr>
        <w:t>年二季度，上证综指下跌</w:t>
      </w:r>
      <w:r>
        <w:rPr>
          <w:rFonts w:eastAsiaTheme="minorEastAsia"/>
          <w:color w:val="000000" w:themeColor="text1"/>
          <w:szCs w:val="21"/>
        </w:rPr>
        <w:t>0.93%</w:t>
      </w:r>
      <w:r>
        <w:rPr>
          <w:rFonts w:eastAsiaTheme="minorEastAsia"/>
          <w:color w:val="000000" w:themeColor="text1"/>
          <w:szCs w:val="21"/>
        </w:rPr>
        <w:t>，深证成份指数上涨</w:t>
      </w:r>
      <w:r>
        <w:rPr>
          <w:rFonts w:eastAsiaTheme="minorEastAsia"/>
          <w:color w:val="000000" w:themeColor="text1"/>
          <w:szCs w:val="21"/>
        </w:rPr>
        <w:t>0.97%</w:t>
      </w:r>
      <w:r>
        <w:rPr>
          <w:rFonts w:eastAsiaTheme="minorEastAsia"/>
          <w:color w:val="000000" w:themeColor="text1"/>
          <w:szCs w:val="21"/>
        </w:rPr>
        <w:t>，沪深</w:t>
      </w:r>
      <w:r>
        <w:rPr>
          <w:rFonts w:eastAsiaTheme="minorEastAsia"/>
          <w:color w:val="000000" w:themeColor="text1"/>
          <w:szCs w:val="21"/>
        </w:rPr>
        <w:t>300</w:t>
      </w:r>
      <w:r>
        <w:rPr>
          <w:rFonts w:eastAsiaTheme="minorEastAsia"/>
          <w:color w:val="000000" w:themeColor="text1"/>
          <w:szCs w:val="21"/>
        </w:rPr>
        <w:t>指数上涨</w:t>
      </w:r>
      <w:r>
        <w:rPr>
          <w:rFonts w:eastAsiaTheme="minorEastAsia"/>
          <w:color w:val="000000" w:themeColor="text1"/>
          <w:szCs w:val="21"/>
        </w:rPr>
        <w:t>6.10%</w:t>
      </w:r>
      <w:r>
        <w:rPr>
          <w:rFonts w:eastAsiaTheme="minorEastAsia"/>
          <w:color w:val="000000" w:themeColor="text1"/>
          <w:szCs w:val="21"/>
        </w:rPr>
        <w:t>；而中证</w:t>
      </w:r>
      <w:r>
        <w:rPr>
          <w:rFonts w:eastAsiaTheme="minorEastAsia"/>
          <w:color w:val="000000" w:themeColor="text1"/>
          <w:szCs w:val="21"/>
        </w:rPr>
        <w:t>500</w:t>
      </w:r>
      <w:r>
        <w:rPr>
          <w:rFonts w:eastAsiaTheme="minorEastAsia"/>
          <w:color w:val="000000" w:themeColor="text1"/>
          <w:szCs w:val="21"/>
        </w:rPr>
        <w:t>指数下跌</w:t>
      </w:r>
      <w:r>
        <w:rPr>
          <w:rFonts w:eastAsiaTheme="minorEastAsia"/>
          <w:color w:val="000000" w:themeColor="text1"/>
          <w:szCs w:val="21"/>
        </w:rPr>
        <w:t>4.12%</w:t>
      </w:r>
      <w:r>
        <w:rPr>
          <w:rFonts w:eastAsiaTheme="minorEastAsia"/>
          <w:color w:val="000000" w:themeColor="text1"/>
          <w:szCs w:val="21"/>
        </w:rPr>
        <w:t>，中小板指数上涨</w:t>
      </w:r>
      <w:r>
        <w:rPr>
          <w:rFonts w:eastAsiaTheme="minorEastAsia"/>
          <w:color w:val="000000" w:themeColor="text1"/>
          <w:szCs w:val="21"/>
        </w:rPr>
        <w:t>2.98%</w:t>
      </w:r>
      <w:r>
        <w:rPr>
          <w:rFonts w:eastAsiaTheme="minorEastAsia"/>
          <w:color w:val="000000" w:themeColor="text1"/>
          <w:szCs w:val="21"/>
        </w:rPr>
        <w:t>，创业板指数下跌</w:t>
      </w:r>
      <w:r>
        <w:rPr>
          <w:rFonts w:eastAsiaTheme="minorEastAsia"/>
          <w:color w:val="000000" w:themeColor="text1"/>
          <w:szCs w:val="21"/>
        </w:rPr>
        <w:t>4.68%</w:t>
      </w:r>
      <w:r>
        <w:rPr>
          <w:rFonts w:eastAsiaTheme="minorEastAsia"/>
          <w:color w:val="000000" w:themeColor="text1"/>
          <w:szCs w:val="21"/>
        </w:rPr>
        <w:t>，显示大盘风格占优。</w:t>
      </w:r>
      <w:r>
        <w:rPr>
          <w:rFonts w:eastAsiaTheme="minorEastAsia"/>
          <w:color w:val="000000" w:themeColor="text1"/>
          <w:szCs w:val="21"/>
        </w:rPr>
        <w:t xml:space="preserve">     </w:t>
      </w:r>
    </w:p>
    <w:p w:rsidR="008E3BA0" w:rsidRDefault="008E5013">
      <w:pPr>
        <w:spacing w:line="360" w:lineRule="auto"/>
        <w:ind w:firstLineChars="200" w:firstLine="420"/>
        <w:rPr>
          <w:rFonts w:eastAsiaTheme="minorEastAsia"/>
          <w:color w:val="000000" w:themeColor="text1"/>
          <w:szCs w:val="21"/>
        </w:rPr>
      </w:pPr>
      <w:r>
        <w:rPr>
          <w:rFonts w:eastAsiaTheme="minorEastAsia"/>
          <w:color w:val="000000" w:themeColor="text1"/>
          <w:szCs w:val="21"/>
        </w:rPr>
        <w:t>操作上，基金运作主要着眼于控制每日跟踪误差、净值表现和业绩基准的偏差幅度。从实际运作结果观察，基金跟踪误差的主要来源是长期停牌股票估值调整以及指数成分股定期调整。</w:t>
      </w:r>
    </w:p>
    <w:p w:rsidR="00D33924" w:rsidRPr="003C5007" w:rsidRDefault="000820A8" w:rsidP="003C5007">
      <w:pPr>
        <w:spacing w:line="360" w:lineRule="auto"/>
        <w:ind w:firstLineChars="200" w:firstLine="420"/>
        <w:rPr>
          <w:rFonts w:eastAsiaTheme="minorEastAsia"/>
          <w:color w:val="000000" w:themeColor="text1"/>
          <w:szCs w:val="21"/>
        </w:rPr>
      </w:pPr>
      <w:r w:rsidRPr="003C5007">
        <w:rPr>
          <w:rFonts w:eastAsiaTheme="minorEastAsia"/>
          <w:color w:val="000000" w:themeColor="text1"/>
          <w:szCs w:val="21"/>
        </w:rPr>
        <w:t>本基金产品在申万菱信中小板指数分级基金之基础份额的基础上，设计了中小板</w:t>
      </w:r>
      <w:r w:rsidRPr="003C5007">
        <w:rPr>
          <w:rFonts w:eastAsiaTheme="minorEastAsia"/>
          <w:color w:val="000000" w:themeColor="text1"/>
          <w:szCs w:val="21"/>
        </w:rPr>
        <w:t>A</w:t>
      </w:r>
      <w:r w:rsidRPr="003C5007">
        <w:rPr>
          <w:rFonts w:eastAsiaTheme="minorEastAsia"/>
          <w:color w:val="000000" w:themeColor="text1"/>
          <w:szCs w:val="21"/>
        </w:rPr>
        <w:t>份额和中小板</w:t>
      </w:r>
      <w:r w:rsidRPr="003C5007">
        <w:rPr>
          <w:rFonts w:eastAsiaTheme="minorEastAsia"/>
          <w:color w:val="000000" w:themeColor="text1"/>
          <w:szCs w:val="21"/>
        </w:rPr>
        <w:t>B</w:t>
      </w:r>
      <w:r w:rsidRPr="003C5007">
        <w:rPr>
          <w:rFonts w:eastAsiaTheme="minorEastAsia"/>
          <w:color w:val="000000" w:themeColor="text1"/>
          <w:szCs w:val="21"/>
        </w:rPr>
        <w:t>份额。中小板</w:t>
      </w:r>
      <w:r w:rsidRPr="003C5007">
        <w:rPr>
          <w:rFonts w:eastAsiaTheme="minorEastAsia"/>
          <w:color w:val="000000" w:themeColor="text1"/>
          <w:szCs w:val="21"/>
        </w:rPr>
        <w:t>A</w:t>
      </w:r>
      <w:r w:rsidRPr="003C5007">
        <w:rPr>
          <w:rFonts w:eastAsiaTheme="minorEastAsia"/>
          <w:color w:val="000000" w:themeColor="text1"/>
          <w:szCs w:val="21"/>
        </w:rPr>
        <w:t>和中小板</w:t>
      </w:r>
      <w:r w:rsidRPr="003C5007">
        <w:rPr>
          <w:rFonts w:eastAsiaTheme="minorEastAsia"/>
          <w:color w:val="000000" w:themeColor="text1"/>
          <w:szCs w:val="21"/>
        </w:rPr>
        <w:t>B</w:t>
      </w:r>
      <w:r w:rsidRPr="003C5007">
        <w:rPr>
          <w:rFonts w:eastAsiaTheme="minorEastAsia"/>
          <w:color w:val="000000" w:themeColor="text1"/>
          <w:szCs w:val="21"/>
        </w:rPr>
        <w:t>份额之比为</w:t>
      </w:r>
      <w:r w:rsidRPr="003C5007">
        <w:rPr>
          <w:rFonts w:eastAsiaTheme="minorEastAsia"/>
          <w:color w:val="000000" w:themeColor="text1"/>
          <w:szCs w:val="21"/>
        </w:rPr>
        <w:t>1:1</w:t>
      </w:r>
      <w:r w:rsidRPr="003C5007">
        <w:rPr>
          <w:rFonts w:eastAsiaTheme="minorEastAsia"/>
          <w:color w:val="000000" w:themeColor="text1"/>
          <w:szCs w:val="21"/>
        </w:rPr>
        <w:t>。本基金已于</w:t>
      </w:r>
      <w:r w:rsidRPr="003C5007">
        <w:rPr>
          <w:rFonts w:eastAsiaTheme="minorEastAsia"/>
          <w:color w:val="000000" w:themeColor="text1"/>
          <w:szCs w:val="21"/>
        </w:rPr>
        <w:t>2017</w:t>
      </w:r>
      <w:r w:rsidRPr="003C5007">
        <w:rPr>
          <w:rFonts w:eastAsiaTheme="minorEastAsia"/>
          <w:color w:val="000000" w:themeColor="text1"/>
          <w:szCs w:val="21"/>
        </w:rPr>
        <w:t>年</w:t>
      </w:r>
      <w:r w:rsidRPr="003C5007">
        <w:rPr>
          <w:rFonts w:eastAsiaTheme="minorEastAsia"/>
          <w:color w:val="000000" w:themeColor="text1"/>
          <w:szCs w:val="21"/>
        </w:rPr>
        <w:t>5</w:t>
      </w:r>
      <w:r w:rsidRPr="003C5007">
        <w:rPr>
          <w:rFonts w:eastAsiaTheme="minorEastAsia"/>
          <w:color w:val="000000" w:themeColor="text1"/>
          <w:szCs w:val="21"/>
        </w:rPr>
        <w:t>月</w:t>
      </w:r>
      <w:r w:rsidRPr="003C5007">
        <w:rPr>
          <w:rFonts w:eastAsiaTheme="minorEastAsia"/>
          <w:color w:val="000000" w:themeColor="text1"/>
          <w:szCs w:val="21"/>
        </w:rPr>
        <w:t>8</w:t>
      </w:r>
      <w:r w:rsidRPr="003C5007">
        <w:rPr>
          <w:rFonts w:eastAsiaTheme="minorEastAsia"/>
          <w:color w:val="000000" w:themeColor="text1"/>
          <w:szCs w:val="21"/>
        </w:rPr>
        <w:t>日分级运作期结束，无需召开基金份额持有人大会，已自动转换为上市开放式基金（</w:t>
      </w:r>
      <w:r w:rsidRPr="003C5007">
        <w:rPr>
          <w:rFonts w:eastAsiaTheme="minorEastAsia"/>
          <w:color w:val="000000" w:themeColor="text1"/>
          <w:szCs w:val="21"/>
        </w:rPr>
        <w:t>LOF</w:t>
      </w:r>
      <w:r w:rsidRPr="003C5007">
        <w:rPr>
          <w:rFonts w:eastAsiaTheme="minorEastAsia"/>
          <w:color w:val="000000" w:themeColor="text1"/>
          <w:szCs w:val="21"/>
        </w:rPr>
        <w:t>），基金名称变更为</w:t>
      </w:r>
      <w:r w:rsidRPr="003C5007">
        <w:rPr>
          <w:rFonts w:eastAsiaTheme="minorEastAsia"/>
          <w:color w:val="000000" w:themeColor="text1"/>
          <w:szCs w:val="21"/>
        </w:rPr>
        <w:t>“</w:t>
      </w:r>
      <w:r w:rsidRPr="003C5007">
        <w:rPr>
          <w:rFonts w:eastAsiaTheme="minorEastAsia"/>
          <w:color w:val="000000" w:themeColor="text1"/>
          <w:szCs w:val="21"/>
        </w:rPr>
        <w:t>申万菱信中小板指数证券投资基金（</w:t>
      </w:r>
      <w:r w:rsidRPr="003C5007">
        <w:rPr>
          <w:rFonts w:eastAsiaTheme="minorEastAsia"/>
          <w:color w:val="000000" w:themeColor="text1"/>
          <w:szCs w:val="21"/>
        </w:rPr>
        <w:t>LOF</w:t>
      </w:r>
      <w:r w:rsidRPr="003C5007">
        <w:rPr>
          <w:rFonts w:eastAsiaTheme="minorEastAsia"/>
          <w:color w:val="000000" w:themeColor="text1"/>
          <w:szCs w:val="21"/>
        </w:rPr>
        <w:t>）</w:t>
      </w:r>
      <w:r w:rsidRPr="003C5007">
        <w:rPr>
          <w:rFonts w:eastAsiaTheme="minorEastAsia"/>
          <w:color w:val="000000" w:themeColor="text1"/>
          <w:szCs w:val="21"/>
        </w:rPr>
        <w:t>”</w:t>
      </w:r>
      <w:r w:rsidRPr="003C5007">
        <w:rPr>
          <w:rFonts w:eastAsiaTheme="minorEastAsia"/>
          <w:color w:val="000000" w:themeColor="text1"/>
          <w:szCs w:val="21"/>
        </w:rPr>
        <w:t>。作为被动投资的基金产品，申万菱信中小板指数证券投资基金（</w:t>
      </w:r>
      <w:r w:rsidRPr="003C5007">
        <w:rPr>
          <w:rFonts w:eastAsiaTheme="minorEastAsia"/>
          <w:color w:val="000000" w:themeColor="text1"/>
          <w:szCs w:val="21"/>
        </w:rPr>
        <w:t>LOF</w:t>
      </w:r>
      <w:r w:rsidRPr="003C5007">
        <w:rPr>
          <w:rFonts w:eastAsiaTheme="minorEastAsia"/>
          <w:color w:val="000000" w:themeColor="text1"/>
          <w:szCs w:val="21"/>
        </w:rPr>
        <w:t>）将继续坚持既定的指数化投资策略，以严格控制基金相对目标指数的跟踪偏离为投资目标，追求跟踪误差的最小化。</w:t>
      </w:r>
    </w:p>
    <w:p w:rsidR="00D33924" w:rsidRPr="003C5007" w:rsidRDefault="00D33924" w:rsidP="003C5007">
      <w:pPr>
        <w:spacing w:line="360" w:lineRule="auto"/>
        <w:rPr>
          <w:rFonts w:eastAsiaTheme="minorEastAsia"/>
          <w:color w:val="000000" w:themeColor="text1"/>
          <w:szCs w:val="21"/>
        </w:rPr>
      </w:pPr>
      <w:smartTag w:uri="urn:schemas-microsoft-com:office:smarttags" w:element="chsdate">
        <w:smartTagPr>
          <w:attr w:name="Year" w:val="1899"/>
          <w:attr w:name="Month" w:val="12"/>
          <w:attr w:name="Day" w:val="30"/>
          <w:attr w:name="IsLunarDate" w:val="False"/>
          <w:attr w:name="IsROCDate" w:val="False"/>
        </w:smartTagPr>
        <w:r w:rsidRPr="003C5007">
          <w:rPr>
            <w:rFonts w:eastAsiaTheme="minorEastAsia"/>
            <w:color w:val="000000" w:themeColor="text1"/>
            <w:szCs w:val="21"/>
          </w:rPr>
          <w:t>4.4.2</w:t>
        </w:r>
      </w:smartTag>
      <w:r w:rsidRPr="003C5007">
        <w:rPr>
          <w:rFonts w:eastAsiaTheme="minorEastAsia"/>
          <w:color w:val="000000" w:themeColor="text1"/>
          <w:szCs w:val="21"/>
        </w:rPr>
        <w:t>报告期内基金的业绩表现</w:t>
      </w:r>
    </w:p>
    <w:p w:rsidR="008E3BA0" w:rsidRDefault="008E5013">
      <w:pPr>
        <w:spacing w:line="360" w:lineRule="auto"/>
        <w:ind w:firstLineChars="200" w:firstLine="420"/>
        <w:rPr>
          <w:rFonts w:eastAsiaTheme="minorEastAsia"/>
          <w:color w:val="000000" w:themeColor="text1"/>
          <w:szCs w:val="21"/>
        </w:rPr>
      </w:pP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至</w:t>
      </w:r>
      <w:r>
        <w:rPr>
          <w:rFonts w:eastAsiaTheme="minorEastAsia"/>
          <w:color w:val="000000" w:themeColor="text1"/>
          <w:szCs w:val="21"/>
        </w:rPr>
        <w:t>5</w:t>
      </w:r>
      <w:r>
        <w:rPr>
          <w:rFonts w:eastAsiaTheme="minorEastAsia"/>
          <w:color w:val="000000" w:themeColor="text1"/>
          <w:szCs w:val="21"/>
        </w:rPr>
        <w:t>月</w:t>
      </w:r>
      <w:r>
        <w:rPr>
          <w:rFonts w:eastAsiaTheme="minorEastAsia"/>
          <w:color w:val="000000" w:themeColor="text1"/>
          <w:szCs w:val="21"/>
        </w:rPr>
        <w:t>8</w:t>
      </w:r>
      <w:r>
        <w:rPr>
          <w:rFonts w:eastAsiaTheme="minorEastAsia"/>
          <w:color w:val="000000" w:themeColor="text1"/>
          <w:szCs w:val="21"/>
        </w:rPr>
        <w:t>日中小板成份指数期间表现为</w:t>
      </w:r>
      <w:r>
        <w:rPr>
          <w:rFonts w:eastAsiaTheme="minorEastAsia"/>
          <w:color w:val="000000" w:themeColor="text1"/>
          <w:szCs w:val="21"/>
        </w:rPr>
        <w:t>-4.98%</w:t>
      </w:r>
      <w:r>
        <w:rPr>
          <w:rFonts w:eastAsiaTheme="minorEastAsia"/>
          <w:color w:val="000000" w:themeColor="text1"/>
          <w:szCs w:val="21"/>
        </w:rPr>
        <w:t>，基金业绩基准表现为</w:t>
      </w:r>
      <w:r>
        <w:rPr>
          <w:rFonts w:eastAsiaTheme="minorEastAsia"/>
          <w:color w:val="000000" w:themeColor="text1"/>
          <w:szCs w:val="21"/>
        </w:rPr>
        <w:t>-4.73%</w:t>
      </w:r>
      <w:r>
        <w:rPr>
          <w:rFonts w:eastAsiaTheme="minorEastAsia"/>
          <w:color w:val="000000" w:themeColor="text1"/>
          <w:szCs w:val="21"/>
        </w:rPr>
        <w:t>，申万菱信中小板指数分级证券投资基金净值期间表现为</w:t>
      </w:r>
      <w:r>
        <w:rPr>
          <w:rFonts w:eastAsiaTheme="minorEastAsia"/>
          <w:color w:val="000000" w:themeColor="text1"/>
          <w:szCs w:val="21"/>
        </w:rPr>
        <w:t>-4.75%</w:t>
      </w:r>
      <w:r>
        <w:rPr>
          <w:rFonts w:eastAsiaTheme="minorEastAsia"/>
          <w:color w:val="000000" w:themeColor="text1"/>
          <w:szCs w:val="21"/>
        </w:rPr>
        <w:t>，落后业绩基准</w:t>
      </w:r>
      <w:r>
        <w:rPr>
          <w:rFonts w:eastAsiaTheme="minorEastAsia"/>
          <w:color w:val="000000" w:themeColor="text1"/>
          <w:szCs w:val="21"/>
        </w:rPr>
        <w:t>0.02%</w:t>
      </w:r>
      <w:r>
        <w:rPr>
          <w:rFonts w:eastAsiaTheme="minorEastAsia"/>
          <w:color w:val="000000" w:themeColor="text1"/>
          <w:szCs w:val="21"/>
        </w:rPr>
        <w:t>。</w:t>
      </w:r>
    </w:p>
    <w:p w:rsidR="00D33924" w:rsidRPr="003C5007" w:rsidRDefault="000820A8" w:rsidP="003C5007">
      <w:pPr>
        <w:spacing w:line="360" w:lineRule="auto"/>
        <w:ind w:firstLineChars="200" w:firstLine="420"/>
        <w:rPr>
          <w:rFonts w:eastAsiaTheme="minorEastAsia"/>
          <w:color w:val="000000" w:themeColor="text1"/>
          <w:szCs w:val="21"/>
        </w:rPr>
      </w:pPr>
      <w:r w:rsidRPr="003C5007">
        <w:rPr>
          <w:rFonts w:eastAsiaTheme="minorEastAsia"/>
          <w:color w:val="000000" w:themeColor="text1"/>
          <w:szCs w:val="21"/>
        </w:rPr>
        <w:t>2017</w:t>
      </w:r>
      <w:r w:rsidRPr="003C5007">
        <w:rPr>
          <w:rFonts w:eastAsiaTheme="minorEastAsia"/>
          <w:color w:val="000000" w:themeColor="text1"/>
          <w:szCs w:val="21"/>
        </w:rPr>
        <w:t>年</w:t>
      </w:r>
      <w:r w:rsidRPr="003C5007">
        <w:rPr>
          <w:rFonts w:eastAsiaTheme="minorEastAsia"/>
          <w:color w:val="000000" w:themeColor="text1"/>
          <w:szCs w:val="21"/>
        </w:rPr>
        <w:t>5</w:t>
      </w:r>
      <w:r w:rsidRPr="003C5007">
        <w:rPr>
          <w:rFonts w:eastAsiaTheme="minorEastAsia"/>
          <w:color w:val="000000" w:themeColor="text1"/>
          <w:szCs w:val="21"/>
        </w:rPr>
        <w:t>月</w:t>
      </w:r>
      <w:r w:rsidRPr="003C5007">
        <w:rPr>
          <w:rFonts w:eastAsiaTheme="minorEastAsia"/>
          <w:color w:val="000000" w:themeColor="text1"/>
          <w:szCs w:val="21"/>
        </w:rPr>
        <w:t>9</w:t>
      </w:r>
      <w:r w:rsidRPr="003C5007">
        <w:rPr>
          <w:rFonts w:eastAsiaTheme="minorEastAsia"/>
          <w:color w:val="000000" w:themeColor="text1"/>
          <w:szCs w:val="21"/>
        </w:rPr>
        <w:t>日至</w:t>
      </w:r>
      <w:r w:rsidRPr="003C5007">
        <w:rPr>
          <w:rFonts w:eastAsiaTheme="minorEastAsia"/>
          <w:color w:val="000000" w:themeColor="text1"/>
          <w:szCs w:val="21"/>
        </w:rPr>
        <w:t>6</w:t>
      </w:r>
      <w:r w:rsidRPr="003C5007">
        <w:rPr>
          <w:rFonts w:eastAsiaTheme="minorEastAsia"/>
          <w:color w:val="000000" w:themeColor="text1"/>
          <w:szCs w:val="21"/>
        </w:rPr>
        <w:t>月</w:t>
      </w:r>
      <w:r w:rsidRPr="003C5007">
        <w:rPr>
          <w:rFonts w:eastAsiaTheme="minorEastAsia"/>
          <w:color w:val="000000" w:themeColor="text1"/>
          <w:szCs w:val="21"/>
        </w:rPr>
        <w:t>30</w:t>
      </w:r>
      <w:r w:rsidRPr="003C5007">
        <w:rPr>
          <w:rFonts w:eastAsiaTheme="minorEastAsia"/>
          <w:color w:val="000000" w:themeColor="text1"/>
          <w:szCs w:val="21"/>
        </w:rPr>
        <w:t>日中小板成份指数期间表现为</w:t>
      </w:r>
      <w:r w:rsidRPr="003C5007">
        <w:rPr>
          <w:rFonts w:eastAsiaTheme="minorEastAsia"/>
          <w:color w:val="000000" w:themeColor="text1"/>
          <w:szCs w:val="21"/>
        </w:rPr>
        <w:t>8.38%</w:t>
      </w:r>
      <w:r w:rsidRPr="003C5007">
        <w:rPr>
          <w:rFonts w:eastAsiaTheme="minorEastAsia"/>
          <w:color w:val="000000" w:themeColor="text1"/>
          <w:szCs w:val="21"/>
        </w:rPr>
        <w:t>，基金业绩基准表现为</w:t>
      </w:r>
      <w:r w:rsidRPr="003C5007">
        <w:rPr>
          <w:rFonts w:eastAsiaTheme="minorEastAsia"/>
          <w:color w:val="000000" w:themeColor="text1"/>
          <w:szCs w:val="21"/>
        </w:rPr>
        <w:t>7.95%</w:t>
      </w:r>
      <w:r w:rsidRPr="003C5007">
        <w:rPr>
          <w:rFonts w:eastAsiaTheme="minorEastAsia"/>
          <w:color w:val="000000" w:themeColor="text1"/>
          <w:szCs w:val="21"/>
        </w:rPr>
        <w:t>，申万菱信中小板指数证券投资基金（</w:t>
      </w:r>
      <w:r w:rsidRPr="003C5007">
        <w:rPr>
          <w:rFonts w:eastAsiaTheme="minorEastAsia"/>
          <w:color w:val="000000" w:themeColor="text1"/>
          <w:szCs w:val="21"/>
        </w:rPr>
        <w:t>LOF</w:t>
      </w:r>
      <w:r w:rsidRPr="003C5007">
        <w:rPr>
          <w:rFonts w:eastAsiaTheme="minorEastAsia"/>
          <w:color w:val="000000" w:themeColor="text1"/>
          <w:szCs w:val="21"/>
        </w:rPr>
        <w:t>）净值期间表现为</w:t>
      </w:r>
      <w:r w:rsidRPr="003C5007">
        <w:rPr>
          <w:rFonts w:eastAsiaTheme="minorEastAsia"/>
          <w:color w:val="000000" w:themeColor="text1"/>
          <w:szCs w:val="21"/>
        </w:rPr>
        <w:t>9.00%</w:t>
      </w:r>
      <w:r w:rsidRPr="003C5007">
        <w:rPr>
          <w:rFonts w:eastAsiaTheme="minorEastAsia"/>
          <w:color w:val="000000" w:themeColor="text1"/>
          <w:szCs w:val="21"/>
        </w:rPr>
        <w:t>，领先业绩基准</w:t>
      </w:r>
      <w:r w:rsidRPr="003C5007">
        <w:rPr>
          <w:rFonts w:eastAsiaTheme="minorEastAsia"/>
          <w:color w:val="000000" w:themeColor="text1"/>
          <w:szCs w:val="21"/>
        </w:rPr>
        <w:t>1.05%</w:t>
      </w:r>
      <w:r w:rsidRPr="003C5007">
        <w:rPr>
          <w:rFonts w:eastAsiaTheme="minorEastAsia"/>
          <w:color w:val="000000" w:themeColor="text1"/>
          <w:szCs w:val="21"/>
        </w:rPr>
        <w:t>。</w:t>
      </w:r>
    </w:p>
    <w:p w:rsidR="00624E5B" w:rsidRPr="003C5007" w:rsidRDefault="00770601" w:rsidP="003C5007">
      <w:pPr>
        <w:spacing w:line="360" w:lineRule="auto"/>
        <w:rPr>
          <w:rFonts w:eastAsiaTheme="minorEastAsia"/>
          <w:color w:val="000000" w:themeColor="text1"/>
          <w:szCs w:val="21"/>
        </w:rPr>
      </w:pPr>
      <w:r w:rsidRPr="003C5007">
        <w:rPr>
          <w:rFonts w:eastAsiaTheme="minorEastAsia"/>
          <w:b/>
          <w:color w:val="000000" w:themeColor="text1"/>
          <w:kern w:val="0"/>
          <w:szCs w:val="21"/>
        </w:rPr>
        <w:t>4.5</w:t>
      </w:r>
      <w:r w:rsidR="00624E5B" w:rsidRPr="003C5007">
        <w:rPr>
          <w:rFonts w:eastAsiaTheme="minorEastAsia"/>
          <w:b/>
          <w:color w:val="000000" w:themeColor="text1"/>
          <w:kern w:val="0"/>
          <w:szCs w:val="21"/>
        </w:rPr>
        <w:t>报告期内基金持有人数或基金资产净值预警说明</w:t>
      </w:r>
    </w:p>
    <w:p w:rsidR="00624E5B" w:rsidRPr="003C5007" w:rsidRDefault="00624E5B" w:rsidP="003C5007">
      <w:pPr>
        <w:spacing w:line="360" w:lineRule="auto"/>
        <w:ind w:firstLineChars="200" w:firstLine="420"/>
        <w:rPr>
          <w:rFonts w:eastAsiaTheme="minorEastAsia"/>
          <w:color w:val="000000" w:themeColor="text1"/>
          <w:szCs w:val="21"/>
        </w:rPr>
      </w:pPr>
      <w:r w:rsidRPr="003C5007">
        <w:rPr>
          <w:rFonts w:eastAsiaTheme="minorEastAsia"/>
          <w:color w:val="000000" w:themeColor="text1"/>
          <w:kern w:val="0"/>
          <w:szCs w:val="21"/>
        </w:rPr>
        <w:t>无。</w:t>
      </w:r>
    </w:p>
    <w:p w:rsidR="00220542" w:rsidRPr="003C5007" w:rsidRDefault="00220542" w:rsidP="00767A35">
      <w:pPr>
        <w:pStyle w:val="1"/>
        <w:spacing w:beforeLines="100" w:before="312" w:afterLines="100" w:after="312" w:line="360" w:lineRule="auto"/>
        <w:jc w:val="center"/>
        <w:rPr>
          <w:rFonts w:eastAsiaTheme="minorEastAsia"/>
          <w:color w:val="000000" w:themeColor="text1"/>
          <w:kern w:val="0"/>
          <w:sz w:val="21"/>
          <w:szCs w:val="21"/>
        </w:rPr>
      </w:pPr>
      <w:r w:rsidRPr="003C5007">
        <w:rPr>
          <w:rFonts w:eastAsiaTheme="minorEastAsia"/>
          <w:color w:val="000000" w:themeColor="text1"/>
          <w:kern w:val="0"/>
          <w:sz w:val="21"/>
          <w:szCs w:val="21"/>
        </w:rPr>
        <w:t xml:space="preserve">§5  </w:t>
      </w:r>
      <w:r w:rsidRPr="003C5007">
        <w:rPr>
          <w:rFonts w:eastAsiaTheme="minorEastAsia"/>
          <w:color w:val="000000" w:themeColor="text1"/>
          <w:kern w:val="0"/>
          <w:sz w:val="21"/>
          <w:szCs w:val="21"/>
        </w:rPr>
        <w:t>投资组合报告</w:t>
      </w:r>
    </w:p>
    <w:p w:rsidR="001A0F0C" w:rsidRPr="003C5007" w:rsidRDefault="001A0F0C" w:rsidP="003C5007">
      <w:pPr>
        <w:pStyle w:val="2"/>
        <w:spacing w:before="0" w:after="0"/>
        <w:rPr>
          <w:rFonts w:ascii="Times New Roman" w:hAnsi="Times New Roman" w:cs="Times New Roman"/>
          <w:b w:val="0"/>
          <w:color w:val="000000"/>
          <w:kern w:val="0"/>
          <w:sz w:val="21"/>
          <w:szCs w:val="21"/>
        </w:rPr>
      </w:pPr>
      <w:r w:rsidRPr="003C5007">
        <w:rPr>
          <w:rFonts w:ascii="Times New Roman" w:hAnsi="Times New Roman" w:cs="Times New Roman"/>
          <w:color w:val="000000"/>
          <w:kern w:val="0"/>
          <w:sz w:val="21"/>
          <w:szCs w:val="21"/>
        </w:rPr>
        <w:t xml:space="preserve">5.1 </w:t>
      </w:r>
      <w:r w:rsidRPr="003C5007">
        <w:rPr>
          <w:rFonts w:ascii="Times New Roman" w:hAnsi="Times New Roman" w:cs="Times New Roman"/>
          <w:color w:val="000000"/>
          <w:kern w:val="0"/>
          <w:sz w:val="21"/>
          <w:szCs w:val="21"/>
        </w:rPr>
        <w:t>申万菱信中小板指数证券投资基金</w:t>
      </w:r>
      <w:r w:rsidRPr="003C5007">
        <w:rPr>
          <w:rFonts w:ascii="Times New Roman" w:hAnsi="Times New Roman" w:cs="Times New Roman"/>
          <w:color w:val="000000"/>
          <w:kern w:val="0"/>
          <w:sz w:val="21"/>
          <w:szCs w:val="21"/>
        </w:rPr>
        <w:t>(LOF)</w:t>
      </w:r>
    </w:p>
    <w:p w:rsidR="001A0F0C" w:rsidRPr="003C5007" w:rsidRDefault="001A0F0C" w:rsidP="003C5007">
      <w:pPr>
        <w:autoSpaceDE w:val="0"/>
        <w:autoSpaceDN w:val="0"/>
        <w:adjustRightInd w:val="0"/>
        <w:spacing w:line="360" w:lineRule="auto"/>
        <w:ind w:left="15"/>
        <w:jc w:val="left"/>
        <w:rPr>
          <w:b/>
          <w:color w:val="000000"/>
          <w:kern w:val="0"/>
          <w:szCs w:val="21"/>
        </w:rPr>
      </w:pPr>
      <w:r w:rsidRPr="003C5007">
        <w:rPr>
          <w:b/>
          <w:color w:val="000000"/>
          <w:kern w:val="0"/>
          <w:szCs w:val="21"/>
        </w:rPr>
        <w:t>（报告期：</w:t>
      </w:r>
      <w:r w:rsidRPr="003C5007">
        <w:rPr>
          <w:b/>
          <w:color w:val="000000"/>
          <w:kern w:val="0"/>
          <w:szCs w:val="21"/>
        </w:rPr>
        <w:t>2017</w:t>
      </w:r>
      <w:r w:rsidRPr="003C5007">
        <w:rPr>
          <w:b/>
          <w:color w:val="000000"/>
          <w:kern w:val="0"/>
          <w:szCs w:val="21"/>
        </w:rPr>
        <w:t>年</w:t>
      </w:r>
      <w:r w:rsidRPr="003C5007">
        <w:rPr>
          <w:b/>
          <w:color w:val="000000"/>
          <w:kern w:val="0"/>
          <w:szCs w:val="21"/>
        </w:rPr>
        <w:t>5</w:t>
      </w:r>
      <w:r w:rsidRPr="003C5007">
        <w:rPr>
          <w:b/>
          <w:color w:val="000000"/>
          <w:kern w:val="0"/>
          <w:szCs w:val="21"/>
        </w:rPr>
        <w:t>月</w:t>
      </w:r>
      <w:r w:rsidRPr="003C5007">
        <w:rPr>
          <w:b/>
          <w:color w:val="000000"/>
          <w:kern w:val="0"/>
          <w:szCs w:val="21"/>
        </w:rPr>
        <w:t>9</w:t>
      </w:r>
      <w:r w:rsidRPr="003C5007">
        <w:rPr>
          <w:b/>
          <w:color w:val="000000"/>
          <w:kern w:val="0"/>
          <w:szCs w:val="21"/>
        </w:rPr>
        <w:t>日</w:t>
      </w:r>
      <w:r w:rsidRPr="003C5007">
        <w:rPr>
          <w:b/>
          <w:color w:val="000000"/>
          <w:kern w:val="0"/>
          <w:szCs w:val="21"/>
        </w:rPr>
        <w:t>-2017</w:t>
      </w:r>
      <w:r w:rsidRPr="003C5007">
        <w:rPr>
          <w:b/>
          <w:color w:val="000000"/>
          <w:kern w:val="0"/>
          <w:szCs w:val="21"/>
        </w:rPr>
        <w:t>年</w:t>
      </w:r>
      <w:r w:rsidRPr="003C5007">
        <w:rPr>
          <w:b/>
          <w:color w:val="000000"/>
          <w:kern w:val="0"/>
          <w:szCs w:val="21"/>
        </w:rPr>
        <w:t>6</w:t>
      </w:r>
      <w:r w:rsidRPr="003C5007">
        <w:rPr>
          <w:b/>
          <w:color w:val="000000"/>
          <w:kern w:val="0"/>
          <w:szCs w:val="21"/>
        </w:rPr>
        <w:t>月</w:t>
      </w:r>
      <w:r w:rsidRPr="003C5007">
        <w:rPr>
          <w:b/>
          <w:color w:val="000000"/>
          <w:kern w:val="0"/>
          <w:szCs w:val="21"/>
        </w:rPr>
        <w:t>30</w:t>
      </w:r>
      <w:r w:rsidRPr="003C5007">
        <w:rPr>
          <w:b/>
          <w:color w:val="000000"/>
          <w:kern w:val="0"/>
          <w:szCs w:val="21"/>
        </w:rPr>
        <w:t>日）</w:t>
      </w:r>
    </w:p>
    <w:p w:rsidR="00220542" w:rsidRPr="003C5007" w:rsidRDefault="00220542" w:rsidP="003C5007">
      <w:pPr>
        <w:autoSpaceDE w:val="0"/>
        <w:autoSpaceDN w:val="0"/>
        <w:adjustRightInd w:val="0"/>
        <w:spacing w:line="360" w:lineRule="auto"/>
        <w:jc w:val="left"/>
        <w:rPr>
          <w:rFonts w:eastAsiaTheme="minorEastAsia"/>
          <w:b/>
          <w:color w:val="000000" w:themeColor="text1"/>
          <w:kern w:val="0"/>
          <w:szCs w:val="21"/>
        </w:rPr>
      </w:pPr>
      <w:r w:rsidRPr="003C5007">
        <w:rPr>
          <w:rFonts w:eastAsiaTheme="minorEastAsia"/>
          <w:b/>
          <w:color w:val="000000" w:themeColor="text1"/>
          <w:kern w:val="0"/>
          <w:szCs w:val="21"/>
        </w:rPr>
        <w:t>5.1</w:t>
      </w:r>
      <w:r w:rsidR="001A0F0C" w:rsidRPr="003C5007">
        <w:rPr>
          <w:rFonts w:eastAsiaTheme="minorEastAsia"/>
          <w:b/>
          <w:color w:val="000000" w:themeColor="text1"/>
          <w:kern w:val="0"/>
          <w:szCs w:val="21"/>
        </w:rPr>
        <w:t>.1</w:t>
      </w:r>
      <w:r w:rsidRPr="003C5007">
        <w:rPr>
          <w:rFonts w:eastAsiaTheme="minorEastAsia"/>
          <w:b/>
          <w:color w:val="000000" w:themeColor="text1"/>
          <w:kern w:val="0"/>
          <w:szCs w:val="21"/>
        </w:rPr>
        <w:t>报告期末基金资产组合情况</w:t>
      </w:r>
    </w:p>
    <w:tbl>
      <w:tblPr>
        <w:tblStyle w:val="af7"/>
        <w:tblW w:w="4884" w:type="pct"/>
        <w:jc w:val="center"/>
        <w:tblLook w:val="04A0" w:firstRow="1" w:lastRow="0" w:firstColumn="1" w:lastColumn="0" w:noHBand="0" w:noVBand="1"/>
      </w:tblPr>
      <w:tblGrid>
        <w:gridCol w:w="711"/>
        <w:gridCol w:w="3977"/>
        <w:gridCol w:w="2164"/>
        <w:gridCol w:w="1478"/>
      </w:tblGrid>
      <w:tr w:rsidR="003E712B" w:rsidRPr="003C5007" w:rsidTr="008E5013">
        <w:trPr>
          <w:jc w:val="center"/>
        </w:trPr>
        <w:tc>
          <w:tcPr>
            <w:tcW w:w="427" w:type="pct"/>
            <w:vAlign w:val="center"/>
          </w:tcPr>
          <w:p w:rsidR="00DE4CDE" w:rsidRPr="003C5007" w:rsidRDefault="00DE4CDE" w:rsidP="003C5007">
            <w:pPr>
              <w:spacing w:line="360" w:lineRule="auto"/>
              <w:ind w:left="17"/>
              <w:jc w:val="center"/>
              <w:rPr>
                <w:rFonts w:eastAsiaTheme="minorEastAsia"/>
                <w:color w:val="000000" w:themeColor="text1"/>
                <w:szCs w:val="21"/>
              </w:rPr>
            </w:pPr>
            <w:r w:rsidRPr="003C5007">
              <w:rPr>
                <w:rFonts w:eastAsiaTheme="minorEastAsia"/>
                <w:color w:val="000000" w:themeColor="text1"/>
                <w:szCs w:val="21"/>
              </w:rPr>
              <w:t>序号</w:t>
            </w:r>
          </w:p>
        </w:tc>
        <w:tc>
          <w:tcPr>
            <w:tcW w:w="2387" w:type="pct"/>
            <w:vAlign w:val="center"/>
          </w:tcPr>
          <w:p w:rsidR="00DE4CDE" w:rsidRPr="003C5007" w:rsidRDefault="00DE4CDE" w:rsidP="003C5007">
            <w:pPr>
              <w:spacing w:line="360" w:lineRule="auto"/>
              <w:ind w:left="17"/>
              <w:jc w:val="center"/>
              <w:rPr>
                <w:rFonts w:eastAsiaTheme="minorEastAsia"/>
                <w:color w:val="000000" w:themeColor="text1"/>
                <w:szCs w:val="21"/>
              </w:rPr>
            </w:pPr>
            <w:r w:rsidRPr="003C5007">
              <w:rPr>
                <w:rFonts w:eastAsiaTheme="minorEastAsia"/>
                <w:color w:val="000000" w:themeColor="text1"/>
                <w:szCs w:val="21"/>
              </w:rPr>
              <w:t>项目</w:t>
            </w:r>
          </w:p>
        </w:tc>
        <w:tc>
          <w:tcPr>
            <w:tcW w:w="1299" w:type="pct"/>
            <w:vAlign w:val="center"/>
          </w:tcPr>
          <w:p w:rsidR="00DE4CDE" w:rsidRPr="003C5007" w:rsidRDefault="00DE4CDE" w:rsidP="003C5007">
            <w:pPr>
              <w:spacing w:line="360" w:lineRule="auto"/>
              <w:ind w:left="17"/>
              <w:jc w:val="center"/>
              <w:rPr>
                <w:rFonts w:eastAsiaTheme="minorEastAsia"/>
                <w:color w:val="000000" w:themeColor="text1"/>
                <w:szCs w:val="21"/>
              </w:rPr>
            </w:pPr>
            <w:r w:rsidRPr="003C5007">
              <w:rPr>
                <w:rFonts w:eastAsiaTheme="minorEastAsia"/>
                <w:color w:val="000000" w:themeColor="text1"/>
                <w:szCs w:val="21"/>
              </w:rPr>
              <w:t>金额</w:t>
            </w:r>
            <w:r w:rsidRPr="003C5007">
              <w:rPr>
                <w:rFonts w:eastAsiaTheme="minorEastAsia"/>
                <w:color w:val="000000" w:themeColor="text1"/>
                <w:szCs w:val="21"/>
              </w:rPr>
              <w:t>(</w:t>
            </w:r>
            <w:r w:rsidRPr="003C5007">
              <w:rPr>
                <w:rFonts w:eastAsiaTheme="minorEastAsia"/>
                <w:color w:val="000000" w:themeColor="text1"/>
                <w:szCs w:val="21"/>
              </w:rPr>
              <w:t>元</w:t>
            </w:r>
            <w:r w:rsidRPr="003C5007">
              <w:rPr>
                <w:rFonts w:eastAsiaTheme="minorEastAsia"/>
                <w:color w:val="000000" w:themeColor="text1"/>
                <w:szCs w:val="21"/>
              </w:rPr>
              <w:t>)</w:t>
            </w:r>
          </w:p>
        </w:tc>
        <w:tc>
          <w:tcPr>
            <w:tcW w:w="888" w:type="pct"/>
            <w:vAlign w:val="center"/>
          </w:tcPr>
          <w:p w:rsidR="00DE4CDE" w:rsidRPr="003C5007" w:rsidRDefault="00DE4CDE" w:rsidP="003C5007">
            <w:pPr>
              <w:spacing w:line="360" w:lineRule="auto"/>
              <w:ind w:left="17"/>
              <w:jc w:val="center"/>
              <w:rPr>
                <w:rFonts w:eastAsiaTheme="minorEastAsia"/>
                <w:color w:val="000000" w:themeColor="text1"/>
                <w:szCs w:val="21"/>
              </w:rPr>
            </w:pPr>
            <w:r w:rsidRPr="003C5007">
              <w:rPr>
                <w:rFonts w:eastAsiaTheme="minorEastAsia"/>
                <w:color w:val="000000" w:themeColor="text1"/>
                <w:szCs w:val="21"/>
              </w:rPr>
              <w:t>占基金总资产的比例</w:t>
            </w:r>
            <w:r w:rsidRPr="003C5007">
              <w:rPr>
                <w:rFonts w:eastAsiaTheme="minorEastAsia"/>
                <w:color w:val="000000" w:themeColor="text1"/>
                <w:szCs w:val="21"/>
              </w:rPr>
              <w:t>(%)</w:t>
            </w:r>
          </w:p>
        </w:tc>
      </w:tr>
      <w:tr w:rsidR="003E712B" w:rsidRPr="003C5007" w:rsidTr="008E5013">
        <w:trPr>
          <w:jc w:val="center"/>
        </w:trPr>
        <w:tc>
          <w:tcPr>
            <w:tcW w:w="427" w:type="pct"/>
            <w:vAlign w:val="center"/>
          </w:tcPr>
          <w:p w:rsidR="00DE4CDE" w:rsidRPr="003C5007" w:rsidRDefault="00DE4CDE" w:rsidP="003C5007">
            <w:pPr>
              <w:spacing w:line="360" w:lineRule="auto"/>
              <w:ind w:left="17"/>
              <w:jc w:val="center"/>
              <w:rPr>
                <w:rFonts w:eastAsiaTheme="minorEastAsia"/>
                <w:color w:val="000000" w:themeColor="text1"/>
                <w:szCs w:val="21"/>
              </w:rPr>
            </w:pPr>
            <w:r w:rsidRPr="003C5007">
              <w:rPr>
                <w:rFonts w:eastAsiaTheme="minorEastAsia"/>
                <w:color w:val="000000" w:themeColor="text1"/>
                <w:szCs w:val="21"/>
              </w:rPr>
              <w:t>1</w:t>
            </w:r>
          </w:p>
        </w:tc>
        <w:tc>
          <w:tcPr>
            <w:tcW w:w="2387" w:type="pct"/>
            <w:vAlign w:val="center"/>
          </w:tcPr>
          <w:p w:rsidR="00DE4CDE" w:rsidRPr="003C5007" w:rsidRDefault="00DE4CDE" w:rsidP="003C5007">
            <w:pPr>
              <w:spacing w:line="360" w:lineRule="auto"/>
              <w:ind w:left="17"/>
              <w:jc w:val="left"/>
              <w:rPr>
                <w:rFonts w:eastAsiaTheme="minorEastAsia"/>
                <w:color w:val="000000" w:themeColor="text1"/>
                <w:szCs w:val="21"/>
              </w:rPr>
            </w:pPr>
            <w:r w:rsidRPr="003C5007">
              <w:rPr>
                <w:rFonts w:eastAsiaTheme="minorEastAsia"/>
                <w:color w:val="000000" w:themeColor="text1"/>
                <w:szCs w:val="21"/>
              </w:rPr>
              <w:t>权益投资</w:t>
            </w:r>
          </w:p>
        </w:tc>
        <w:tc>
          <w:tcPr>
            <w:tcW w:w="1299" w:type="pct"/>
            <w:vAlign w:val="center"/>
          </w:tcPr>
          <w:p w:rsidR="00DE4CDE" w:rsidRPr="003C5007" w:rsidRDefault="00DE4CDE" w:rsidP="003C5007">
            <w:pPr>
              <w:spacing w:line="360" w:lineRule="auto"/>
              <w:ind w:left="17"/>
              <w:jc w:val="right"/>
              <w:rPr>
                <w:rFonts w:eastAsiaTheme="minorEastAsia"/>
                <w:color w:val="000000" w:themeColor="text1"/>
                <w:szCs w:val="21"/>
              </w:rPr>
            </w:pPr>
            <w:r w:rsidRPr="003C5007">
              <w:rPr>
                <w:rFonts w:eastAsiaTheme="minorEastAsia"/>
                <w:color w:val="000000" w:themeColor="text1"/>
                <w:szCs w:val="21"/>
              </w:rPr>
              <w:t>154,329,707.65</w:t>
            </w:r>
          </w:p>
        </w:tc>
        <w:tc>
          <w:tcPr>
            <w:tcW w:w="888" w:type="pct"/>
            <w:vAlign w:val="center"/>
          </w:tcPr>
          <w:p w:rsidR="00DE4CDE" w:rsidRPr="003C5007" w:rsidRDefault="00DE4CDE" w:rsidP="003C5007">
            <w:pPr>
              <w:spacing w:line="360" w:lineRule="auto"/>
              <w:ind w:left="17"/>
              <w:jc w:val="right"/>
              <w:rPr>
                <w:rFonts w:eastAsiaTheme="minorEastAsia"/>
                <w:color w:val="000000" w:themeColor="text1"/>
                <w:szCs w:val="21"/>
              </w:rPr>
            </w:pPr>
            <w:r w:rsidRPr="003C5007">
              <w:rPr>
                <w:rFonts w:eastAsiaTheme="minorEastAsia"/>
                <w:color w:val="000000" w:themeColor="text1"/>
                <w:szCs w:val="21"/>
              </w:rPr>
              <w:t>92.71</w:t>
            </w:r>
          </w:p>
        </w:tc>
      </w:tr>
      <w:tr w:rsidR="003E712B" w:rsidRPr="003C5007" w:rsidTr="008E5013">
        <w:trPr>
          <w:jc w:val="center"/>
        </w:trPr>
        <w:tc>
          <w:tcPr>
            <w:tcW w:w="427" w:type="pct"/>
            <w:vAlign w:val="center"/>
          </w:tcPr>
          <w:p w:rsidR="00DE4CDE" w:rsidRPr="003C5007" w:rsidRDefault="00DE4CDE" w:rsidP="003C5007">
            <w:pPr>
              <w:spacing w:line="360" w:lineRule="auto"/>
              <w:ind w:left="17"/>
              <w:jc w:val="center"/>
              <w:rPr>
                <w:rFonts w:eastAsiaTheme="minorEastAsia"/>
                <w:color w:val="000000" w:themeColor="text1"/>
                <w:szCs w:val="21"/>
              </w:rPr>
            </w:pPr>
          </w:p>
        </w:tc>
        <w:tc>
          <w:tcPr>
            <w:tcW w:w="2387" w:type="pct"/>
            <w:vAlign w:val="center"/>
          </w:tcPr>
          <w:p w:rsidR="00DE4CDE" w:rsidRPr="003C5007" w:rsidRDefault="00DE4CDE" w:rsidP="003C5007">
            <w:pPr>
              <w:spacing w:line="360" w:lineRule="auto"/>
              <w:ind w:left="17"/>
              <w:jc w:val="left"/>
              <w:rPr>
                <w:rFonts w:eastAsiaTheme="minorEastAsia"/>
                <w:color w:val="000000" w:themeColor="text1"/>
                <w:szCs w:val="21"/>
              </w:rPr>
            </w:pPr>
            <w:r w:rsidRPr="003C5007">
              <w:rPr>
                <w:rFonts w:eastAsiaTheme="minorEastAsia"/>
                <w:color w:val="000000" w:themeColor="text1"/>
                <w:szCs w:val="21"/>
              </w:rPr>
              <w:t>其中：股票</w:t>
            </w:r>
          </w:p>
        </w:tc>
        <w:tc>
          <w:tcPr>
            <w:tcW w:w="1299" w:type="pct"/>
            <w:vAlign w:val="center"/>
          </w:tcPr>
          <w:p w:rsidR="00DE4CDE" w:rsidRPr="003C5007" w:rsidRDefault="00DE4CDE" w:rsidP="003C5007">
            <w:pPr>
              <w:spacing w:line="360" w:lineRule="auto"/>
              <w:ind w:left="17"/>
              <w:jc w:val="right"/>
              <w:rPr>
                <w:rFonts w:eastAsiaTheme="minorEastAsia"/>
                <w:color w:val="000000" w:themeColor="text1"/>
                <w:szCs w:val="21"/>
              </w:rPr>
            </w:pPr>
            <w:r w:rsidRPr="003C5007">
              <w:rPr>
                <w:rFonts w:eastAsiaTheme="minorEastAsia"/>
                <w:color w:val="000000" w:themeColor="text1"/>
                <w:szCs w:val="21"/>
              </w:rPr>
              <w:t>154,329,707.65</w:t>
            </w:r>
          </w:p>
        </w:tc>
        <w:tc>
          <w:tcPr>
            <w:tcW w:w="888" w:type="pct"/>
            <w:vAlign w:val="center"/>
          </w:tcPr>
          <w:p w:rsidR="00DE4CDE" w:rsidRPr="003C5007" w:rsidRDefault="00DE4CDE" w:rsidP="003C5007">
            <w:pPr>
              <w:spacing w:line="360" w:lineRule="auto"/>
              <w:ind w:left="17"/>
              <w:jc w:val="right"/>
              <w:rPr>
                <w:rFonts w:eastAsiaTheme="minorEastAsia"/>
                <w:color w:val="000000" w:themeColor="text1"/>
                <w:szCs w:val="21"/>
              </w:rPr>
            </w:pPr>
            <w:r w:rsidRPr="003C5007">
              <w:rPr>
                <w:rFonts w:eastAsiaTheme="minorEastAsia"/>
                <w:color w:val="000000" w:themeColor="text1"/>
                <w:szCs w:val="21"/>
              </w:rPr>
              <w:t>92.71</w:t>
            </w:r>
          </w:p>
        </w:tc>
      </w:tr>
      <w:tr w:rsidR="003E712B" w:rsidRPr="003C5007" w:rsidTr="008E5013">
        <w:trPr>
          <w:jc w:val="center"/>
        </w:trPr>
        <w:tc>
          <w:tcPr>
            <w:tcW w:w="427" w:type="pct"/>
            <w:vAlign w:val="center"/>
          </w:tcPr>
          <w:p w:rsidR="00DE4CDE" w:rsidRPr="003C5007" w:rsidRDefault="00DE4CDE" w:rsidP="003C5007">
            <w:pPr>
              <w:spacing w:line="360" w:lineRule="auto"/>
              <w:ind w:left="17"/>
              <w:jc w:val="center"/>
              <w:rPr>
                <w:rFonts w:eastAsiaTheme="minorEastAsia"/>
                <w:color w:val="000000" w:themeColor="text1"/>
                <w:szCs w:val="21"/>
              </w:rPr>
            </w:pPr>
            <w:r w:rsidRPr="003C5007">
              <w:rPr>
                <w:rFonts w:eastAsiaTheme="minorEastAsia"/>
                <w:color w:val="000000" w:themeColor="text1"/>
                <w:szCs w:val="21"/>
              </w:rPr>
              <w:t>2</w:t>
            </w:r>
          </w:p>
        </w:tc>
        <w:tc>
          <w:tcPr>
            <w:tcW w:w="2387" w:type="pct"/>
            <w:vAlign w:val="center"/>
          </w:tcPr>
          <w:p w:rsidR="00DE4CDE" w:rsidRPr="003C5007" w:rsidRDefault="00DE4CDE" w:rsidP="003C5007">
            <w:pPr>
              <w:spacing w:line="360" w:lineRule="auto"/>
              <w:ind w:left="17"/>
              <w:jc w:val="left"/>
              <w:rPr>
                <w:rFonts w:eastAsiaTheme="minorEastAsia"/>
                <w:color w:val="000000" w:themeColor="text1"/>
                <w:szCs w:val="21"/>
              </w:rPr>
            </w:pPr>
            <w:r w:rsidRPr="003C5007">
              <w:rPr>
                <w:rFonts w:eastAsiaTheme="minorEastAsia"/>
                <w:color w:val="000000" w:themeColor="text1"/>
                <w:szCs w:val="21"/>
              </w:rPr>
              <w:t>固定收益投资</w:t>
            </w:r>
          </w:p>
        </w:tc>
        <w:tc>
          <w:tcPr>
            <w:tcW w:w="1299" w:type="pct"/>
            <w:vAlign w:val="center"/>
          </w:tcPr>
          <w:p w:rsidR="00DE4CDE" w:rsidRPr="003C5007" w:rsidRDefault="00DE4CDE" w:rsidP="003C5007">
            <w:pPr>
              <w:spacing w:line="360" w:lineRule="auto"/>
              <w:ind w:left="17"/>
              <w:jc w:val="right"/>
              <w:rPr>
                <w:rFonts w:eastAsiaTheme="minorEastAsia"/>
                <w:color w:val="000000" w:themeColor="text1"/>
                <w:szCs w:val="21"/>
              </w:rPr>
            </w:pPr>
            <w:r w:rsidRPr="003C5007">
              <w:rPr>
                <w:rFonts w:eastAsiaTheme="minorEastAsia"/>
                <w:color w:val="000000" w:themeColor="text1"/>
                <w:szCs w:val="21"/>
              </w:rPr>
              <w:t>-</w:t>
            </w:r>
          </w:p>
        </w:tc>
        <w:tc>
          <w:tcPr>
            <w:tcW w:w="888" w:type="pct"/>
            <w:vAlign w:val="center"/>
          </w:tcPr>
          <w:p w:rsidR="00DE4CDE" w:rsidRPr="003C5007" w:rsidRDefault="00DE4CDE" w:rsidP="003C5007">
            <w:pPr>
              <w:spacing w:line="360" w:lineRule="auto"/>
              <w:ind w:left="17"/>
              <w:jc w:val="right"/>
              <w:rPr>
                <w:rFonts w:eastAsiaTheme="minorEastAsia"/>
                <w:color w:val="000000" w:themeColor="text1"/>
                <w:szCs w:val="21"/>
              </w:rPr>
            </w:pPr>
            <w:r w:rsidRPr="003C5007">
              <w:rPr>
                <w:rFonts w:eastAsiaTheme="minorEastAsia"/>
                <w:color w:val="000000" w:themeColor="text1"/>
                <w:szCs w:val="21"/>
              </w:rPr>
              <w:t>-</w:t>
            </w:r>
          </w:p>
        </w:tc>
      </w:tr>
      <w:tr w:rsidR="003E712B" w:rsidRPr="003C5007" w:rsidTr="008E5013">
        <w:trPr>
          <w:jc w:val="center"/>
        </w:trPr>
        <w:tc>
          <w:tcPr>
            <w:tcW w:w="427" w:type="pct"/>
            <w:vAlign w:val="center"/>
          </w:tcPr>
          <w:p w:rsidR="00DE4CDE" w:rsidRPr="003C5007" w:rsidRDefault="00DE4CDE" w:rsidP="003C5007">
            <w:pPr>
              <w:spacing w:line="360" w:lineRule="auto"/>
              <w:ind w:left="17"/>
              <w:jc w:val="center"/>
              <w:rPr>
                <w:rFonts w:eastAsiaTheme="minorEastAsia"/>
                <w:color w:val="000000" w:themeColor="text1"/>
                <w:szCs w:val="21"/>
              </w:rPr>
            </w:pPr>
          </w:p>
        </w:tc>
        <w:tc>
          <w:tcPr>
            <w:tcW w:w="2387" w:type="pct"/>
            <w:vAlign w:val="center"/>
          </w:tcPr>
          <w:p w:rsidR="00DE4CDE" w:rsidRPr="003C5007" w:rsidRDefault="00DE4CDE" w:rsidP="003C5007">
            <w:pPr>
              <w:spacing w:line="360" w:lineRule="auto"/>
              <w:ind w:left="17"/>
              <w:jc w:val="left"/>
              <w:rPr>
                <w:rFonts w:eastAsiaTheme="minorEastAsia"/>
                <w:color w:val="000000" w:themeColor="text1"/>
                <w:szCs w:val="21"/>
              </w:rPr>
            </w:pPr>
            <w:r w:rsidRPr="003C5007">
              <w:rPr>
                <w:rFonts w:eastAsiaTheme="minorEastAsia"/>
                <w:color w:val="000000" w:themeColor="text1"/>
                <w:szCs w:val="21"/>
              </w:rPr>
              <w:t>其中：债券</w:t>
            </w:r>
          </w:p>
        </w:tc>
        <w:tc>
          <w:tcPr>
            <w:tcW w:w="1299" w:type="pct"/>
            <w:vAlign w:val="center"/>
          </w:tcPr>
          <w:p w:rsidR="00DE4CDE" w:rsidRPr="003C5007" w:rsidRDefault="00DE4CDE" w:rsidP="003C5007">
            <w:pPr>
              <w:spacing w:line="360" w:lineRule="auto"/>
              <w:ind w:left="17"/>
              <w:jc w:val="right"/>
              <w:rPr>
                <w:rFonts w:eastAsiaTheme="minorEastAsia"/>
                <w:color w:val="000000" w:themeColor="text1"/>
                <w:szCs w:val="21"/>
              </w:rPr>
            </w:pPr>
            <w:r w:rsidRPr="003C5007">
              <w:rPr>
                <w:rFonts w:eastAsiaTheme="minorEastAsia"/>
                <w:color w:val="000000" w:themeColor="text1"/>
                <w:szCs w:val="21"/>
              </w:rPr>
              <w:t>-</w:t>
            </w:r>
          </w:p>
        </w:tc>
        <w:tc>
          <w:tcPr>
            <w:tcW w:w="888" w:type="pct"/>
            <w:vAlign w:val="center"/>
          </w:tcPr>
          <w:p w:rsidR="00DE4CDE" w:rsidRPr="003C5007" w:rsidRDefault="00DE4CDE" w:rsidP="003C5007">
            <w:pPr>
              <w:spacing w:line="360" w:lineRule="auto"/>
              <w:ind w:left="17"/>
              <w:jc w:val="right"/>
              <w:rPr>
                <w:rFonts w:eastAsiaTheme="minorEastAsia"/>
                <w:color w:val="000000" w:themeColor="text1"/>
                <w:szCs w:val="21"/>
              </w:rPr>
            </w:pPr>
            <w:r w:rsidRPr="003C5007">
              <w:rPr>
                <w:rFonts w:eastAsiaTheme="minorEastAsia"/>
                <w:color w:val="000000" w:themeColor="text1"/>
                <w:szCs w:val="21"/>
              </w:rPr>
              <w:t>-</w:t>
            </w:r>
          </w:p>
        </w:tc>
      </w:tr>
      <w:tr w:rsidR="003E712B" w:rsidRPr="003C5007" w:rsidTr="008E5013">
        <w:trPr>
          <w:jc w:val="center"/>
        </w:trPr>
        <w:tc>
          <w:tcPr>
            <w:tcW w:w="427" w:type="pct"/>
            <w:vAlign w:val="center"/>
          </w:tcPr>
          <w:p w:rsidR="00DE4CDE" w:rsidRPr="003C5007" w:rsidRDefault="00DE4CDE" w:rsidP="003C5007">
            <w:pPr>
              <w:spacing w:line="360" w:lineRule="auto"/>
              <w:ind w:left="17"/>
              <w:jc w:val="center"/>
              <w:rPr>
                <w:rFonts w:eastAsiaTheme="minorEastAsia"/>
                <w:color w:val="000000" w:themeColor="text1"/>
                <w:szCs w:val="21"/>
              </w:rPr>
            </w:pPr>
          </w:p>
        </w:tc>
        <w:tc>
          <w:tcPr>
            <w:tcW w:w="2387" w:type="pct"/>
            <w:vAlign w:val="center"/>
          </w:tcPr>
          <w:p w:rsidR="00DE4CDE" w:rsidRPr="003C5007" w:rsidRDefault="00DE4CDE" w:rsidP="003C5007">
            <w:pPr>
              <w:autoSpaceDE w:val="0"/>
              <w:autoSpaceDN w:val="0"/>
              <w:adjustRightInd w:val="0"/>
              <w:spacing w:line="360" w:lineRule="auto"/>
              <w:ind w:left="17"/>
              <w:jc w:val="left"/>
              <w:rPr>
                <w:rFonts w:eastAsiaTheme="minorEastAsia"/>
                <w:color w:val="000000" w:themeColor="text1"/>
                <w:szCs w:val="21"/>
              </w:rPr>
            </w:pPr>
            <w:r w:rsidRPr="003C5007">
              <w:rPr>
                <w:rFonts w:eastAsiaTheme="minorEastAsia"/>
                <w:color w:val="000000" w:themeColor="text1"/>
                <w:szCs w:val="21"/>
              </w:rPr>
              <w:t>资产支持证券</w:t>
            </w:r>
          </w:p>
        </w:tc>
        <w:tc>
          <w:tcPr>
            <w:tcW w:w="1299" w:type="pct"/>
            <w:vAlign w:val="center"/>
          </w:tcPr>
          <w:p w:rsidR="00DE4CDE" w:rsidRPr="003C5007" w:rsidRDefault="00DE4CDE" w:rsidP="003C5007">
            <w:pPr>
              <w:spacing w:line="360" w:lineRule="auto"/>
              <w:ind w:left="17"/>
              <w:jc w:val="right"/>
              <w:rPr>
                <w:rFonts w:eastAsiaTheme="minorEastAsia"/>
                <w:color w:val="000000" w:themeColor="text1"/>
                <w:szCs w:val="21"/>
              </w:rPr>
            </w:pPr>
            <w:r w:rsidRPr="003C5007">
              <w:rPr>
                <w:rFonts w:eastAsiaTheme="minorEastAsia"/>
                <w:color w:val="000000" w:themeColor="text1"/>
                <w:szCs w:val="21"/>
              </w:rPr>
              <w:t>-</w:t>
            </w:r>
          </w:p>
        </w:tc>
        <w:tc>
          <w:tcPr>
            <w:tcW w:w="888" w:type="pct"/>
            <w:vAlign w:val="center"/>
          </w:tcPr>
          <w:p w:rsidR="00DE4CDE" w:rsidRPr="003C5007" w:rsidRDefault="00DE4CDE" w:rsidP="003C5007">
            <w:pPr>
              <w:spacing w:line="360" w:lineRule="auto"/>
              <w:ind w:left="17"/>
              <w:jc w:val="right"/>
              <w:rPr>
                <w:rFonts w:eastAsiaTheme="minorEastAsia"/>
                <w:color w:val="000000" w:themeColor="text1"/>
                <w:szCs w:val="21"/>
              </w:rPr>
            </w:pPr>
            <w:r w:rsidRPr="003C5007">
              <w:rPr>
                <w:rFonts w:eastAsiaTheme="minorEastAsia"/>
                <w:color w:val="000000" w:themeColor="text1"/>
                <w:szCs w:val="21"/>
              </w:rPr>
              <w:t>-</w:t>
            </w:r>
          </w:p>
        </w:tc>
      </w:tr>
      <w:tr w:rsidR="003E712B" w:rsidRPr="003C5007" w:rsidTr="008E5013">
        <w:trPr>
          <w:jc w:val="center"/>
        </w:trPr>
        <w:tc>
          <w:tcPr>
            <w:tcW w:w="427" w:type="pct"/>
          </w:tcPr>
          <w:p w:rsidR="00DE4CDE" w:rsidRPr="003C5007" w:rsidRDefault="00DE4CDE" w:rsidP="003C5007">
            <w:pPr>
              <w:spacing w:line="360" w:lineRule="auto"/>
              <w:ind w:left="17"/>
              <w:jc w:val="center"/>
              <w:rPr>
                <w:rFonts w:eastAsiaTheme="minorEastAsia"/>
                <w:color w:val="000000" w:themeColor="text1"/>
                <w:szCs w:val="21"/>
              </w:rPr>
            </w:pPr>
            <w:r w:rsidRPr="003C5007">
              <w:rPr>
                <w:rFonts w:eastAsiaTheme="minorEastAsia"/>
                <w:color w:val="000000" w:themeColor="text1"/>
                <w:szCs w:val="21"/>
              </w:rPr>
              <w:t>3</w:t>
            </w:r>
          </w:p>
        </w:tc>
        <w:tc>
          <w:tcPr>
            <w:tcW w:w="2387" w:type="pct"/>
          </w:tcPr>
          <w:p w:rsidR="00DE4CDE" w:rsidRPr="003C5007" w:rsidRDefault="00DE4CDE" w:rsidP="003C5007">
            <w:pPr>
              <w:spacing w:line="360" w:lineRule="auto"/>
              <w:ind w:leftChars="50" w:left="105"/>
              <w:rPr>
                <w:rFonts w:eastAsiaTheme="minorEastAsia"/>
                <w:color w:val="000000" w:themeColor="text1"/>
                <w:szCs w:val="21"/>
              </w:rPr>
            </w:pPr>
            <w:r w:rsidRPr="003C5007">
              <w:rPr>
                <w:rFonts w:eastAsiaTheme="minorEastAsia"/>
                <w:color w:val="000000" w:themeColor="text1"/>
                <w:szCs w:val="21"/>
              </w:rPr>
              <w:t>贵金属投资</w:t>
            </w:r>
          </w:p>
        </w:tc>
        <w:tc>
          <w:tcPr>
            <w:tcW w:w="1299" w:type="pct"/>
            <w:vAlign w:val="center"/>
          </w:tcPr>
          <w:p w:rsidR="00DE4CDE" w:rsidRPr="003C5007" w:rsidRDefault="00DE4CDE" w:rsidP="003C5007">
            <w:pPr>
              <w:spacing w:line="360" w:lineRule="auto"/>
              <w:ind w:left="17"/>
              <w:jc w:val="right"/>
              <w:rPr>
                <w:rFonts w:eastAsiaTheme="minorEastAsia"/>
                <w:color w:val="000000" w:themeColor="text1"/>
                <w:szCs w:val="21"/>
              </w:rPr>
            </w:pPr>
            <w:r w:rsidRPr="003C5007">
              <w:rPr>
                <w:rFonts w:eastAsiaTheme="minorEastAsia"/>
                <w:color w:val="000000" w:themeColor="text1"/>
                <w:szCs w:val="21"/>
              </w:rPr>
              <w:t>-</w:t>
            </w:r>
          </w:p>
        </w:tc>
        <w:tc>
          <w:tcPr>
            <w:tcW w:w="888" w:type="pct"/>
            <w:vAlign w:val="center"/>
          </w:tcPr>
          <w:p w:rsidR="00DE4CDE" w:rsidRPr="003C5007" w:rsidRDefault="00DE4CDE" w:rsidP="003C5007">
            <w:pPr>
              <w:spacing w:line="360" w:lineRule="auto"/>
              <w:ind w:left="17"/>
              <w:jc w:val="right"/>
              <w:rPr>
                <w:rFonts w:eastAsiaTheme="minorEastAsia"/>
                <w:color w:val="000000" w:themeColor="text1"/>
                <w:szCs w:val="21"/>
              </w:rPr>
            </w:pPr>
            <w:r w:rsidRPr="003C5007">
              <w:rPr>
                <w:rFonts w:eastAsiaTheme="minorEastAsia"/>
                <w:color w:val="000000" w:themeColor="text1"/>
                <w:szCs w:val="21"/>
              </w:rPr>
              <w:t>-</w:t>
            </w:r>
          </w:p>
        </w:tc>
      </w:tr>
      <w:tr w:rsidR="003E712B" w:rsidRPr="003C5007" w:rsidTr="008E5013">
        <w:trPr>
          <w:jc w:val="center"/>
        </w:trPr>
        <w:tc>
          <w:tcPr>
            <w:tcW w:w="427" w:type="pct"/>
            <w:vAlign w:val="center"/>
          </w:tcPr>
          <w:p w:rsidR="00DE4CDE" w:rsidRPr="003C5007" w:rsidRDefault="00DE4CDE" w:rsidP="003C5007">
            <w:pPr>
              <w:spacing w:line="360" w:lineRule="auto"/>
              <w:ind w:left="17"/>
              <w:jc w:val="center"/>
              <w:rPr>
                <w:rFonts w:eastAsiaTheme="minorEastAsia"/>
                <w:color w:val="000000" w:themeColor="text1"/>
                <w:szCs w:val="21"/>
              </w:rPr>
            </w:pPr>
            <w:r w:rsidRPr="003C5007">
              <w:rPr>
                <w:rFonts w:eastAsiaTheme="minorEastAsia"/>
                <w:color w:val="000000" w:themeColor="text1"/>
                <w:szCs w:val="21"/>
              </w:rPr>
              <w:t>4</w:t>
            </w:r>
          </w:p>
        </w:tc>
        <w:tc>
          <w:tcPr>
            <w:tcW w:w="2387" w:type="pct"/>
            <w:vAlign w:val="center"/>
          </w:tcPr>
          <w:p w:rsidR="00DE4CDE" w:rsidRPr="003C5007" w:rsidRDefault="00DE4CDE" w:rsidP="003C5007">
            <w:pPr>
              <w:spacing w:line="360" w:lineRule="auto"/>
              <w:ind w:left="17"/>
              <w:jc w:val="left"/>
              <w:rPr>
                <w:rFonts w:eastAsiaTheme="minorEastAsia"/>
                <w:color w:val="000000" w:themeColor="text1"/>
                <w:szCs w:val="21"/>
              </w:rPr>
            </w:pPr>
            <w:r w:rsidRPr="003C5007">
              <w:rPr>
                <w:rFonts w:eastAsiaTheme="minorEastAsia"/>
                <w:color w:val="000000" w:themeColor="text1"/>
                <w:szCs w:val="21"/>
              </w:rPr>
              <w:t>金融衍生品投资</w:t>
            </w:r>
          </w:p>
        </w:tc>
        <w:tc>
          <w:tcPr>
            <w:tcW w:w="1299" w:type="pct"/>
            <w:vAlign w:val="center"/>
          </w:tcPr>
          <w:p w:rsidR="00DE4CDE" w:rsidRPr="003C5007" w:rsidRDefault="00DE4CDE" w:rsidP="003C5007">
            <w:pPr>
              <w:spacing w:line="360" w:lineRule="auto"/>
              <w:ind w:left="17"/>
              <w:jc w:val="right"/>
              <w:rPr>
                <w:rFonts w:eastAsiaTheme="minorEastAsia"/>
                <w:color w:val="000000" w:themeColor="text1"/>
                <w:szCs w:val="21"/>
              </w:rPr>
            </w:pPr>
            <w:r w:rsidRPr="003C5007">
              <w:rPr>
                <w:rFonts w:eastAsiaTheme="minorEastAsia"/>
                <w:color w:val="000000" w:themeColor="text1"/>
                <w:szCs w:val="21"/>
              </w:rPr>
              <w:t>-</w:t>
            </w:r>
          </w:p>
        </w:tc>
        <w:tc>
          <w:tcPr>
            <w:tcW w:w="888" w:type="pct"/>
            <w:vAlign w:val="center"/>
          </w:tcPr>
          <w:p w:rsidR="00DE4CDE" w:rsidRPr="003C5007" w:rsidRDefault="00DE4CDE" w:rsidP="003C5007">
            <w:pPr>
              <w:spacing w:line="360" w:lineRule="auto"/>
              <w:ind w:left="17"/>
              <w:jc w:val="right"/>
              <w:rPr>
                <w:rFonts w:eastAsiaTheme="minorEastAsia"/>
                <w:color w:val="000000" w:themeColor="text1"/>
                <w:szCs w:val="21"/>
              </w:rPr>
            </w:pPr>
            <w:r w:rsidRPr="003C5007">
              <w:rPr>
                <w:rFonts w:eastAsiaTheme="minorEastAsia"/>
                <w:color w:val="000000" w:themeColor="text1"/>
                <w:szCs w:val="21"/>
              </w:rPr>
              <w:t>-</w:t>
            </w:r>
          </w:p>
        </w:tc>
      </w:tr>
      <w:tr w:rsidR="003E712B" w:rsidRPr="003C5007" w:rsidTr="008E5013">
        <w:trPr>
          <w:jc w:val="center"/>
        </w:trPr>
        <w:tc>
          <w:tcPr>
            <w:tcW w:w="427" w:type="pct"/>
            <w:vAlign w:val="center"/>
          </w:tcPr>
          <w:p w:rsidR="00DE4CDE" w:rsidRPr="003C5007" w:rsidRDefault="00DE4CDE" w:rsidP="003C5007">
            <w:pPr>
              <w:spacing w:line="360" w:lineRule="auto"/>
              <w:ind w:left="17"/>
              <w:jc w:val="center"/>
              <w:rPr>
                <w:rFonts w:eastAsiaTheme="minorEastAsia"/>
                <w:color w:val="000000" w:themeColor="text1"/>
                <w:szCs w:val="21"/>
              </w:rPr>
            </w:pPr>
            <w:r w:rsidRPr="003C5007">
              <w:rPr>
                <w:rFonts w:eastAsiaTheme="minorEastAsia"/>
                <w:color w:val="000000" w:themeColor="text1"/>
                <w:szCs w:val="21"/>
              </w:rPr>
              <w:t>5</w:t>
            </w:r>
          </w:p>
        </w:tc>
        <w:tc>
          <w:tcPr>
            <w:tcW w:w="2387" w:type="pct"/>
            <w:vAlign w:val="center"/>
          </w:tcPr>
          <w:p w:rsidR="00DE4CDE" w:rsidRPr="003C5007" w:rsidRDefault="00DE4CDE" w:rsidP="003C5007">
            <w:pPr>
              <w:spacing w:line="360" w:lineRule="auto"/>
              <w:ind w:left="17"/>
              <w:jc w:val="left"/>
              <w:rPr>
                <w:rFonts w:eastAsiaTheme="minorEastAsia"/>
                <w:color w:val="000000" w:themeColor="text1"/>
                <w:szCs w:val="21"/>
              </w:rPr>
            </w:pPr>
            <w:r w:rsidRPr="003C5007">
              <w:rPr>
                <w:rFonts w:eastAsiaTheme="minorEastAsia"/>
                <w:color w:val="000000" w:themeColor="text1"/>
                <w:szCs w:val="21"/>
              </w:rPr>
              <w:t>买入返售金融资产</w:t>
            </w:r>
          </w:p>
        </w:tc>
        <w:tc>
          <w:tcPr>
            <w:tcW w:w="1299" w:type="pct"/>
            <w:vAlign w:val="center"/>
          </w:tcPr>
          <w:p w:rsidR="00DE4CDE" w:rsidRPr="003C5007" w:rsidRDefault="00DE4CDE" w:rsidP="003C5007">
            <w:pPr>
              <w:spacing w:line="360" w:lineRule="auto"/>
              <w:ind w:left="17"/>
              <w:jc w:val="right"/>
              <w:rPr>
                <w:rFonts w:eastAsiaTheme="minorEastAsia"/>
                <w:color w:val="000000" w:themeColor="text1"/>
                <w:szCs w:val="21"/>
              </w:rPr>
            </w:pPr>
            <w:r w:rsidRPr="003C5007">
              <w:rPr>
                <w:rFonts w:eastAsiaTheme="minorEastAsia"/>
                <w:color w:val="000000" w:themeColor="text1"/>
                <w:szCs w:val="21"/>
              </w:rPr>
              <w:t>-</w:t>
            </w:r>
          </w:p>
        </w:tc>
        <w:tc>
          <w:tcPr>
            <w:tcW w:w="888" w:type="pct"/>
            <w:vAlign w:val="center"/>
          </w:tcPr>
          <w:p w:rsidR="00DE4CDE" w:rsidRPr="003C5007" w:rsidRDefault="00DE4CDE" w:rsidP="003C5007">
            <w:pPr>
              <w:spacing w:line="360" w:lineRule="auto"/>
              <w:ind w:left="17"/>
              <w:jc w:val="right"/>
              <w:rPr>
                <w:rFonts w:eastAsiaTheme="minorEastAsia"/>
                <w:color w:val="000000" w:themeColor="text1"/>
                <w:szCs w:val="21"/>
              </w:rPr>
            </w:pPr>
            <w:r w:rsidRPr="003C5007">
              <w:rPr>
                <w:rFonts w:eastAsiaTheme="minorEastAsia"/>
                <w:color w:val="000000" w:themeColor="text1"/>
                <w:szCs w:val="21"/>
              </w:rPr>
              <w:t>-</w:t>
            </w:r>
          </w:p>
        </w:tc>
      </w:tr>
      <w:tr w:rsidR="003E712B" w:rsidRPr="003C5007" w:rsidTr="008E5013">
        <w:trPr>
          <w:jc w:val="center"/>
        </w:trPr>
        <w:tc>
          <w:tcPr>
            <w:tcW w:w="427" w:type="pct"/>
            <w:vAlign w:val="center"/>
          </w:tcPr>
          <w:p w:rsidR="00DE4CDE" w:rsidRPr="003C5007" w:rsidRDefault="00DE4CDE" w:rsidP="003C5007">
            <w:pPr>
              <w:spacing w:line="360" w:lineRule="auto"/>
              <w:ind w:left="17"/>
              <w:jc w:val="center"/>
              <w:rPr>
                <w:rFonts w:eastAsiaTheme="minorEastAsia"/>
                <w:color w:val="000000" w:themeColor="text1"/>
                <w:szCs w:val="21"/>
              </w:rPr>
            </w:pPr>
          </w:p>
        </w:tc>
        <w:tc>
          <w:tcPr>
            <w:tcW w:w="2387" w:type="pct"/>
            <w:vAlign w:val="center"/>
          </w:tcPr>
          <w:p w:rsidR="00DE4CDE" w:rsidRPr="003C5007" w:rsidRDefault="00DE4CDE" w:rsidP="003C5007">
            <w:pPr>
              <w:spacing w:line="360" w:lineRule="auto"/>
              <w:ind w:left="17"/>
              <w:jc w:val="left"/>
              <w:rPr>
                <w:rFonts w:eastAsiaTheme="minorEastAsia"/>
                <w:color w:val="000000" w:themeColor="text1"/>
                <w:szCs w:val="21"/>
              </w:rPr>
            </w:pPr>
            <w:r w:rsidRPr="003C5007">
              <w:rPr>
                <w:rFonts w:eastAsiaTheme="minorEastAsia"/>
                <w:color w:val="000000" w:themeColor="text1"/>
                <w:szCs w:val="21"/>
              </w:rPr>
              <w:t>其中：买断式回购的买入返售金融资产</w:t>
            </w:r>
          </w:p>
        </w:tc>
        <w:tc>
          <w:tcPr>
            <w:tcW w:w="1299" w:type="pct"/>
            <w:vAlign w:val="center"/>
          </w:tcPr>
          <w:p w:rsidR="00DE4CDE" w:rsidRPr="003C5007" w:rsidRDefault="00DE4CDE" w:rsidP="003C5007">
            <w:pPr>
              <w:spacing w:line="360" w:lineRule="auto"/>
              <w:ind w:left="17"/>
              <w:jc w:val="right"/>
              <w:rPr>
                <w:rFonts w:eastAsiaTheme="minorEastAsia"/>
                <w:color w:val="000000" w:themeColor="text1"/>
                <w:szCs w:val="21"/>
              </w:rPr>
            </w:pPr>
            <w:r w:rsidRPr="003C5007">
              <w:rPr>
                <w:rFonts w:eastAsiaTheme="minorEastAsia"/>
                <w:color w:val="000000" w:themeColor="text1"/>
                <w:szCs w:val="21"/>
              </w:rPr>
              <w:t>-</w:t>
            </w:r>
          </w:p>
        </w:tc>
        <w:tc>
          <w:tcPr>
            <w:tcW w:w="888" w:type="pct"/>
            <w:vAlign w:val="center"/>
          </w:tcPr>
          <w:p w:rsidR="00DE4CDE" w:rsidRPr="003C5007" w:rsidRDefault="00DE4CDE" w:rsidP="003C5007">
            <w:pPr>
              <w:spacing w:line="360" w:lineRule="auto"/>
              <w:ind w:left="17"/>
              <w:jc w:val="right"/>
              <w:rPr>
                <w:rFonts w:eastAsiaTheme="minorEastAsia"/>
                <w:color w:val="000000" w:themeColor="text1"/>
                <w:szCs w:val="21"/>
              </w:rPr>
            </w:pPr>
            <w:r w:rsidRPr="003C5007">
              <w:rPr>
                <w:rFonts w:eastAsiaTheme="minorEastAsia"/>
                <w:color w:val="000000" w:themeColor="text1"/>
                <w:szCs w:val="21"/>
              </w:rPr>
              <w:t>-</w:t>
            </w:r>
          </w:p>
        </w:tc>
      </w:tr>
      <w:tr w:rsidR="003E712B" w:rsidRPr="003C5007" w:rsidTr="008E5013">
        <w:trPr>
          <w:jc w:val="center"/>
        </w:trPr>
        <w:tc>
          <w:tcPr>
            <w:tcW w:w="427" w:type="pct"/>
            <w:vAlign w:val="center"/>
          </w:tcPr>
          <w:p w:rsidR="00DE4CDE" w:rsidRPr="003C5007" w:rsidRDefault="00DE4CDE" w:rsidP="003C5007">
            <w:pPr>
              <w:spacing w:line="360" w:lineRule="auto"/>
              <w:ind w:left="17"/>
              <w:jc w:val="center"/>
              <w:rPr>
                <w:rFonts w:eastAsiaTheme="minorEastAsia"/>
                <w:color w:val="000000" w:themeColor="text1"/>
                <w:szCs w:val="21"/>
              </w:rPr>
            </w:pPr>
            <w:r w:rsidRPr="003C5007">
              <w:rPr>
                <w:rFonts w:eastAsiaTheme="minorEastAsia"/>
                <w:color w:val="000000" w:themeColor="text1"/>
                <w:szCs w:val="21"/>
              </w:rPr>
              <w:t>6</w:t>
            </w:r>
          </w:p>
        </w:tc>
        <w:tc>
          <w:tcPr>
            <w:tcW w:w="2387" w:type="pct"/>
            <w:vAlign w:val="center"/>
          </w:tcPr>
          <w:p w:rsidR="00DE4CDE" w:rsidRPr="003C5007" w:rsidRDefault="00DE4CDE" w:rsidP="003C5007">
            <w:pPr>
              <w:spacing w:line="360" w:lineRule="auto"/>
              <w:ind w:left="17"/>
              <w:jc w:val="left"/>
              <w:rPr>
                <w:rFonts w:eastAsiaTheme="minorEastAsia"/>
                <w:color w:val="000000" w:themeColor="text1"/>
                <w:szCs w:val="21"/>
              </w:rPr>
            </w:pPr>
            <w:r w:rsidRPr="003C5007">
              <w:rPr>
                <w:rFonts w:eastAsiaTheme="minorEastAsia"/>
                <w:color w:val="000000" w:themeColor="text1"/>
                <w:szCs w:val="21"/>
              </w:rPr>
              <w:t>银行存款和结算备付金合计</w:t>
            </w:r>
          </w:p>
        </w:tc>
        <w:tc>
          <w:tcPr>
            <w:tcW w:w="1299" w:type="pct"/>
            <w:vAlign w:val="center"/>
          </w:tcPr>
          <w:p w:rsidR="00DE4CDE" w:rsidRPr="003C5007" w:rsidRDefault="00DE4CDE" w:rsidP="003C5007">
            <w:pPr>
              <w:spacing w:line="360" w:lineRule="auto"/>
              <w:ind w:left="17"/>
              <w:jc w:val="right"/>
              <w:rPr>
                <w:rFonts w:eastAsiaTheme="minorEastAsia"/>
                <w:color w:val="000000" w:themeColor="text1"/>
                <w:szCs w:val="21"/>
              </w:rPr>
            </w:pPr>
            <w:r w:rsidRPr="003C5007">
              <w:rPr>
                <w:rFonts w:eastAsiaTheme="minorEastAsia"/>
                <w:color w:val="000000" w:themeColor="text1"/>
                <w:szCs w:val="21"/>
              </w:rPr>
              <w:t>11,992,501.02</w:t>
            </w:r>
          </w:p>
        </w:tc>
        <w:tc>
          <w:tcPr>
            <w:tcW w:w="888" w:type="pct"/>
            <w:vAlign w:val="center"/>
          </w:tcPr>
          <w:p w:rsidR="00DE4CDE" w:rsidRPr="003C5007" w:rsidRDefault="00DE4CDE" w:rsidP="003C5007">
            <w:pPr>
              <w:spacing w:line="360" w:lineRule="auto"/>
              <w:ind w:left="17"/>
              <w:jc w:val="right"/>
              <w:rPr>
                <w:rFonts w:eastAsiaTheme="minorEastAsia"/>
                <w:color w:val="000000" w:themeColor="text1"/>
                <w:szCs w:val="21"/>
              </w:rPr>
            </w:pPr>
            <w:r w:rsidRPr="003C5007">
              <w:rPr>
                <w:rFonts w:eastAsiaTheme="minorEastAsia"/>
                <w:color w:val="000000" w:themeColor="text1"/>
                <w:szCs w:val="21"/>
              </w:rPr>
              <w:t>7.20</w:t>
            </w:r>
          </w:p>
        </w:tc>
      </w:tr>
      <w:tr w:rsidR="003E712B" w:rsidRPr="003C5007" w:rsidTr="008E5013">
        <w:trPr>
          <w:jc w:val="center"/>
        </w:trPr>
        <w:tc>
          <w:tcPr>
            <w:tcW w:w="427" w:type="pct"/>
            <w:vAlign w:val="center"/>
          </w:tcPr>
          <w:p w:rsidR="00DE4CDE" w:rsidRPr="003C5007" w:rsidRDefault="00DE4CDE" w:rsidP="003C5007">
            <w:pPr>
              <w:spacing w:line="360" w:lineRule="auto"/>
              <w:ind w:left="17"/>
              <w:jc w:val="center"/>
              <w:rPr>
                <w:rFonts w:eastAsiaTheme="minorEastAsia"/>
                <w:color w:val="000000" w:themeColor="text1"/>
                <w:szCs w:val="21"/>
              </w:rPr>
            </w:pPr>
            <w:r w:rsidRPr="003C5007">
              <w:rPr>
                <w:rFonts w:eastAsiaTheme="minorEastAsia"/>
                <w:color w:val="000000" w:themeColor="text1"/>
                <w:szCs w:val="21"/>
              </w:rPr>
              <w:t>7</w:t>
            </w:r>
          </w:p>
        </w:tc>
        <w:tc>
          <w:tcPr>
            <w:tcW w:w="2387" w:type="pct"/>
            <w:vAlign w:val="center"/>
          </w:tcPr>
          <w:p w:rsidR="00DE4CDE" w:rsidRPr="003C5007" w:rsidRDefault="00DE4CDE" w:rsidP="003C5007">
            <w:pPr>
              <w:spacing w:line="360" w:lineRule="auto"/>
              <w:jc w:val="left"/>
              <w:rPr>
                <w:rFonts w:eastAsiaTheme="minorEastAsia"/>
                <w:color w:val="000000" w:themeColor="text1"/>
                <w:szCs w:val="21"/>
              </w:rPr>
            </w:pPr>
            <w:r w:rsidRPr="003C5007">
              <w:rPr>
                <w:rFonts w:eastAsiaTheme="minorEastAsia"/>
                <w:color w:val="000000" w:themeColor="text1"/>
                <w:szCs w:val="21"/>
              </w:rPr>
              <w:t>其他各项资产</w:t>
            </w:r>
          </w:p>
        </w:tc>
        <w:tc>
          <w:tcPr>
            <w:tcW w:w="1299" w:type="pct"/>
            <w:vAlign w:val="center"/>
          </w:tcPr>
          <w:p w:rsidR="00DE4CDE" w:rsidRPr="003C5007" w:rsidRDefault="00DE4CDE" w:rsidP="003C5007">
            <w:pPr>
              <w:spacing w:line="360" w:lineRule="auto"/>
              <w:jc w:val="right"/>
              <w:rPr>
                <w:rFonts w:eastAsiaTheme="minorEastAsia"/>
                <w:color w:val="000000" w:themeColor="text1"/>
                <w:szCs w:val="21"/>
              </w:rPr>
            </w:pPr>
            <w:r w:rsidRPr="003C5007">
              <w:rPr>
                <w:rFonts w:eastAsiaTheme="minorEastAsia"/>
                <w:color w:val="000000" w:themeColor="text1"/>
                <w:szCs w:val="21"/>
              </w:rPr>
              <w:t>134,403.30</w:t>
            </w:r>
          </w:p>
        </w:tc>
        <w:tc>
          <w:tcPr>
            <w:tcW w:w="888" w:type="pct"/>
            <w:vAlign w:val="center"/>
          </w:tcPr>
          <w:p w:rsidR="00DE4CDE" w:rsidRPr="003C5007" w:rsidRDefault="00DE4CDE" w:rsidP="003C5007">
            <w:pPr>
              <w:spacing w:line="360" w:lineRule="auto"/>
              <w:jc w:val="right"/>
              <w:rPr>
                <w:rFonts w:eastAsiaTheme="minorEastAsia"/>
                <w:color w:val="000000" w:themeColor="text1"/>
                <w:szCs w:val="21"/>
              </w:rPr>
            </w:pPr>
            <w:r w:rsidRPr="003C5007">
              <w:rPr>
                <w:rFonts w:eastAsiaTheme="minorEastAsia"/>
                <w:color w:val="000000" w:themeColor="text1"/>
                <w:szCs w:val="21"/>
              </w:rPr>
              <w:t>0.08</w:t>
            </w:r>
          </w:p>
        </w:tc>
      </w:tr>
      <w:tr w:rsidR="003E712B" w:rsidRPr="003C5007" w:rsidTr="008E5013">
        <w:trPr>
          <w:jc w:val="center"/>
        </w:trPr>
        <w:tc>
          <w:tcPr>
            <w:tcW w:w="427" w:type="pct"/>
            <w:vAlign w:val="center"/>
          </w:tcPr>
          <w:p w:rsidR="00DE4CDE" w:rsidRPr="003C5007" w:rsidRDefault="00DE4CDE" w:rsidP="003C5007">
            <w:pPr>
              <w:spacing w:line="360" w:lineRule="auto"/>
              <w:ind w:left="17"/>
              <w:jc w:val="center"/>
              <w:rPr>
                <w:rFonts w:eastAsiaTheme="minorEastAsia"/>
                <w:color w:val="000000" w:themeColor="text1"/>
                <w:szCs w:val="21"/>
              </w:rPr>
            </w:pPr>
            <w:r w:rsidRPr="003C5007">
              <w:rPr>
                <w:rFonts w:eastAsiaTheme="minorEastAsia"/>
                <w:color w:val="000000" w:themeColor="text1"/>
                <w:szCs w:val="21"/>
              </w:rPr>
              <w:t>8</w:t>
            </w:r>
          </w:p>
        </w:tc>
        <w:tc>
          <w:tcPr>
            <w:tcW w:w="2387" w:type="pct"/>
            <w:vAlign w:val="center"/>
          </w:tcPr>
          <w:p w:rsidR="00DE4CDE" w:rsidRPr="003C5007" w:rsidRDefault="00DE4CDE" w:rsidP="003C5007">
            <w:pPr>
              <w:spacing w:line="360" w:lineRule="auto"/>
              <w:jc w:val="left"/>
              <w:rPr>
                <w:rFonts w:eastAsiaTheme="minorEastAsia"/>
                <w:color w:val="000000" w:themeColor="text1"/>
                <w:szCs w:val="21"/>
              </w:rPr>
            </w:pPr>
            <w:r w:rsidRPr="003C5007">
              <w:rPr>
                <w:rFonts w:eastAsiaTheme="minorEastAsia"/>
                <w:color w:val="000000" w:themeColor="text1"/>
                <w:szCs w:val="21"/>
              </w:rPr>
              <w:t>合计</w:t>
            </w:r>
          </w:p>
        </w:tc>
        <w:tc>
          <w:tcPr>
            <w:tcW w:w="1299" w:type="pct"/>
            <w:vAlign w:val="center"/>
          </w:tcPr>
          <w:p w:rsidR="00DE4CDE" w:rsidRPr="003C5007" w:rsidRDefault="00DE4CDE" w:rsidP="003C5007">
            <w:pPr>
              <w:spacing w:line="360" w:lineRule="auto"/>
              <w:jc w:val="right"/>
              <w:rPr>
                <w:rFonts w:eastAsiaTheme="minorEastAsia"/>
                <w:color w:val="000000" w:themeColor="text1"/>
                <w:szCs w:val="21"/>
              </w:rPr>
            </w:pPr>
            <w:r w:rsidRPr="003C5007">
              <w:rPr>
                <w:rFonts w:eastAsiaTheme="minorEastAsia"/>
                <w:color w:val="000000" w:themeColor="text1"/>
                <w:szCs w:val="21"/>
              </w:rPr>
              <w:t>166,456,611.97</w:t>
            </w:r>
          </w:p>
        </w:tc>
        <w:tc>
          <w:tcPr>
            <w:tcW w:w="888" w:type="pct"/>
            <w:vAlign w:val="center"/>
          </w:tcPr>
          <w:p w:rsidR="00DE4CDE" w:rsidRPr="003C5007" w:rsidRDefault="00DE4CDE" w:rsidP="003C5007">
            <w:pPr>
              <w:spacing w:line="360" w:lineRule="auto"/>
              <w:jc w:val="right"/>
              <w:rPr>
                <w:rFonts w:eastAsiaTheme="minorEastAsia"/>
                <w:color w:val="000000" w:themeColor="text1"/>
                <w:szCs w:val="21"/>
              </w:rPr>
            </w:pPr>
            <w:r w:rsidRPr="003C5007">
              <w:rPr>
                <w:rFonts w:eastAsiaTheme="minorEastAsia"/>
                <w:color w:val="000000" w:themeColor="text1"/>
                <w:szCs w:val="21"/>
              </w:rPr>
              <w:t>100.00</w:t>
            </w:r>
          </w:p>
        </w:tc>
      </w:tr>
    </w:tbl>
    <w:p w:rsidR="00220542" w:rsidRPr="003C5007" w:rsidRDefault="000820A8" w:rsidP="003C5007">
      <w:pPr>
        <w:autoSpaceDE w:val="0"/>
        <w:autoSpaceDN w:val="0"/>
        <w:adjustRightInd w:val="0"/>
        <w:spacing w:line="360" w:lineRule="auto"/>
        <w:jc w:val="left"/>
        <w:rPr>
          <w:rFonts w:eastAsiaTheme="minorEastAsia"/>
          <w:color w:val="000000" w:themeColor="text1"/>
          <w:szCs w:val="21"/>
        </w:rPr>
      </w:pPr>
      <w:r w:rsidRPr="003C5007">
        <w:rPr>
          <w:rFonts w:eastAsiaTheme="minorEastAsia"/>
          <w:color w:val="000000" w:themeColor="text1"/>
          <w:szCs w:val="21"/>
        </w:rPr>
        <w:t>注：本基金未开通港股通交易机制投资于港股。</w:t>
      </w:r>
    </w:p>
    <w:p w:rsidR="00220542" w:rsidRPr="003C5007" w:rsidRDefault="00220542" w:rsidP="003C5007">
      <w:pPr>
        <w:autoSpaceDE w:val="0"/>
        <w:autoSpaceDN w:val="0"/>
        <w:adjustRightInd w:val="0"/>
        <w:spacing w:line="360" w:lineRule="auto"/>
        <w:jc w:val="left"/>
        <w:rPr>
          <w:rFonts w:eastAsiaTheme="minorEastAsia"/>
          <w:b/>
          <w:color w:val="000000" w:themeColor="text1"/>
          <w:kern w:val="0"/>
          <w:szCs w:val="21"/>
        </w:rPr>
      </w:pPr>
      <w:r w:rsidRPr="003C5007">
        <w:rPr>
          <w:rFonts w:eastAsiaTheme="minorEastAsia"/>
          <w:b/>
          <w:color w:val="000000" w:themeColor="text1"/>
          <w:kern w:val="0"/>
          <w:szCs w:val="21"/>
        </w:rPr>
        <w:t>5.</w:t>
      </w:r>
      <w:r w:rsidR="009541B9" w:rsidRPr="003C5007">
        <w:rPr>
          <w:rFonts w:eastAsiaTheme="minorEastAsia"/>
          <w:b/>
          <w:color w:val="000000" w:themeColor="text1"/>
          <w:kern w:val="0"/>
          <w:szCs w:val="21"/>
        </w:rPr>
        <w:t>1.</w:t>
      </w:r>
      <w:r w:rsidRPr="003C5007">
        <w:rPr>
          <w:rFonts w:eastAsiaTheme="minorEastAsia"/>
          <w:b/>
          <w:color w:val="000000" w:themeColor="text1"/>
          <w:kern w:val="0"/>
          <w:szCs w:val="21"/>
        </w:rPr>
        <w:t xml:space="preserve">2 </w:t>
      </w:r>
      <w:r w:rsidRPr="003C5007">
        <w:rPr>
          <w:rFonts w:eastAsiaTheme="minorEastAsia"/>
          <w:b/>
          <w:color w:val="000000" w:themeColor="text1"/>
          <w:kern w:val="0"/>
          <w:szCs w:val="21"/>
        </w:rPr>
        <w:t>报告期末按行业分类的股票投资组合</w:t>
      </w:r>
    </w:p>
    <w:p w:rsidR="004318F0" w:rsidRPr="003C5007" w:rsidRDefault="004318F0" w:rsidP="00D15F13">
      <w:pPr>
        <w:autoSpaceDE w:val="0"/>
        <w:autoSpaceDN w:val="0"/>
        <w:adjustRightInd w:val="0"/>
        <w:spacing w:line="360" w:lineRule="auto"/>
        <w:ind w:firstLineChars="98" w:firstLine="207"/>
        <w:jc w:val="left"/>
        <w:rPr>
          <w:rFonts w:eastAsiaTheme="minorEastAsia"/>
          <w:b/>
          <w:color w:val="000000" w:themeColor="text1"/>
          <w:kern w:val="0"/>
          <w:szCs w:val="21"/>
        </w:rPr>
      </w:pPr>
      <w:r w:rsidRPr="003C5007">
        <w:rPr>
          <w:rFonts w:eastAsiaTheme="minorEastAsia"/>
          <w:b/>
          <w:color w:val="000000" w:themeColor="text1"/>
          <w:kern w:val="0"/>
          <w:szCs w:val="21"/>
        </w:rPr>
        <w:t>5</w:t>
      </w:r>
      <w:r w:rsidR="009541B9" w:rsidRPr="003C5007">
        <w:rPr>
          <w:rFonts w:eastAsiaTheme="minorEastAsia"/>
          <w:b/>
          <w:color w:val="000000" w:themeColor="text1"/>
          <w:kern w:val="0"/>
          <w:szCs w:val="21"/>
        </w:rPr>
        <w:t>.1</w:t>
      </w:r>
      <w:r w:rsidRPr="003C5007">
        <w:rPr>
          <w:rFonts w:eastAsiaTheme="minorEastAsia"/>
          <w:b/>
          <w:color w:val="000000" w:themeColor="text1"/>
          <w:kern w:val="0"/>
          <w:szCs w:val="21"/>
        </w:rPr>
        <w:t>.2.1</w:t>
      </w:r>
      <w:r w:rsidR="00253CE8" w:rsidRPr="003C5007">
        <w:rPr>
          <w:rFonts w:eastAsiaTheme="minorEastAsia"/>
          <w:b/>
          <w:color w:val="000000" w:themeColor="text1"/>
          <w:kern w:val="0"/>
          <w:szCs w:val="21"/>
        </w:rPr>
        <w:t>报告期末</w:t>
      </w:r>
      <w:r w:rsidRPr="003C5007">
        <w:rPr>
          <w:rFonts w:eastAsiaTheme="minorEastAsia"/>
          <w:b/>
          <w:color w:val="000000" w:themeColor="text1"/>
          <w:kern w:val="0"/>
          <w:szCs w:val="21"/>
        </w:rPr>
        <w:t>按行业分类的股票投资组合</w:t>
      </w:r>
    </w:p>
    <w:tbl>
      <w:tblPr>
        <w:tblW w:w="83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09"/>
        <w:gridCol w:w="3544"/>
        <w:gridCol w:w="2551"/>
        <w:gridCol w:w="1560"/>
      </w:tblGrid>
      <w:tr w:rsidR="003E712B" w:rsidRPr="003C5007" w:rsidTr="008E5013">
        <w:trPr>
          <w:trHeight w:val="390"/>
        </w:trPr>
        <w:tc>
          <w:tcPr>
            <w:tcW w:w="709" w:type="dxa"/>
            <w:tcBorders>
              <w:top w:val="single" w:sz="4" w:space="0" w:color="000000"/>
              <w:left w:val="single" w:sz="4" w:space="0" w:color="000000"/>
              <w:bottom w:val="single" w:sz="4" w:space="0" w:color="000000"/>
              <w:right w:val="single" w:sz="4" w:space="0" w:color="000000"/>
            </w:tcBorders>
            <w:vAlign w:val="center"/>
          </w:tcPr>
          <w:p w:rsidR="00091560" w:rsidRPr="003C5007" w:rsidRDefault="00091560" w:rsidP="003C5007">
            <w:pPr>
              <w:adjustRightInd w:val="0"/>
              <w:snapToGrid w:val="0"/>
              <w:spacing w:line="360" w:lineRule="auto"/>
              <w:jc w:val="center"/>
              <w:rPr>
                <w:rFonts w:eastAsiaTheme="minorEastAsia"/>
                <w:color w:val="000000" w:themeColor="text1"/>
                <w:szCs w:val="21"/>
              </w:rPr>
            </w:pPr>
            <w:r w:rsidRPr="003C5007">
              <w:rPr>
                <w:rFonts w:eastAsiaTheme="minorEastAsia"/>
                <w:color w:val="000000" w:themeColor="text1"/>
                <w:szCs w:val="21"/>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091560" w:rsidRPr="003C5007" w:rsidRDefault="00091560" w:rsidP="003C5007">
            <w:pPr>
              <w:adjustRightInd w:val="0"/>
              <w:snapToGrid w:val="0"/>
              <w:spacing w:line="360" w:lineRule="auto"/>
              <w:jc w:val="center"/>
              <w:rPr>
                <w:rFonts w:eastAsiaTheme="minorEastAsia"/>
                <w:color w:val="000000" w:themeColor="text1"/>
                <w:szCs w:val="21"/>
              </w:rPr>
            </w:pPr>
            <w:r w:rsidRPr="003C5007">
              <w:rPr>
                <w:rFonts w:eastAsiaTheme="minorEastAsia"/>
                <w:color w:val="000000" w:themeColor="text1"/>
                <w:szCs w:val="21"/>
              </w:rPr>
              <w:t>行业类别</w:t>
            </w:r>
          </w:p>
        </w:tc>
        <w:tc>
          <w:tcPr>
            <w:tcW w:w="2551" w:type="dxa"/>
            <w:tcBorders>
              <w:top w:val="single" w:sz="4" w:space="0" w:color="000000"/>
              <w:left w:val="single" w:sz="4" w:space="0" w:color="auto"/>
              <w:bottom w:val="single" w:sz="4" w:space="0" w:color="000000"/>
              <w:right w:val="single" w:sz="4" w:space="0" w:color="000000"/>
            </w:tcBorders>
            <w:vAlign w:val="center"/>
          </w:tcPr>
          <w:p w:rsidR="00091560" w:rsidRPr="003C5007" w:rsidRDefault="00091560" w:rsidP="003C5007">
            <w:pPr>
              <w:adjustRightInd w:val="0"/>
              <w:snapToGrid w:val="0"/>
              <w:spacing w:line="360" w:lineRule="auto"/>
              <w:jc w:val="center"/>
              <w:rPr>
                <w:rFonts w:eastAsiaTheme="minorEastAsia"/>
                <w:color w:val="000000" w:themeColor="text1"/>
                <w:szCs w:val="21"/>
              </w:rPr>
            </w:pPr>
            <w:r w:rsidRPr="003C5007">
              <w:rPr>
                <w:rFonts w:eastAsiaTheme="minorEastAsia"/>
                <w:color w:val="000000" w:themeColor="text1"/>
                <w:szCs w:val="21"/>
              </w:rPr>
              <w:t>公允价值（元）</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91560" w:rsidRPr="003C5007" w:rsidRDefault="00091560" w:rsidP="003C5007">
            <w:pPr>
              <w:adjustRightInd w:val="0"/>
              <w:snapToGrid w:val="0"/>
              <w:spacing w:line="360" w:lineRule="auto"/>
              <w:jc w:val="center"/>
              <w:rPr>
                <w:rFonts w:eastAsiaTheme="minorEastAsia"/>
                <w:color w:val="000000" w:themeColor="text1"/>
                <w:szCs w:val="21"/>
              </w:rPr>
            </w:pPr>
            <w:r w:rsidRPr="003C5007">
              <w:rPr>
                <w:rFonts w:eastAsiaTheme="minorEastAsia"/>
                <w:color w:val="000000" w:themeColor="text1"/>
                <w:szCs w:val="21"/>
              </w:rPr>
              <w:t>占基金资产净值比例（％）</w:t>
            </w:r>
          </w:p>
        </w:tc>
      </w:tr>
      <w:tr w:rsidR="003E712B" w:rsidRPr="003C5007" w:rsidTr="008E5013">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91560" w:rsidRPr="003C5007" w:rsidRDefault="00091560" w:rsidP="003C5007">
            <w:pPr>
              <w:adjustRightInd w:val="0"/>
              <w:snapToGrid w:val="0"/>
              <w:spacing w:line="360" w:lineRule="auto"/>
              <w:jc w:val="center"/>
              <w:rPr>
                <w:rFonts w:eastAsiaTheme="minorEastAsia"/>
                <w:color w:val="000000" w:themeColor="text1"/>
                <w:szCs w:val="21"/>
              </w:rPr>
            </w:pPr>
            <w:r w:rsidRPr="003C5007">
              <w:rPr>
                <w:rFonts w:eastAsiaTheme="minorEastAsia"/>
                <w:color w:val="000000" w:themeColor="text1"/>
                <w:szCs w:val="21"/>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091560" w:rsidRPr="003C5007" w:rsidRDefault="00091560" w:rsidP="003C5007">
            <w:pPr>
              <w:adjustRightInd w:val="0"/>
              <w:snapToGrid w:val="0"/>
              <w:spacing w:line="360" w:lineRule="auto"/>
              <w:jc w:val="center"/>
              <w:rPr>
                <w:rFonts w:eastAsiaTheme="minorEastAsia"/>
                <w:color w:val="000000" w:themeColor="text1"/>
                <w:szCs w:val="21"/>
              </w:rPr>
            </w:pPr>
            <w:r w:rsidRPr="003C5007">
              <w:rPr>
                <w:rFonts w:eastAsiaTheme="minorEastAsia"/>
                <w:color w:val="000000" w:themeColor="text1"/>
                <w:szCs w:val="21"/>
              </w:rPr>
              <w:t>农、林、牧、渔业</w:t>
            </w:r>
          </w:p>
        </w:tc>
        <w:tc>
          <w:tcPr>
            <w:tcW w:w="2551" w:type="dxa"/>
            <w:tcBorders>
              <w:top w:val="single" w:sz="4" w:space="0" w:color="000000"/>
              <w:left w:val="single" w:sz="4" w:space="0" w:color="auto"/>
              <w:bottom w:val="single" w:sz="4" w:space="0" w:color="000000"/>
              <w:right w:val="single" w:sz="4" w:space="0" w:color="000000"/>
            </w:tcBorders>
            <w:vAlign w:val="center"/>
          </w:tcPr>
          <w:p w:rsidR="00091560" w:rsidRPr="003C5007" w:rsidRDefault="00091560" w:rsidP="003C5007">
            <w:pPr>
              <w:autoSpaceDE w:val="0"/>
              <w:autoSpaceDN w:val="0"/>
              <w:adjustRightInd w:val="0"/>
              <w:spacing w:line="360" w:lineRule="auto"/>
              <w:ind w:left="15"/>
              <w:jc w:val="right"/>
              <w:rPr>
                <w:rFonts w:eastAsiaTheme="minorEastAsia"/>
                <w:color w:val="000000" w:themeColor="text1"/>
                <w:szCs w:val="21"/>
              </w:rPr>
            </w:pPr>
            <w:r w:rsidRPr="003C5007">
              <w:rPr>
                <w:rFonts w:eastAsiaTheme="minorEastAsia"/>
                <w:color w:val="000000" w:themeColor="text1"/>
                <w:szCs w:val="21"/>
              </w:rPr>
              <w:t>792,749.44</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91560" w:rsidRPr="003C5007" w:rsidRDefault="00091560" w:rsidP="003C5007">
            <w:pPr>
              <w:autoSpaceDE w:val="0"/>
              <w:autoSpaceDN w:val="0"/>
              <w:adjustRightInd w:val="0"/>
              <w:spacing w:line="360" w:lineRule="auto"/>
              <w:ind w:left="15"/>
              <w:jc w:val="right"/>
              <w:rPr>
                <w:rFonts w:eastAsiaTheme="minorEastAsia"/>
                <w:color w:val="000000" w:themeColor="text1"/>
                <w:szCs w:val="21"/>
              </w:rPr>
            </w:pPr>
            <w:r w:rsidRPr="003C5007">
              <w:rPr>
                <w:rFonts w:eastAsiaTheme="minorEastAsia"/>
                <w:color w:val="000000" w:themeColor="text1"/>
                <w:szCs w:val="21"/>
              </w:rPr>
              <w:t>0.48</w:t>
            </w:r>
          </w:p>
        </w:tc>
      </w:tr>
      <w:tr w:rsidR="003E712B" w:rsidRPr="003C5007" w:rsidTr="008E5013">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91560" w:rsidRPr="003C5007" w:rsidRDefault="00091560" w:rsidP="003C5007">
            <w:pPr>
              <w:adjustRightInd w:val="0"/>
              <w:snapToGrid w:val="0"/>
              <w:spacing w:line="360" w:lineRule="auto"/>
              <w:jc w:val="center"/>
              <w:rPr>
                <w:rFonts w:eastAsiaTheme="minorEastAsia"/>
                <w:color w:val="000000" w:themeColor="text1"/>
                <w:szCs w:val="21"/>
              </w:rPr>
            </w:pPr>
            <w:r w:rsidRPr="003C5007">
              <w:rPr>
                <w:rFonts w:eastAsiaTheme="minorEastAsia"/>
                <w:color w:val="000000" w:themeColor="text1"/>
                <w:szCs w:val="21"/>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091560" w:rsidRPr="003C5007" w:rsidRDefault="00091560" w:rsidP="003C5007">
            <w:pPr>
              <w:adjustRightInd w:val="0"/>
              <w:snapToGrid w:val="0"/>
              <w:spacing w:line="360" w:lineRule="auto"/>
              <w:jc w:val="center"/>
              <w:rPr>
                <w:rFonts w:eastAsiaTheme="minorEastAsia"/>
                <w:color w:val="000000" w:themeColor="text1"/>
                <w:szCs w:val="21"/>
              </w:rPr>
            </w:pPr>
            <w:r w:rsidRPr="003C5007">
              <w:rPr>
                <w:rFonts w:eastAsiaTheme="minorEastAsia"/>
                <w:color w:val="000000" w:themeColor="text1"/>
                <w:szCs w:val="21"/>
              </w:rPr>
              <w:t>采矿业</w:t>
            </w:r>
          </w:p>
        </w:tc>
        <w:tc>
          <w:tcPr>
            <w:tcW w:w="2551" w:type="dxa"/>
            <w:tcBorders>
              <w:top w:val="single" w:sz="4" w:space="0" w:color="000000"/>
              <w:left w:val="single" w:sz="4" w:space="0" w:color="auto"/>
              <w:bottom w:val="single" w:sz="4" w:space="0" w:color="000000"/>
              <w:right w:val="single" w:sz="4" w:space="0" w:color="000000"/>
            </w:tcBorders>
            <w:vAlign w:val="center"/>
          </w:tcPr>
          <w:p w:rsidR="00091560" w:rsidRPr="003C5007" w:rsidRDefault="00091560" w:rsidP="003C5007">
            <w:pPr>
              <w:spacing w:line="360" w:lineRule="auto"/>
              <w:jc w:val="right"/>
              <w:rPr>
                <w:rFonts w:eastAsiaTheme="minorEastAsia"/>
                <w:color w:val="000000" w:themeColor="text1"/>
                <w:szCs w:val="21"/>
              </w:rPr>
            </w:pPr>
            <w:r w:rsidRPr="003C5007">
              <w:rPr>
                <w:rFonts w:eastAsiaTheme="minorEastAsia"/>
                <w:color w:val="000000" w:themeColor="text1"/>
                <w:szCs w:val="21"/>
              </w:rPr>
              <w:t>-</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91560" w:rsidRPr="003C5007" w:rsidRDefault="00091560" w:rsidP="003C5007">
            <w:pPr>
              <w:spacing w:line="360" w:lineRule="auto"/>
              <w:jc w:val="right"/>
              <w:rPr>
                <w:rFonts w:eastAsiaTheme="minorEastAsia"/>
                <w:color w:val="000000" w:themeColor="text1"/>
                <w:szCs w:val="21"/>
              </w:rPr>
            </w:pPr>
            <w:r w:rsidRPr="003C5007">
              <w:rPr>
                <w:rFonts w:eastAsiaTheme="minorEastAsia"/>
                <w:color w:val="000000" w:themeColor="text1"/>
                <w:szCs w:val="21"/>
              </w:rPr>
              <w:t>-</w:t>
            </w:r>
          </w:p>
        </w:tc>
      </w:tr>
      <w:tr w:rsidR="003E712B" w:rsidRPr="003C5007" w:rsidTr="008E5013">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91560" w:rsidRPr="003C5007" w:rsidRDefault="00091560" w:rsidP="003C5007">
            <w:pPr>
              <w:adjustRightInd w:val="0"/>
              <w:snapToGrid w:val="0"/>
              <w:spacing w:line="360" w:lineRule="auto"/>
              <w:jc w:val="center"/>
              <w:rPr>
                <w:rFonts w:eastAsiaTheme="minorEastAsia"/>
                <w:color w:val="000000" w:themeColor="text1"/>
                <w:szCs w:val="21"/>
              </w:rPr>
            </w:pPr>
            <w:r w:rsidRPr="003C5007">
              <w:rPr>
                <w:rFonts w:eastAsiaTheme="minorEastAsia"/>
                <w:color w:val="000000" w:themeColor="text1"/>
                <w:szCs w:val="21"/>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091560" w:rsidRPr="003C5007" w:rsidRDefault="00091560" w:rsidP="003C5007">
            <w:pPr>
              <w:adjustRightInd w:val="0"/>
              <w:snapToGrid w:val="0"/>
              <w:spacing w:line="360" w:lineRule="auto"/>
              <w:jc w:val="center"/>
              <w:rPr>
                <w:rFonts w:eastAsiaTheme="minorEastAsia"/>
                <w:color w:val="000000" w:themeColor="text1"/>
                <w:szCs w:val="21"/>
              </w:rPr>
            </w:pPr>
            <w:r w:rsidRPr="003C5007">
              <w:rPr>
                <w:rFonts w:eastAsiaTheme="minorEastAsia"/>
                <w:color w:val="000000" w:themeColor="text1"/>
                <w:szCs w:val="21"/>
              </w:rPr>
              <w:t>制造业</w:t>
            </w:r>
          </w:p>
        </w:tc>
        <w:tc>
          <w:tcPr>
            <w:tcW w:w="2551" w:type="dxa"/>
            <w:tcBorders>
              <w:top w:val="single" w:sz="4" w:space="0" w:color="000000"/>
              <w:left w:val="single" w:sz="4" w:space="0" w:color="auto"/>
              <w:bottom w:val="single" w:sz="4" w:space="0" w:color="000000"/>
              <w:right w:val="single" w:sz="4" w:space="0" w:color="000000"/>
            </w:tcBorders>
            <w:vAlign w:val="center"/>
          </w:tcPr>
          <w:p w:rsidR="00091560" w:rsidRPr="003C5007" w:rsidRDefault="00091560" w:rsidP="003C5007">
            <w:pPr>
              <w:spacing w:line="360" w:lineRule="auto"/>
              <w:jc w:val="right"/>
              <w:rPr>
                <w:rFonts w:eastAsiaTheme="minorEastAsia"/>
                <w:color w:val="000000" w:themeColor="text1"/>
                <w:szCs w:val="21"/>
              </w:rPr>
            </w:pPr>
            <w:r w:rsidRPr="003C5007">
              <w:rPr>
                <w:rFonts w:eastAsiaTheme="minorEastAsia"/>
                <w:color w:val="000000" w:themeColor="text1"/>
                <w:szCs w:val="21"/>
              </w:rPr>
              <w:t>110,680,415.85</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91560" w:rsidRPr="003C5007" w:rsidRDefault="00091560" w:rsidP="003C5007">
            <w:pPr>
              <w:spacing w:line="360" w:lineRule="auto"/>
              <w:jc w:val="right"/>
              <w:rPr>
                <w:rFonts w:eastAsiaTheme="minorEastAsia"/>
                <w:color w:val="000000" w:themeColor="text1"/>
                <w:szCs w:val="21"/>
              </w:rPr>
            </w:pPr>
            <w:r w:rsidRPr="003C5007">
              <w:rPr>
                <w:rFonts w:eastAsiaTheme="minorEastAsia"/>
                <w:color w:val="000000" w:themeColor="text1"/>
                <w:szCs w:val="21"/>
              </w:rPr>
              <w:t>67.63</w:t>
            </w:r>
          </w:p>
        </w:tc>
      </w:tr>
      <w:tr w:rsidR="003E712B" w:rsidRPr="003C5007" w:rsidTr="008E5013">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91560" w:rsidRPr="003C5007" w:rsidRDefault="00091560" w:rsidP="003C5007">
            <w:pPr>
              <w:adjustRightInd w:val="0"/>
              <w:snapToGrid w:val="0"/>
              <w:spacing w:line="360" w:lineRule="auto"/>
              <w:jc w:val="center"/>
              <w:rPr>
                <w:rFonts w:eastAsiaTheme="minorEastAsia"/>
                <w:color w:val="000000" w:themeColor="text1"/>
                <w:szCs w:val="21"/>
              </w:rPr>
            </w:pPr>
            <w:r w:rsidRPr="003C5007">
              <w:rPr>
                <w:rFonts w:eastAsiaTheme="minorEastAsia"/>
                <w:color w:val="000000" w:themeColor="text1"/>
                <w:szCs w:val="21"/>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091560" w:rsidRPr="003C5007" w:rsidRDefault="00091560" w:rsidP="003C5007">
            <w:pPr>
              <w:adjustRightInd w:val="0"/>
              <w:snapToGrid w:val="0"/>
              <w:spacing w:line="360" w:lineRule="auto"/>
              <w:jc w:val="center"/>
              <w:rPr>
                <w:rFonts w:eastAsiaTheme="minorEastAsia"/>
                <w:color w:val="000000" w:themeColor="text1"/>
                <w:szCs w:val="21"/>
              </w:rPr>
            </w:pPr>
            <w:r w:rsidRPr="003C5007">
              <w:rPr>
                <w:rFonts w:eastAsiaTheme="minorEastAsia"/>
                <w:color w:val="000000" w:themeColor="text1"/>
                <w:szCs w:val="21"/>
              </w:rPr>
              <w:t>电力、热力、燃气及水生产和供应业</w:t>
            </w:r>
          </w:p>
        </w:tc>
        <w:tc>
          <w:tcPr>
            <w:tcW w:w="2551" w:type="dxa"/>
            <w:tcBorders>
              <w:top w:val="single" w:sz="4" w:space="0" w:color="000000"/>
              <w:left w:val="single" w:sz="4" w:space="0" w:color="auto"/>
              <w:bottom w:val="single" w:sz="4" w:space="0" w:color="000000"/>
              <w:right w:val="single" w:sz="4" w:space="0" w:color="000000"/>
            </w:tcBorders>
            <w:vAlign w:val="center"/>
          </w:tcPr>
          <w:p w:rsidR="00091560" w:rsidRPr="003C5007" w:rsidRDefault="00091560" w:rsidP="003C5007">
            <w:pPr>
              <w:spacing w:line="360" w:lineRule="auto"/>
              <w:jc w:val="right"/>
              <w:rPr>
                <w:rFonts w:eastAsiaTheme="minorEastAsia"/>
                <w:color w:val="000000" w:themeColor="text1"/>
                <w:szCs w:val="21"/>
              </w:rPr>
            </w:pPr>
            <w:r w:rsidRPr="003C5007">
              <w:rPr>
                <w:rFonts w:eastAsiaTheme="minorEastAsia"/>
                <w:color w:val="000000" w:themeColor="text1"/>
                <w:szCs w:val="21"/>
              </w:rPr>
              <w:t>-</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91560" w:rsidRPr="003C5007" w:rsidRDefault="00091560" w:rsidP="003C5007">
            <w:pPr>
              <w:spacing w:line="360" w:lineRule="auto"/>
              <w:jc w:val="right"/>
              <w:rPr>
                <w:rFonts w:eastAsiaTheme="minorEastAsia"/>
                <w:color w:val="000000" w:themeColor="text1"/>
                <w:szCs w:val="21"/>
              </w:rPr>
            </w:pPr>
            <w:r w:rsidRPr="003C5007">
              <w:rPr>
                <w:rFonts w:eastAsiaTheme="minorEastAsia"/>
                <w:color w:val="000000" w:themeColor="text1"/>
                <w:szCs w:val="21"/>
              </w:rPr>
              <w:t>-</w:t>
            </w:r>
          </w:p>
        </w:tc>
      </w:tr>
      <w:tr w:rsidR="003E712B" w:rsidRPr="003C5007" w:rsidTr="008E5013">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91560" w:rsidRPr="003C5007" w:rsidRDefault="00091560" w:rsidP="003C5007">
            <w:pPr>
              <w:adjustRightInd w:val="0"/>
              <w:snapToGrid w:val="0"/>
              <w:spacing w:line="360" w:lineRule="auto"/>
              <w:jc w:val="center"/>
              <w:rPr>
                <w:rFonts w:eastAsiaTheme="minorEastAsia"/>
                <w:color w:val="000000" w:themeColor="text1"/>
                <w:szCs w:val="21"/>
              </w:rPr>
            </w:pPr>
            <w:r w:rsidRPr="003C5007">
              <w:rPr>
                <w:rFonts w:eastAsiaTheme="minorEastAsia"/>
                <w:color w:val="000000" w:themeColor="text1"/>
                <w:szCs w:val="21"/>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091560" w:rsidRPr="003C5007" w:rsidRDefault="00091560" w:rsidP="003C5007">
            <w:pPr>
              <w:adjustRightInd w:val="0"/>
              <w:snapToGrid w:val="0"/>
              <w:spacing w:line="360" w:lineRule="auto"/>
              <w:jc w:val="center"/>
              <w:rPr>
                <w:rFonts w:eastAsiaTheme="minorEastAsia"/>
                <w:color w:val="000000" w:themeColor="text1"/>
                <w:szCs w:val="21"/>
              </w:rPr>
            </w:pPr>
            <w:r w:rsidRPr="003C5007">
              <w:rPr>
                <w:rFonts w:eastAsiaTheme="minorEastAsia"/>
                <w:color w:val="000000" w:themeColor="text1"/>
                <w:szCs w:val="21"/>
              </w:rPr>
              <w:t>建筑业</w:t>
            </w:r>
          </w:p>
        </w:tc>
        <w:tc>
          <w:tcPr>
            <w:tcW w:w="2551" w:type="dxa"/>
            <w:tcBorders>
              <w:top w:val="single" w:sz="4" w:space="0" w:color="000000"/>
              <w:left w:val="single" w:sz="4" w:space="0" w:color="auto"/>
              <w:bottom w:val="single" w:sz="4" w:space="0" w:color="000000"/>
              <w:right w:val="single" w:sz="4" w:space="0" w:color="000000"/>
            </w:tcBorders>
            <w:vAlign w:val="center"/>
          </w:tcPr>
          <w:p w:rsidR="00091560" w:rsidRPr="003C5007" w:rsidRDefault="00091560" w:rsidP="003C5007">
            <w:pPr>
              <w:spacing w:line="360" w:lineRule="auto"/>
              <w:jc w:val="right"/>
              <w:rPr>
                <w:rFonts w:eastAsiaTheme="minorEastAsia"/>
                <w:color w:val="000000" w:themeColor="text1"/>
                <w:szCs w:val="21"/>
              </w:rPr>
            </w:pPr>
            <w:r w:rsidRPr="003C5007">
              <w:rPr>
                <w:rFonts w:eastAsiaTheme="minorEastAsia"/>
                <w:color w:val="000000" w:themeColor="text1"/>
                <w:szCs w:val="21"/>
              </w:rPr>
              <w:t>3,786,160.37</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91560" w:rsidRPr="003C5007" w:rsidRDefault="00091560" w:rsidP="003C5007">
            <w:pPr>
              <w:spacing w:line="360" w:lineRule="auto"/>
              <w:jc w:val="right"/>
              <w:rPr>
                <w:rFonts w:eastAsiaTheme="minorEastAsia"/>
                <w:color w:val="000000" w:themeColor="text1"/>
                <w:szCs w:val="21"/>
              </w:rPr>
            </w:pPr>
            <w:r w:rsidRPr="003C5007">
              <w:rPr>
                <w:rFonts w:eastAsiaTheme="minorEastAsia"/>
                <w:color w:val="000000" w:themeColor="text1"/>
                <w:szCs w:val="21"/>
              </w:rPr>
              <w:t>2.31</w:t>
            </w:r>
          </w:p>
        </w:tc>
      </w:tr>
      <w:tr w:rsidR="003E712B" w:rsidRPr="003C5007" w:rsidTr="008E5013">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91560" w:rsidRPr="003C5007" w:rsidRDefault="00091560" w:rsidP="003C5007">
            <w:pPr>
              <w:adjustRightInd w:val="0"/>
              <w:snapToGrid w:val="0"/>
              <w:spacing w:line="360" w:lineRule="auto"/>
              <w:jc w:val="center"/>
              <w:rPr>
                <w:rFonts w:eastAsiaTheme="minorEastAsia"/>
                <w:color w:val="000000" w:themeColor="text1"/>
                <w:szCs w:val="21"/>
              </w:rPr>
            </w:pPr>
            <w:r w:rsidRPr="003C5007">
              <w:rPr>
                <w:rFonts w:eastAsiaTheme="minorEastAsia"/>
                <w:color w:val="000000" w:themeColor="text1"/>
                <w:szCs w:val="21"/>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091560" w:rsidRPr="003C5007" w:rsidRDefault="00091560" w:rsidP="003C5007">
            <w:pPr>
              <w:adjustRightInd w:val="0"/>
              <w:snapToGrid w:val="0"/>
              <w:spacing w:line="360" w:lineRule="auto"/>
              <w:jc w:val="center"/>
              <w:rPr>
                <w:rFonts w:eastAsiaTheme="minorEastAsia"/>
                <w:color w:val="000000" w:themeColor="text1"/>
                <w:szCs w:val="21"/>
              </w:rPr>
            </w:pPr>
            <w:r w:rsidRPr="003C5007">
              <w:rPr>
                <w:rFonts w:eastAsiaTheme="minorEastAsia"/>
                <w:color w:val="000000" w:themeColor="text1"/>
                <w:szCs w:val="21"/>
              </w:rPr>
              <w:t>批发和零售业</w:t>
            </w:r>
          </w:p>
        </w:tc>
        <w:tc>
          <w:tcPr>
            <w:tcW w:w="2551" w:type="dxa"/>
            <w:tcBorders>
              <w:top w:val="single" w:sz="4" w:space="0" w:color="000000"/>
              <w:left w:val="single" w:sz="4" w:space="0" w:color="auto"/>
              <w:bottom w:val="single" w:sz="4" w:space="0" w:color="000000"/>
              <w:right w:val="single" w:sz="4" w:space="0" w:color="000000"/>
            </w:tcBorders>
            <w:vAlign w:val="center"/>
          </w:tcPr>
          <w:p w:rsidR="00091560" w:rsidRPr="003C5007" w:rsidRDefault="00091560" w:rsidP="003C5007">
            <w:pPr>
              <w:spacing w:line="360" w:lineRule="auto"/>
              <w:jc w:val="right"/>
              <w:rPr>
                <w:rFonts w:eastAsiaTheme="minorEastAsia"/>
                <w:color w:val="000000" w:themeColor="text1"/>
                <w:szCs w:val="21"/>
              </w:rPr>
            </w:pPr>
            <w:r w:rsidRPr="003C5007">
              <w:rPr>
                <w:rFonts w:eastAsiaTheme="minorEastAsia"/>
                <w:color w:val="000000" w:themeColor="text1"/>
                <w:szCs w:val="21"/>
              </w:rPr>
              <w:t>3,650,805.00</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91560" w:rsidRPr="003C5007" w:rsidRDefault="00091560" w:rsidP="003C5007">
            <w:pPr>
              <w:spacing w:line="360" w:lineRule="auto"/>
              <w:jc w:val="right"/>
              <w:rPr>
                <w:rFonts w:eastAsiaTheme="minorEastAsia"/>
                <w:color w:val="000000" w:themeColor="text1"/>
                <w:szCs w:val="21"/>
              </w:rPr>
            </w:pPr>
            <w:r w:rsidRPr="003C5007">
              <w:rPr>
                <w:rFonts w:eastAsiaTheme="minorEastAsia"/>
                <w:color w:val="000000" w:themeColor="text1"/>
                <w:szCs w:val="21"/>
              </w:rPr>
              <w:t>2.23</w:t>
            </w:r>
          </w:p>
        </w:tc>
      </w:tr>
      <w:tr w:rsidR="003E712B" w:rsidRPr="003C5007" w:rsidTr="008E5013">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91560" w:rsidRPr="003C5007" w:rsidRDefault="00091560" w:rsidP="003C5007">
            <w:pPr>
              <w:adjustRightInd w:val="0"/>
              <w:snapToGrid w:val="0"/>
              <w:spacing w:line="360" w:lineRule="auto"/>
              <w:jc w:val="center"/>
              <w:rPr>
                <w:rFonts w:eastAsiaTheme="minorEastAsia"/>
                <w:color w:val="000000" w:themeColor="text1"/>
                <w:szCs w:val="21"/>
              </w:rPr>
            </w:pPr>
            <w:r w:rsidRPr="003C5007">
              <w:rPr>
                <w:rFonts w:eastAsiaTheme="minorEastAsia"/>
                <w:color w:val="000000" w:themeColor="text1"/>
                <w:szCs w:val="21"/>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091560" w:rsidRPr="003C5007" w:rsidRDefault="00091560" w:rsidP="003C5007">
            <w:pPr>
              <w:adjustRightInd w:val="0"/>
              <w:snapToGrid w:val="0"/>
              <w:spacing w:line="360" w:lineRule="auto"/>
              <w:jc w:val="center"/>
              <w:rPr>
                <w:rFonts w:eastAsiaTheme="minorEastAsia"/>
                <w:color w:val="000000" w:themeColor="text1"/>
                <w:szCs w:val="21"/>
              </w:rPr>
            </w:pPr>
            <w:r w:rsidRPr="003C5007">
              <w:rPr>
                <w:rFonts w:eastAsiaTheme="minorEastAsia"/>
                <w:color w:val="000000" w:themeColor="text1"/>
                <w:szCs w:val="21"/>
              </w:rPr>
              <w:t>交通运输、仓储和邮政业</w:t>
            </w:r>
          </w:p>
        </w:tc>
        <w:tc>
          <w:tcPr>
            <w:tcW w:w="2551" w:type="dxa"/>
            <w:tcBorders>
              <w:top w:val="single" w:sz="4" w:space="0" w:color="000000"/>
              <w:left w:val="single" w:sz="4" w:space="0" w:color="auto"/>
              <w:bottom w:val="single" w:sz="4" w:space="0" w:color="000000"/>
              <w:right w:val="single" w:sz="4" w:space="0" w:color="000000"/>
            </w:tcBorders>
            <w:vAlign w:val="center"/>
          </w:tcPr>
          <w:p w:rsidR="00091560" w:rsidRPr="003C5007" w:rsidRDefault="00091560" w:rsidP="003C5007">
            <w:pPr>
              <w:spacing w:line="360" w:lineRule="auto"/>
              <w:jc w:val="right"/>
              <w:rPr>
                <w:rFonts w:eastAsiaTheme="minorEastAsia"/>
                <w:color w:val="000000" w:themeColor="text1"/>
                <w:szCs w:val="21"/>
              </w:rPr>
            </w:pPr>
            <w:r w:rsidRPr="003C5007">
              <w:rPr>
                <w:rFonts w:eastAsiaTheme="minorEastAsia"/>
                <w:color w:val="000000" w:themeColor="text1"/>
                <w:szCs w:val="21"/>
              </w:rPr>
              <w:t>707,028.00</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91560" w:rsidRPr="003C5007" w:rsidRDefault="00091560" w:rsidP="003C5007">
            <w:pPr>
              <w:spacing w:line="360" w:lineRule="auto"/>
              <w:jc w:val="right"/>
              <w:rPr>
                <w:rFonts w:eastAsiaTheme="minorEastAsia"/>
                <w:color w:val="000000" w:themeColor="text1"/>
                <w:szCs w:val="21"/>
              </w:rPr>
            </w:pPr>
            <w:r w:rsidRPr="003C5007">
              <w:rPr>
                <w:rFonts w:eastAsiaTheme="minorEastAsia"/>
                <w:color w:val="000000" w:themeColor="text1"/>
                <w:szCs w:val="21"/>
              </w:rPr>
              <w:t>0.43</w:t>
            </w:r>
          </w:p>
        </w:tc>
      </w:tr>
      <w:tr w:rsidR="003E712B" w:rsidRPr="003C5007" w:rsidTr="008E5013">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91560" w:rsidRPr="003C5007" w:rsidRDefault="00091560" w:rsidP="003C5007">
            <w:pPr>
              <w:adjustRightInd w:val="0"/>
              <w:snapToGrid w:val="0"/>
              <w:spacing w:line="360" w:lineRule="auto"/>
              <w:jc w:val="center"/>
              <w:rPr>
                <w:rFonts w:eastAsiaTheme="minorEastAsia"/>
                <w:color w:val="000000" w:themeColor="text1"/>
                <w:szCs w:val="21"/>
              </w:rPr>
            </w:pPr>
            <w:r w:rsidRPr="003C5007">
              <w:rPr>
                <w:rFonts w:eastAsiaTheme="minorEastAsia"/>
                <w:color w:val="000000" w:themeColor="text1"/>
                <w:szCs w:val="21"/>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091560" w:rsidRPr="003C5007" w:rsidRDefault="00091560" w:rsidP="003C5007">
            <w:pPr>
              <w:adjustRightInd w:val="0"/>
              <w:snapToGrid w:val="0"/>
              <w:spacing w:line="360" w:lineRule="auto"/>
              <w:jc w:val="center"/>
              <w:rPr>
                <w:rFonts w:eastAsiaTheme="minorEastAsia"/>
                <w:color w:val="000000" w:themeColor="text1"/>
                <w:szCs w:val="21"/>
              </w:rPr>
            </w:pPr>
            <w:r w:rsidRPr="003C5007">
              <w:rPr>
                <w:rFonts w:eastAsiaTheme="minorEastAsia"/>
                <w:color w:val="000000" w:themeColor="text1"/>
                <w:szCs w:val="21"/>
              </w:rPr>
              <w:t>住宿和餐饮业</w:t>
            </w:r>
          </w:p>
        </w:tc>
        <w:tc>
          <w:tcPr>
            <w:tcW w:w="2551" w:type="dxa"/>
            <w:tcBorders>
              <w:top w:val="single" w:sz="4" w:space="0" w:color="000000"/>
              <w:left w:val="single" w:sz="4" w:space="0" w:color="auto"/>
              <w:bottom w:val="single" w:sz="4" w:space="0" w:color="000000"/>
              <w:right w:val="single" w:sz="4" w:space="0" w:color="000000"/>
            </w:tcBorders>
            <w:vAlign w:val="center"/>
          </w:tcPr>
          <w:p w:rsidR="00091560" w:rsidRPr="003C5007" w:rsidRDefault="00091560" w:rsidP="003C5007">
            <w:pPr>
              <w:spacing w:line="360" w:lineRule="auto"/>
              <w:jc w:val="right"/>
              <w:rPr>
                <w:rFonts w:eastAsiaTheme="minorEastAsia"/>
                <w:color w:val="000000" w:themeColor="text1"/>
                <w:szCs w:val="21"/>
              </w:rPr>
            </w:pPr>
            <w:r w:rsidRPr="003C5007">
              <w:rPr>
                <w:rFonts w:eastAsiaTheme="minorEastAsia"/>
                <w:color w:val="000000" w:themeColor="text1"/>
                <w:szCs w:val="21"/>
              </w:rPr>
              <w:t>-</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91560" w:rsidRPr="003C5007" w:rsidRDefault="00091560" w:rsidP="003C5007">
            <w:pPr>
              <w:spacing w:line="360" w:lineRule="auto"/>
              <w:jc w:val="right"/>
              <w:rPr>
                <w:rFonts w:eastAsiaTheme="minorEastAsia"/>
                <w:color w:val="000000" w:themeColor="text1"/>
                <w:szCs w:val="21"/>
              </w:rPr>
            </w:pPr>
            <w:r w:rsidRPr="003C5007">
              <w:rPr>
                <w:rFonts w:eastAsiaTheme="minorEastAsia"/>
                <w:color w:val="000000" w:themeColor="text1"/>
                <w:szCs w:val="21"/>
              </w:rPr>
              <w:t>-</w:t>
            </w:r>
          </w:p>
        </w:tc>
      </w:tr>
      <w:tr w:rsidR="003E712B" w:rsidRPr="003C5007" w:rsidTr="008E5013">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91560" w:rsidRPr="003C5007" w:rsidRDefault="00091560" w:rsidP="003C5007">
            <w:pPr>
              <w:adjustRightInd w:val="0"/>
              <w:snapToGrid w:val="0"/>
              <w:spacing w:line="360" w:lineRule="auto"/>
              <w:jc w:val="center"/>
              <w:rPr>
                <w:rFonts w:eastAsiaTheme="minorEastAsia"/>
                <w:color w:val="000000" w:themeColor="text1"/>
                <w:szCs w:val="21"/>
              </w:rPr>
            </w:pPr>
            <w:r w:rsidRPr="003C5007">
              <w:rPr>
                <w:rFonts w:eastAsiaTheme="minorEastAsia"/>
                <w:color w:val="000000" w:themeColor="text1"/>
                <w:szCs w:val="21"/>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091560" w:rsidRPr="003C5007" w:rsidRDefault="00091560" w:rsidP="003C5007">
            <w:pPr>
              <w:adjustRightInd w:val="0"/>
              <w:snapToGrid w:val="0"/>
              <w:spacing w:line="360" w:lineRule="auto"/>
              <w:jc w:val="center"/>
              <w:rPr>
                <w:rFonts w:eastAsiaTheme="minorEastAsia"/>
                <w:color w:val="000000" w:themeColor="text1"/>
                <w:szCs w:val="21"/>
              </w:rPr>
            </w:pPr>
            <w:r w:rsidRPr="003C5007">
              <w:rPr>
                <w:rFonts w:eastAsiaTheme="minorEastAsia"/>
                <w:color w:val="000000" w:themeColor="text1"/>
                <w:szCs w:val="21"/>
              </w:rPr>
              <w:t>信息传输、软件和信息技术服务业</w:t>
            </w:r>
          </w:p>
        </w:tc>
        <w:tc>
          <w:tcPr>
            <w:tcW w:w="2551" w:type="dxa"/>
            <w:tcBorders>
              <w:top w:val="single" w:sz="4" w:space="0" w:color="000000"/>
              <w:left w:val="single" w:sz="4" w:space="0" w:color="auto"/>
              <w:bottom w:val="single" w:sz="4" w:space="0" w:color="000000"/>
              <w:right w:val="single" w:sz="4" w:space="0" w:color="000000"/>
            </w:tcBorders>
            <w:vAlign w:val="center"/>
          </w:tcPr>
          <w:p w:rsidR="00091560" w:rsidRPr="003C5007" w:rsidRDefault="00091560" w:rsidP="003C5007">
            <w:pPr>
              <w:spacing w:line="360" w:lineRule="auto"/>
              <w:jc w:val="right"/>
              <w:rPr>
                <w:rFonts w:eastAsiaTheme="minorEastAsia"/>
                <w:color w:val="000000" w:themeColor="text1"/>
                <w:szCs w:val="21"/>
              </w:rPr>
            </w:pPr>
            <w:r w:rsidRPr="003C5007">
              <w:rPr>
                <w:rFonts w:eastAsiaTheme="minorEastAsia"/>
                <w:color w:val="000000" w:themeColor="text1"/>
                <w:szCs w:val="21"/>
              </w:rPr>
              <w:t>15,994,444.87</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91560" w:rsidRPr="003C5007" w:rsidRDefault="00091560" w:rsidP="003C5007">
            <w:pPr>
              <w:spacing w:line="360" w:lineRule="auto"/>
              <w:jc w:val="right"/>
              <w:rPr>
                <w:rFonts w:eastAsiaTheme="minorEastAsia"/>
                <w:color w:val="000000" w:themeColor="text1"/>
                <w:szCs w:val="21"/>
              </w:rPr>
            </w:pPr>
            <w:r w:rsidRPr="003C5007">
              <w:rPr>
                <w:rFonts w:eastAsiaTheme="minorEastAsia"/>
                <w:color w:val="000000" w:themeColor="text1"/>
                <w:szCs w:val="21"/>
              </w:rPr>
              <w:t>9.77</w:t>
            </w:r>
          </w:p>
        </w:tc>
      </w:tr>
      <w:tr w:rsidR="003E712B" w:rsidRPr="003C5007" w:rsidTr="008E5013">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91560" w:rsidRPr="003C5007" w:rsidRDefault="00091560" w:rsidP="003C5007">
            <w:pPr>
              <w:adjustRightInd w:val="0"/>
              <w:snapToGrid w:val="0"/>
              <w:spacing w:line="360" w:lineRule="auto"/>
              <w:jc w:val="center"/>
              <w:rPr>
                <w:rFonts w:eastAsiaTheme="minorEastAsia"/>
                <w:color w:val="000000" w:themeColor="text1"/>
                <w:szCs w:val="21"/>
              </w:rPr>
            </w:pPr>
            <w:r w:rsidRPr="003C5007">
              <w:rPr>
                <w:rFonts w:eastAsiaTheme="minorEastAsia"/>
                <w:color w:val="000000" w:themeColor="text1"/>
                <w:szCs w:val="21"/>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091560" w:rsidRPr="003C5007" w:rsidRDefault="00091560" w:rsidP="003C5007">
            <w:pPr>
              <w:adjustRightInd w:val="0"/>
              <w:snapToGrid w:val="0"/>
              <w:spacing w:line="360" w:lineRule="auto"/>
              <w:jc w:val="center"/>
              <w:rPr>
                <w:rFonts w:eastAsiaTheme="minorEastAsia"/>
                <w:color w:val="000000" w:themeColor="text1"/>
                <w:szCs w:val="21"/>
              </w:rPr>
            </w:pPr>
            <w:r w:rsidRPr="003C5007">
              <w:rPr>
                <w:rFonts w:eastAsiaTheme="minorEastAsia"/>
                <w:color w:val="000000" w:themeColor="text1"/>
                <w:szCs w:val="21"/>
              </w:rPr>
              <w:t>金融业</w:t>
            </w:r>
          </w:p>
        </w:tc>
        <w:tc>
          <w:tcPr>
            <w:tcW w:w="2551" w:type="dxa"/>
            <w:tcBorders>
              <w:top w:val="single" w:sz="4" w:space="0" w:color="000000"/>
              <w:left w:val="single" w:sz="4" w:space="0" w:color="auto"/>
              <w:bottom w:val="single" w:sz="4" w:space="0" w:color="000000"/>
              <w:right w:val="single" w:sz="4" w:space="0" w:color="000000"/>
            </w:tcBorders>
            <w:vAlign w:val="center"/>
          </w:tcPr>
          <w:p w:rsidR="00091560" w:rsidRPr="003C5007" w:rsidRDefault="00091560" w:rsidP="003C5007">
            <w:pPr>
              <w:spacing w:line="360" w:lineRule="auto"/>
              <w:jc w:val="right"/>
              <w:rPr>
                <w:rFonts w:eastAsiaTheme="minorEastAsia"/>
                <w:color w:val="000000" w:themeColor="text1"/>
                <w:szCs w:val="21"/>
              </w:rPr>
            </w:pPr>
            <w:r w:rsidRPr="003C5007">
              <w:rPr>
                <w:rFonts w:eastAsiaTheme="minorEastAsia"/>
                <w:color w:val="000000" w:themeColor="text1"/>
                <w:szCs w:val="21"/>
              </w:rPr>
              <w:t>10,140,395.08</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91560" w:rsidRPr="003C5007" w:rsidRDefault="00091560" w:rsidP="003C5007">
            <w:pPr>
              <w:spacing w:line="360" w:lineRule="auto"/>
              <w:jc w:val="right"/>
              <w:rPr>
                <w:rFonts w:eastAsiaTheme="minorEastAsia"/>
                <w:color w:val="000000" w:themeColor="text1"/>
                <w:szCs w:val="21"/>
              </w:rPr>
            </w:pPr>
            <w:r w:rsidRPr="003C5007">
              <w:rPr>
                <w:rFonts w:eastAsiaTheme="minorEastAsia"/>
                <w:color w:val="000000" w:themeColor="text1"/>
                <w:szCs w:val="21"/>
              </w:rPr>
              <w:t>6.20</w:t>
            </w:r>
          </w:p>
        </w:tc>
      </w:tr>
      <w:tr w:rsidR="003E712B" w:rsidRPr="003C5007" w:rsidTr="008E5013">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91560" w:rsidRPr="003C5007" w:rsidRDefault="00091560" w:rsidP="003C5007">
            <w:pPr>
              <w:adjustRightInd w:val="0"/>
              <w:snapToGrid w:val="0"/>
              <w:spacing w:line="360" w:lineRule="auto"/>
              <w:jc w:val="center"/>
              <w:rPr>
                <w:rFonts w:eastAsiaTheme="minorEastAsia"/>
                <w:color w:val="000000" w:themeColor="text1"/>
                <w:szCs w:val="21"/>
              </w:rPr>
            </w:pPr>
            <w:r w:rsidRPr="003C5007">
              <w:rPr>
                <w:rFonts w:eastAsiaTheme="minorEastAsia"/>
                <w:color w:val="000000" w:themeColor="text1"/>
                <w:szCs w:val="21"/>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091560" w:rsidRPr="003C5007" w:rsidRDefault="00091560" w:rsidP="003C5007">
            <w:pPr>
              <w:adjustRightInd w:val="0"/>
              <w:snapToGrid w:val="0"/>
              <w:spacing w:line="360" w:lineRule="auto"/>
              <w:jc w:val="center"/>
              <w:rPr>
                <w:rFonts w:eastAsiaTheme="minorEastAsia"/>
                <w:color w:val="000000" w:themeColor="text1"/>
                <w:szCs w:val="21"/>
              </w:rPr>
            </w:pPr>
            <w:r w:rsidRPr="003C5007">
              <w:rPr>
                <w:rFonts w:eastAsiaTheme="minorEastAsia"/>
                <w:color w:val="000000" w:themeColor="text1"/>
                <w:szCs w:val="21"/>
              </w:rPr>
              <w:t>房地产业</w:t>
            </w:r>
          </w:p>
        </w:tc>
        <w:tc>
          <w:tcPr>
            <w:tcW w:w="2551" w:type="dxa"/>
            <w:tcBorders>
              <w:top w:val="single" w:sz="4" w:space="0" w:color="000000"/>
              <w:left w:val="single" w:sz="4" w:space="0" w:color="auto"/>
              <w:bottom w:val="single" w:sz="4" w:space="0" w:color="000000"/>
              <w:right w:val="single" w:sz="4" w:space="0" w:color="000000"/>
            </w:tcBorders>
            <w:vAlign w:val="center"/>
          </w:tcPr>
          <w:p w:rsidR="00091560" w:rsidRPr="003C5007" w:rsidRDefault="00091560" w:rsidP="003C5007">
            <w:pPr>
              <w:spacing w:line="360" w:lineRule="auto"/>
              <w:jc w:val="right"/>
              <w:rPr>
                <w:rFonts w:eastAsiaTheme="minorEastAsia"/>
                <w:color w:val="000000" w:themeColor="text1"/>
                <w:szCs w:val="21"/>
              </w:rPr>
            </w:pPr>
            <w:r w:rsidRPr="003C5007">
              <w:rPr>
                <w:rFonts w:eastAsiaTheme="minorEastAsia"/>
                <w:color w:val="000000" w:themeColor="text1"/>
                <w:szCs w:val="21"/>
              </w:rPr>
              <w:t>1,611,900.36</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91560" w:rsidRPr="003C5007" w:rsidRDefault="00091560" w:rsidP="003C5007">
            <w:pPr>
              <w:spacing w:line="360" w:lineRule="auto"/>
              <w:jc w:val="right"/>
              <w:rPr>
                <w:rFonts w:eastAsiaTheme="minorEastAsia"/>
                <w:color w:val="000000" w:themeColor="text1"/>
                <w:szCs w:val="21"/>
              </w:rPr>
            </w:pPr>
            <w:r w:rsidRPr="003C5007">
              <w:rPr>
                <w:rFonts w:eastAsiaTheme="minorEastAsia"/>
                <w:color w:val="000000" w:themeColor="text1"/>
                <w:szCs w:val="21"/>
              </w:rPr>
              <w:t>0.98</w:t>
            </w:r>
          </w:p>
        </w:tc>
      </w:tr>
      <w:tr w:rsidR="003E712B" w:rsidRPr="003C5007" w:rsidTr="008E5013">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91560" w:rsidRPr="003C5007" w:rsidRDefault="00091560" w:rsidP="003C5007">
            <w:pPr>
              <w:adjustRightInd w:val="0"/>
              <w:snapToGrid w:val="0"/>
              <w:spacing w:line="360" w:lineRule="auto"/>
              <w:jc w:val="center"/>
              <w:rPr>
                <w:rFonts w:eastAsiaTheme="minorEastAsia"/>
                <w:color w:val="000000" w:themeColor="text1"/>
                <w:szCs w:val="21"/>
              </w:rPr>
            </w:pPr>
            <w:r w:rsidRPr="003C5007">
              <w:rPr>
                <w:rFonts w:eastAsiaTheme="minorEastAsia"/>
                <w:color w:val="000000" w:themeColor="text1"/>
                <w:szCs w:val="21"/>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091560" w:rsidRPr="003C5007" w:rsidRDefault="00091560" w:rsidP="003C5007">
            <w:pPr>
              <w:adjustRightInd w:val="0"/>
              <w:snapToGrid w:val="0"/>
              <w:spacing w:line="360" w:lineRule="auto"/>
              <w:jc w:val="center"/>
              <w:rPr>
                <w:rFonts w:eastAsiaTheme="minorEastAsia"/>
                <w:color w:val="000000" w:themeColor="text1"/>
                <w:szCs w:val="21"/>
              </w:rPr>
            </w:pPr>
            <w:r w:rsidRPr="003C5007">
              <w:rPr>
                <w:rFonts w:eastAsiaTheme="minorEastAsia"/>
                <w:color w:val="000000" w:themeColor="text1"/>
                <w:szCs w:val="21"/>
              </w:rPr>
              <w:t>租赁和商务服务业</w:t>
            </w:r>
          </w:p>
        </w:tc>
        <w:tc>
          <w:tcPr>
            <w:tcW w:w="2551" w:type="dxa"/>
            <w:tcBorders>
              <w:top w:val="single" w:sz="4" w:space="0" w:color="000000"/>
              <w:left w:val="single" w:sz="4" w:space="0" w:color="auto"/>
              <w:bottom w:val="single" w:sz="4" w:space="0" w:color="000000"/>
              <w:right w:val="single" w:sz="4" w:space="0" w:color="000000"/>
            </w:tcBorders>
            <w:vAlign w:val="center"/>
          </w:tcPr>
          <w:p w:rsidR="00091560" w:rsidRPr="003C5007" w:rsidRDefault="00091560" w:rsidP="003C5007">
            <w:pPr>
              <w:spacing w:line="360" w:lineRule="auto"/>
              <w:jc w:val="right"/>
              <w:rPr>
                <w:rFonts w:eastAsiaTheme="minorEastAsia"/>
                <w:color w:val="000000" w:themeColor="text1"/>
                <w:szCs w:val="21"/>
              </w:rPr>
            </w:pPr>
            <w:r w:rsidRPr="003C5007">
              <w:rPr>
                <w:rFonts w:eastAsiaTheme="minorEastAsia"/>
                <w:color w:val="000000" w:themeColor="text1"/>
                <w:szCs w:val="21"/>
              </w:rPr>
              <w:t>3,901,495.76</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91560" w:rsidRPr="003C5007" w:rsidRDefault="00091560" w:rsidP="003C5007">
            <w:pPr>
              <w:spacing w:line="360" w:lineRule="auto"/>
              <w:jc w:val="right"/>
              <w:rPr>
                <w:rFonts w:eastAsiaTheme="minorEastAsia"/>
                <w:color w:val="000000" w:themeColor="text1"/>
                <w:szCs w:val="21"/>
              </w:rPr>
            </w:pPr>
            <w:r w:rsidRPr="003C5007">
              <w:rPr>
                <w:rFonts w:eastAsiaTheme="minorEastAsia"/>
                <w:color w:val="000000" w:themeColor="text1"/>
                <w:szCs w:val="21"/>
              </w:rPr>
              <w:t>2.38</w:t>
            </w:r>
          </w:p>
        </w:tc>
      </w:tr>
      <w:tr w:rsidR="003E712B" w:rsidRPr="003C5007" w:rsidTr="008E5013">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91560" w:rsidRPr="003C5007" w:rsidRDefault="00091560" w:rsidP="003C5007">
            <w:pPr>
              <w:adjustRightInd w:val="0"/>
              <w:snapToGrid w:val="0"/>
              <w:spacing w:line="360" w:lineRule="auto"/>
              <w:jc w:val="center"/>
              <w:rPr>
                <w:rFonts w:eastAsiaTheme="minorEastAsia"/>
                <w:color w:val="000000" w:themeColor="text1"/>
                <w:szCs w:val="21"/>
              </w:rPr>
            </w:pPr>
            <w:r w:rsidRPr="003C5007">
              <w:rPr>
                <w:rFonts w:eastAsiaTheme="minorEastAsia"/>
                <w:color w:val="000000" w:themeColor="text1"/>
                <w:szCs w:val="21"/>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091560" w:rsidRPr="003C5007" w:rsidRDefault="00091560" w:rsidP="003C5007">
            <w:pPr>
              <w:adjustRightInd w:val="0"/>
              <w:snapToGrid w:val="0"/>
              <w:spacing w:line="360" w:lineRule="auto"/>
              <w:jc w:val="center"/>
              <w:rPr>
                <w:rFonts w:eastAsiaTheme="minorEastAsia"/>
                <w:color w:val="000000" w:themeColor="text1"/>
                <w:szCs w:val="21"/>
              </w:rPr>
            </w:pPr>
            <w:r w:rsidRPr="003C5007">
              <w:rPr>
                <w:rFonts w:eastAsiaTheme="minorEastAsia"/>
                <w:color w:val="000000" w:themeColor="text1"/>
                <w:szCs w:val="21"/>
              </w:rPr>
              <w:t>科学研究和技术服务业</w:t>
            </w:r>
          </w:p>
        </w:tc>
        <w:tc>
          <w:tcPr>
            <w:tcW w:w="2551" w:type="dxa"/>
            <w:tcBorders>
              <w:top w:val="single" w:sz="4" w:space="0" w:color="000000"/>
              <w:left w:val="single" w:sz="4" w:space="0" w:color="auto"/>
              <w:bottom w:val="single" w:sz="4" w:space="0" w:color="000000"/>
              <w:right w:val="single" w:sz="4" w:space="0" w:color="000000"/>
            </w:tcBorders>
            <w:vAlign w:val="center"/>
          </w:tcPr>
          <w:p w:rsidR="00091560" w:rsidRPr="003C5007" w:rsidRDefault="00091560" w:rsidP="003C5007">
            <w:pPr>
              <w:spacing w:line="360" w:lineRule="auto"/>
              <w:jc w:val="right"/>
              <w:rPr>
                <w:rFonts w:eastAsiaTheme="minorEastAsia"/>
                <w:color w:val="000000" w:themeColor="text1"/>
                <w:szCs w:val="21"/>
              </w:rPr>
            </w:pPr>
            <w:r w:rsidRPr="003C5007">
              <w:rPr>
                <w:rFonts w:eastAsiaTheme="minorEastAsia"/>
                <w:color w:val="000000" w:themeColor="text1"/>
                <w:szCs w:val="21"/>
              </w:rPr>
              <w:t>-</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91560" w:rsidRPr="003C5007" w:rsidRDefault="00091560" w:rsidP="003C5007">
            <w:pPr>
              <w:spacing w:line="360" w:lineRule="auto"/>
              <w:jc w:val="right"/>
              <w:rPr>
                <w:rFonts w:eastAsiaTheme="minorEastAsia"/>
                <w:color w:val="000000" w:themeColor="text1"/>
                <w:szCs w:val="21"/>
              </w:rPr>
            </w:pPr>
            <w:r w:rsidRPr="003C5007">
              <w:rPr>
                <w:rFonts w:eastAsiaTheme="minorEastAsia"/>
                <w:color w:val="000000" w:themeColor="text1"/>
                <w:szCs w:val="21"/>
              </w:rPr>
              <w:t>-</w:t>
            </w:r>
          </w:p>
        </w:tc>
      </w:tr>
      <w:tr w:rsidR="003E712B" w:rsidRPr="003C5007" w:rsidTr="008E5013">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91560" w:rsidRPr="003C5007" w:rsidRDefault="00091560" w:rsidP="003C5007">
            <w:pPr>
              <w:adjustRightInd w:val="0"/>
              <w:snapToGrid w:val="0"/>
              <w:spacing w:line="360" w:lineRule="auto"/>
              <w:jc w:val="center"/>
              <w:rPr>
                <w:rFonts w:eastAsiaTheme="minorEastAsia"/>
                <w:color w:val="000000" w:themeColor="text1"/>
                <w:szCs w:val="21"/>
              </w:rPr>
            </w:pPr>
            <w:r w:rsidRPr="003C5007">
              <w:rPr>
                <w:rFonts w:eastAsiaTheme="minorEastAsia"/>
                <w:color w:val="000000" w:themeColor="text1"/>
                <w:szCs w:val="21"/>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091560" w:rsidRPr="003C5007" w:rsidRDefault="00091560" w:rsidP="003C5007">
            <w:pPr>
              <w:adjustRightInd w:val="0"/>
              <w:snapToGrid w:val="0"/>
              <w:spacing w:line="360" w:lineRule="auto"/>
              <w:jc w:val="center"/>
              <w:rPr>
                <w:rFonts w:eastAsiaTheme="minorEastAsia"/>
                <w:color w:val="000000" w:themeColor="text1"/>
                <w:szCs w:val="21"/>
              </w:rPr>
            </w:pPr>
            <w:r w:rsidRPr="003C5007">
              <w:rPr>
                <w:rFonts w:eastAsiaTheme="minorEastAsia"/>
                <w:color w:val="000000" w:themeColor="text1"/>
                <w:szCs w:val="21"/>
              </w:rPr>
              <w:t>水利、环境和公共设施管理业</w:t>
            </w:r>
          </w:p>
        </w:tc>
        <w:tc>
          <w:tcPr>
            <w:tcW w:w="2551" w:type="dxa"/>
            <w:tcBorders>
              <w:top w:val="single" w:sz="4" w:space="0" w:color="000000"/>
              <w:left w:val="single" w:sz="4" w:space="0" w:color="auto"/>
              <w:bottom w:val="single" w:sz="4" w:space="0" w:color="000000"/>
              <w:right w:val="single" w:sz="4" w:space="0" w:color="000000"/>
            </w:tcBorders>
            <w:vAlign w:val="center"/>
          </w:tcPr>
          <w:p w:rsidR="00091560" w:rsidRPr="003C5007" w:rsidRDefault="00091560" w:rsidP="003C5007">
            <w:pPr>
              <w:spacing w:line="360" w:lineRule="auto"/>
              <w:jc w:val="right"/>
              <w:rPr>
                <w:rFonts w:eastAsiaTheme="minorEastAsia"/>
                <w:color w:val="000000" w:themeColor="text1"/>
                <w:szCs w:val="21"/>
              </w:rPr>
            </w:pPr>
            <w:r w:rsidRPr="003C5007">
              <w:rPr>
                <w:rFonts w:eastAsiaTheme="minorEastAsia"/>
                <w:color w:val="000000" w:themeColor="text1"/>
                <w:szCs w:val="21"/>
              </w:rPr>
              <w:t>1,034,177.82</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91560" w:rsidRPr="003C5007" w:rsidRDefault="00091560" w:rsidP="003C5007">
            <w:pPr>
              <w:spacing w:line="360" w:lineRule="auto"/>
              <w:jc w:val="right"/>
              <w:rPr>
                <w:rFonts w:eastAsiaTheme="minorEastAsia"/>
                <w:color w:val="000000" w:themeColor="text1"/>
                <w:szCs w:val="21"/>
              </w:rPr>
            </w:pPr>
            <w:r w:rsidRPr="003C5007">
              <w:rPr>
                <w:rFonts w:eastAsiaTheme="minorEastAsia"/>
                <w:color w:val="000000" w:themeColor="text1"/>
                <w:szCs w:val="21"/>
              </w:rPr>
              <w:t>0.63</w:t>
            </w:r>
          </w:p>
        </w:tc>
      </w:tr>
      <w:tr w:rsidR="003E712B" w:rsidRPr="003C5007" w:rsidTr="008E5013">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91560" w:rsidRPr="003C5007" w:rsidRDefault="00091560" w:rsidP="003C5007">
            <w:pPr>
              <w:adjustRightInd w:val="0"/>
              <w:snapToGrid w:val="0"/>
              <w:spacing w:line="360" w:lineRule="auto"/>
              <w:jc w:val="center"/>
              <w:rPr>
                <w:rFonts w:eastAsiaTheme="minorEastAsia"/>
                <w:color w:val="000000" w:themeColor="text1"/>
                <w:szCs w:val="21"/>
              </w:rPr>
            </w:pPr>
            <w:r w:rsidRPr="003C5007">
              <w:rPr>
                <w:rFonts w:eastAsiaTheme="minorEastAsia"/>
                <w:color w:val="000000" w:themeColor="text1"/>
                <w:szCs w:val="21"/>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091560" w:rsidRPr="003C5007" w:rsidRDefault="00091560" w:rsidP="003C5007">
            <w:pPr>
              <w:adjustRightInd w:val="0"/>
              <w:snapToGrid w:val="0"/>
              <w:spacing w:line="360" w:lineRule="auto"/>
              <w:jc w:val="center"/>
              <w:rPr>
                <w:rFonts w:eastAsiaTheme="minorEastAsia"/>
                <w:color w:val="000000" w:themeColor="text1"/>
                <w:szCs w:val="21"/>
              </w:rPr>
            </w:pPr>
            <w:r w:rsidRPr="003C5007">
              <w:rPr>
                <w:rFonts w:eastAsiaTheme="minorEastAsia"/>
                <w:color w:val="000000" w:themeColor="text1"/>
                <w:szCs w:val="21"/>
              </w:rPr>
              <w:t>居民服务、修理和其他服务业</w:t>
            </w:r>
          </w:p>
        </w:tc>
        <w:tc>
          <w:tcPr>
            <w:tcW w:w="2551" w:type="dxa"/>
            <w:tcBorders>
              <w:top w:val="single" w:sz="4" w:space="0" w:color="000000"/>
              <w:left w:val="single" w:sz="4" w:space="0" w:color="auto"/>
              <w:bottom w:val="single" w:sz="4" w:space="0" w:color="000000"/>
              <w:right w:val="single" w:sz="4" w:space="0" w:color="000000"/>
            </w:tcBorders>
            <w:vAlign w:val="center"/>
          </w:tcPr>
          <w:p w:rsidR="00091560" w:rsidRPr="003C5007" w:rsidRDefault="00091560" w:rsidP="003C5007">
            <w:pPr>
              <w:spacing w:line="360" w:lineRule="auto"/>
              <w:jc w:val="right"/>
              <w:rPr>
                <w:rFonts w:eastAsiaTheme="minorEastAsia"/>
                <w:color w:val="000000" w:themeColor="text1"/>
                <w:szCs w:val="21"/>
              </w:rPr>
            </w:pPr>
            <w:r w:rsidRPr="003C5007">
              <w:rPr>
                <w:rFonts w:eastAsiaTheme="minorEastAsia"/>
                <w:color w:val="000000" w:themeColor="text1"/>
                <w:szCs w:val="21"/>
              </w:rPr>
              <w:t>-</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91560" w:rsidRPr="003C5007" w:rsidRDefault="00091560" w:rsidP="003C5007">
            <w:pPr>
              <w:spacing w:line="360" w:lineRule="auto"/>
              <w:jc w:val="right"/>
              <w:rPr>
                <w:rFonts w:eastAsiaTheme="minorEastAsia"/>
                <w:color w:val="000000" w:themeColor="text1"/>
                <w:szCs w:val="21"/>
              </w:rPr>
            </w:pPr>
            <w:r w:rsidRPr="003C5007">
              <w:rPr>
                <w:rFonts w:eastAsiaTheme="minorEastAsia"/>
                <w:color w:val="000000" w:themeColor="text1"/>
                <w:szCs w:val="21"/>
              </w:rPr>
              <w:t>-</w:t>
            </w:r>
          </w:p>
        </w:tc>
      </w:tr>
      <w:tr w:rsidR="003E712B" w:rsidRPr="003C5007" w:rsidTr="008E5013">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91560" w:rsidRPr="003C5007" w:rsidRDefault="00091560" w:rsidP="003C5007">
            <w:pPr>
              <w:adjustRightInd w:val="0"/>
              <w:snapToGrid w:val="0"/>
              <w:spacing w:line="360" w:lineRule="auto"/>
              <w:jc w:val="center"/>
              <w:rPr>
                <w:rFonts w:eastAsiaTheme="minorEastAsia"/>
                <w:color w:val="000000" w:themeColor="text1"/>
                <w:szCs w:val="21"/>
              </w:rPr>
            </w:pPr>
            <w:r w:rsidRPr="003C5007">
              <w:rPr>
                <w:rFonts w:eastAsiaTheme="minorEastAsia"/>
                <w:color w:val="000000" w:themeColor="text1"/>
                <w:szCs w:val="21"/>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091560" w:rsidRPr="003C5007" w:rsidRDefault="00091560" w:rsidP="003C5007">
            <w:pPr>
              <w:adjustRightInd w:val="0"/>
              <w:snapToGrid w:val="0"/>
              <w:spacing w:line="360" w:lineRule="auto"/>
              <w:jc w:val="center"/>
              <w:rPr>
                <w:rFonts w:eastAsiaTheme="minorEastAsia"/>
                <w:color w:val="000000" w:themeColor="text1"/>
                <w:szCs w:val="21"/>
              </w:rPr>
            </w:pPr>
            <w:r w:rsidRPr="003C5007">
              <w:rPr>
                <w:rFonts w:eastAsiaTheme="minorEastAsia"/>
                <w:color w:val="000000" w:themeColor="text1"/>
                <w:szCs w:val="21"/>
              </w:rPr>
              <w:t>教育</w:t>
            </w:r>
          </w:p>
        </w:tc>
        <w:tc>
          <w:tcPr>
            <w:tcW w:w="2551" w:type="dxa"/>
            <w:tcBorders>
              <w:top w:val="single" w:sz="4" w:space="0" w:color="000000"/>
              <w:left w:val="single" w:sz="4" w:space="0" w:color="auto"/>
              <w:bottom w:val="single" w:sz="4" w:space="0" w:color="000000"/>
              <w:right w:val="single" w:sz="4" w:space="0" w:color="000000"/>
            </w:tcBorders>
            <w:vAlign w:val="center"/>
          </w:tcPr>
          <w:p w:rsidR="00091560" w:rsidRPr="003C5007" w:rsidRDefault="00091560" w:rsidP="003C5007">
            <w:pPr>
              <w:spacing w:line="360" w:lineRule="auto"/>
              <w:jc w:val="right"/>
              <w:rPr>
                <w:rFonts w:eastAsiaTheme="minorEastAsia"/>
                <w:color w:val="000000" w:themeColor="text1"/>
                <w:szCs w:val="21"/>
              </w:rPr>
            </w:pPr>
            <w:r w:rsidRPr="003C5007">
              <w:rPr>
                <w:rFonts w:eastAsiaTheme="minorEastAsia"/>
                <w:color w:val="000000" w:themeColor="text1"/>
                <w:szCs w:val="21"/>
              </w:rPr>
              <w:t>-</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91560" w:rsidRPr="003C5007" w:rsidRDefault="00091560" w:rsidP="003C5007">
            <w:pPr>
              <w:spacing w:line="360" w:lineRule="auto"/>
              <w:jc w:val="right"/>
              <w:rPr>
                <w:rFonts w:eastAsiaTheme="minorEastAsia"/>
                <w:color w:val="000000" w:themeColor="text1"/>
                <w:szCs w:val="21"/>
              </w:rPr>
            </w:pPr>
            <w:r w:rsidRPr="003C5007">
              <w:rPr>
                <w:rFonts w:eastAsiaTheme="minorEastAsia"/>
                <w:color w:val="000000" w:themeColor="text1"/>
                <w:szCs w:val="21"/>
              </w:rPr>
              <w:t>-</w:t>
            </w:r>
          </w:p>
        </w:tc>
      </w:tr>
      <w:tr w:rsidR="003E712B" w:rsidRPr="003C5007" w:rsidTr="008E5013">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91560" w:rsidRPr="003C5007" w:rsidRDefault="00091560" w:rsidP="003C5007">
            <w:pPr>
              <w:adjustRightInd w:val="0"/>
              <w:snapToGrid w:val="0"/>
              <w:spacing w:line="360" w:lineRule="auto"/>
              <w:jc w:val="center"/>
              <w:rPr>
                <w:rFonts w:eastAsiaTheme="minorEastAsia"/>
                <w:color w:val="000000" w:themeColor="text1"/>
                <w:szCs w:val="21"/>
              </w:rPr>
            </w:pPr>
            <w:r w:rsidRPr="003C5007">
              <w:rPr>
                <w:rFonts w:eastAsiaTheme="minorEastAsia"/>
                <w:color w:val="000000" w:themeColor="text1"/>
                <w:szCs w:val="21"/>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091560" w:rsidRPr="003C5007" w:rsidRDefault="00091560" w:rsidP="003C5007">
            <w:pPr>
              <w:adjustRightInd w:val="0"/>
              <w:snapToGrid w:val="0"/>
              <w:spacing w:line="360" w:lineRule="auto"/>
              <w:jc w:val="center"/>
              <w:rPr>
                <w:rFonts w:eastAsiaTheme="minorEastAsia"/>
                <w:color w:val="000000" w:themeColor="text1"/>
                <w:szCs w:val="21"/>
              </w:rPr>
            </w:pPr>
            <w:r w:rsidRPr="003C5007">
              <w:rPr>
                <w:rFonts w:eastAsiaTheme="minorEastAsia"/>
                <w:color w:val="000000" w:themeColor="text1"/>
                <w:szCs w:val="21"/>
              </w:rPr>
              <w:t>卫生和社会工作</w:t>
            </w:r>
          </w:p>
        </w:tc>
        <w:tc>
          <w:tcPr>
            <w:tcW w:w="2551" w:type="dxa"/>
            <w:tcBorders>
              <w:top w:val="single" w:sz="4" w:space="0" w:color="000000"/>
              <w:left w:val="single" w:sz="4" w:space="0" w:color="auto"/>
              <w:bottom w:val="single" w:sz="4" w:space="0" w:color="000000"/>
              <w:right w:val="single" w:sz="4" w:space="0" w:color="000000"/>
            </w:tcBorders>
            <w:vAlign w:val="center"/>
          </w:tcPr>
          <w:p w:rsidR="00091560" w:rsidRPr="003C5007" w:rsidRDefault="00091560" w:rsidP="003C5007">
            <w:pPr>
              <w:spacing w:line="360" w:lineRule="auto"/>
              <w:jc w:val="right"/>
              <w:rPr>
                <w:rFonts w:eastAsiaTheme="minorEastAsia"/>
                <w:color w:val="000000" w:themeColor="text1"/>
                <w:szCs w:val="21"/>
              </w:rPr>
            </w:pPr>
            <w:r w:rsidRPr="003C5007">
              <w:rPr>
                <w:rFonts w:eastAsiaTheme="minorEastAsia"/>
                <w:color w:val="000000" w:themeColor="text1"/>
                <w:szCs w:val="21"/>
              </w:rPr>
              <w:t>-</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91560" w:rsidRPr="003C5007" w:rsidRDefault="00091560" w:rsidP="003C5007">
            <w:pPr>
              <w:spacing w:line="360" w:lineRule="auto"/>
              <w:jc w:val="right"/>
              <w:rPr>
                <w:rFonts w:eastAsiaTheme="minorEastAsia"/>
                <w:color w:val="000000" w:themeColor="text1"/>
                <w:szCs w:val="21"/>
              </w:rPr>
            </w:pPr>
            <w:r w:rsidRPr="003C5007">
              <w:rPr>
                <w:rFonts w:eastAsiaTheme="minorEastAsia"/>
                <w:color w:val="000000" w:themeColor="text1"/>
                <w:szCs w:val="21"/>
              </w:rPr>
              <w:t>-</w:t>
            </w:r>
          </w:p>
        </w:tc>
      </w:tr>
      <w:tr w:rsidR="003E712B" w:rsidRPr="003C5007" w:rsidTr="008E5013">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91560" w:rsidRPr="003C5007" w:rsidRDefault="00091560" w:rsidP="003C5007">
            <w:pPr>
              <w:adjustRightInd w:val="0"/>
              <w:snapToGrid w:val="0"/>
              <w:spacing w:line="360" w:lineRule="auto"/>
              <w:jc w:val="center"/>
              <w:rPr>
                <w:rFonts w:eastAsiaTheme="minorEastAsia"/>
                <w:color w:val="000000" w:themeColor="text1"/>
                <w:szCs w:val="21"/>
              </w:rPr>
            </w:pPr>
            <w:r w:rsidRPr="003C5007">
              <w:rPr>
                <w:rFonts w:eastAsiaTheme="minorEastAsia"/>
                <w:color w:val="000000" w:themeColor="text1"/>
                <w:szCs w:val="21"/>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091560" w:rsidRPr="003C5007" w:rsidRDefault="00091560" w:rsidP="003C5007">
            <w:pPr>
              <w:adjustRightInd w:val="0"/>
              <w:snapToGrid w:val="0"/>
              <w:spacing w:line="360" w:lineRule="auto"/>
              <w:jc w:val="center"/>
              <w:rPr>
                <w:rFonts w:eastAsiaTheme="minorEastAsia"/>
                <w:color w:val="000000" w:themeColor="text1"/>
                <w:szCs w:val="21"/>
              </w:rPr>
            </w:pPr>
            <w:r w:rsidRPr="003C5007">
              <w:rPr>
                <w:rFonts w:eastAsiaTheme="minorEastAsia"/>
                <w:color w:val="000000" w:themeColor="text1"/>
                <w:szCs w:val="21"/>
              </w:rPr>
              <w:t>文化、体育和娱乐业</w:t>
            </w:r>
          </w:p>
        </w:tc>
        <w:tc>
          <w:tcPr>
            <w:tcW w:w="2551" w:type="dxa"/>
            <w:tcBorders>
              <w:top w:val="single" w:sz="4" w:space="0" w:color="000000"/>
              <w:left w:val="single" w:sz="4" w:space="0" w:color="auto"/>
              <w:bottom w:val="single" w:sz="4" w:space="0" w:color="000000"/>
              <w:right w:val="single" w:sz="4" w:space="0" w:color="000000"/>
            </w:tcBorders>
            <w:vAlign w:val="center"/>
          </w:tcPr>
          <w:p w:rsidR="00091560" w:rsidRPr="003C5007" w:rsidRDefault="00091560" w:rsidP="003C5007">
            <w:pPr>
              <w:spacing w:line="360" w:lineRule="auto"/>
              <w:jc w:val="right"/>
              <w:rPr>
                <w:rFonts w:eastAsiaTheme="minorEastAsia"/>
                <w:color w:val="000000" w:themeColor="text1"/>
                <w:szCs w:val="21"/>
              </w:rPr>
            </w:pPr>
            <w:r w:rsidRPr="003C5007">
              <w:rPr>
                <w:rFonts w:eastAsiaTheme="minorEastAsia"/>
                <w:color w:val="000000" w:themeColor="text1"/>
                <w:szCs w:val="21"/>
              </w:rPr>
              <w:t>2,030,135.10</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91560" w:rsidRPr="003C5007" w:rsidRDefault="00091560" w:rsidP="003C5007">
            <w:pPr>
              <w:spacing w:line="360" w:lineRule="auto"/>
              <w:jc w:val="right"/>
              <w:rPr>
                <w:rFonts w:eastAsiaTheme="minorEastAsia"/>
                <w:color w:val="000000" w:themeColor="text1"/>
                <w:szCs w:val="21"/>
              </w:rPr>
            </w:pPr>
            <w:r w:rsidRPr="003C5007">
              <w:rPr>
                <w:rFonts w:eastAsiaTheme="minorEastAsia"/>
                <w:color w:val="000000" w:themeColor="text1"/>
                <w:szCs w:val="21"/>
              </w:rPr>
              <w:t>1.24</w:t>
            </w:r>
          </w:p>
        </w:tc>
      </w:tr>
      <w:tr w:rsidR="003E712B" w:rsidRPr="003C5007" w:rsidTr="008E5013">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91560" w:rsidRPr="003C5007" w:rsidRDefault="00091560" w:rsidP="003C5007">
            <w:pPr>
              <w:adjustRightInd w:val="0"/>
              <w:snapToGrid w:val="0"/>
              <w:spacing w:line="360" w:lineRule="auto"/>
              <w:jc w:val="center"/>
              <w:rPr>
                <w:rFonts w:eastAsiaTheme="minorEastAsia"/>
                <w:color w:val="000000" w:themeColor="text1"/>
                <w:szCs w:val="21"/>
              </w:rPr>
            </w:pPr>
            <w:r w:rsidRPr="003C5007">
              <w:rPr>
                <w:rFonts w:eastAsiaTheme="minorEastAsia"/>
                <w:color w:val="000000" w:themeColor="text1"/>
                <w:szCs w:val="21"/>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091560" w:rsidRPr="003C5007" w:rsidRDefault="00091560" w:rsidP="003C5007">
            <w:pPr>
              <w:adjustRightInd w:val="0"/>
              <w:snapToGrid w:val="0"/>
              <w:spacing w:line="360" w:lineRule="auto"/>
              <w:jc w:val="center"/>
              <w:rPr>
                <w:rFonts w:eastAsiaTheme="minorEastAsia"/>
                <w:color w:val="000000" w:themeColor="text1"/>
                <w:szCs w:val="21"/>
              </w:rPr>
            </w:pPr>
            <w:r w:rsidRPr="003C5007">
              <w:rPr>
                <w:rFonts w:eastAsiaTheme="minorEastAsia"/>
                <w:color w:val="000000" w:themeColor="text1"/>
                <w:szCs w:val="21"/>
              </w:rPr>
              <w:t>综合</w:t>
            </w:r>
          </w:p>
        </w:tc>
        <w:tc>
          <w:tcPr>
            <w:tcW w:w="2551" w:type="dxa"/>
            <w:tcBorders>
              <w:top w:val="single" w:sz="4" w:space="0" w:color="000000"/>
              <w:left w:val="single" w:sz="4" w:space="0" w:color="auto"/>
              <w:bottom w:val="single" w:sz="4" w:space="0" w:color="000000"/>
              <w:right w:val="single" w:sz="4" w:space="0" w:color="000000"/>
            </w:tcBorders>
            <w:vAlign w:val="center"/>
          </w:tcPr>
          <w:p w:rsidR="00091560" w:rsidRPr="003C5007" w:rsidRDefault="00091560" w:rsidP="003C5007">
            <w:pPr>
              <w:spacing w:line="360" w:lineRule="auto"/>
              <w:jc w:val="right"/>
              <w:rPr>
                <w:rFonts w:eastAsiaTheme="minorEastAsia"/>
                <w:color w:val="000000" w:themeColor="text1"/>
                <w:szCs w:val="21"/>
              </w:rPr>
            </w:pPr>
            <w:r w:rsidRPr="003C5007">
              <w:rPr>
                <w:rFonts w:eastAsiaTheme="minorEastAsia"/>
                <w:color w:val="000000" w:themeColor="text1"/>
                <w:szCs w:val="21"/>
              </w:rPr>
              <w:t>-</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91560" w:rsidRPr="003C5007" w:rsidRDefault="00091560" w:rsidP="003C5007">
            <w:pPr>
              <w:spacing w:line="360" w:lineRule="auto"/>
              <w:jc w:val="right"/>
              <w:rPr>
                <w:rFonts w:eastAsiaTheme="minorEastAsia"/>
                <w:color w:val="000000" w:themeColor="text1"/>
                <w:szCs w:val="21"/>
              </w:rPr>
            </w:pPr>
            <w:r w:rsidRPr="003C5007">
              <w:rPr>
                <w:rFonts w:eastAsiaTheme="minorEastAsia"/>
                <w:color w:val="000000" w:themeColor="text1"/>
                <w:szCs w:val="21"/>
              </w:rPr>
              <w:t>-</w:t>
            </w:r>
          </w:p>
        </w:tc>
      </w:tr>
      <w:tr w:rsidR="003E712B" w:rsidRPr="003C5007" w:rsidTr="008E5013">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91560" w:rsidRPr="003C5007" w:rsidRDefault="00091560" w:rsidP="003C5007">
            <w:pPr>
              <w:adjustRightInd w:val="0"/>
              <w:snapToGrid w:val="0"/>
              <w:spacing w:line="360" w:lineRule="auto"/>
              <w:jc w:val="center"/>
              <w:rPr>
                <w:rFonts w:eastAsiaTheme="minorEastAsia"/>
                <w:color w:val="000000" w:themeColor="text1"/>
                <w:szCs w:val="21"/>
              </w:rPr>
            </w:pP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091560" w:rsidRPr="003C5007" w:rsidRDefault="00091560" w:rsidP="003C5007">
            <w:pPr>
              <w:adjustRightInd w:val="0"/>
              <w:snapToGrid w:val="0"/>
              <w:spacing w:line="360" w:lineRule="auto"/>
              <w:jc w:val="center"/>
              <w:rPr>
                <w:rFonts w:eastAsiaTheme="minorEastAsia"/>
                <w:color w:val="000000" w:themeColor="text1"/>
                <w:szCs w:val="21"/>
              </w:rPr>
            </w:pPr>
            <w:r w:rsidRPr="003C5007">
              <w:rPr>
                <w:rFonts w:eastAsiaTheme="minorEastAsia"/>
                <w:color w:val="000000" w:themeColor="text1"/>
                <w:szCs w:val="21"/>
              </w:rPr>
              <w:t>合计</w:t>
            </w:r>
          </w:p>
        </w:tc>
        <w:tc>
          <w:tcPr>
            <w:tcW w:w="2551" w:type="dxa"/>
            <w:tcBorders>
              <w:top w:val="single" w:sz="4" w:space="0" w:color="000000"/>
              <w:left w:val="single" w:sz="4" w:space="0" w:color="auto"/>
              <w:bottom w:val="single" w:sz="4" w:space="0" w:color="000000"/>
              <w:right w:val="single" w:sz="4" w:space="0" w:color="000000"/>
            </w:tcBorders>
            <w:vAlign w:val="center"/>
          </w:tcPr>
          <w:p w:rsidR="00091560" w:rsidRPr="003C5007" w:rsidRDefault="00091560" w:rsidP="003C5007">
            <w:pPr>
              <w:spacing w:line="360" w:lineRule="auto"/>
              <w:jc w:val="right"/>
              <w:rPr>
                <w:rFonts w:eastAsiaTheme="minorEastAsia"/>
                <w:color w:val="000000" w:themeColor="text1"/>
                <w:szCs w:val="21"/>
              </w:rPr>
            </w:pPr>
            <w:r w:rsidRPr="003C5007">
              <w:rPr>
                <w:rFonts w:eastAsiaTheme="minorEastAsia"/>
                <w:color w:val="000000" w:themeColor="text1"/>
                <w:szCs w:val="21"/>
              </w:rPr>
              <w:t>154,329,707.65</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91560" w:rsidRPr="003C5007" w:rsidRDefault="00091560" w:rsidP="003C5007">
            <w:pPr>
              <w:spacing w:line="360" w:lineRule="auto"/>
              <w:jc w:val="right"/>
              <w:rPr>
                <w:rFonts w:eastAsiaTheme="minorEastAsia"/>
                <w:color w:val="000000" w:themeColor="text1"/>
                <w:szCs w:val="21"/>
              </w:rPr>
            </w:pPr>
            <w:r w:rsidRPr="003C5007">
              <w:rPr>
                <w:rFonts w:eastAsiaTheme="minorEastAsia"/>
                <w:color w:val="000000" w:themeColor="text1"/>
                <w:szCs w:val="21"/>
              </w:rPr>
              <w:t>94.30</w:t>
            </w:r>
          </w:p>
        </w:tc>
      </w:tr>
    </w:tbl>
    <w:p w:rsidR="009F4CB1" w:rsidRPr="003C5007" w:rsidRDefault="009F4CB1" w:rsidP="003C5007">
      <w:pPr>
        <w:spacing w:line="360" w:lineRule="auto"/>
        <w:jc w:val="left"/>
        <w:rPr>
          <w:rFonts w:eastAsiaTheme="minorEastAsia"/>
          <w:color w:val="000000" w:themeColor="text1"/>
          <w:szCs w:val="21"/>
        </w:rPr>
      </w:pPr>
      <w:r w:rsidRPr="003C5007">
        <w:rPr>
          <w:rFonts w:eastAsiaTheme="minorEastAsia"/>
          <w:b/>
          <w:color w:val="000000" w:themeColor="text1"/>
          <w:kern w:val="0"/>
          <w:szCs w:val="21"/>
        </w:rPr>
        <w:t>5</w:t>
      </w:r>
      <w:r w:rsidR="009541B9" w:rsidRPr="003C5007">
        <w:rPr>
          <w:rFonts w:eastAsiaTheme="minorEastAsia"/>
          <w:b/>
          <w:color w:val="000000" w:themeColor="text1"/>
          <w:kern w:val="0"/>
          <w:szCs w:val="21"/>
        </w:rPr>
        <w:t>.1</w:t>
      </w:r>
      <w:r w:rsidR="00253CE8">
        <w:rPr>
          <w:rFonts w:eastAsiaTheme="minorEastAsia"/>
          <w:b/>
          <w:color w:val="000000" w:themeColor="text1"/>
          <w:kern w:val="0"/>
          <w:szCs w:val="21"/>
        </w:rPr>
        <w:t>.2.</w:t>
      </w:r>
      <w:r w:rsidR="00253CE8">
        <w:rPr>
          <w:rFonts w:eastAsiaTheme="minorEastAsia" w:hint="eastAsia"/>
          <w:b/>
          <w:color w:val="000000" w:themeColor="text1"/>
          <w:kern w:val="0"/>
          <w:szCs w:val="21"/>
        </w:rPr>
        <w:t>2</w:t>
      </w:r>
      <w:r w:rsidRPr="003C5007">
        <w:rPr>
          <w:rFonts w:eastAsiaTheme="minorEastAsia"/>
          <w:b/>
          <w:color w:val="000000" w:themeColor="text1"/>
          <w:kern w:val="0"/>
          <w:szCs w:val="21"/>
        </w:rPr>
        <w:t>报告期末按行业分类的</w:t>
      </w:r>
      <w:r w:rsidR="002A2F10">
        <w:rPr>
          <w:rFonts w:eastAsiaTheme="minorEastAsia"/>
          <w:b/>
          <w:color w:val="000000" w:themeColor="text1"/>
          <w:kern w:val="0"/>
          <w:szCs w:val="21"/>
        </w:rPr>
        <w:t>港股通</w:t>
      </w:r>
      <w:r w:rsidRPr="003C5007">
        <w:rPr>
          <w:rFonts w:eastAsiaTheme="minorEastAsia"/>
          <w:b/>
          <w:color w:val="000000" w:themeColor="text1"/>
          <w:kern w:val="0"/>
          <w:szCs w:val="21"/>
        </w:rPr>
        <w:t>投资股票投资组合</w:t>
      </w:r>
    </w:p>
    <w:p w:rsidR="009F4CB1" w:rsidRDefault="009F4CB1" w:rsidP="003C5007">
      <w:pPr>
        <w:autoSpaceDE w:val="0"/>
        <w:autoSpaceDN w:val="0"/>
        <w:adjustRightInd w:val="0"/>
        <w:spacing w:line="360" w:lineRule="auto"/>
        <w:jc w:val="left"/>
        <w:rPr>
          <w:rFonts w:eastAsiaTheme="minorEastAsia"/>
          <w:color w:val="000000" w:themeColor="text1"/>
          <w:szCs w:val="21"/>
        </w:rPr>
      </w:pPr>
      <w:r w:rsidRPr="003C5007">
        <w:rPr>
          <w:rFonts w:eastAsiaTheme="minorEastAsia"/>
          <w:color w:val="000000" w:themeColor="text1"/>
          <w:szCs w:val="21"/>
        </w:rPr>
        <w:t>本基金未开通港股通交易机制投资于港股。</w:t>
      </w:r>
    </w:p>
    <w:p w:rsidR="00220542" w:rsidRPr="003C5007" w:rsidRDefault="00220542" w:rsidP="003C5007">
      <w:pPr>
        <w:autoSpaceDE w:val="0"/>
        <w:autoSpaceDN w:val="0"/>
        <w:adjustRightInd w:val="0"/>
        <w:spacing w:line="360" w:lineRule="auto"/>
        <w:jc w:val="left"/>
        <w:rPr>
          <w:rFonts w:eastAsiaTheme="minorEastAsia"/>
          <w:b/>
          <w:color w:val="000000" w:themeColor="text1"/>
          <w:kern w:val="0"/>
          <w:szCs w:val="21"/>
        </w:rPr>
      </w:pPr>
      <w:r w:rsidRPr="003C5007">
        <w:rPr>
          <w:rFonts w:eastAsiaTheme="minorEastAsia"/>
          <w:b/>
          <w:color w:val="000000" w:themeColor="text1"/>
          <w:kern w:val="0"/>
          <w:szCs w:val="21"/>
        </w:rPr>
        <w:t>5</w:t>
      </w:r>
      <w:r w:rsidR="009541B9" w:rsidRPr="003C5007">
        <w:rPr>
          <w:rFonts w:eastAsiaTheme="minorEastAsia"/>
          <w:b/>
          <w:color w:val="000000" w:themeColor="text1"/>
          <w:kern w:val="0"/>
          <w:szCs w:val="21"/>
        </w:rPr>
        <w:t>.1</w:t>
      </w:r>
      <w:r w:rsidRPr="003C5007">
        <w:rPr>
          <w:rFonts w:eastAsiaTheme="minorEastAsia"/>
          <w:b/>
          <w:color w:val="000000" w:themeColor="text1"/>
          <w:kern w:val="0"/>
          <w:szCs w:val="21"/>
        </w:rPr>
        <w:t>.3</w:t>
      </w:r>
      <w:r w:rsidR="00D26460" w:rsidRPr="003C5007">
        <w:rPr>
          <w:rFonts w:eastAsiaTheme="minorEastAsia"/>
          <w:b/>
          <w:color w:val="000000" w:themeColor="text1"/>
          <w:kern w:val="0"/>
          <w:szCs w:val="21"/>
        </w:rPr>
        <w:t>报告期末按公允价值占基金资产净值比例大小排序的股票投资明细</w:t>
      </w:r>
    </w:p>
    <w:p w:rsidR="00C22C7D" w:rsidRPr="003C5007" w:rsidRDefault="000625A6" w:rsidP="00B67751">
      <w:pPr>
        <w:spacing w:line="360" w:lineRule="auto"/>
        <w:ind w:firstLineChars="98" w:firstLine="207"/>
        <w:rPr>
          <w:rFonts w:eastAsiaTheme="minorEastAsia"/>
          <w:b/>
          <w:color w:val="000000" w:themeColor="text1"/>
          <w:szCs w:val="21"/>
        </w:rPr>
      </w:pPr>
      <w:r w:rsidRPr="003C5007">
        <w:rPr>
          <w:rFonts w:eastAsiaTheme="minorEastAsia"/>
          <w:b/>
          <w:color w:val="000000" w:themeColor="text1"/>
          <w:kern w:val="0"/>
          <w:szCs w:val="21"/>
        </w:rPr>
        <w:t>5</w:t>
      </w:r>
      <w:r w:rsidR="009541B9" w:rsidRPr="003C5007">
        <w:rPr>
          <w:rFonts w:eastAsiaTheme="minorEastAsia"/>
          <w:b/>
          <w:color w:val="000000" w:themeColor="text1"/>
          <w:kern w:val="0"/>
          <w:szCs w:val="21"/>
        </w:rPr>
        <w:t>.1</w:t>
      </w:r>
      <w:r w:rsidRPr="003C5007">
        <w:rPr>
          <w:rFonts w:eastAsiaTheme="minorEastAsia"/>
          <w:b/>
          <w:color w:val="000000" w:themeColor="text1"/>
          <w:kern w:val="0"/>
          <w:szCs w:val="21"/>
        </w:rPr>
        <w:t>.3.1</w:t>
      </w:r>
      <w:r w:rsidR="00F9665D">
        <w:rPr>
          <w:rFonts w:eastAsiaTheme="minorEastAsia" w:hint="eastAsia"/>
          <w:b/>
          <w:color w:val="000000" w:themeColor="text1"/>
          <w:kern w:val="0"/>
          <w:szCs w:val="21"/>
        </w:rPr>
        <w:t>报告</w:t>
      </w:r>
      <w:r w:rsidR="00C22C7D" w:rsidRPr="003C5007">
        <w:rPr>
          <w:rFonts w:eastAsiaTheme="minorEastAsia"/>
          <w:b/>
          <w:color w:val="000000" w:themeColor="text1"/>
          <w:kern w:val="0"/>
          <w:szCs w:val="21"/>
        </w:rPr>
        <w:t>期末</w:t>
      </w:r>
      <w:r w:rsidR="00C22C7D" w:rsidRPr="003C5007">
        <w:rPr>
          <w:rFonts w:eastAsiaTheme="minorEastAsia"/>
          <w:b/>
          <w:color w:val="000000" w:themeColor="text1"/>
          <w:szCs w:val="21"/>
        </w:rPr>
        <w:t>按公允价值占基金资产净值比例大小排序的前</w:t>
      </w:r>
      <w:r w:rsidR="00AF5585" w:rsidRPr="003C5007">
        <w:rPr>
          <w:rFonts w:eastAsiaTheme="minorEastAsia"/>
          <w:b/>
          <w:color w:val="000000" w:themeColor="text1"/>
          <w:szCs w:val="21"/>
        </w:rPr>
        <w:t>十</w:t>
      </w:r>
      <w:r w:rsidR="00C22C7D" w:rsidRPr="003C5007">
        <w:rPr>
          <w:rFonts w:eastAsiaTheme="minorEastAsia"/>
          <w:b/>
          <w:color w:val="000000" w:themeColor="text1"/>
          <w:szCs w:val="21"/>
        </w:rPr>
        <w:t>名股票投资明细</w:t>
      </w:r>
    </w:p>
    <w:tbl>
      <w:tblPr>
        <w:tblStyle w:val="af7"/>
        <w:tblW w:w="0" w:type="auto"/>
        <w:tblLayout w:type="fixed"/>
        <w:tblLook w:val="04A0" w:firstRow="1" w:lastRow="0" w:firstColumn="1" w:lastColumn="0" w:noHBand="0" w:noVBand="1"/>
      </w:tblPr>
      <w:tblGrid>
        <w:gridCol w:w="817"/>
        <w:gridCol w:w="1276"/>
        <w:gridCol w:w="1701"/>
        <w:gridCol w:w="1276"/>
        <w:gridCol w:w="1842"/>
        <w:gridCol w:w="1560"/>
      </w:tblGrid>
      <w:tr w:rsidR="003E712B" w:rsidRPr="003C5007" w:rsidTr="008E5013">
        <w:tc>
          <w:tcPr>
            <w:tcW w:w="817" w:type="dxa"/>
            <w:vAlign w:val="center"/>
          </w:tcPr>
          <w:p w:rsidR="000820A8" w:rsidRPr="003C5007" w:rsidRDefault="000820A8" w:rsidP="003C5007">
            <w:pPr>
              <w:spacing w:line="360" w:lineRule="auto"/>
              <w:ind w:left="17"/>
              <w:jc w:val="center"/>
              <w:rPr>
                <w:rFonts w:eastAsiaTheme="minorEastAsia"/>
                <w:color w:val="000000" w:themeColor="text1"/>
                <w:szCs w:val="21"/>
              </w:rPr>
            </w:pPr>
            <w:r w:rsidRPr="003C5007">
              <w:rPr>
                <w:rFonts w:eastAsiaTheme="minorEastAsia"/>
                <w:color w:val="000000" w:themeColor="text1"/>
                <w:szCs w:val="21"/>
              </w:rPr>
              <w:t>序号</w:t>
            </w:r>
          </w:p>
        </w:tc>
        <w:tc>
          <w:tcPr>
            <w:tcW w:w="1276" w:type="dxa"/>
            <w:vAlign w:val="center"/>
          </w:tcPr>
          <w:p w:rsidR="000820A8" w:rsidRPr="003C5007" w:rsidRDefault="000820A8" w:rsidP="003C5007">
            <w:pPr>
              <w:spacing w:line="360" w:lineRule="auto"/>
              <w:ind w:left="17"/>
              <w:jc w:val="center"/>
              <w:rPr>
                <w:rFonts w:eastAsiaTheme="minorEastAsia"/>
                <w:color w:val="000000" w:themeColor="text1"/>
                <w:szCs w:val="21"/>
              </w:rPr>
            </w:pPr>
            <w:r w:rsidRPr="003C5007">
              <w:rPr>
                <w:rFonts w:eastAsiaTheme="minorEastAsia"/>
                <w:color w:val="000000" w:themeColor="text1"/>
                <w:szCs w:val="21"/>
              </w:rPr>
              <w:t>股票代码</w:t>
            </w:r>
          </w:p>
        </w:tc>
        <w:tc>
          <w:tcPr>
            <w:tcW w:w="1701" w:type="dxa"/>
            <w:vAlign w:val="center"/>
          </w:tcPr>
          <w:p w:rsidR="000820A8" w:rsidRPr="003C5007" w:rsidRDefault="000820A8" w:rsidP="003C5007">
            <w:pPr>
              <w:spacing w:line="360" w:lineRule="auto"/>
              <w:ind w:left="17"/>
              <w:jc w:val="center"/>
              <w:rPr>
                <w:rFonts w:eastAsiaTheme="minorEastAsia"/>
                <w:color w:val="000000" w:themeColor="text1"/>
                <w:szCs w:val="21"/>
              </w:rPr>
            </w:pPr>
            <w:r w:rsidRPr="003C5007">
              <w:rPr>
                <w:rFonts w:eastAsiaTheme="minorEastAsia"/>
                <w:color w:val="000000" w:themeColor="text1"/>
                <w:szCs w:val="21"/>
              </w:rPr>
              <w:t>股票名称</w:t>
            </w:r>
          </w:p>
        </w:tc>
        <w:tc>
          <w:tcPr>
            <w:tcW w:w="1276" w:type="dxa"/>
            <w:vAlign w:val="center"/>
          </w:tcPr>
          <w:p w:rsidR="000820A8" w:rsidRPr="003C5007" w:rsidRDefault="000820A8" w:rsidP="003C5007">
            <w:pPr>
              <w:spacing w:line="360" w:lineRule="auto"/>
              <w:ind w:left="17"/>
              <w:jc w:val="center"/>
              <w:rPr>
                <w:rFonts w:eastAsiaTheme="minorEastAsia"/>
                <w:color w:val="000000" w:themeColor="text1"/>
                <w:szCs w:val="21"/>
              </w:rPr>
            </w:pPr>
            <w:r w:rsidRPr="003C5007">
              <w:rPr>
                <w:rFonts w:eastAsiaTheme="minorEastAsia"/>
                <w:color w:val="000000" w:themeColor="text1"/>
                <w:szCs w:val="21"/>
              </w:rPr>
              <w:t>数量</w:t>
            </w:r>
            <w:r w:rsidRPr="003C5007">
              <w:rPr>
                <w:rFonts w:eastAsiaTheme="minorEastAsia"/>
                <w:color w:val="000000" w:themeColor="text1"/>
                <w:szCs w:val="21"/>
              </w:rPr>
              <w:t>(</w:t>
            </w:r>
            <w:r w:rsidRPr="003C5007">
              <w:rPr>
                <w:rFonts w:eastAsiaTheme="minorEastAsia"/>
                <w:color w:val="000000" w:themeColor="text1"/>
                <w:szCs w:val="21"/>
              </w:rPr>
              <w:t>股</w:t>
            </w:r>
            <w:r w:rsidRPr="003C5007">
              <w:rPr>
                <w:rFonts w:eastAsiaTheme="minorEastAsia"/>
                <w:color w:val="000000" w:themeColor="text1"/>
                <w:szCs w:val="21"/>
              </w:rPr>
              <w:t>)</w:t>
            </w:r>
          </w:p>
        </w:tc>
        <w:tc>
          <w:tcPr>
            <w:tcW w:w="1842" w:type="dxa"/>
            <w:vAlign w:val="center"/>
          </w:tcPr>
          <w:p w:rsidR="000820A8" w:rsidRPr="003C5007" w:rsidRDefault="000820A8" w:rsidP="003C5007">
            <w:pPr>
              <w:autoSpaceDE w:val="0"/>
              <w:autoSpaceDN w:val="0"/>
              <w:adjustRightInd w:val="0"/>
              <w:spacing w:line="360" w:lineRule="auto"/>
              <w:ind w:left="17"/>
              <w:jc w:val="center"/>
              <w:rPr>
                <w:rFonts w:eastAsiaTheme="minorEastAsia"/>
                <w:color w:val="000000" w:themeColor="text1"/>
                <w:szCs w:val="21"/>
              </w:rPr>
            </w:pPr>
            <w:r w:rsidRPr="003C5007">
              <w:rPr>
                <w:rFonts w:eastAsiaTheme="minorEastAsia"/>
                <w:color w:val="000000" w:themeColor="text1"/>
                <w:szCs w:val="21"/>
              </w:rPr>
              <w:t>公允价值</w:t>
            </w:r>
            <w:r w:rsidRPr="003C5007">
              <w:rPr>
                <w:rFonts w:eastAsiaTheme="minorEastAsia"/>
                <w:color w:val="000000" w:themeColor="text1"/>
                <w:szCs w:val="21"/>
              </w:rPr>
              <w:t>(</w:t>
            </w:r>
            <w:r w:rsidRPr="003C5007">
              <w:rPr>
                <w:rFonts w:eastAsiaTheme="minorEastAsia"/>
                <w:color w:val="000000" w:themeColor="text1"/>
                <w:szCs w:val="21"/>
              </w:rPr>
              <w:t>元</w:t>
            </w:r>
            <w:r w:rsidRPr="003C5007">
              <w:rPr>
                <w:rFonts w:eastAsiaTheme="minorEastAsia"/>
                <w:color w:val="000000" w:themeColor="text1"/>
                <w:szCs w:val="21"/>
              </w:rPr>
              <w:t>)</w:t>
            </w:r>
          </w:p>
        </w:tc>
        <w:tc>
          <w:tcPr>
            <w:tcW w:w="1560" w:type="dxa"/>
            <w:vAlign w:val="center"/>
          </w:tcPr>
          <w:p w:rsidR="000820A8" w:rsidRPr="003C5007" w:rsidRDefault="000820A8" w:rsidP="003C5007">
            <w:pPr>
              <w:spacing w:line="360" w:lineRule="auto"/>
              <w:ind w:left="17"/>
              <w:jc w:val="center"/>
              <w:rPr>
                <w:rFonts w:eastAsiaTheme="minorEastAsia"/>
                <w:color w:val="000000" w:themeColor="text1"/>
                <w:szCs w:val="21"/>
              </w:rPr>
            </w:pPr>
            <w:r w:rsidRPr="003C5007">
              <w:rPr>
                <w:rFonts w:eastAsiaTheme="minorEastAsia"/>
                <w:color w:val="000000" w:themeColor="text1"/>
                <w:szCs w:val="21"/>
              </w:rPr>
              <w:t>占基金资产净值比例</w:t>
            </w:r>
            <w:r w:rsidRPr="003C5007">
              <w:rPr>
                <w:rFonts w:eastAsiaTheme="minorEastAsia"/>
                <w:color w:val="000000" w:themeColor="text1"/>
                <w:szCs w:val="21"/>
              </w:rPr>
              <w:t>(</w:t>
            </w:r>
            <w:r w:rsidRPr="003C5007">
              <w:rPr>
                <w:rFonts w:eastAsiaTheme="minorEastAsia"/>
                <w:color w:val="000000" w:themeColor="text1"/>
                <w:szCs w:val="21"/>
              </w:rPr>
              <w:t>％</w:t>
            </w:r>
            <w:r w:rsidRPr="003C5007">
              <w:rPr>
                <w:rFonts w:eastAsiaTheme="minorEastAsia"/>
                <w:color w:val="000000" w:themeColor="text1"/>
                <w:szCs w:val="21"/>
              </w:rPr>
              <w:t>)</w:t>
            </w:r>
          </w:p>
        </w:tc>
      </w:tr>
      <w:tr w:rsidR="008E3BA0" w:rsidTr="008E5013">
        <w:tc>
          <w:tcPr>
            <w:tcW w:w="817" w:type="dxa"/>
            <w:vAlign w:val="center"/>
          </w:tcPr>
          <w:p w:rsidR="008E3BA0" w:rsidRDefault="008E5013">
            <w:pPr>
              <w:jc w:val="center"/>
            </w:pPr>
            <w:r>
              <w:rPr>
                <w:rFonts w:eastAsiaTheme="minorEastAsia"/>
                <w:color w:val="000000" w:themeColor="text1"/>
                <w:szCs w:val="21"/>
              </w:rPr>
              <w:t>1</w:t>
            </w:r>
          </w:p>
        </w:tc>
        <w:tc>
          <w:tcPr>
            <w:tcW w:w="1276" w:type="dxa"/>
            <w:vAlign w:val="center"/>
          </w:tcPr>
          <w:p w:rsidR="008E3BA0" w:rsidRDefault="008E5013">
            <w:pPr>
              <w:jc w:val="center"/>
            </w:pPr>
            <w:r>
              <w:rPr>
                <w:rFonts w:eastAsiaTheme="minorEastAsia"/>
                <w:color w:val="000000" w:themeColor="text1"/>
                <w:szCs w:val="21"/>
              </w:rPr>
              <w:t>002415</w:t>
            </w:r>
          </w:p>
        </w:tc>
        <w:tc>
          <w:tcPr>
            <w:tcW w:w="1701" w:type="dxa"/>
            <w:vAlign w:val="center"/>
          </w:tcPr>
          <w:p w:rsidR="008E3BA0" w:rsidRDefault="008E5013">
            <w:pPr>
              <w:jc w:val="center"/>
            </w:pPr>
            <w:r>
              <w:rPr>
                <w:rFonts w:eastAsiaTheme="minorEastAsia"/>
                <w:color w:val="000000" w:themeColor="text1"/>
                <w:szCs w:val="21"/>
              </w:rPr>
              <w:t>海康威视</w:t>
            </w:r>
          </w:p>
        </w:tc>
        <w:tc>
          <w:tcPr>
            <w:tcW w:w="1276" w:type="dxa"/>
            <w:vAlign w:val="center"/>
          </w:tcPr>
          <w:p w:rsidR="008E3BA0" w:rsidRDefault="008E5013">
            <w:pPr>
              <w:jc w:val="right"/>
            </w:pPr>
            <w:r>
              <w:rPr>
                <w:rFonts w:eastAsiaTheme="minorEastAsia"/>
                <w:color w:val="000000" w:themeColor="text1"/>
                <w:szCs w:val="21"/>
              </w:rPr>
              <w:t>251,251.00</w:t>
            </w:r>
          </w:p>
        </w:tc>
        <w:tc>
          <w:tcPr>
            <w:tcW w:w="1842" w:type="dxa"/>
            <w:vAlign w:val="center"/>
          </w:tcPr>
          <w:p w:rsidR="008E3BA0" w:rsidRDefault="008E5013">
            <w:pPr>
              <w:jc w:val="right"/>
            </w:pPr>
            <w:r>
              <w:rPr>
                <w:rFonts w:eastAsiaTheme="minorEastAsia"/>
                <w:color w:val="000000" w:themeColor="text1"/>
                <w:szCs w:val="21"/>
              </w:rPr>
              <w:t>8,115,407.30</w:t>
            </w:r>
          </w:p>
        </w:tc>
        <w:tc>
          <w:tcPr>
            <w:tcW w:w="1560" w:type="dxa"/>
            <w:vAlign w:val="center"/>
          </w:tcPr>
          <w:p w:rsidR="008E3BA0" w:rsidRDefault="008E5013">
            <w:pPr>
              <w:jc w:val="right"/>
            </w:pPr>
            <w:r>
              <w:rPr>
                <w:rFonts w:eastAsiaTheme="minorEastAsia"/>
                <w:color w:val="000000" w:themeColor="text1"/>
                <w:szCs w:val="21"/>
              </w:rPr>
              <w:t>4.96</w:t>
            </w:r>
          </w:p>
        </w:tc>
      </w:tr>
      <w:tr w:rsidR="008E3BA0" w:rsidTr="008E5013">
        <w:tc>
          <w:tcPr>
            <w:tcW w:w="817" w:type="dxa"/>
            <w:vAlign w:val="center"/>
          </w:tcPr>
          <w:p w:rsidR="008E3BA0" w:rsidRDefault="008E5013">
            <w:pPr>
              <w:jc w:val="center"/>
            </w:pPr>
            <w:r>
              <w:rPr>
                <w:rFonts w:eastAsiaTheme="minorEastAsia"/>
                <w:color w:val="000000" w:themeColor="text1"/>
                <w:szCs w:val="21"/>
              </w:rPr>
              <w:t>2</w:t>
            </w:r>
          </w:p>
        </w:tc>
        <w:tc>
          <w:tcPr>
            <w:tcW w:w="1276" w:type="dxa"/>
            <w:vAlign w:val="center"/>
          </w:tcPr>
          <w:p w:rsidR="008E3BA0" w:rsidRDefault="008E5013">
            <w:pPr>
              <w:jc w:val="center"/>
            </w:pPr>
            <w:r>
              <w:rPr>
                <w:rFonts w:eastAsiaTheme="minorEastAsia"/>
                <w:color w:val="000000" w:themeColor="text1"/>
                <w:szCs w:val="21"/>
              </w:rPr>
              <w:t>002129</w:t>
            </w:r>
          </w:p>
        </w:tc>
        <w:tc>
          <w:tcPr>
            <w:tcW w:w="1701" w:type="dxa"/>
            <w:vAlign w:val="center"/>
          </w:tcPr>
          <w:p w:rsidR="008E3BA0" w:rsidRDefault="008E5013">
            <w:pPr>
              <w:jc w:val="center"/>
            </w:pPr>
            <w:r>
              <w:rPr>
                <w:rFonts w:eastAsiaTheme="minorEastAsia"/>
                <w:color w:val="000000" w:themeColor="text1"/>
                <w:szCs w:val="21"/>
              </w:rPr>
              <w:t>中环股份</w:t>
            </w:r>
          </w:p>
        </w:tc>
        <w:tc>
          <w:tcPr>
            <w:tcW w:w="1276" w:type="dxa"/>
            <w:vAlign w:val="center"/>
          </w:tcPr>
          <w:p w:rsidR="008E3BA0" w:rsidRDefault="008E5013">
            <w:pPr>
              <w:jc w:val="right"/>
            </w:pPr>
            <w:r>
              <w:rPr>
                <w:rFonts w:eastAsiaTheme="minorEastAsia"/>
                <w:color w:val="000000" w:themeColor="text1"/>
                <w:szCs w:val="21"/>
              </w:rPr>
              <w:t>604,124.00</w:t>
            </w:r>
          </w:p>
        </w:tc>
        <w:tc>
          <w:tcPr>
            <w:tcW w:w="1842" w:type="dxa"/>
            <w:vAlign w:val="center"/>
          </w:tcPr>
          <w:p w:rsidR="008E3BA0" w:rsidRDefault="008E5013">
            <w:pPr>
              <w:jc w:val="right"/>
            </w:pPr>
            <w:r>
              <w:rPr>
                <w:rFonts w:eastAsiaTheme="minorEastAsia"/>
                <w:color w:val="000000" w:themeColor="text1"/>
                <w:szCs w:val="21"/>
              </w:rPr>
              <w:t>6,210,394.72</w:t>
            </w:r>
          </w:p>
        </w:tc>
        <w:tc>
          <w:tcPr>
            <w:tcW w:w="1560" w:type="dxa"/>
            <w:vAlign w:val="center"/>
          </w:tcPr>
          <w:p w:rsidR="008E3BA0" w:rsidRDefault="008E5013">
            <w:pPr>
              <w:jc w:val="right"/>
            </w:pPr>
            <w:r>
              <w:rPr>
                <w:rFonts w:eastAsiaTheme="minorEastAsia"/>
                <w:color w:val="000000" w:themeColor="text1"/>
                <w:szCs w:val="21"/>
              </w:rPr>
              <w:t>3.79</w:t>
            </w:r>
          </w:p>
        </w:tc>
      </w:tr>
      <w:tr w:rsidR="008E3BA0" w:rsidTr="008E5013">
        <w:tc>
          <w:tcPr>
            <w:tcW w:w="817" w:type="dxa"/>
            <w:vAlign w:val="center"/>
          </w:tcPr>
          <w:p w:rsidR="008E3BA0" w:rsidRDefault="008E5013">
            <w:pPr>
              <w:jc w:val="center"/>
            </w:pPr>
            <w:r>
              <w:rPr>
                <w:rFonts w:eastAsiaTheme="minorEastAsia"/>
                <w:color w:val="000000" w:themeColor="text1"/>
                <w:szCs w:val="21"/>
              </w:rPr>
              <w:t>3</w:t>
            </w:r>
          </w:p>
        </w:tc>
        <w:tc>
          <w:tcPr>
            <w:tcW w:w="1276" w:type="dxa"/>
            <w:vAlign w:val="center"/>
          </w:tcPr>
          <w:p w:rsidR="008E3BA0" w:rsidRDefault="008E5013">
            <w:pPr>
              <w:jc w:val="center"/>
            </w:pPr>
            <w:r>
              <w:rPr>
                <w:rFonts w:eastAsiaTheme="minorEastAsia"/>
                <w:color w:val="000000" w:themeColor="text1"/>
                <w:szCs w:val="21"/>
              </w:rPr>
              <w:t>002075</w:t>
            </w:r>
          </w:p>
        </w:tc>
        <w:tc>
          <w:tcPr>
            <w:tcW w:w="1701" w:type="dxa"/>
            <w:vAlign w:val="center"/>
          </w:tcPr>
          <w:p w:rsidR="008E3BA0" w:rsidRDefault="008E5013">
            <w:pPr>
              <w:jc w:val="center"/>
            </w:pPr>
            <w:r>
              <w:rPr>
                <w:rFonts w:eastAsiaTheme="minorEastAsia"/>
                <w:color w:val="000000" w:themeColor="text1"/>
                <w:szCs w:val="21"/>
              </w:rPr>
              <w:t>沙钢股份</w:t>
            </w:r>
          </w:p>
        </w:tc>
        <w:tc>
          <w:tcPr>
            <w:tcW w:w="1276" w:type="dxa"/>
            <w:vAlign w:val="center"/>
          </w:tcPr>
          <w:p w:rsidR="008E3BA0" w:rsidRDefault="008E5013">
            <w:pPr>
              <w:jc w:val="right"/>
            </w:pPr>
            <w:r>
              <w:rPr>
                <w:rFonts w:eastAsiaTheme="minorEastAsia"/>
                <w:color w:val="000000" w:themeColor="text1"/>
                <w:szCs w:val="21"/>
              </w:rPr>
              <w:t>256,809.00</w:t>
            </w:r>
          </w:p>
        </w:tc>
        <w:tc>
          <w:tcPr>
            <w:tcW w:w="1842" w:type="dxa"/>
            <w:vAlign w:val="center"/>
          </w:tcPr>
          <w:p w:rsidR="008E3BA0" w:rsidRDefault="008E5013">
            <w:pPr>
              <w:jc w:val="right"/>
            </w:pPr>
            <w:r>
              <w:rPr>
                <w:rFonts w:eastAsiaTheme="minorEastAsia"/>
                <w:color w:val="000000" w:themeColor="text1"/>
                <w:szCs w:val="21"/>
              </w:rPr>
              <w:t>4,920,460.44</w:t>
            </w:r>
          </w:p>
        </w:tc>
        <w:tc>
          <w:tcPr>
            <w:tcW w:w="1560" w:type="dxa"/>
            <w:vAlign w:val="center"/>
          </w:tcPr>
          <w:p w:rsidR="008E3BA0" w:rsidRDefault="008E5013">
            <w:pPr>
              <w:jc w:val="right"/>
            </w:pPr>
            <w:r>
              <w:rPr>
                <w:rFonts w:eastAsiaTheme="minorEastAsia"/>
                <w:color w:val="000000" w:themeColor="text1"/>
                <w:szCs w:val="21"/>
              </w:rPr>
              <w:t>3.01</w:t>
            </w:r>
          </w:p>
        </w:tc>
      </w:tr>
      <w:tr w:rsidR="008E3BA0" w:rsidTr="008E5013">
        <w:tc>
          <w:tcPr>
            <w:tcW w:w="817" w:type="dxa"/>
            <w:vAlign w:val="center"/>
          </w:tcPr>
          <w:p w:rsidR="008E3BA0" w:rsidRDefault="008E5013">
            <w:pPr>
              <w:jc w:val="center"/>
            </w:pPr>
            <w:r>
              <w:rPr>
                <w:rFonts w:eastAsiaTheme="minorEastAsia"/>
                <w:color w:val="000000" w:themeColor="text1"/>
                <w:szCs w:val="21"/>
              </w:rPr>
              <w:t>4</w:t>
            </w:r>
          </w:p>
        </w:tc>
        <w:tc>
          <w:tcPr>
            <w:tcW w:w="1276" w:type="dxa"/>
            <w:vAlign w:val="center"/>
          </w:tcPr>
          <w:p w:rsidR="008E3BA0" w:rsidRDefault="008E5013">
            <w:pPr>
              <w:jc w:val="center"/>
            </w:pPr>
            <w:r>
              <w:rPr>
                <w:rFonts w:eastAsiaTheme="minorEastAsia"/>
                <w:color w:val="000000" w:themeColor="text1"/>
                <w:szCs w:val="21"/>
              </w:rPr>
              <w:t>002168</w:t>
            </w:r>
          </w:p>
        </w:tc>
        <w:tc>
          <w:tcPr>
            <w:tcW w:w="1701" w:type="dxa"/>
            <w:vAlign w:val="center"/>
          </w:tcPr>
          <w:p w:rsidR="008E3BA0" w:rsidRDefault="008E5013">
            <w:pPr>
              <w:jc w:val="center"/>
            </w:pPr>
            <w:r>
              <w:rPr>
                <w:rFonts w:eastAsiaTheme="minorEastAsia"/>
                <w:color w:val="000000" w:themeColor="text1"/>
                <w:szCs w:val="21"/>
              </w:rPr>
              <w:t>深圳惠程</w:t>
            </w:r>
          </w:p>
        </w:tc>
        <w:tc>
          <w:tcPr>
            <w:tcW w:w="1276" w:type="dxa"/>
            <w:vAlign w:val="center"/>
          </w:tcPr>
          <w:p w:rsidR="008E3BA0" w:rsidRDefault="008E5013">
            <w:pPr>
              <w:jc w:val="right"/>
            </w:pPr>
            <w:r>
              <w:rPr>
                <w:rFonts w:eastAsiaTheme="minorEastAsia"/>
                <w:color w:val="000000" w:themeColor="text1"/>
                <w:szCs w:val="21"/>
              </w:rPr>
              <w:t>248,357.00</w:t>
            </w:r>
          </w:p>
        </w:tc>
        <w:tc>
          <w:tcPr>
            <w:tcW w:w="1842" w:type="dxa"/>
            <w:vAlign w:val="center"/>
          </w:tcPr>
          <w:p w:rsidR="008E3BA0" w:rsidRDefault="008E5013">
            <w:pPr>
              <w:jc w:val="right"/>
            </w:pPr>
            <w:r>
              <w:rPr>
                <w:rFonts w:eastAsiaTheme="minorEastAsia"/>
                <w:color w:val="000000" w:themeColor="text1"/>
                <w:szCs w:val="21"/>
              </w:rPr>
              <w:t>4,823,092.94</w:t>
            </w:r>
          </w:p>
        </w:tc>
        <w:tc>
          <w:tcPr>
            <w:tcW w:w="1560" w:type="dxa"/>
            <w:vAlign w:val="center"/>
          </w:tcPr>
          <w:p w:rsidR="008E3BA0" w:rsidRDefault="008E5013">
            <w:pPr>
              <w:jc w:val="right"/>
            </w:pPr>
            <w:r>
              <w:rPr>
                <w:rFonts w:eastAsiaTheme="minorEastAsia"/>
                <w:color w:val="000000" w:themeColor="text1"/>
                <w:szCs w:val="21"/>
              </w:rPr>
              <w:t>2.95</w:t>
            </w:r>
          </w:p>
        </w:tc>
      </w:tr>
      <w:tr w:rsidR="008E3BA0" w:rsidTr="008E5013">
        <w:tc>
          <w:tcPr>
            <w:tcW w:w="817" w:type="dxa"/>
            <w:vAlign w:val="center"/>
          </w:tcPr>
          <w:p w:rsidR="008E3BA0" w:rsidRDefault="008E5013">
            <w:pPr>
              <w:jc w:val="center"/>
            </w:pPr>
            <w:r>
              <w:rPr>
                <w:rFonts w:eastAsiaTheme="minorEastAsia"/>
                <w:color w:val="000000" w:themeColor="text1"/>
                <w:szCs w:val="21"/>
              </w:rPr>
              <w:t>5</w:t>
            </w:r>
          </w:p>
        </w:tc>
        <w:tc>
          <w:tcPr>
            <w:tcW w:w="1276" w:type="dxa"/>
            <w:vAlign w:val="center"/>
          </w:tcPr>
          <w:p w:rsidR="008E3BA0" w:rsidRDefault="008E5013">
            <w:pPr>
              <w:jc w:val="center"/>
            </w:pPr>
            <w:r>
              <w:rPr>
                <w:rFonts w:eastAsiaTheme="minorEastAsia"/>
                <w:color w:val="000000" w:themeColor="text1"/>
                <w:szCs w:val="21"/>
              </w:rPr>
              <w:t>002450</w:t>
            </w:r>
          </w:p>
        </w:tc>
        <w:tc>
          <w:tcPr>
            <w:tcW w:w="1701" w:type="dxa"/>
            <w:vAlign w:val="center"/>
          </w:tcPr>
          <w:p w:rsidR="008E3BA0" w:rsidRDefault="008E5013">
            <w:pPr>
              <w:jc w:val="center"/>
            </w:pPr>
            <w:r>
              <w:rPr>
                <w:rFonts w:eastAsiaTheme="minorEastAsia"/>
                <w:color w:val="000000" w:themeColor="text1"/>
                <w:szCs w:val="21"/>
              </w:rPr>
              <w:t>康得新</w:t>
            </w:r>
          </w:p>
        </w:tc>
        <w:tc>
          <w:tcPr>
            <w:tcW w:w="1276" w:type="dxa"/>
            <w:vAlign w:val="center"/>
          </w:tcPr>
          <w:p w:rsidR="008E3BA0" w:rsidRDefault="008E5013">
            <w:pPr>
              <w:jc w:val="right"/>
            </w:pPr>
            <w:r>
              <w:rPr>
                <w:rFonts w:eastAsiaTheme="minorEastAsia"/>
                <w:color w:val="000000" w:themeColor="text1"/>
                <w:szCs w:val="21"/>
              </w:rPr>
              <w:t>203,006.00</w:t>
            </w:r>
          </w:p>
        </w:tc>
        <w:tc>
          <w:tcPr>
            <w:tcW w:w="1842" w:type="dxa"/>
            <w:vAlign w:val="center"/>
          </w:tcPr>
          <w:p w:rsidR="008E3BA0" w:rsidRDefault="008E5013">
            <w:pPr>
              <w:jc w:val="right"/>
            </w:pPr>
            <w:r>
              <w:rPr>
                <w:rFonts w:eastAsiaTheme="minorEastAsia"/>
                <w:color w:val="000000" w:themeColor="text1"/>
                <w:szCs w:val="21"/>
              </w:rPr>
              <w:t>4,571,695.12</w:t>
            </w:r>
          </w:p>
        </w:tc>
        <w:tc>
          <w:tcPr>
            <w:tcW w:w="1560" w:type="dxa"/>
            <w:vAlign w:val="center"/>
          </w:tcPr>
          <w:p w:rsidR="008E3BA0" w:rsidRDefault="008E5013">
            <w:pPr>
              <w:jc w:val="right"/>
            </w:pPr>
            <w:r>
              <w:rPr>
                <w:rFonts w:eastAsiaTheme="minorEastAsia"/>
                <w:color w:val="000000" w:themeColor="text1"/>
                <w:szCs w:val="21"/>
              </w:rPr>
              <w:t>2.79</w:t>
            </w:r>
          </w:p>
        </w:tc>
      </w:tr>
      <w:tr w:rsidR="008E3BA0" w:rsidTr="008E5013">
        <w:tc>
          <w:tcPr>
            <w:tcW w:w="817" w:type="dxa"/>
            <w:vAlign w:val="center"/>
          </w:tcPr>
          <w:p w:rsidR="008E3BA0" w:rsidRDefault="008E5013">
            <w:pPr>
              <w:jc w:val="center"/>
            </w:pPr>
            <w:r>
              <w:rPr>
                <w:rFonts w:eastAsiaTheme="minorEastAsia"/>
                <w:color w:val="000000" w:themeColor="text1"/>
                <w:szCs w:val="21"/>
              </w:rPr>
              <w:t>6</w:t>
            </w:r>
          </w:p>
        </w:tc>
        <w:tc>
          <w:tcPr>
            <w:tcW w:w="1276" w:type="dxa"/>
            <w:vAlign w:val="center"/>
          </w:tcPr>
          <w:p w:rsidR="008E3BA0" w:rsidRDefault="008E5013">
            <w:pPr>
              <w:jc w:val="center"/>
            </w:pPr>
            <w:r>
              <w:rPr>
                <w:rFonts w:eastAsiaTheme="minorEastAsia"/>
                <w:color w:val="000000" w:themeColor="text1"/>
                <w:szCs w:val="21"/>
              </w:rPr>
              <w:t>002426</w:t>
            </w:r>
          </w:p>
        </w:tc>
        <w:tc>
          <w:tcPr>
            <w:tcW w:w="1701" w:type="dxa"/>
            <w:vAlign w:val="center"/>
          </w:tcPr>
          <w:p w:rsidR="008E3BA0" w:rsidRDefault="008E5013">
            <w:pPr>
              <w:jc w:val="center"/>
            </w:pPr>
            <w:r>
              <w:rPr>
                <w:rFonts w:eastAsiaTheme="minorEastAsia"/>
                <w:color w:val="000000" w:themeColor="text1"/>
                <w:szCs w:val="21"/>
              </w:rPr>
              <w:t>胜利精密</w:t>
            </w:r>
          </w:p>
        </w:tc>
        <w:tc>
          <w:tcPr>
            <w:tcW w:w="1276" w:type="dxa"/>
            <w:vAlign w:val="center"/>
          </w:tcPr>
          <w:p w:rsidR="008E3BA0" w:rsidRDefault="008E5013">
            <w:pPr>
              <w:jc w:val="right"/>
            </w:pPr>
            <w:r>
              <w:rPr>
                <w:rFonts w:eastAsiaTheme="minorEastAsia"/>
                <w:color w:val="000000" w:themeColor="text1"/>
                <w:szCs w:val="21"/>
              </w:rPr>
              <w:t>567,130.00</w:t>
            </w:r>
          </w:p>
        </w:tc>
        <w:tc>
          <w:tcPr>
            <w:tcW w:w="1842" w:type="dxa"/>
            <w:vAlign w:val="center"/>
          </w:tcPr>
          <w:p w:rsidR="008E3BA0" w:rsidRDefault="008E5013">
            <w:pPr>
              <w:jc w:val="right"/>
            </w:pPr>
            <w:r>
              <w:rPr>
                <w:rFonts w:eastAsiaTheme="minorEastAsia"/>
                <w:color w:val="000000" w:themeColor="text1"/>
                <w:szCs w:val="21"/>
              </w:rPr>
              <w:t>4,355,558.40</w:t>
            </w:r>
          </w:p>
        </w:tc>
        <w:tc>
          <w:tcPr>
            <w:tcW w:w="1560" w:type="dxa"/>
            <w:vAlign w:val="center"/>
          </w:tcPr>
          <w:p w:rsidR="008E3BA0" w:rsidRDefault="008E5013">
            <w:pPr>
              <w:jc w:val="right"/>
            </w:pPr>
            <w:r>
              <w:rPr>
                <w:rFonts w:eastAsiaTheme="minorEastAsia"/>
                <w:color w:val="000000" w:themeColor="text1"/>
                <w:szCs w:val="21"/>
              </w:rPr>
              <w:t>2.66</w:t>
            </w:r>
          </w:p>
        </w:tc>
      </w:tr>
      <w:tr w:rsidR="008E3BA0" w:rsidTr="008E5013">
        <w:tc>
          <w:tcPr>
            <w:tcW w:w="817" w:type="dxa"/>
            <w:vAlign w:val="center"/>
          </w:tcPr>
          <w:p w:rsidR="008E3BA0" w:rsidRDefault="008E5013">
            <w:pPr>
              <w:jc w:val="center"/>
            </w:pPr>
            <w:r>
              <w:rPr>
                <w:rFonts w:eastAsiaTheme="minorEastAsia"/>
                <w:color w:val="000000" w:themeColor="text1"/>
                <w:szCs w:val="21"/>
              </w:rPr>
              <w:t>7</w:t>
            </w:r>
          </w:p>
        </w:tc>
        <w:tc>
          <w:tcPr>
            <w:tcW w:w="1276" w:type="dxa"/>
            <w:vAlign w:val="center"/>
          </w:tcPr>
          <w:p w:rsidR="008E3BA0" w:rsidRDefault="008E5013">
            <w:pPr>
              <w:jc w:val="center"/>
            </w:pPr>
            <w:r>
              <w:rPr>
                <w:rFonts w:eastAsiaTheme="minorEastAsia"/>
                <w:color w:val="000000" w:themeColor="text1"/>
                <w:szCs w:val="21"/>
              </w:rPr>
              <w:t>002304</w:t>
            </w:r>
          </w:p>
        </w:tc>
        <w:tc>
          <w:tcPr>
            <w:tcW w:w="1701" w:type="dxa"/>
            <w:vAlign w:val="center"/>
          </w:tcPr>
          <w:p w:rsidR="008E3BA0" w:rsidRDefault="008E5013">
            <w:pPr>
              <w:jc w:val="center"/>
            </w:pPr>
            <w:r>
              <w:rPr>
                <w:rFonts w:eastAsiaTheme="minorEastAsia"/>
                <w:color w:val="000000" w:themeColor="text1"/>
                <w:szCs w:val="21"/>
              </w:rPr>
              <w:t>洋河股份</w:t>
            </w:r>
          </w:p>
        </w:tc>
        <w:tc>
          <w:tcPr>
            <w:tcW w:w="1276" w:type="dxa"/>
            <w:vAlign w:val="center"/>
          </w:tcPr>
          <w:p w:rsidR="008E3BA0" w:rsidRDefault="008E5013">
            <w:pPr>
              <w:jc w:val="right"/>
            </w:pPr>
            <w:r>
              <w:rPr>
                <w:rFonts w:eastAsiaTheme="minorEastAsia"/>
                <w:color w:val="000000" w:themeColor="text1"/>
                <w:szCs w:val="21"/>
              </w:rPr>
              <w:t>46,901.00</w:t>
            </w:r>
          </w:p>
        </w:tc>
        <w:tc>
          <w:tcPr>
            <w:tcW w:w="1842" w:type="dxa"/>
            <w:vAlign w:val="center"/>
          </w:tcPr>
          <w:p w:rsidR="008E3BA0" w:rsidRDefault="008E5013">
            <w:pPr>
              <w:jc w:val="right"/>
            </w:pPr>
            <w:r>
              <w:rPr>
                <w:rFonts w:eastAsiaTheme="minorEastAsia"/>
                <w:color w:val="000000" w:themeColor="text1"/>
                <w:szCs w:val="21"/>
              </w:rPr>
              <w:t>4,071,475.81</w:t>
            </w:r>
          </w:p>
        </w:tc>
        <w:tc>
          <w:tcPr>
            <w:tcW w:w="1560" w:type="dxa"/>
            <w:vAlign w:val="center"/>
          </w:tcPr>
          <w:p w:rsidR="008E3BA0" w:rsidRDefault="008E5013">
            <w:pPr>
              <w:jc w:val="right"/>
            </w:pPr>
            <w:r>
              <w:rPr>
                <w:rFonts w:eastAsiaTheme="minorEastAsia"/>
                <w:color w:val="000000" w:themeColor="text1"/>
                <w:szCs w:val="21"/>
              </w:rPr>
              <w:t>2.49</w:t>
            </w:r>
          </w:p>
        </w:tc>
      </w:tr>
      <w:tr w:rsidR="008E3BA0" w:rsidTr="008E5013">
        <w:tc>
          <w:tcPr>
            <w:tcW w:w="817" w:type="dxa"/>
            <w:vAlign w:val="center"/>
          </w:tcPr>
          <w:p w:rsidR="008E3BA0" w:rsidRDefault="008E5013">
            <w:pPr>
              <w:jc w:val="center"/>
            </w:pPr>
            <w:r>
              <w:rPr>
                <w:rFonts w:eastAsiaTheme="minorEastAsia"/>
                <w:color w:val="000000" w:themeColor="text1"/>
                <w:szCs w:val="21"/>
              </w:rPr>
              <w:t>8</w:t>
            </w:r>
          </w:p>
        </w:tc>
        <w:tc>
          <w:tcPr>
            <w:tcW w:w="1276" w:type="dxa"/>
            <w:vAlign w:val="center"/>
          </w:tcPr>
          <w:p w:rsidR="008E3BA0" w:rsidRDefault="008E5013">
            <w:pPr>
              <w:jc w:val="center"/>
            </w:pPr>
            <w:r>
              <w:rPr>
                <w:rFonts w:eastAsiaTheme="minorEastAsia"/>
                <w:color w:val="000000" w:themeColor="text1"/>
                <w:szCs w:val="21"/>
              </w:rPr>
              <w:t>002252</w:t>
            </w:r>
          </w:p>
        </w:tc>
        <w:tc>
          <w:tcPr>
            <w:tcW w:w="1701" w:type="dxa"/>
            <w:vAlign w:val="center"/>
          </w:tcPr>
          <w:p w:rsidR="008E3BA0" w:rsidRDefault="008E5013">
            <w:pPr>
              <w:jc w:val="center"/>
            </w:pPr>
            <w:r>
              <w:rPr>
                <w:rFonts w:eastAsiaTheme="minorEastAsia"/>
                <w:color w:val="000000" w:themeColor="text1"/>
                <w:szCs w:val="21"/>
              </w:rPr>
              <w:t>上海莱士</w:t>
            </w:r>
          </w:p>
        </w:tc>
        <w:tc>
          <w:tcPr>
            <w:tcW w:w="1276" w:type="dxa"/>
            <w:vAlign w:val="center"/>
          </w:tcPr>
          <w:p w:rsidR="008E3BA0" w:rsidRDefault="008E5013">
            <w:pPr>
              <w:jc w:val="right"/>
            </w:pPr>
            <w:r>
              <w:rPr>
                <w:rFonts w:eastAsiaTheme="minorEastAsia"/>
                <w:color w:val="000000" w:themeColor="text1"/>
                <w:szCs w:val="21"/>
              </w:rPr>
              <w:t>199,240.00</w:t>
            </w:r>
          </w:p>
        </w:tc>
        <w:tc>
          <w:tcPr>
            <w:tcW w:w="1842" w:type="dxa"/>
            <w:vAlign w:val="center"/>
          </w:tcPr>
          <w:p w:rsidR="008E3BA0" w:rsidRDefault="008E5013">
            <w:pPr>
              <w:jc w:val="right"/>
            </w:pPr>
            <w:r>
              <w:rPr>
                <w:rFonts w:eastAsiaTheme="minorEastAsia"/>
                <w:color w:val="000000" w:themeColor="text1"/>
                <w:szCs w:val="21"/>
              </w:rPr>
              <w:t>4,032,617.60</w:t>
            </w:r>
          </w:p>
        </w:tc>
        <w:tc>
          <w:tcPr>
            <w:tcW w:w="1560" w:type="dxa"/>
            <w:vAlign w:val="center"/>
          </w:tcPr>
          <w:p w:rsidR="008E3BA0" w:rsidRDefault="008E5013">
            <w:pPr>
              <w:jc w:val="right"/>
            </w:pPr>
            <w:r>
              <w:rPr>
                <w:rFonts w:eastAsiaTheme="minorEastAsia"/>
                <w:color w:val="000000" w:themeColor="text1"/>
                <w:szCs w:val="21"/>
              </w:rPr>
              <w:t>2.46</w:t>
            </w:r>
          </w:p>
        </w:tc>
      </w:tr>
      <w:tr w:rsidR="008E3BA0" w:rsidTr="008E5013">
        <w:tc>
          <w:tcPr>
            <w:tcW w:w="817" w:type="dxa"/>
            <w:vAlign w:val="center"/>
          </w:tcPr>
          <w:p w:rsidR="008E3BA0" w:rsidRDefault="008E5013">
            <w:pPr>
              <w:jc w:val="center"/>
            </w:pPr>
            <w:r>
              <w:rPr>
                <w:rFonts w:eastAsiaTheme="minorEastAsia"/>
                <w:color w:val="000000" w:themeColor="text1"/>
                <w:szCs w:val="21"/>
              </w:rPr>
              <w:t>9</w:t>
            </w:r>
          </w:p>
        </w:tc>
        <w:tc>
          <w:tcPr>
            <w:tcW w:w="1276" w:type="dxa"/>
            <w:vAlign w:val="center"/>
          </w:tcPr>
          <w:p w:rsidR="008E3BA0" w:rsidRDefault="008E5013">
            <w:pPr>
              <w:jc w:val="center"/>
            </w:pPr>
            <w:r>
              <w:rPr>
                <w:rFonts w:eastAsiaTheme="minorEastAsia"/>
                <w:color w:val="000000" w:themeColor="text1"/>
                <w:szCs w:val="21"/>
              </w:rPr>
              <w:t>002024</w:t>
            </w:r>
          </w:p>
        </w:tc>
        <w:tc>
          <w:tcPr>
            <w:tcW w:w="1701" w:type="dxa"/>
            <w:vAlign w:val="center"/>
          </w:tcPr>
          <w:p w:rsidR="008E3BA0" w:rsidRDefault="008E5013">
            <w:pPr>
              <w:jc w:val="center"/>
            </w:pPr>
            <w:r>
              <w:rPr>
                <w:rFonts w:eastAsiaTheme="minorEastAsia"/>
                <w:color w:val="000000" w:themeColor="text1"/>
                <w:szCs w:val="21"/>
              </w:rPr>
              <w:t>苏宁云商</w:t>
            </w:r>
          </w:p>
        </w:tc>
        <w:tc>
          <w:tcPr>
            <w:tcW w:w="1276" w:type="dxa"/>
            <w:vAlign w:val="center"/>
          </w:tcPr>
          <w:p w:rsidR="008E3BA0" w:rsidRDefault="008E5013">
            <w:pPr>
              <w:jc w:val="right"/>
            </w:pPr>
            <w:r>
              <w:rPr>
                <w:rFonts w:eastAsiaTheme="minorEastAsia"/>
                <w:color w:val="000000" w:themeColor="text1"/>
                <w:szCs w:val="21"/>
              </w:rPr>
              <w:t>324,516.00</w:t>
            </w:r>
          </w:p>
        </w:tc>
        <w:tc>
          <w:tcPr>
            <w:tcW w:w="1842" w:type="dxa"/>
            <w:vAlign w:val="center"/>
          </w:tcPr>
          <w:p w:rsidR="008E3BA0" w:rsidRDefault="008E5013">
            <w:pPr>
              <w:jc w:val="right"/>
            </w:pPr>
            <w:r>
              <w:rPr>
                <w:rFonts w:eastAsiaTheme="minorEastAsia"/>
                <w:color w:val="000000" w:themeColor="text1"/>
                <w:szCs w:val="21"/>
              </w:rPr>
              <w:t>3,650,805.00</w:t>
            </w:r>
          </w:p>
        </w:tc>
        <w:tc>
          <w:tcPr>
            <w:tcW w:w="1560" w:type="dxa"/>
            <w:vAlign w:val="center"/>
          </w:tcPr>
          <w:p w:rsidR="008E3BA0" w:rsidRDefault="008E5013">
            <w:pPr>
              <w:jc w:val="right"/>
            </w:pPr>
            <w:r>
              <w:rPr>
                <w:rFonts w:eastAsiaTheme="minorEastAsia"/>
                <w:color w:val="000000" w:themeColor="text1"/>
                <w:szCs w:val="21"/>
              </w:rPr>
              <w:t>2.23</w:t>
            </w:r>
          </w:p>
        </w:tc>
      </w:tr>
      <w:tr w:rsidR="008E3BA0" w:rsidTr="008E5013">
        <w:tc>
          <w:tcPr>
            <w:tcW w:w="817" w:type="dxa"/>
            <w:vAlign w:val="center"/>
          </w:tcPr>
          <w:p w:rsidR="008E3BA0" w:rsidRDefault="008E5013">
            <w:pPr>
              <w:jc w:val="center"/>
            </w:pPr>
            <w:r>
              <w:rPr>
                <w:rFonts w:eastAsiaTheme="minorEastAsia"/>
                <w:color w:val="000000" w:themeColor="text1"/>
                <w:szCs w:val="21"/>
              </w:rPr>
              <w:t>10</w:t>
            </w:r>
          </w:p>
        </w:tc>
        <w:tc>
          <w:tcPr>
            <w:tcW w:w="1276" w:type="dxa"/>
            <w:vAlign w:val="center"/>
          </w:tcPr>
          <w:p w:rsidR="008E3BA0" w:rsidRDefault="008E5013">
            <w:pPr>
              <w:jc w:val="center"/>
            </w:pPr>
            <w:r>
              <w:rPr>
                <w:rFonts w:eastAsiaTheme="minorEastAsia"/>
                <w:color w:val="000000" w:themeColor="text1"/>
                <w:szCs w:val="21"/>
              </w:rPr>
              <w:t>002049</w:t>
            </w:r>
          </w:p>
        </w:tc>
        <w:tc>
          <w:tcPr>
            <w:tcW w:w="1701" w:type="dxa"/>
            <w:vAlign w:val="center"/>
          </w:tcPr>
          <w:p w:rsidR="008E3BA0" w:rsidRDefault="008E5013">
            <w:pPr>
              <w:jc w:val="center"/>
            </w:pPr>
            <w:r>
              <w:rPr>
                <w:rFonts w:eastAsiaTheme="minorEastAsia"/>
                <w:color w:val="000000" w:themeColor="text1"/>
                <w:szCs w:val="21"/>
              </w:rPr>
              <w:t>紫光国芯</w:t>
            </w:r>
          </w:p>
        </w:tc>
        <w:tc>
          <w:tcPr>
            <w:tcW w:w="1276" w:type="dxa"/>
            <w:vAlign w:val="center"/>
          </w:tcPr>
          <w:p w:rsidR="008E3BA0" w:rsidRDefault="008E5013">
            <w:pPr>
              <w:jc w:val="right"/>
            </w:pPr>
            <w:r>
              <w:rPr>
                <w:rFonts w:eastAsiaTheme="minorEastAsia"/>
                <w:color w:val="000000" w:themeColor="text1"/>
                <w:szCs w:val="21"/>
              </w:rPr>
              <w:t>109,035.00</w:t>
            </w:r>
          </w:p>
        </w:tc>
        <w:tc>
          <w:tcPr>
            <w:tcW w:w="1842" w:type="dxa"/>
            <w:vAlign w:val="center"/>
          </w:tcPr>
          <w:p w:rsidR="008E3BA0" w:rsidRDefault="008E5013">
            <w:pPr>
              <w:jc w:val="right"/>
            </w:pPr>
            <w:r>
              <w:rPr>
                <w:rFonts w:eastAsiaTheme="minorEastAsia"/>
                <w:color w:val="000000" w:themeColor="text1"/>
                <w:szCs w:val="21"/>
              </w:rPr>
              <w:t>3,360,458.70</w:t>
            </w:r>
          </w:p>
        </w:tc>
        <w:tc>
          <w:tcPr>
            <w:tcW w:w="1560" w:type="dxa"/>
            <w:vAlign w:val="center"/>
          </w:tcPr>
          <w:p w:rsidR="008E3BA0" w:rsidRDefault="008E5013">
            <w:pPr>
              <w:jc w:val="right"/>
            </w:pPr>
            <w:r>
              <w:rPr>
                <w:rFonts w:eastAsiaTheme="minorEastAsia"/>
                <w:color w:val="000000" w:themeColor="text1"/>
                <w:szCs w:val="21"/>
              </w:rPr>
              <w:t>2.05</w:t>
            </w:r>
          </w:p>
        </w:tc>
      </w:tr>
    </w:tbl>
    <w:p w:rsidR="00220542" w:rsidRPr="003C5007" w:rsidRDefault="00220542" w:rsidP="003C5007">
      <w:pPr>
        <w:autoSpaceDE w:val="0"/>
        <w:autoSpaceDN w:val="0"/>
        <w:adjustRightInd w:val="0"/>
        <w:spacing w:line="360" w:lineRule="auto"/>
        <w:jc w:val="left"/>
        <w:rPr>
          <w:rFonts w:eastAsiaTheme="minorEastAsia"/>
          <w:b/>
          <w:color w:val="000000" w:themeColor="text1"/>
          <w:kern w:val="0"/>
          <w:szCs w:val="21"/>
        </w:rPr>
      </w:pPr>
      <w:r w:rsidRPr="003C5007">
        <w:rPr>
          <w:rFonts w:eastAsiaTheme="minorEastAsia"/>
          <w:b/>
          <w:color w:val="000000" w:themeColor="text1"/>
          <w:kern w:val="0"/>
          <w:szCs w:val="21"/>
        </w:rPr>
        <w:t>5</w:t>
      </w:r>
      <w:r w:rsidR="009541B9" w:rsidRPr="003C5007">
        <w:rPr>
          <w:rFonts w:eastAsiaTheme="minorEastAsia"/>
          <w:b/>
          <w:color w:val="000000" w:themeColor="text1"/>
          <w:kern w:val="0"/>
          <w:szCs w:val="21"/>
        </w:rPr>
        <w:t>.1</w:t>
      </w:r>
      <w:r w:rsidRPr="003C5007">
        <w:rPr>
          <w:rFonts w:eastAsiaTheme="minorEastAsia"/>
          <w:b/>
          <w:color w:val="000000" w:themeColor="text1"/>
          <w:kern w:val="0"/>
          <w:szCs w:val="21"/>
        </w:rPr>
        <w:t xml:space="preserve">.4 </w:t>
      </w:r>
      <w:r w:rsidRPr="003C5007">
        <w:rPr>
          <w:rFonts w:eastAsiaTheme="minorEastAsia"/>
          <w:b/>
          <w:color w:val="000000" w:themeColor="text1"/>
          <w:kern w:val="0"/>
          <w:szCs w:val="21"/>
        </w:rPr>
        <w:t>报告期末按债券品种分类的债券投资组合</w:t>
      </w:r>
    </w:p>
    <w:p w:rsidR="00220542" w:rsidRPr="003C5007" w:rsidRDefault="000820A8" w:rsidP="003C5007">
      <w:pPr>
        <w:autoSpaceDE w:val="0"/>
        <w:autoSpaceDN w:val="0"/>
        <w:adjustRightInd w:val="0"/>
        <w:spacing w:line="360" w:lineRule="auto"/>
        <w:jc w:val="left"/>
        <w:rPr>
          <w:rFonts w:eastAsiaTheme="minorEastAsia"/>
          <w:color w:val="000000" w:themeColor="text1"/>
          <w:szCs w:val="21"/>
        </w:rPr>
      </w:pPr>
      <w:r w:rsidRPr="003C5007">
        <w:rPr>
          <w:rFonts w:eastAsiaTheme="minorEastAsia"/>
          <w:color w:val="000000" w:themeColor="text1"/>
          <w:szCs w:val="21"/>
        </w:rPr>
        <w:t>本基金本报告期末未持有债券。</w:t>
      </w:r>
    </w:p>
    <w:p w:rsidR="00220542" w:rsidRPr="003C5007" w:rsidRDefault="00220542" w:rsidP="003C5007">
      <w:pPr>
        <w:autoSpaceDE w:val="0"/>
        <w:autoSpaceDN w:val="0"/>
        <w:adjustRightInd w:val="0"/>
        <w:spacing w:line="360" w:lineRule="auto"/>
        <w:jc w:val="left"/>
        <w:rPr>
          <w:rFonts w:eastAsiaTheme="minorEastAsia"/>
          <w:b/>
          <w:color w:val="000000" w:themeColor="text1"/>
          <w:kern w:val="0"/>
          <w:szCs w:val="21"/>
        </w:rPr>
      </w:pPr>
      <w:r w:rsidRPr="003C5007">
        <w:rPr>
          <w:rFonts w:eastAsiaTheme="minorEastAsia"/>
          <w:b/>
          <w:color w:val="000000" w:themeColor="text1"/>
          <w:kern w:val="0"/>
          <w:szCs w:val="21"/>
        </w:rPr>
        <w:t>5</w:t>
      </w:r>
      <w:r w:rsidR="009541B9" w:rsidRPr="003C5007">
        <w:rPr>
          <w:rFonts w:eastAsiaTheme="minorEastAsia"/>
          <w:b/>
          <w:color w:val="000000" w:themeColor="text1"/>
          <w:kern w:val="0"/>
          <w:szCs w:val="21"/>
        </w:rPr>
        <w:t>.1</w:t>
      </w:r>
      <w:r w:rsidRPr="003C5007">
        <w:rPr>
          <w:rFonts w:eastAsiaTheme="minorEastAsia"/>
          <w:b/>
          <w:color w:val="000000" w:themeColor="text1"/>
          <w:kern w:val="0"/>
          <w:szCs w:val="21"/>
        </w:rPr>
        <w:t xml:space="preserve">.5 </w:t>
      </w:r>
      <w:r w:rsidRPr="003C5007">
        <w:rPr>
          <w:rFonts w:eastAsiaTheme="minorEastAsia"/>
          <w:b/>
          <w:color w:val="000000" w:themeColor="text1"/>
          <w:kern w:val="0"/>
          <w:szCs w:val="21"/>
        </w:rPr>
        <w:t>报告期末按公允价值占基金资产净值比例大小排</w:t>
      </w:r>
      <w:r w:rsidR="008021E8" w:rsidRPr="003C5007">
        <w:rPr>
          <w:rFonts w:eastAsiaTheme="minorEastAsia"/>
          <w:b/>
          <w:color w:val="000000" w:themeColor="text1"/>
          <w:kern w:val="0"/>
          <w:szCs w:val="21"/>
        </w:rPr>
        <w:t>序</w:t>
      </w:r>
      <w:r w:rsidRPr="003C5007">
        <w:rPr>
          <w:rFonts w:eastAsiaTheme="minorEastAsia"/>
          <w:b/>
          <w:color w:val="000000" w:themeColor="text1"/>
          <w:kern w:val="0"/>
          <w:szCs w:val="21"/>
        </w:rPr>
        <w:t>的前五名债券投资明细</w:t>
      </w:r>
    </w:p>
    <w:p w:rsidR="00220542" w:rsidRPr="003C5007" w:rsidRDefault="000820A8" w:rsidP="003C5007">
      <w:pPr>
        <w:autoSpaceDE w:val="0"/>
        <w:autoSpaceDN w:val="0"/>
        <w:adjustRightInd w:val="0"/>
        <w:spacing w:line="360" w:lineRule="auto"/>
        <w:jc w:val="left"/>
        <w:rPr>
          <w:rFonts w:eastAsiaTheme="minorEastAsia"/>
          <w:color w:val="000000" w:themeColor="text1"/>
          <w:szCs w:val="21"/>
        </w:rPr>
      </w:pPr>
      <w:r w:rsidRPr="003C5007">
        <w:rPr>
          <w:rFonts w:eastAsiaTheme="minorEastAsia"/>
          <w:color w:val="000000" w:themeColor="text1"/>
          <w:szCs w:val="21"/>
        </w:rPr>
        <w:t>本基金本报告期末未持有债券。</w:t>
      </w:r>
    </w:p>
    <w:p w:rsidR="00220542" w:rsidRPr="003C5007" w:rsidRDefault="00220542" w:rsidP="003C5007">
      <w:pPr>
        <w:autoSpaceDE w:val="0"/>
        <w:autoSpaceDN w:val="0"/>
        <w:adjustRightInd w:val="0"/>
        <w:spacing w:line="360" w:lineRule="auto"/>
        <w:jc w:val="left"/>
        <w:rPr>
          <w:rFonts w:eastAsiaTheme="minorEastAsia"/>
          <w:b/>
          <w:color w:val="000000" w:themeColor="text1"/>
          <w:kern w:val="0"/>
          <w:szCs w:val="21"/>
        </w:rPr>
      </w:pPr>
      <w:r w:rsidRPr="003C5007">
        <w:rPr>
          <w:rFonts w:eastAsiaTheme="minorEastAsia"/>
          <w:b/>
          <w:color w:val="000000" w:themeColor="text1"/>
          <w:kern w:val="0"/>
          <w:szCs w:val="21"/>
        </w:rPr>
        <w:t>5</w:t>
      </w:r>
      <w:r w:rsidR="009541B9" w:rsidRPr="003C5007">
        <w:rPr>
          <w:rFonts w:eastAsiaTheme="minorEastAsia"/>
          <w:b/>
          <w:color w:val="000000" w:themeColor="text1"/>
          <w:kern w:val="0"/>
          <w:szCs w:val="21"/>
        </w:rPr>
        <w:t>.1</w:t>
      </w:r>
      <w:r w:rsidRPr="003C5007">
        <w:rPr>
          <w:rFonts w:eastAsiaTheme="minorEastAsia"/>
          <w:b/>
          <w:color w:val="000000" w:themeColor="text1"/>
          <w:kern w:val="0"/>
          <w:szCs w:val="21"/>
        </w:rPr>
        <w:t>.6</w:t>
      </w:r>
      <w:r w:rsidRPr="003C5007">
        <w:rPr>
          <w:rFonts w:eastAsiaTheme="minorEastAsia"/>
          <w:b/>
          <w:color w:val="000000" w:themeColor="text1"/>
          <w:kern w:val="0"/>
          <w:szCs w:val="21"/>
        </w:rPr>
        <w:t>报告期末按公允价值占基金资产净值比例大小排</w:t>
      </w:r>
      <w:r w:rsidR="008021E8" w:rsidRPr="003C5007">
        <w:rPr>
          <w:rFonts w:eastAsiaTheme="minorEastAsia"/>
          <w:b/>
          <w:color w:val="000000" w:themeColor="text1"/>
          <w:kern w:val="0"/>
          <w:szCs w:val="21"/>
        </w:rPr>
        <w:t>序</w:t>
      </w:r>
      <w:r w:rsidRPr="003C5007">
        <w:rPr>
          <w:rFonts w:eastAsiaTheme="minorEastAsia"/>
          <w:b/>
          <w:color w:val="000000" w:themeColor="text1"/>
          <w:kern w:val="0"/>
          <w:szCs w:val="21"/>
        </w:rPr>
        <w:t>的前十名资产支持证券投资明细</w:t>
      </w:r>
    </w:p>
    <w:p w:rsidR="00220542" w:rsidRPr="003C5007" w:rsidRDefault="007C1A93" w:rsidP="003C5007">
      <w:pPr>
        <w:autoSpaceDE w:val="0"/>
        <w:autoSpaceDN w:val="0"/>
        <w:adjustRightInd w:val="0"/>
        <w:spacing w:line="360" w:lineRule="auto"/>
        <w:jc w:val="left"/>
        <w:rPr>
          <w:rFonts w:eastAsiaTheme="minorEastAsia"/>
          <w:color w:val="000000" w:themeColor="text1"/>
          <w:szCs w:val="21"/>
        </w:rPr>
      </w:pPr>
      <w:r w:rsidRPr="003C5007">
        <w:rPr>
          <w:rFonts w:eastAsiaTheme="minorEastAsia"/>
          <w:color w:val="000000" w:themeColor="text1"/>
          <w:szCs w:val="21"/>
        </w:rPr>
        <w:t>本基金本报告期末未持有资产支持证券。</w:t>
      </w:r>
    </w:p>
    <w:p w:rsidR="008021E8" w:rsidRPr="003C5007" w:rsidRDefault="009541B9" w:rsidP="003C5007">
      <w:pPr>
        <w:autoSpaceDE w:val="0"/>
        <w:autoSpaceDN w:val="0"/>
        <w:adjustRightInd w:val="0"/>
        <w:spacing w:line="360" w:lineRule="auto"/>
        <w:jc w:val="left"/>
        <w:rPr>
          <w:rFonts w:eastAsiaTheme="minorEastAsia"/>
          <w:b/>
          <w:bCs/>
          <w:color w:val="000000" w:themeColor="text1"/>
          <w:kern w:val="0"/>
          <w:szCs w:val="21"/>
        </w:rPr>
      </w:pPr>
      <w:r w:rsidRPr="003C5007">
        <w:rPr>
          <w:rFonts w:eastAsiaTheme="minorEastAsia"/>
          <w:b/>
          <w:bCs/>
          <w:color w:val="000000" w:themeColor="text1"/>
          <w:kern w:val="0"/>
          <w:szCs w:val="21"/>
        </w:rPr>
        <w:t>5.1.</w:t>
      </w:r>
      <w:r w:rsidR="008021E8" w:rsidRPr="003C5007">
        <w:rPr>
          <w:rFonts w:eastAsiaTheme="minorEastAsia"/>
          <w:b/>
          <w:bCs/>
          <w:color w:val="000000" w:themeColor="text1"/>
          <w:kern w:val="0"/>
          <w:szCs w:val="21"/>
        </w:rPr>
        <w:t xml:space="preserve">7 </w:t>
      </w:r>
      <w:r w:rsidR="008021E8" w:rsidRPr="003C5007">
        <w:rPr>
          <w:rFonts w:eastAsiaTheme="minorEastAsia"/>
          <w:b/>
          <w:bCs/>
          <w:color w:val="000000" w:themeColor="text1"/>
          <w:kern w:val="0"/>
          <w:szCs w:val="21"/>
        </w:rPr>
        <w:t>报告期末按公允价值占基金资产净值比例大小排序的前五名贵金属投资明细</w:t>
      </w:r>
    </w:p>
    <w:p w:rsidR="008021E8" w:rsidRPr="003C5007" w:rsidRDefault="008021E8" w:rsidP="003C5007">
      <w:pPr>
        <w:widowControl/>
        <w:spacing w:line="360" w:lineRule="auto"/>
        <w:jc w:val="left"/>
        <w:rPr>
          <w:color w:val="000000" w:themeColor="text1"/>
          <w:szCs w:val="21"/>
        </w:rPr>
      </w:pPr>
      <w:r w:rsidRPr="003C5007">
        <w:rPr>
          <w:color w:val="000000" w:themeColor="text1"/>
          <w:szCs w:val="21"/>
        </w:rPr>
        <w:t>本基金本报告期末未持有贵金属。</w:t>
      </w:r>
    </w:p>
    <w:p w:rsidR="00220542" w:rsidRPr="003C5007" w:rsidRDefault="00BE1A80" w:rsidP="003C5007">
      <w:pPr>
        <w:autoSpaceDE w:val="0"/>
        <w:autoSpaceDN w:val="0"/>
        <w:adjustRightInd w:val="0"/>
        <w:spacing w:line="360" w:lineRule="auto"/>
        <w:jc w:val="left"/>
        <w:rPr>
          <w:rFonts w:eastAsiaTheme="minorEastAsia"/>
          <w:b/>
          <w:color w:val="000000" w:themeColor="text1"/>
          <w:kern w:val="0"/>
          <w:szCs w:val="21"/>
        </w:rPr>
      </w:pPr>
      <w:r w:rsidRPr="003C5007">
        <w:rPr>
          <w:rFonts w:eastAsiaTheme="minorEastAsia"/>
          <w:b/>
          <w:color w:val="000000" w:themeColor="text1"/>
          <w:kern w:val="0"/>
          <w:szCs w:val="21"/>
        </w:rPr>
        <w:t>5</w:t>
      </w:r>
      <w:r w:rsidR="00220542" w:rsidRPr="003C5007">
        <w:rPr>
          <w:rFonts w:eastAsiaTheme="minorEastAsia"/>
          <w:b/>
          <w:color w:val="000000" w:themeColor="text1"/>
          <w:kern w:val="0"/>
          <w:szCs w:val="21"/>
        </w:rPr>
        <w:t>.</w:t>
      </w:r>
      <w:r w:rsidR="009541B9" w:rsidRPr="003C5007">
        <w:rPr>
          <w:rFonts w:eastAsiaTheme="minorEastAsia"/>
          <w:b/>
          <w:color w:val="000000" w:themeColor="text1"/>
          <w:kern w:val="0"/>
          <w:szCs w:val="21"/>
        </w:rPr>
        <w:t>1.</w:t>
      </w:r>
      <w:r w:rsidR="008F60C5" w:rsidRPr="003C5007">
        <w:rPr>
          <w:rFonts w:eastAsiaTheme="minorEastAsia"/>
          <w:b/>
          <w:color w:val="000000" w:themeColor="text1"/>
          <w:kern w:val="0"/>
          <w:szCs w:val="21"/>
        </w:rPr>
        <w:t>8</w:t>
      </w:r>
      <w:r w:rsidR="00220542" w:rsidRPr="003C5007">
        <w:rPr>
          <w:rFonts w:eastAsiaTheme="minorEastAsia"/>
          <w:b/>
          <w:bCs/>
          <w:color w:val="000000" w:themeColor="text1"/>
          <w:szCs w:val="21"/>
        </w:rPr>
        <w:t>报告期末按公允价值占基金资产净值比例大小排</w:t>
      </w:r>
      <w:r w:rsidR="008021E8" w:rsidRPr="003C5007">
        <w:rPr>
          <w:rFonts w:eastAsiaTheme="minorEastAsia"/>
          <w:b/>
          <w:bCs/>
          <w:color w:val="000000" w:themeColor="text1"/>
          <w:szCs w:val="21"/>
        </w:rPr>
        <w:t>序</w:t>
      </w:r>
      <w:r w:rsidR="00220542" w:rsidRPr="003C5007">
        <w:rPr>
          <w:rFonts w:eastAsiaTheme="minorEastAsia"/>
          <w:b/>
          <w:bCs/>
          <w:color w:val="000000" w:themeColor="text1"/>
          <w:szCs w:val="21"/>
        </w:rPr>
        <w:t>的前五名权证投资明细</w:t>
      </w:r>
    </w:p>
    <w:p w:rsidR="00220542" w:rsidRPr="003C5007" w:rsidRDefault="007C1A93" w:rsidP="003C5007">
      <w:pPr>
        <w:autoSpaceDE w:val="0"/>
        <w:autoSpaceDN w:val="0"/>
        <w:adjustRightInd w:val="0"/>
        <w:spacing w:line="360" w:lineRule="auto"/>
        <w:jc w:val="left"/>
        <w:rPr>
          <w:rFonts w:eastAsiaTheme="minorEastAsia"/>
          <w:color w:val="000000" w:themeColor="text1"/>
          <w:szCs w:val="21"/>
        </w:rPr>
      </w:pPr>
      <w:r w:rsidRPr="003C5007">
        <w:rPr>
          <w:rFonts w:eastAsiaTheme="minorEastAsia"/>
          <w:color w:val="000000" w:themeColor="text1"/>
          <w:szCs w:val="21"/>
        </w:rPr>
        <w:t>本基金本报告期末未持有权证。</w:t>
      </w:r>
    </w:p>
    <w:p w:rsidR="00295C5D" w:rsidRPr="003C5007" w:rsidRDefault="008F60C5" w:rsidP="003C5007">
      <w:pPr>
        <w:adjustRightInd w:val="0"/>
        <w:snapToGrid w:val="0"/>
        <w:spacing w:line="360" w:lineRule="auto"/>
        <w:rPr>
          <w:rFonts w:eastAsiaTheme="minorEastAsia"/>
          <w:b/>
          <w:color w:val="000000" w:themeColor="text1"/>
          <w:szCs w:val="21"/>
        </w:rPr>
      </w:pPr>
      <w:r w:rsidRPr="003C5007">
        <w:rPr>
          <w:rFonts w:eastAsiaTheme="minorEastAsia"/>
          <w:b/>
          <w:color w:val="000000" w:themeColor="text1"/>
          <w:szCs w:val="21"/>
        </w:rPr>
        <w:t>5.</w:t>
      </w:r>
      <w:r w:rsidR="009541B9" w:rsidRPr="003C5007">
        <w:rPr>
          <w:rFonts w:eastAsiaTheme="minorEastAsia"/>
          <w:b/>
          <w:color w:val="000000" w:themeColor="text1"/>
          <w:szCs w:val="21"/>
        </w:rPr>
        <w:t>1.</w:t>
      </w:r>
      <w:r w:rsidR="004C5189" w:rsidRPr="003C5007">
        <w:rPr>
          <w:rFonts w:eastAsiaTheme="minorEastAsia"/>
          <w:b/>
          <w:color w:val="000000" w:themeColor="text1"/>
          <w:szCs w:val="21"/>
        </w:rPr>
        <w:t>9</w:t>
      </w:r>
      <w:r w:rsidR="00295C5D" w:rsidRPr="003C5007">
        <w:rPr>
          <w:rFonts w:eastAsiaTheme="minorEastAsia"/>
          <w:b/>
          <w:color w:val="000000" w:themeColor="text1"/>
          <w:szCs w:val="21"/>
        </w:rPr>
        <w:t>报告期末本基金投资的股指期货交易情况说明</w:t>
      </w:r>
    </w:p>
    <w:p w:rsidR="00295C5D" w:rsidRPr="003C5007" w:rsidRDefault="009541B9" w:rsidP="003C5007">
      <w:pPr>
        <w:adjustRightInd w:val="0"/>
        <w:snapToGrid w:val="0"/>
        <w:spacing w:line="360" w:lineRule="auto"/>
        <w:rPr>
          <w:rFonts w:eastAsiaTheme="minorEastAsia"/>
          <w:b/>
          <w:color w:val="000000" w:themeColor="text1"/>
          <w:szCs w:val="21"/>
        </w:rPr>
      </w:pPr>
      <w:r w:rsidRPr="003C5007">
        <w:rPr>
          <w:rFonts w:eastAsiaTheme="minorEastAsia"/>
          <w:b/>
          <w:color w:val="000000" w:themeColor="text1"/>
          <w:szCs w:val="21"/>
        </w:rPr>
        <w:t>5.1.</w:t>
      </w:r>
      <w:r w:rsidR="004C5189" w:rsidRPr="003C5007">
        <w:rPr>
          <w:rFonts w:eastAsiaTheme="minorEastAsia"/>
          <w:b/>
          <w:color w:val="000000" w:themeColor="text1"/>
          <w:szCs w:val="21"/>
        </w:rPr>
        <w:t>9</w:t>
      </w:r>
      <w:r w:rsidRPr="003C5007">
        <w:rPr>
          <w:rFonts w:eastAsiaTheme="minorEastAsia"/>
          <w:b/>
          <w:color w:val="000000" w:themeColor="text1"/>
          <w:szCs w:val="21"/>
        </w:rPr>
        <w:t>.1</w:t>
      </w:r>
      <w:r w:rsidR="00295C5D" w:rsidRPr="003C5007">
        <w:rPr>
          <w:rFonts w:eastAsiaTheme="minorEastAsia"/>
          <w:b/>
          <w:color w:val="000000" w:themeColor="text1"/>
          <w:szCs w:val="21"/>
        </w:rPr>
        <w:t>报告期末本基金投资的股指期货持仓和损益明细</w:t>
      </w:r>
    </w:p>
    <w:p w:rsidR="00295C5D" w:rsidRPr="003C5007" w:rsidRDefault="00BD7DB4" w:rsidP="003C5007">
      <w:pPr>
        <w:autoSpaceDE w:val="0"/>
        <w:autoSpaceDN w:val="0"/>
        <w:adjustRightInd w:val="0"/>
        <w:spacing w:line="360" w:lineRule="auto"/>
        <w:jc w:val="left"/>
        <w:rPr>
          <w:rFonts w:eastAsiaTheme="minorEastAsia"/>
          <w:color w:val="000000" w:themeColor="text1"/>
          <w:szCs w:val="21"/>
        </w:rPr>
      </w:pPr>
      <w:r w:rsidRPr="003C5007">
        <w:rPr>
          <w:rFonts w:eastAsiaTheme="minorEastAsia"/>
          <w:color w:val="000000" w:themeColor="text1"/>
          <w:szCs w:val="21"/>
        </w:rPr>
        <w:t>本基金本报告期末未持有股指期货。</w:t>
      </w:r>
    </w:p>
    <w:p w:rsidR="00295C5D" w:rsidRPr="003C5007" w:rsidRDefault="009541B9" w:rsidP="003C5007">
      <w:pPr>
        <w:adjustRightInd w:val="0"/>
        <w:snapToGrid w:val="0"/>
        <w:spacing w:line="360" w:lineRule="auto"/>
        <w:rPr>
          <w:rFonts w:eastAsiaTheme="minorEastAsia"/>
          <w:b/>
          <w:color w:val="000000" w:themeColor="text1"/>
          <w:szCs w:val="21"/>
        </w:rPr>
      </w:pPr>
      <w:r w:rsidRPr="003C5007">
        <w:rPr>
          <w:rFonts w:eastAsiaTheme="minorEastAsia"/>
          <w:b/>
          <w:color w:val="000000" w:themeColor="text1"/>
          <w:szCs w:val="21"/>
        </w:rPr>
        <w:t xml:space="preserve">5.1.9.2 </w:t>
      </w:r>
      <w:r w:rsidR="00295C5D" w:rsidRPr="003C5007">
        <w:rPr>
          <w:rFonts w:eastAsiaTheme="minorEastAsia"/>
          <w:b/>
          <w:color w:val="000000" w:themeColor="text1"/>
          <w:szCs w:val="21"/>
        </w:rPr>
        <w:t>本基金投资股指期货的投资政策</w:t>
      </w:r>
    </w:p>
    <w:p w:rsidR="00295C5D" w:rsidRPr="003C5007" w:rsidRDefault="00295C5D" w:rsidP="003C5007">
      <w:pPr>
        <w:spacing w:line="360" w:lineRule="auto"/>
        <w:ind w:firstLineChars="200" w:firstLine="420"/>
        <w:rPr>
          <w:rFonts w:eastAsiaTheme="minorEastAsia"/>
          <w:color w:val="000000" w:themeColor="text1"/>
          <w:szCs w:val="21"/>
        </w:rPr>
      </w:pPr>
      <w:r w:rsidRPr="003C5007">
        <w:rPr>
          <w:rFonts w:eastAsiaTheme="minorEastAsia"/>
          <w:color w:val="000000" w:themeColor="text1"/>
          <w:szCs w:val="21"/>
        </w:rPr>
        <w:t>本基金本报告期末未持有股指期货。</w:t>
      </w:r>
    </w:p>
    <w:p w:rsidR="00B60D38" w:rsidRPr="003C5007" w:rsidRDefault="009541B9" w:rsidP="003C5007">
      <w:pPr>
        <w:adjustRightInd w:val="0"/>
        <w:snapToGrid w:val="0"/>
        <w:spacing w:line="360" w:lineRule="auto"/>
        <w:rPr>
          <w:rFonts w:eastAsiaTheme="minorEastAsia"/>
          <w:b/>
          <w:color w:val="000000" w:themeColor="text1"/>
          <w:szCs w:val="21"/>
        </w:rPr>
      </w:pPr>
      <w:r w:rsidRPr="003C5007">
        <w:rPr>
          <w:rFonts w:eastAsiaTheme="minorEastAsia"/>
          <w:b/>
          <w:color w:val="000000" w:themeColor="text1"/>
          <w:szCs w:val="21"/>
        </w:rPr>
        <w:t>5.</w:t>
      </w:r>
      <w:r w:rsidR="00B60D38" w:rsidRPr="003C5007">
        <w:rPr>
          <w:rFonts w:eastAsiaTheme="minorEastAsia"/>
          <w:b/>
          <w:color w:val="000000" w:themeColor="text1"/>
          <w:szCs w:val="21"/>
        </w:rPr>
        <w:t>1</w:t>
      </w:r>
      <w:r w:rsidRPr="003C5007">
        <w:rPr>
          <w:rFonts w:eastAsiaTheme="minorEastAsia"/>
          <w:b/>
          <w:color w:val="000000" w:themeColor="text1"/>
          <w:szCs w:val="21"/>
        </w:rPr>
        <w:t xml:space="preserve">.10 </w:t>
      </w:r>
      <w:r w:rsidR="00B60D38" w:rsidRPr="003C5007">
        <w:rPr>
          <w:rFonts w:eastAsiaTheme="minorEastAsia"/>
          <w:b/>
          <w:color w:val="000000" w:themeColor="text1"/>
          <w:szCs w:val="21"/>
        </w:rPr>
        <w:t>报告期末本基金投资的国债期货交易情况说明</w:t>
      </w:r>
    </w:p>
    <w:p w:rsidR="00B60D38" w:rsidRPr="003C5007" w:rsidRDefault="009541B9" w:rsidP="003C5007">
      <w:pPr>
        <w:adjustRightInd w:val="0"/>
        <w:snapToGrid w:val="0"/>
        <w:spacing w:line="360" w:lineRule="auto"/>
        <w:rPr>
          <w:rFonts w:eastAsiaTheme="minorEastAsia"/>
          <w:b/>
          <w:color w:val="000000" w:themeColor="text1"/>
          <w:szCs w:val="21"/>
        </w:rPr>
      </w:pPr>
      <w:r w:rsidRPr="003C5007">
        <w:rPr>
          <w:rFonts w:eastAsiaTheme="minorEastAsia"/>
          <w:b/>
          <w:color w:val="000000" w:themeColor="text1"/>
          <w:szCs w:val="21"/>
        </w:rPr>
        <w:t>5.1.</w:t>
      </w:r>
      <w:r w:rsidR="00B60D38" w:rsidRPr="003C5007">
        <w:rPr>
          <w:rFonts w:eastAsiaTheme="minorEastAsia"/>
          <w:b/>
          <w:color w:val="000000" w:themeColor="text1"/>
          <w:szCs w:val="21"/>
        </w:rPr>
        <w:t>10</w:t>
      </w:r>
      <w:r w:rsidRPr="003C5007">
        <w:rPr>
          <w:rFonts w:eastAsiaTheme="minorEastAsia"/>
          <w:b/>
          <w:color w:val="000000" w:themeColor="text1"/>
          <w:szCs w:val="21"/>
        </w:rPr>
        <w:t>.1</w:t>
      </w:r>
      <w:r w:rsidR="00B60D38" w:rsidRPr="003C5007">
        <w:rPr>
          <w:rFonts w:eastAsiaTheme="minorEastAsia"/>
          <w:b/>
          <w:color w:val="000000" w:themeColor="text1"/>
          <w:szCs w:val="21"/>
        </w:rPr>
        <w:t>本期国债期货投资政策</w:t>
      </w:r>
    </w:p>
    <w:p w:rsidR="00B60D38" w:rsidRPr="003C5007" w:rsidRDefault="00B60D38" w:rsidP="003C5007">
      <w:pPr>
        <w:spacing w:line="360" w:lineRule="auto"/>
        <w:ind w:firstLineChars="200" w:firstLine="420"/>
        <w:rPr>
          <w:rFonts w:eastAsiaTheme="minorEastAsia"/>
          <w:color w:val="000000" w:themeColor="text1"/>
          <w:szCs w:val="21"/>
        </w:rPr>
      </w:pPr>
      <w:r w:rsidRPr="003C5007">
        <w:rPr>
          <w:rFonts w:eastAsiaTheme="minorEastAsia"/>
          <w:color w:val="000000" w:themeColor="text1"/>
          <w:szCs w:val="21"/>
        </w:rPr>
        <w:t>本基金本报告期末未投资国债期货交易。</w:t>
      </w:r>
    </w:p>
    <w:p w:rsidR="00B60D38" w:rsidRPr="003C5007" w:rsidRDefault="009541B9" w:rsidP="003C5007">
      <w:pPr>
        <w:autoSpaceDE w:val="0"/>
        <w:autoSpaceDN w:val="0"/>
        <w:adjustRightInd w:val="0"/>
        <w:spacing w:line="360" w:lineRule="auto"/>
        <w:jc w:val="left"/>
        <w:rPr>
          <w:rFonts w:eastAsiaTheme="minorEastAsia"/>
          <w:b/>
          <w:color w:val="000000" w:themeColor="text1"/>
          <w:szCs w:val="21"/>
        </w:rPr>
      </w:pPr>
      <w:r w:rsidRPr="003C5007">
        <w:rPr>
          <w:rFonts w:eastAsiaTheme="minorEastAsia"/>
          <w:b/>
          <w:color w:val="000000" w:themeColor="text1"/>
          <w:szCs w:val="21"/>
        </w:rPr>
        <w:t>5.1.</w:t>
      </w:r>
      <w:r w:rsidR="00B60D38" w:rsidRPr="003C5007">
        <w:rPr>
          <w:rFonts w:eastAsiaTheme="minorEastAsia"/>
          <w:b/>
          <w:color w:val="000000" w:themeColor="text1"/>
          <w:szCs w:val="21"/>
        </w:rPr>
        <w:t>10</w:t>
      </w:r>
      <w:r w:rsidRPr="003C5007">
        <w:rPr>
          <w:rFonts w:eastAsiaTheme="minorEastAsia"/>
          <w:b/>
          <w:color w:val="000000" w:themeColor="text1"/>
          <w:szCs w:val="21"/>
        </w:rPr>
        <w:t>.2</w:t>
      </w:r>
      <w:r w:rsidR="00B60D38" w:rsidRPr="003C5007">
        <w:rPr>
          <w:rFonts w:eastAsiaTheme="minorEastAsia"/>
          <w:b/>
          <w:color w:val="000000" w:themeColor="text1"/>
          <w:szCs w:val="21"/>
        </w:rPr>
        <w:t>报告期末本基金投资的国债期货持仓和损益明细</w:t>
      </w:r>
    </w:p>
    <w:p w:rsidR="00B60D38" w:rsidRPr="003C5007" w:rsidRDefault="00B60D38" w:rsidP="003C5007">
      <w:pPr>
        <w:autoSpaceDE w:val="0"/>
        <w:autoSpaceDN w:val="0"/>
        <w:adjustRightInd w:val="0"/>
        <w:spacing w:line="360" w:lineRule="auto"/>
        <w:jc w:val="left"/>
        <w:rPr>
          <w:rFonts w:eastAsiaTheme="minorEastAsia"/>
          <w:color w:val="000000" w:themeColor="text1"/>
          <w:szCs w:val="21"/>
        </w:rPr>
      </w:pPr>
      <w:r w:rsidRPr="003C5007">
        <w:rPr>
          <w:rFonts w:eastAsiaTheme="minorEastAsia"/>
          <w:color w:val="000000" w:themeColor="text1"/>
          <w:szCs w:val="21"/>
        </w:rPr>
        <w:t>本基金本报告期末未投资国债期货交易。</w:t>
      </w:r>
    </w:p>
    <w:p w:rsidR="00B60D38" w:rsidRPr="003C5007" w:rsidRDefault="009541B9" w:rsidP="003C5007">
      <w:pPr>
        <w:adjustRightInd w:val="0"/>
        <w:snapToGrid w:val="0"/>
        <w:spacing w:line="360" w:lineRule="auto"/>
        <w:rPr>
          <w:rFonts w:eastAsiaTheme="minorEastAsia"/>
          <w:b/>
          <w:color w:val="000000" w:themeColor="text1"/>
          <w:szCs w:val="21"/>
        </w:rPr>
      </w:pPr>
      <w:r w:rsidRPr="003C5007">
        <w:rPr>
          <w:rFonts w:eastAsiaTheme="minorEastAsia"/>
          <w:b/>
          <w:color w:val="000000" w:themeColor="text1"/>
          <w:szCs w:val="21"/>
        </w:rPr>
        <w:t>5.1.</w:t>
      </w:r>
      <w:r w:rsidR="00B60D38" w:rsidRPr="003C5007">
        <w:rPr>
          <w:rFonts w:eastAsiaTheme="minorEastAsia"/>
          <w:b/>
          <w:color w:val="000000" w:themeColor="text1"/>
          <w:szCs w:val="21"/>
        </w:rPr>
        <w:t>10</w:t>
      </w:r>
      <w:r w:rsidRPr="003C5007">
        <w:rPr>
          <w:rFonts w:eastAsiaTheme="minorEastAsia"/>
          <w:b/>
          <w:color w:val="000000" w:themeColor="text1"/>
          <w:szCs w:val="21"/>
        </w:rPr>
        <w:t>.3</w:t>
      </w:r>
      <w:r w:rsidR="00B60D38" w:rsidRPr="003C5007">
        <w:rPr>
          <w:rFonts w:eastAsiaTheme="minorEastAsia"/>
          <w:b/>
          <w:color w:val="000000" w:themeColor="text1"/>
          <w:szCs w:val="21"/>
        </w:rPr>
        <w:t>本期国债期货投资评价</w:t>
      </w:r>
    </w:p>
    <w:p w:rsidR="00B60D38" w:rsidRPr="003C5007" w:rsidRDefault="00B60D38" w:rsidP="003C5007">
      <w:pPr>
        <w:spacing w:line="360" w:lineRule="auto"/>
        <w:ind w:firstLineChars="200" w:firstLine="420"/>
        <w:rPr>
          <w:rFonts w:eastAsiaTheme="minorEastAsia"/>
          <w:color w:val="000000" w:themeColor="text1"/>
          <w:szCs w:val="21"/>
        </w:rPr>
      </w:pPr>
      <w:r w:rsidRPr="003C5007">
        <w:rPr>
          <w:rFonts w:eastAsiaTheme="minorEastAsia"/>
          <w:color w:val="000000" w:themeColor="text1"/>
          <w:szCs w:val="21"/>
        </w:rPr>
        <w:t>本基金本报告期末未投资国债期货交易。</w:t>
      </w:r>
    </w:p>
    <w:p w:rsidR="00220542" w:rsidRPr="003C5007" w:rsidRDefault="00790C57" w:rsidP="003C5007">
      <w:pPr>
        <w:autoSpaceDE w:val="0"/>
        <w:autoSpaceDN w:val="0"/>
        <w:adjustRightInd w:val="0"/>
        <w:spacing w:line="360" w:lineRule="auto"/>
        <w:jc w:val="left"/>
        <w:rPr>
          <w:rFonts w:eastAsiaTheme="minorEastAsia"/>
          <w:b/>
          <w:color w:val="000000" w:themeColor="text1"/>
          <w:kern w:val="0"/>
          <w:szCs w:val="21"/>
        </w:rPr>
      </w:pPr>
      <w:r w:rsidRPr="003C5007">
        <w:rPr>
          <w:rFonts w:eastAsiaTheme="minorEastAsia"/>
          <w:b/>
          <w:color w:val="000000" w:themeColor="text1"/>
          <w:kern w:val="0"/>
          <w:szCs w:val="21"/>
        </w:rPr>
        <w:t>5.</w:t>
      </w:r>
      <w:r w:rsidR="004C5189" w:rsidRPr="003C5007">
        <w:rPr>
          <w:rFonts w:eastAsiaTheme="minorEastAsia"/>
          <w:b/>
          <w:color w:val="000000" w:themeColor="text1"/>
          <w:kern w:val="0"/>
          <w:szCs w:val="21"/>
        </w:rPr>
        <w:t>1</w:t>
      </w:r>
      <w:r w:rsidRPr="003C5007">
        <w:rPr>
          <w:rFonts w:eastAsiaTheme="minorEastAsia"/>
          <w:b/>
          <w:color w:val="000000" w:themeColor="text1"/>
          <w:kern w:val="0"/>
          <w:szCs w:val="21"/>
        </w:rPr>
        <w:t xml:space="preserve">.11 </w:t>
      </w:r>
      <w:r w:rsidR="00220542" w:rsidRPr="003C5007">
        <w:rPr>
          <w:rFonts w:eastAsiaTheme="minorEastAsia"/>
          <w:b/>
          <w:color w:val="000000" w:themeColor="text1"/>
          <w:kern w:val="0"/>
          <w:szCs w:val="21"/>
        </w:rPr>
        <w:t>投资组合报告附注</w:t>
      </w:r>
    </w:p>
    <w:p w:rsidR="00220542" w:rsidRPr="003C5007" w:rsidRDefault="004C5189" w:rsidP="003C5007">
      <w:pPr>
        <w:spacing w:line="360" w:lineRule="auto"/>
        <w:rPr>
          <w:rFonts w:eastAsiaTheme="minorEastAsia"/>
          <w:color w:val="000000" w:themeColor="text1"/>
          <w:szCs w:val="21"/>
        </w:rPr>
      </w:pPr>
      <w:r w:rsidRPr="003C5007">
        <w:rPr>
          <w:rFonts w:eastAsiaTheme="minorEastAsia"/>
          <w:color w:val="000000" w:themeColor="text1"/>
          <w:szCs w:val="21"/>
        </w:rPr>
        <w:t>5.1</w:t>
      </w:r>
      <w:r w:rsidR="004D1A45" w:rsidRPr="003C5007">
        <w:rPr>
          <w:rFonts w:eastAsiaTheme="minorEastAsia"/>
          <w:color w:val="000000" w:themeColor="text1"/>
          <w:szCs w:val="21"/>
        </w:rPr>
        <w:t>.</w:t>
      </w:r>
      <w:r w:rsidRPr="003C5007">
        <w:rPr>
          <w:rFonts w:eastAsiaTheme="minorEastAsia"/>
          <w:color w:val="000000" w:themeColor="text1"/>
          <w:szCs w:val="21"/>
        </w:rPr>
        <w:t>11</w:t>
      </w:r>
      <w:r w:rsidR="00790C57" w:rsidRPr="003C5007">
        <w:rPr>
          <w:rFonts w:eastAsiaTheme="minorEastAsia"/>
          <w:color w:val="000000" w:themeColor="text1"/>
          <w:szCs w:val="21"/>
        </w:rPr>
        <w:t xml:space="preserve">.1 </w:t>
      </w:r>
      <w:r w:rsidR="007C1A93" w:rsidRPr="003C5007">
        <w:rPr>
          <w:rFonts w:eastAsiaTheme="minorEastAsia"/>
          <w:color w:val="000000" w:themeColor="text1"/>
          <w:szCs w:val="21"/>
        </w:rPr>
        <w:t>本基金投资的前十名证券的发行主体本期没有出现被监管部门立案调查，或在报告编制日前一年内受到公开谴责、处罚的情形。</w:t>
      </w:r>
    </w:p>
    <w:p w:rsidR="00220542" w:rsidRPr="003C5007" w:rsidRDefault="00790C57" w:rsidP="003C5007">
      <w:pPr>
        <w:spacing w:line="360" w:lineRule="auto"/>
        <w:rPr>
          <w:rFonts w:eastAsiaTheme="minorEastAsia"/>
          <w:color w:val="000000" w:themeColor="text1"/>
          <w:szCs w:val="21"/>
        </w:rPr>
      </w:pPr>
      <w:r w:rsidRPr="003C5007">
        <w:rPr>
          <w:rFonts w:eastAsiaTheme="minorEastAsia"/>
          <w:color w:val="000000" w:themeColor="text1"/>
          <w:szCs w:val="21"/>
        </w:rPr>
        <w:t>5.1.</w:t>
      </w:r>
      <w:r w:rsidR="004C5189" w:rsidRPr="003C5007">
        <w:rPr>
          <w:rFonts w:eastAsiaTheme="minorEastAsia"/>
          <w:color w:val="000000" w:themeColor="text1"/>
          <w:szCs w:val="21"/>
        </w:rPr>
        <w:t>11</w:t>
      </w:r>
      <w:r w:rsidRPr="003C5007">
        <w:rPr>
          <w:rFonts w:eastAsiaTheme="minorEastAsia"/>
          <w:color w:val="000000" w:themeColor="text1"/>
          <w:szCs w:val="21"/>
        </w:rPr>
        <w:t xml:space="preserve">.2 </w:t>
      </w:r>
      <w:r w:rsidR="007C1A93" w:rsidRPr="003C5007">
        <w:rPr>
          <w:rFonts w:eastAsiaTheme="minorEastAsia"/>
          <w:color w:val="000000" w:themeColor="text1"/>
          <w:szCs w:val="21"/>
        </w:rPr>
        <w:t>基金投资的前十名股票没有超出基金合同规定的备选股票库。</w:t>
      </w:r>
    </w:p>
    <w:p w:rsidR="00220542" w:rsidRPr="003C5007" w:rsidRDefault="00790C57" w:rsidP="003C5007">
      <w:pPr>
        <w:autoSpaceDE w:val="0"/>
        <w:autoSpaceDN w:val="0"/>
        <w:adjustRightInd w:val="0"/>
        <w:spacing w:line="360" w:lineRule="auto"/>
        <w:jc w:val="left"/>
        <w:rPr>
          <w:rFonts w:eastAsiaTheme="minorEastAsia"/>
          <w:b/>
          <w:color w:val="000000" w:themeColor="text1"/>
          <w:kern w:val="0"/>
          <w:szCs w:val="21"/>
        </w:rPr>
      </w:pPr>
      <w:r w:rsidRPr="003C5007">
        <w:rPr>
          <w:rFonts w:eastAsiaTheme="minorEastAsia"/>
          <w:b/>
          <w:color w:val="000000" w:themeColor="text1"/>
          <w:kern w:val="0"/>
          <w:szCs w:val="21"/>
        </w:rPr>
        <w:t>5.1.</w:t>
      </w:r>
      <w:r w:rsidR="004C5189" w:rsidRPr="003C5007">
        <w:rPr>
          <w:rFonts w:eastAsiaTheme="minorEastAsia"/>
          <w:b/>
          <w:color w:val="000000" w:themeColor="text1"/>
          <w:kern w:val="0"/>
          <w:szCs w:val="21"/>
        </w:rPr>
        <w:t>11</w:t>
      </w:r>
      <w:r w:rsidRPr="003C5007">
        <w:rPr>
          <w:rFonts w:eastAsiaTheme="minorEastAsia"/>
          <w:b/>
          <w:color w:val="000000" w:themeColor="text1"/>
          <w:kern w:val="0"/>
          <w:szCs w:val="21"/>
        </w:rPr>
        <w:t xml:space="preserve">.3 </w:t>
      </w:r>
      <w:r w:rsidR="00220542" w:rsidRPr="003C5007">
        <w:rPr>
          <w:rFonts w:eastAsiaTheme="minorEastAsia"/>
          <w:b/>
          <w:color w:val="000000" w:themeColor="text1"/>
          <w:kern w:val="0"/>
          <w:szCs w:val="21"/>
        </w:rPr>
        <w:t>其他资产构成</w:t>
      </w:r>
    </w:p>
    <w:tbl>
      <w:tblPr>
        <w:tblStyle w:val="af7"/>
        <w:tblW w:w="0" w:type="auto"/>
        <w:tblInd w:w="15" w:type="dxa"/>
        <w:tblLayout w:type="fixed"/>
        <w:tblLook w:val="04A0" w:firstRow="1" w:lastRow="0" w:firstColumn="1" w:lastColumn="0" w:noHBand="0" w:noVBand="1"/>
      </w:tblPr>
      <w:tblGrid>
        <w:gridCol w:w="944"/>
        <w:gridCol w:w="2761"/>
        <w:gridCol w:w="4752"/>
      </w:tblGrid>
      <w:tr w:rsidR="003E712B" w:rsidRPr="003C5007" w:rsidTr="008E5013">
        <w:trPr>
          <w:trHeight w:val="567"/>
        </w:trPr>
        <w:tc>
          <w:tcPr>
            <w:tcW w:w="944" w:type="dxa"/>
            <w:vAlign w:val="center"/>
          </w:tcPr>
          <w:p w:rsidR="0044398D" w:rsidRPr="003C5007" w:rsidRDefault="0044398D" w:rsidP="003C5007">
            <w:pPr>
              <w:autoSpaceDE w:val="0"/>
              <w:autoSpaceDN w:val="0"/>
              <w:adjustRightInd w:val="0"/>
              <w:spacing w:line="360" w:lineRule="auto"/>
              <w:ind w:left="17"/>
              <w:jc w:val="center"/>
              <w:rPr>
                <w:rFonts w:eastAsiaTheme="minorEastAsia"/>
                <w:color w:val="000000" w:themeColor="text1"/>
                <w:kern w:val="0"/>
                <w:szCs w:val="21"/>
              </w:rPr>
            </w:pPr>
            <w:r w:rsidRPr="003C5007">
              <w:rPr>
                <w:rFonts w:eastAsiaTheme="minorEastAsia"/>
                <w:color w:val="000000" w:themeColor="text1"/>
                <w:kern w:val="0"/>
                <w:szCs w:val="21"/>
              </w:rPr>
              <w:t>序号</w:t>
            </w:r>
          </w:p>
        </w:tc>
        <w:tc>
          <w:tcPr>
            <w:tcW w:w="2761" w:type="dxa"/>
            <w:vAlign w:val="center"/>
          </w:tcPr>
          <w:p w:rsidR="0044398D" w:rsidRPr="003C5007" w:rsidRDefault="0044398D" w:rsidP="003C5007">
            <w:pPr>
              <w:autoSpaceDE w:val="0"/>
              <w:autoSpaceDN w:val="0"/>
              <w:adjustRightInd w:val="0"/>
              <w:spacing w:line="360" w:lineRule="auto"/>
              <w:ind w:left="17"/>
              <w:jc w:val="center"/>
              <w:rPr>
                <w:rFonts w:eastAsiaTheme="minorEastAsia"/>
                <w:color w:val="000000" w:themeColor="text1"/>
                <w:kern w:val="0"/>
                <w:szCs w:val="21"/>
              </w:rPr>
            </w:pPr>
            <w:r w:rsidRPr="003C5007">
              <w:rPr>
                <w:rFonts w:eastAsiaTheme="minorEastAsia"/>
                <w:color w:val="000000" w:themeColor="text1"/>
                <w:kern w:val="0"/>
                <w:szCs w:val="21"/>
              </w:rPr>
              <w:t>名称</w:t>
            </w:r>
          </w:p>
        </w:tc>
        <w:tc>
          <w:tcPr>
            <w:tcW w:w="4752" w:type="dxa"/>
            <w:vAlign w:val="center"/>
          </w:tcPr>
          <w:p w:rsidR="0044398D" w:rsidRPr="003C5007" w:rsidRDefault="0044398D" w:rsidP="003C5007">
            <w:pPr>
              <w:autoSpaceDE w:val="0"/>
              <w:autoSpaceDN w:val="0"/>
              <w:adjustRightInd w:val="0"/>
              <w:spacing w:line="360" w:lineRule="auto"/>
              <w:ind w:left="17"/>
              <w:jc w:val="center"/>
              <w:rPr>
                <w:rFonts w:eastAsiaTheme="minorEastAsia"/>
                <w:color w:val="000000" w:themeColor="text1"/>
                <w:kern w:val="0"/>
                <w:szCs w:val="21"/>
              </w:rPr>
            </w:pPr>
            <w:r w:rsidRPr="003C5007">
              <w:rPr>
                <w:rFonts w:eastAsiaTheme="minorEastAsia"/>
                <w:color w:val="000000" w:themeColor="text1"/>
                <w:kern w:val="0"/>
                <w:szCs w:val="21"/>
              </w:rPr>
              <w:t>金额</w:t>
            </w:r>
            <w:r w:rsidRPr="003C5007">
              <w:rPr>
                <w:rFonts w:eastAsiaTheme="minorEastAsia"/>
                <w:color w:val="000000" w:themeColor="text1"/>
                <w:kern w:val="0"/>
                <w:szCs w:val="21"/>
              </w:rPr>
              <w:t>(</w:t>
            </w:r>
            <w:r w:rsidRPr="003C5007">
              <w:rPr>
                <w:rFonts w:eastAsiaTheme="minorEastAsia"/>
                <w:color w:val="000000" w:themeColor="text1"/>
                <w:kern w:val="0"/>
                <w:szCs w:val="21"/>
              </w:rPr>
              <w:t>元</w:t>
            </w:r>
            <w:r w:rsidRPr="003C5007">
              <w:rPr>
                <w:rFonts w:eastAsiaTheme="minorEastAsia"/>
                <w:color w:val="000000" w:themeColor="text1"/>
                <w:kern w:val="0"/>
                <w:szCs w:val="21"/>
              </w:rPr>
              <w:t>)</w:t>
            </w:r>
          </w:p>
        </w:tc>
      </w:tr>
      <w:tr w:rsidR="003E712B" w:rsidRPr="003C5007" w:rsidTr="008E5013">
        <w:trPr>
          <w:trHeight w:val="567"/>
        </w:trPr>
        <w:tc>
          <w:tcPr>
            <w:tcW w:w="944" w:type="dxa"/>
            <w:vAlign w:val="center"/>
          </w:tcPr>
          <w:p w:rsidR="0044398D" w:rsidRPr="003C5007" w:rsidRDefault="0044398D" w:rsidP="003C5007">
            <w:pPr>
              <w:autoSpaceDE w:val="0"/>
              <w:autoSpaceDN w:val="0"/>
              <w:adjustRightInd w:val="0"/>
              <w:spacing w:line="360" w:lineRule="auto"/>
              <w:ind w:left="15"/>
              <w:jc w:val="center"/>
              <w:rPr>
                <w:rFonts w:eastAsiaTheme="minorEastAsia"/>
                <w:color w:val="000000" w:themeColor="text1"/>
                <w:kern w:val="0"/>
                <w:szCs w:val="21"/>
              </w:rPr>
            </w:pPr>
            <w:r w:rsidRPr="003C5007">
              <w:rPr>
                <w:rFonts w:eastAsiaTheme="minorEastAsia"/>
                <w:color w:val="000000" w:themeColor="text1"/>
                <w:szCs w:val="21"/>
              </w:rPr>
              <w:t>1</w:t>
            </w:r>
          </w:p>
        </w:tc>
        <w:tc>
          <w:tcPr>
            <w:tcW w:w="2761" w:type="dxa"/>
            <w:vAlign w:val="center"/>
          </w:tcPr>
          <w:p w:rsidR="0044398D" w:rsidRPr="003C5007" w:rsidRDefault="0044398D" w:rsidP="003C5007">
            <w:pPr>
              <w:autoSpaceDE w:val="0"/>
              <w:autoSpaceDN w:val="0"/>
              <w:adjustRightInd w:val="0"/>
              <w:spacing w:line="360" w:lineRule="auto"/>
              <w:ind w:left="15"/>
              <w:jc w:val="left"/>
              <w:rPr>
                <w:rFonts w:eastAsiaTheme="minorEastAsia"/>
                <w:color w:val="000000" w:themeColor="text1"/>
                <w:kern w:val="0"/>
                <w:szCs w:val="21"/>
              </w:rPr>
            </w:pPr>
            <w:r w:rsidRPr="003C5007">
              <w:rPr>
                <w:rFonts w:eastAsiaTheme="minorEastAsia"/>
                <w:color w:val="000000" w:themeColor="text1"/>
                <w:kern w:val="0"/>
                <w:szCs w:val="21"/>
              </w:rPr>
              <w:t>存出保证金</w:t>
            </w:r>
          </w:p>
        </w:tc>
        <w:tc>
          <w:tcPr>
            <w:tcW w:w="4752" w:type="dxa"/>
            <w:vAlign w:val="center"/>
          </w:tcPr>
          <w:p w:rsidR="0044398D" w:rsidRPr="003C5007" w:rsidRDefault="0044398D" w:rsidP="003C5007">
            <w:pPr>
              <w:autoSpaceDE w:val="0"/>
              <w:autoSpaceDN w:val="0"/>
              <w:adjustRightInd w:val="0"/>
              <w:spacing w:line="360" w:lineRule="auto"/>
              <w:ind w:left="15"/>
              <w:jc w:val="right"/>
              <w:rPr>
                <w:rFonts w:eastAsiaTheme="minorEastAsia"/>
                <w:color w:val="000000" w:themeColor="text1"/>
                <w:kern w:val="0"/>
                <w:szCs w:val="21"/>
              </w:rPr>
            </w:pPr>
            <w:r w:rsidRPr="003C5007">
              <w:rPr>
                <w:rFonts w:eastAsiaTheme="minorEastAsia"/>
                <w:color w:val="000000" w:themeColor="text1"/>
                <w:kern w:val="0"/>
                <w:szCs w:val="21"/>
              </w:rPr>
              <w:t>70,682.17</w:t>
            </w:r>
          </w:p>
        </w:tc>
      </w:tr>
      <w:tr w:rsidR="003E712B" w:rsidRPr="003C5007" w:rsidTr="008E5013">
        <w:trPr>
          <w:trHeight w:val="567"/>
        </w:trPr>
        <w:tc>
          <w:tcPr>
            <w:tcW w:w="944" w:type="dxa"/>
            <w:vAlign w:val="center"/>
          </w:tcPr>
          <w:p w:rsidR="0044398D" w:rsidRPr="003C5007" w:rsidRDefault="0044398D" w:rsidP="003C5007">
            <w:pPr>
              <w:autoSpaceDE w:val="0"/>
              <w:autoSpaceDN w:val="0"/>
              <w:adjustRightInd w:val="0"/>
              <w:spacing w:line="360" w:lineRule="auto"/>
              <w:ind w:left="15"/>
              <w:jc w:val="center"/>
              <w:rPr>
                <w:rFonts w:eastAsiaTheme="minorEastAsia"/>
                <w:color w:val="000000" w:themeColor="text1"/>
                <w:szCs w:val="21"/>
              </w:rPr>
            </w:pPr>
            <w:r w:rsidRPr="003C5007">
              <w:rPr>
                <w:rFonts w:eastAsiaTheme="minorEastAsia"/>
                <w:color w:val="000000" w:themeColor="text1"/>
                <w:szCs w:val="21"/>
              </w:rPr>
              <w:t>2</w:t>
            </w:r>
          </w:p>
        </w:tc>
        <w:tc>
          <w:tcPr>
            <w:tcW w:w="2761" w:type="dxa"/>
            <w:vAlign w:val="center"/>
          </w:tcPr>
          <w:p w:rsidR="0044398D" w:rsidRPr="003C5007" w:rsidRDefault="0044398D" w:rsidP="003C5007">
            <w:pPr>
              <w:autoSpaceDE w:val="0"/>
              <w:autoSpaceDN w:val="0"/>
              <w:adjustRightInd w:val="0"/>
              <w:spacing w:line="360" w:lineRule="auto"/>
              <w:ind w:left="15"/>
              <w:jc w:val="left"/>
              <w:rPr>
                <w:rFonts w:eastAsiaTheme="minorEastAsia"/>
                <w:color w:val="000000" w:themeColor="text1"/>
                <w:kern w:val="0"/>
                <w:szCs w:val="21"/>
              </w:rPr>
            </w:pPr>
            <w:r w:rsidRPr="003C5007">
              <w:rPr>
                <w:rFonts w:eastAsiaTheme="minorEastAsia"/>
                <w:color w:val="000000" w:themeColor="text1"/>
                <w:kern w:val="0"/>
                <w:szCs w:val="21"/>
              </w:rPr>
              <w:t>应收证券清算款</w:t>
            </w:r>
          </w:p>
        </w:tc>
        <w:tc>
          <w:tcPr>
            <w:tcW w:w="4752" w:type="dxa"/>
            <w:vAlign w:val="center"/>
          </w:tcPr>
          <w:p w:rsidR="0044398D" w:rsidRPr="003C5007" w:rsidRDefault="0044398D" w:rsidP="003C5007">
            <w:pPr>
              <w:autoSpaceDE w:val="0"/>
              <w:autoSpaceDN w:val="0"/>
              <w:adjustRightInd w:val="0"/>
              <w:spacing w:line="360" w:lineRule="auto"/>
              <w:ind w:left="15"/>
              <w:jc w:val="right"/>
              <w:rPr>
                <w:rFonts w:eastAsiaTheme="minorEastAsia"/>
                <w:color w:val="000000" w:themeColor="text1"/>
                <w:kern w:val="0"/>
                <w:szCs w:val="21"/>
              </w:rPr>
            </w:pPr>
            <w:r w:rsidRPr="003C5007">
              <w:rPr>
                <w:rFonts w:eastAsiaTheme="minorEastAsia"/>
                <w:color w:val="000000" w:themeColor="text1"/>
                <w:kern w:val="0"/>
                <w:szCs w:val="21"/>
              </w:rPr>
              <w:t>-</w:t>
            </w:r>
          </w:p>
        </w:tc>
      </w:tr>
      <w:tr w:rsidR="003E712B" w:rsidRPr="003C5007" w:rsidTr="008E5013">
        <w:trPr>
          <w:trHeight w:val="567"/>
        </w:trPr>
        <w:tc>
          <w:tcPr>
            <w:tcW w:w="944" w:type="dxa"/>
            <w:vAlign w:val="center"/>
          </w:tcPr>
          <w:p w:rsidR="0044398D" w:rsidRPr="003C5007" w:rsidRDefault="0044398D" w:rsidP="003C5007">
            <w:pPr>
              <w:autoSpaceDE w:val="0"/>
              <w:autoSpaceDN w:val="0"/>
              <w:adjustRightInd w:val="0"/>
              <w:spacing w:line="360" w:lineRule="auto"/>
              <w:ind w:left="15"/>
              <w:jc w:val="center"/>
              <w:rPr>
                <w:rFonts w:eastAsiaTheme="minorEastAsia"/>
                <w:color w:val="000000" w:themeColor="text1"/>
                <w:szCs w:val="21"/>
              </w:rPr>
            </w:pPr>
            <w:r w:rsidRPr="003C5007">
              <w:rPr>
                <w:rFonts w:eastAsiaTheme="minorEastAsia"/>
                <w:color w:val="000000" w:themeColor="text1"/>
                <w:szCs w:val="21"/>
              </w:rPr>
              <w:t>3</w:t>
            </w:r>
          </w:p>
        </w:tc>
        <w:tc>
          <w:tcPr>
            <w:tcW w:w="2761" w:type="dxa"/>
            <w:vAlign w:val="center"/>
          </w:tcPr>
          <w:p w:rsidR="0044398D" w:rsidRPr="003C5007" w:rsidRDefault="0044398D" w:rsidP="003C5007">
            <w:pPr>
              <w:autoSpaceDE w:val="0"/>
              <w:autoSpaceDN w:val="0"/>
              <w:adjustRightInd w:val="0"/>
              <w:spacing w:line="360" w:lineRule="auto"/>
              <w:ind w:left="15"/>
              <w:jc w:val="left"/>
              <w:rPr>
                <w:rFonts w:eastAsiaTheme="minorEastAsia"/>
                <w:color w:val="000000" w:themeColor="text1"/>
                <w:kern w:val="0"/>
                <w:szCs w:val="21"/>
              </w:rPr>
            </w:pPr>
            <w:r w:rsidRPr="003C5007">
              <w:rPr>
                <w:rFonts w:eastAsiaTheme="minorEastAsia"/>
                <w:color w:val="000000" w:themeColor="text1"/>
                <w:kern w:val="0"/>
                <w:szCs w:val="21"/>
              </w:rPr>
              <w:t>应收股利</w:t>
            </w:r>
          </w:p>
        </w:tc>
        <w:tc>
          <w:tcPr>
            <w:tcW w:w="4752" w:type="dxa"/>
            <w:vAlign w:val="center"/>
          </w:tcPr>
          <w:p w:rsidR="0044398D" w:rsidRPr="003C5007" w:rsidRDefault="0044398D" w:rsidP="003C5007">
            <w:pPr>
              <w:autoSpaceDE w:val="0"/>
              <w:autoSpaceDN w:val="0"/>
              <w:adjustRightInd w:val="0"/>
              <w:spacing w:line="360" w:lineRule="auto"/>
              <w:ind w:left="15"/>
              <w:jc w:val="right"/>
              <w:rPr>
                <w:rFonts w:eastAsiaTheme="minorEastAsia"/>
                <w:color w:val="000000" w:themeColor="text1"/>
                <w:kern w:val="0"/>
                <w:szCs w:val="21"/>
              </w:rPr>
            </w:pPr>
            <w:r w:rsidRPr="003C5007">
              <w:rPr>
                <w:rFonts w:eastAsiaTheme="minorEastAsia"/>
                <w:color w:val="000000" w:themeColor="text1"/>
                <w:kern w:val="0"/>
                <w:szCs w:val="21"/>
              </w:rPr>
              <w:t>-</w:t>
            </w:r>
          </w:p>
        </w:tc>
      </w:tr>
      <w:tr w:rsidR="003E712B" w:rsidRPr="003C5007" w:rsidTr="008E5013">
        <w:trPr>
          <w:trHeight w:val="567"/>
        </w:trPr>
        <w:tc>
          <w:tcPr>
            <w:tcW w:w="944" w:type="dxa"/>
            <w:vAlign w:val="center"/>
          </w:tcPr>
          <w:p w:rsidR="0044398D" w:rsidRPr="003C5007" w:rsidRDefault="0044398D" w:rsidP="003C5007">
            <w:pPr>
              <w:autoSpaceDE w:val="0"/>
              <w:autoSpaceDN w:val="0"/>
              <w:adjustRightInd w:val="0"/>
              <w:spacing w:line="360" w:lineRule="auto"/>
              <w:ind w:left="15"/>
              <w:jc w:val="center"/>
              <w:rPr>
                <w:rFonts w:eastAsiaTheme="minorEastAsia"/>
                <w:color w:val="000000" w:themeColor="text1"/>
                <w:szCs w:val="21"/>
              </w:rPr>
            </w:pPr>
            <w:r w:rsidRPr="003C5007">
              <w:rPr>
                <w:rFonts w:eastAsiaTheme="minorEastAsia"/>
                <w:color w:val="000000" w:themeColor="text1"/>
                <w:szCs w:val="21"/>
              </w:rPr>
              <w:t>4</w:t>
            </w:r>
          </w:p>
        </w:tc>
        <w:tc>
          <w:tcPr>
            <w:tcW w:w="2761" w:type="dxa"/>
            <w:vAlign w:val="center"/>
          </w:tcPr>
          <w:p w:rsidR="0044398D" w:rsidRPr="003C5007" w:rsidRDefault="0044398D" w:rsidP="003C5007">
            <w:pPr>
              <w:autoSpaceDE w:val="0"/>
              <w:autoSpaceDN w:val="0"/>
              <w:adjustRightInd w:val="0"/>
              <w:spacing w:line="360" w:lineRule="auto"/>
              <w:ind w:left="15"/>
              <w:jc w:val="left"/>
              <w:rPr>
                <w:rFonts w:eastAsiaTheme="minorEastAsia"/>
                <w:color w:val="000000" w:themeColor="text1"/>
                <w:kern w:val="0"/>
                <w:szCs w:val="21"/>
              </w:rPr>
            </w:pPr>
            <w:r w:rsidRPr="003C5007">
              <w:rPr>
                <w:rFonts w:eastAsiaTheme="minorEastAsia"/>
                <w:color w:val="000000" w:themeColor="text1"/>
                <w:kern w:val="0"/>
                <w:szCs w:val="21"/>
              </w:rPr>
              <w:t>应收利息</w:t>
            </w:r>
          </w:p>
        </w:tc>
        <w:tc>
          <w:tcPr>
            <w:tcW w:w="4752" w:type="dxa"/>
            <w:vAlign w:val="center"/>
          </w:tcPr>
          <w:p w:rsidR="0044398D" w:rsidRPr="003C5007" w:rsidRDefault="0044398D" w:rsidP="003C5007">
            <w:pPr>
              <w:autoSpaceDE w:val="0"/>
              <w:autoSpaceDN w:val="0"/>
              <w:adjustRightInd w:val="0"/>
              <w:spacing w:line="360" w:lineRule="auto"/>
              <w:ind w:left="15"/>
              <w:jc w:val="right"/>
              <w:rPr>
                <w:rFonts w:eastAsiaTheme="minorEastAsia"/>
                <w:color w:val="000000" w:themeColor="text1"/>
                <w:kern w:val="0"/>
                <w:szCs w:val="21"/>
              </w:rPr>
            </w:pPr>
            <w:r w:rsidRPr="003C5007">
              <w:rPr>
                <w:rFonts w:eastAsiaTheme="minorEastAsia"/>
                <w:color w:val="000000" w:themeColor="text1"/>
                <w:kern w:val="0"/>
                <w:szCs w:val="21"/>
              </w:rPr>
              <w:t>3,479.68</w:t>
            </w:r>
          </w:p>
        </w:tc>
      </w:tr>
      <w:tr w:rsidR="003E712B" w:rsidRPr="003C5007" w:rsidTr="008E5013">
        <w:trPr>
          <w:trHeight w:val="567"/>
        </w:trPr>
        <w:tc>
          <w:tcPr>
            <w:tcW w:w="944" w:type="dxa"/>
            <w:vAlign w:val="center"/>
          </w:tcPr>
          <w:p w:rsidR="0044398D" w:rsidRPr="003C5007" w:rsidRDefault="0044398D" w:rsidP="003C5007">
            <w:pPr>
              <w:autoSpaceDE w:val="0"/>
              <w:autoSpaceDN w:val="0"/>
              <w:adjustRightInd w:val="0"/>
              <w:spacing w:line="360" w:lineRule="auto"/>
              <w:ind w:left="15"/>
              <w:jc w:val="center"/>
              <w:rPr>
                <w:rFonts w:eastAsiaTheme="minorEastAsia"/>
                <w:color w:val="000000" w:themeColor="text1"/>
                <w:szCs w:val="21"/>
              </w:rPr>
            </w:pPr>
            <w:r w:rsidRPr="003C5007">
              <w:rPr>
                <w:rFonts w:eastAsiaTheme="minorEastAsia"/>
                <w:color w:val="000000" w:themeColor="text1"/>
                <w:szCs w:val="21"/>
              </w:rPr>
              <w:t>5</w:t>
            </w:r>
          </w:p>
        </w:tc>
        <w:tc>
          <w:tcPr>
            <w:tcW w:w="2761" w:type="dxa"/>
            <w:vAlign w:val="center"/>
          </w:tcPr>
          <w:p w:rsidR="0044398D" w:rsidRPr="003C5007" w:rsidRDefault="0044398D" w:rsidP="003C5007">
            <w:pPr>
              <w:autoSpaceDE w:val="0"/>
              <w:autoSpaceDN w:val="0"/>
              <w:adjustRightInd w:val="0"/>
              <w:spacing w:line="360" w:lineRule="auto"/>
              <w:ind w:left="15"/>
              <w:jc w:val="left"/>
              <w:rPr>
                <w:rFonts w:eastAsiaTheme="minorEastAsia"/>
                <w:color w:val="000000" w:themeColor="text1"/>
                <w:kern w:val="0"/>
                <w:szCs w:val="21"/>
              </w:rPr>
            </w:pPr>
            <w:r w:rsidRPr="003C5007">
              <w:rPr>
                <w:rFonts w:eastAsiaTheme="minorEastAsia"/>
                <w:color w:val="000000" w:themeColor="text1"/>
                <w:kern w:val="0"/>
                <w:szCs w:val="21"/>
              </w:rPr>
              <w:t>应收申购款</w:t>
            </w:r>
          </w:p>
        </w:tc>
        <w:tc>
          <w:tcPr>
            <w:tcW w:w="4752" w:type="dxa"/>
            <w:vAlign w:val="center"/>
          </w:tcPr>
          <w:p w:rsidR="0044398D" w:rsidRPr="003C5007" w:rsidRDefault="0044398D" w:rsidP="003C5007">
            <w:pPr>
              <w:autoSpaceDE w:val="0"/>
              <w:autoSpaceDN w:val="0"/>
              <w:adjustRightInd w:val="0"/>
              <w:spacing w:line="360" w:lineRule="auto"/>
              <w:ind w:left="15"/>
              <w:jc w:val="right"/>
              <w:rPr>
                <w:rFonts w:eastAsiaTheme="minorEastAsia"/>
                <w:color w:val="000000" w:themeColor="text1"/>
                <w:kern w:val="0"/>
                <w:szCs w:val="21"/>
              </w:rPr>
            </w:pPr>
            <w:r w:rsidRPr="003C5007">
              <w:rPr>
                <w:rFonts w:eastAsiaTheme="minorEastAsia"/>
                <w:color w:val="000000" w:themeColor="text1"/>
                <w:kern w:val="0"/>
                <w:szCs w:val="21"/>
              </w:rPr>
              <w:t>30,147.95</w:t>
            </w:r>
          </w:p>
        </w:tc>
      </w:tr>
      <w:tr w:rsidR="003E712B" w:rsidRPr="003C5007" w:rsidTr="008E5013">
        <w:trPr>
          <w:trHeight w:val="567"/>
        </w:trPr>
        <w:tc>
          <w:tcPr>
            <w:tcW w:w="944" w:type="dxa"/>
            <w:vAlign w:val="center"/>
          </w:tcPr>
          <w:p w:rsidR="0044398D" w:rsidRPr="003C5007" w:rsidRDefault="0044398D" w:rsidP="003C5007">
            <w:pPr>
              <w:autoSpaceDE w:val="0"/>
              <w:autoSpaceDN w:val="0"/>
              <w:adjustRightInd w:val="0"/>
              <w:spacing w:line="360" w:lineRule="auto"/>
              <w:ind w:left="15"/>
              <w:jc w:val="center"/>
              <w:rPr>
                <w:rFonts w:eastAsiaTheme="minorEastAsia"/>
                <w:color w:val="000000" w:themeColor="text1"/>
                <w:szCs w:val="21"/>
              </w:rPr>
            </w:pPr>
            <w:r w:rsidRPr="003C5007">
              <w:rPr>
                <w:rFonts w:eastAsiaTheme="minorEastAsia"/>
                <w:color w:val="000000" w:themeColor="text1"/>
                <w:szCs w:val="21"/>
              </w:rPr>
              <w:t>6</w:t>
            </w:r>
          </w:p>
        </w:tc>
        <w:tc>
          <w:tcPr>
            <w:tcW w:w="2761" w:type="dxa"/>
            <w:vAlign w:val="center"/>
          </w:tcPr>
          <w:p w:rsidR="0044398D" w:rsidRPr="003C5007" w:rsidRDefault="0044398D" w:rsidP="003C5007">
            <w:pPr>
              <w:autoSpaceDE w:val="0"/>
              <w:autoSpaceDN w:val="0"/>
              <w:adjustRightInd w:val="0"/>
              <w:spacing w:line="360" w:lineRule="auto"/>
              <w:ind w:left="15"/>
              <w:jc w:val="left"/>
              <w:rPr>
                <w:rFonts w:eastAsiaTheme="minorEastAsia"/>
                <w:color w:val="000000" w:themeColor="text1"/>
                <w:kern w:val="0"/>
                <w:szCs w:val="21"/>
              </w:rPr>
            </w:pPr>
            <w:r w:rsidRPr="003C5007">
              <w:rPr>
                <w:rFonts w:eastAsiaTheme="minorEastAsia"/>
                <w:color w:val="000000" w:themeColor="text1"/>
                <w:kern w:val="0"/>
                <w:szCs w:val="21"/>
              </w:rPr>
              <w:t>其他应收款</w:t>
            </w:r>
          </w:p>
        </w:tc>
        <w:tc>
          <w:tcPr>
            <w:tcW w:w="4752" w:type="dxa"/>
            <w:vAlign w:val="center"/>
          </w:tcPr>
          <w:p w:rsidR="0044398D" w:rsidRPr="003C5007" w:rsidRDefault="0044398D" w:rsidP="003C5007">
            <w:pPr>
              <w:autoSpaceDE w:val="0"/>
              <w:autoSpaceDN w:val="0"/>
              <w:adjustRightInd w:val="0"/>
              <w:spacing w:line="360" w:lineRule="auto"/>
              <w:ind w:left="15"/>
              <w:jc w:val="right"/>
              <w:rPr>
                <w:rFonts w:eastAsiaTheme="minorEastAsia"/>
                <w:color w:val="000000" w:themeColor="text1"/>
                <w:kern w:val="0"/>
                <w:szCs w:val="21"/>
              </w:rPr>
            </w:pPr>
            <w:r w:rsidRPr="003C5007">
              <w:rPr>
                <w:rFonts w:eastAsiaTheme="minorEastAsia"/>
                <w:color w:val="000000" w:themeColor="text1"/>
                <w:kern w:val="0"/>
                <w:szCs w:val="21"/>
              </w:rPr>
              <w:t>-</w:t>
            </w:r>
          </w:p>
        </w:tc>
      </w:tr>
      <w:tr w:rsidR="003E712B" w:rsidRPr="003C5007" w:rsidTr="008E5013">
        <w:trPr>
          <w:trHeight w:val="567"/>
        </w:trPr>
        <w:tc>
          <w:tcPr>
            <w:tcW w:w="944" w:type="dxa"/>
          </w:tcPr>
          <w:p w:rsidR="00435368" w:rsidRPr="003C5007" w:rsidRDefault="00435368" w:rsidP="003C5007">
            <w:pPr>
              <w:autoSpaceDE w:val="0"/>
              <w:autoSpaceDN w:val="0"/>
              <w:adjustRightInd w:val="0"/>
              <w:spacing w:line="360" w:lineRule="auto"/>
              <w:ind w:left="15"/>
              <w:jc w:val="center"/>
              <w:rPr>
                <w:rFonts w:eastAsiaTheme="minorEastAsia"/>
                <w:color w:val="000000" w:themeColor="text1"/>
                <w:szCs w:val="21"/>
              </w:rPr>
            </w:pPr>
            <w:r w:rsidRPr="003C5007">
              <w:rPr>
                <w:rFonts w:eastAsiaTheme="minorEastAsia"/>
                <w:color w:val="000000" w:themeColor="text1"/>
                <w:szCs w:val="21"/>
              </w:rPr>
              <w:t>7</w:t>
            </w:r>
          </w:p>
        </w:tc>
        <w:tc>
          <w:tcPr>
            <w:tcW w:w="2761" w:type="dxa"/>
          </w:tcPr>
          <w:p w:rsidR="00435368" w:rsidRPr="003C5007" w:rsidRDefault="00435368" w:rsidP="003C5007">
            <w:pPr>
              <w:autoSpaceDE w:val="0"/>
              <w:autoSpaceDN w:val="0"/>
              <w:adjustRightInd w:val="0"/>
              <w:spacing w:line="360" w:lineRule="auto"/>
              <w:ind w:left="15"/>
              <w:jc w:val="left"/>
              <w:rPr>
                <w:rFonts w:eastAsiaTheme="minorEastAsia"/>
                <w:color w:val="000000" w:themeColor="text1"/>
                <w:kern w:val="0"/>
                <w:szCs w:val="21"/>
              </w:rPr>
            </w:pPr>
            <w:r w:rsidRPr="003C5007">
              <w:rPr>
                <w:rFonts w:eastAsiaTheme="minorEastAsia"/>
                <w:color w:val="000000" w:themeColor="text1"/>
                <w:kern w:val="0"/>
                <w:szCs w:val="21"/>
              </w:rPr>
              <w:t>待摊费用</w:t>
            </w:r>
          </w:p>
        </w:tc>
        <w:tc>
          <w:tcPr>
            <w:tcW w:w="4752" w:type="dxa"/>
            <w:vAlign w:val="center"/>
          </w:tcPr>
          <w:p w:rsidR="00435368" w:rsidRPr="003C5007" w:rsidRDefault="00435368" w:rsidP="003C5007">
            <w:pPr>
              <w:autoSpaceDE w:val="0"/>
              <w:autoSpaceDN w:val="0"/>
              <w:adjustRightInd w:val="0"/>
              <w:spacing w:line="360" w:lineRule="auto"/>
              <w:ind w:left="15"/>
              <w:jc w:val="right"/>
              <w:rPr>
                <w:rFonts w:eastAsiaTheme="minorEastAsia"/>
                <w:color w:val="000000" w:themeColor="text1"/>
                <w:szCs w:val="21"/>
              </w:rPr>
            </w:pPr>
            <w:r w:rsidRPr="003C5007">
              <w:rPr>
                <w:rFonts w:eastAsiaTheme="minorEastAsia"/>
                <w:color w:val="000000" w:themeColor="text1"/>
                <w:szCs w:val="21"/>
              </w:rPr>
              <w:t>30,093.50</w:t>
            </w:r>
          </w:p>
        </w:tc>
      </w:tr>
      <w:tr w:rsidR="003E712B" w:rsidRPr="003C5007" w:rsidTr="008E5013">
        <w:trPr>
          <w:trHeight w:val="567"/>
        </w:trPr>
        <w:tc>
          <w:tcPr>
            <w:tcW w:w="944" w:type="dxa"/>
            <w:vAlign w:val="center"/>
          </w:tcPr>
          <w:p w:rsidR="00435368" w:rsidRPr="003C5007" w:rsidRDefault="00435368" w:rsidP="003C5007">
            <w:pPr>
              <w:autoSpaceDE w:val="0"/>
              <w:autoSpaceDN w:val="0"/>
              <w:adjustRightInd w:val="0"/>
              <w:spacing w:line="360" w:lineRule="auto"/>
              <w:ind w:left="15"/>
              <w:jc w:val="center"/>
              <w:rPr>
                <w:rFonts w:eastAsiaTheme="minorEastAsia"/>
                <w:color w:val="000000" w:themeColor="text1"/>
                <w:szCs w:val="21"/>
              </w:rPr>
            </w:pPr>
            <w:r w:rsidRPr="003C5007">
              <w:rPr>
                <w:rFonts w:eastAsiaTheme="minorEastAsia"/>
                <w:color w:val="000000" w:themeColor="text1"/>
                <w:szCs w:val="21"/>
              </w:rPr>
              <w:t>8</w:t>
            </w:r>
          </w:p>
        </w:tc>
        <w:tc>
          <w:tcPr>
            <w:tcW w:w="2761" w:type="dxa"/>
            <w:vAlign w:val="center"/>
          </w:tcPr>
          <w:p w:rsidR="00435368" w:rsidRPr="003C5007" w:rsidRDefault="00435368" w:rsidP="003C5007">
            <w:pPr>
              <w:autoSpaceDE w:val="0"/>
              <w:autoSpaceDN w:val="0"/>
              <w:adjustRightInd w:val="0"/>
              <w:spacing w:line="360" w:lineRule="auto"/>
              <w:ind w:left="15"/>
              <w:jc w:val="left"/>
              <w:rPr>
                <w:rFonts w:eastAsiaTheme="minorEastAsia"/>
                <w:color w:val="000000" w:themeColor="text1"/>
                <w:kern w:val="0"/>
                <w:szCs w:val="21"/>
              </w:rPr>
            </w:pPr>
            <w:r w:rsidRPr="003C5007">
              <w:rPr>
                <w:rFonts w:eastAsiaTheme="minorEastAsia"/>
                <w:color w:val="000000" w:themeColor="text1"/>
                <w:kern w:val="0"/>
                <w:szCs w:val="21"/>
              </w:rPr>
              <w:t>其他</w:t>
            </w:r>
          </w:p>
        </w:tc>
        <w:tc>
          <w:tcPr>
            <w:tcW w:w="4752" w:type="dxa"/>
            <w:vAlign w:val="center"/>
          </w:tcPr>
          <w:p w:rsidR="00435368" w:rsidRPr="003C5007" w:rsidRDefault="00435368" w:rsidP="003C5007">
            <w:pPr>
              <w:autoSpaceDE w:val="0"/>
              <w:autoSpaceDN w:val="0"/>
              <w:adjustRightInd w:val="0"/>
              <w:spacing w:line="360" w:lineRule="auto"/>
              <w:ind w:left="15"/>
              <w:jc w:val="right"/>
              <w:rPr>
                <w:rFonts w:eastAsiaTheme="minorEastAsia"/>
                <w:color w:val="000000" w:themeColor="text1"/>
                <w:kern w:val="0"/>
                <w:szCs w:val="21"/>
              </w:rPr>
            </w:pPr>
            <w:r w:rsidRPr="003C5007">
              <w:rPr>
                <w:rFonts w:eastAsiaTheme="minorEastAsia"/>
                <w:color w:val="000000" w:themeColor="text1"/>
                <w:kern w:val="0"/>
                <w:szCs w:val="21"/>
              </w:rPr>
              <w:t>-</w:t>
            </w:r>
          </w:p>
        </w:tc>
      </w:tr>
      <w:tr w:rsidR="003E712B" w:rsidRPr="003C5007" w:rsidTr="008E5013">
        <w:trPr>
          <w:trHeight w:val="567"/>
        </w:trPr>
        <w:tc>
          <w:tcPr>
            <w:tcW w:w="944" w:type="dxa"/>
            <w:vAlign w:val="center"/>
          </w:tcPr>
          <w:p w:rsidR="00435368" w:rsidRPr="003C5007" w:rsidRDefault="00435368" w:rsidP="003C5007">
            <w:pPr>
              <w:autoSpaceDE w:val="0"/>
              <w:autoSpaceDN w:val="0"/>
              <w:adjustRightInd w:val="0"/>
              <w:spacing w:line="360" w:lineRule="auto"/>
              <w:ind w:left="15"/>
              <w:jc w:val="center"/>
              <w:rPr>
                <w:rFonts w:eastAsiaTheme="minorEastAsia"/>
                <w:color w:val="000000" w:themeColor="text1"/>
                <w:szCs w:val="21"/>
              </w:rPr>
            </w:pPr>
            <w:r w:rsidRPr="003C5007">
              <w:rPr>
                <w:rFonts w:eastAsiaTheme="minorEastAsia"/>
                <w:color w:val="000000" w:themeColor="text1"/>
                <w:szCs w:val="21"/>
              </w:rPr>
              <w:t>9</w:t>
            </w:r>
          </w:p>
        </w:tc>
        <w:tc>
          <w:tcPr>
            <w:tcW w:w="2761" w:type="dxa"/>
            <w:vAlign w:val="center"/>
          </w:tcPr>
          <w:p w:rsidR="00435368" w:rsidRPr="003C5007" w:rsidRDefault="00435368" w:rsidP="003C5007">
            <w:pPr>
              <w:autoSpaceDE w:val="0"/>
              <w:autoSpaceDN w:val="0"/>
              <w:adjustRightInd w:val="0"/>
              <w:spacing w:line="360" w:lineRule="auto"/>
              <w:ind w:left="15"/>
              <w:jc w:val="left"/>
              <w:rPr>
                <w:rFonts w:eastAsiaTheme="minorEastAsia"/>
                <w:color w:val="000000" w:themeColor="text1"/>
                <w:kern w:val="0"/>
                <w:szCs w:val="21"/>
              </w:rPr>
            </w:pPr>
            <w:r w:rsidRPr="003C5007">
              <w:rPr>
                <w:rFonts w:eastAsiaTheme="minorEastAsia"/>
                <w:color w:val="000000" w:themeColor="text1"/>
                <w:kern w:val="0"/>
                <w:szCs w:val="21"/>
              </w:rPr>
              <w:t>合计</w:t>
            </w:r>
          </w:p>
        </w:tc>
        <w:tc>
          <w:tcPr>
            <w:tcW w:w="4752" w:type="dxa"/>
            <w:vAlign w:val="center"/>
          </w:tcPr>
          <w:p w:rsidR="00435368" w:rsidRPr="003C5007" w:rsidRDefault="00435368" w:rsidP="003C5007">
            <w:pPr>
              <w:autoSpaceDE w:val="0"/>
              <w:autoSpaceDN w:val="0"/>
              <w:adjustRightInd w:val="0"/>
              <w:spacing w:line="360" w:lineRule="auto"/>
              <w:ind w:left="15"/>
              <w:jc w:val="right"/>
              <w:rPr>
                <w:rFonts w:eastAsiaTheme="minorEastAsia"/>
                <w:color w:val="000000" w:themeColor="text1"/>
                <w:kern w:val="0"/>
                <w:szCs w:val="21"/>
              </w:rPr>
            </w:pPr>
            <w:r w:rsidRPr="003C5007">
              <w:rPr>
                <w:rFonts w:eastAsiaTheme="minorEastAsia"/>
                <w:color w:val="000000" w:themeColor="text1"/>
                <w:kern w:val="0"/>
                <w:szCs w:val="21"/>
              </w:rPr>
              <w:t>134,403.30</w:t>
            </w:r>
          </w:p>
        </w:tc>
      </w:tr>
    </w:tbl>
    <w:p w:rsidR="00220542" w:rsidRPr="003C5007" w:rsidRDefault="00790C57" w:rsidP="003C5007">
      <w:pPr>
        <w:autoSpaceDE w:val="0"/>
        <w:autoSpaceDN w:val="0"/>
        <w:adjustRightInd w:val="0"/>
        <w:spacing w:line="360" w:lineRule="auto"/>
        <w:jc w:val="left"/>
        <w:rPr>
          <w:rFonts w:eastAsiaTheme="minorEastAsia"/>
          <w:b/>
          <w:color w:val="000000" w:themeColor="text1"/>
          <w:kern w:val="0"/>
          <w:szCs w:val="21"/>
        </w:rPr>
      </w:pPr>
      <w:r w:rsidRPr="003C5007">
        <w:rPr>
          <w:rFonts w:eastAsiaTheme="minorEastAsia"/>
          <w:b/>
          <w:color w:val="000000" w:themeColor="text1"/>
          <w:kern w:val="0"/>
          <w:szCs w:val="21"/>
        </w:rPr>
        <w:t xml:space="preserve">5.1.11.4 </w:t>
      </w:r>
      <w:r w:rsidR="00220542" w:rsidRPr="003C5007">
        <w:rPr>
          <w:rFonts w:eastAsiaTheme="minorEastAsia"/>
          <w:b/>
          <w:color w:val="000000" w:themeColor="text1"/>
          <w:kern w:val="0"/>
          <w:szCs w:val="21"/>
        </w:rPr>
        <w:t>报告期末持有的处于转股期的可转换债券明细</w:t>
      </w:r>
    </w:p>
    <w:p w:rsidR="00220542" w:rsidRPr="003C5007" w:rsidRDefault="007C1A93" w:rsidP="003C5007">
      <w:pPr>
        <w:autoSpaceDE w:val="0"/>
        <w:autoSpaceDN w:val="0"/>
        <w:adjustRightInd w:val="0"/>
        <w:spacing w:line="360" w:lineRule="auto"/>
        <w:jc w:val="left"/>
        <w:rPr>
          <w:rFonts w:eastAsiaTheme="minorEastAsia"/>
          <w:color w:val="000000" w:themeColor="text1"/>
          <w:szCs w:val="21"/>
        </w:rPr>
      </w:pPr>
      <w:r w:rsidRPr="003C5007">
        <w:rPr>
          <w:rFonts w:eastAsiaTheme="minorEastAsia"/>
          <w:color w:val="000000" w:themeColor="text1"/>
          <w:szCs w:val="21"/>
        </w:rPr>
        <w:t>本基金本报告期末未持有处于转股期的可转换债券。</w:t>
      </w:r>
    </w:p>
    <w:p w:rsidR="00CF3CDE" w:rsidRPr="003C5007" w:rsidRDefault="00790C57" w:rsidP="003C5007">
      <w:pPr>
        <w:spacing w:line="360" w:lineRule="auto"/>
        <w:rPr>
          <w:rFonts w:eastAsiaTheme="minorEastAsia"/>
          <w:b/>
          <w:color w:val="000000" w:themeColor="text1"/>
          <w:kern w:val="0"/>
          <w:szCs w:val="21"/>
        </w:rPr>
      </w:pPr>
      <w:r w:rsidRPr="003C5007">
        <w:rPr>
          <w:rFonts w:eastAsiaTheme="minorEastAsia"/>
          <w:b/>
          <w:color w:val="000000" w:themeColor="text1"/>
          <w:kern w:val="0"/>
          <w:szCs w:val="21"/>
        </w:rPr>
        <w:t xml:space="preserve">5.1.11.5 </w:t>
      </w:r>
      <w:r w:rsidR="00CF3CDE" w:rsidRPr="003C5007">
        <w:rPr>
          <w:rFonts w:eastAsiaTheme="minorEastAsia"/>
          <w:b/>
          <w:color w:val="000000" w:themeColor="text1"/>
          <w:szCs w:val="21"/>
        </w:rPr>
        <w:t>报告期末前十名股票中存在流通受限情况的说明</w:t>
      </w:r>
    </w:p>
    <w:p w:rsidR="005D44E4" w:rsidRPr="003C5007" w:rsidRDefault="00CF3CDE" w:rsidP="00421E1D">
      <w:pPr>
        <w:spacing w:line="360" w:lineRule="auto"/>
        <w:ind w:firstLineChars="98" w:firstLine="207"/>
        <w:rPr>
          <w:rFonts w:eastAsiaTheme="minorEastAsia"/>
          <w:b/>
          <w:color w:val="000000" w:themeColor="text1"/>
          <w:kern w:val="0"/>
          <w:szCs w:val="21"/>
        </w:rPr>
      </w:pPr>
      <w:r w:rsidRPr="003C5007">
        <w:rPr>
          <w:rFonts w:eastAsiaTheme="minorEastAsia"/>
          <w:b/>
          <w:color w:val="000000" w:themeColor="text1"/>
          <w:kern w:val="0"/>
          <w:szCs w:val="21"/>
        </w:rPr>
        <w:t>5.1.</w:t>
      </w:r>
      <w:r w:rsidR="004C5189" w:rsidRPr="003C5007">
        <w:rPr>
          <w:rFonts w:eastAsiaTheme="minorEastAsia"/>
          <w:b/>
          <w:color w:val="000000" w:themeColor="text1"/>
          <w:kern w:val="0"/>
          <w:szCs w:val="21"/>
        </w:rPr>
        <w:t>11</w:t>
      </w:r>
      <w:r w:rsidR="005D44E4" w:rsidRPr="003C5007">
        <w:rPr>
          <w:rFonts w:eastAsiaTheme="minorEastAsia"/>
          <w:b/>
          <w:color w:val="000000" w:themeColor="text1"/>
          <w:kern w:val="0"/>
          <w:szCs w:val="21"/>
        </w:rPr>
        <w:t>.</w:t>
      </w:r>
      <w:r w:rsidR="00790C57" w:rsidRPr="003C5007">
        <w:rPr>
          <w:rFonts w:eastAsiaTheme="minorEastAsia"/>
          <w:b/>
          <w:color w:val="000000" w:themeColor="text1"/>
          <w:kern w:val="0"/>
          <w:szCs w:val="21"/>
        </w:rPr>
        <w:t>5.</w:t>
      </w:r>
      <w:r w:rsidR="004C5189" w:rsidRPr="003C5007">
        <w:rPr>
          <w:rFonts w:eastAsiaTheme="minorEastAsia"/>
          <w:b/>
          <w:color w:val="000000" w:themeColor="text1"/>
          <w:kern w:val="0"/>
          <w:szCs w:val="21"/>
        </w:rPr>
        <w:t>1</w:t>
      </w:r>
      <w:r w:rsidR="004D4985">
        <w:rPr>
          <w:rFonts w:eastAsiaTheme="minorEastAsia"/>
          <w:b/>
          <w:color w:val="000000" w:themeColor="text1"/>
          <w:szCs w:val="21"/>
        </w:rPr>
        <w:t>期末</w:t>
      </w:r>
      <w:r w:rsidR="00874F4B" w:rsidRPr="003C5007">
        <w:rPr>
          <w:rFonts w:eastAsiaTheme="minorEastAsia"/>
          <w:b/>
          <w:color w:val="000000" w:themeColor="text1"/>
          <w:szCs w:val="21"/>
        </w:rPr>
        <w:t>投资前十名股票中存在流通受限情况的说明</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3"/>
        <w:gridCol w:w="1302"/>
        <w:gridCol w:w="1301"/>
        <w:gridCol w:w="1805"/>
        <w:gridCol w:w="1655"/>
        <w:gridCol w:w="1311"/>
      </w:tblGrid>
      <w:tr w:rsidR="003E712B" w:rsidRPr="003C5007" w:rsidTr="008E5013">
        <w:tc>
          <w:tcPr>
            <w:tcW w:w="1083" w:type="dxa"/>
            <w:shd w:val="clear" w:color="auto" w:fill="auto"/>
            <w:vAlign w:val="center"/>
          </w:tcPr>
          <w:p w:rsidR="007C1A93" w:rsidRPr="003C5007" w:rsidRDefault="007C1A93" w:rsidP="003C5007">
            <w:pPr>
              <w:spacing w:line="360" w:lineRule="auto"/>
              <w:ind w:left="17"/>
              <w:jc w:val="center"/>
              <w:rPr>
                <w:rFonts w:eastAsiaTheme="minorEastAsia"/>
                <w:color w:val="000000" w:themeColor="text1"/>
                <w:szCs w:val="21"/>
              </w:rPr>
            </w:pPr>
            <w:r w:rsidRPr="003C5007">
              <w:rPr>
                <w:rFonts w:eastAsiaTheme="minorEastAsia"/>
                <w:color w:val="000000" w:themeColor="text1"/>
                <w:szCs w:val="21"/>
              </w:rPr>
              <w:t>序号</w:t>
            </w:r>
          </w:p>
        </w:tc>
        <w:tc>
          <w:tcPr>
            <w:tcW w:w="1302" w:type="dxa"/>
            <w:shd w:val="clear" w:color="auto" w:fill="auto"/>
            <w:vAlign w:val="center"/>
          </w:tcPr>
          <w:p w:rsidR="007C1A93" w:rsidRPr="003C5007" w:rsidRDefault="007C1A93" w:rsidP="003C5007">
            <w:pPr>
              <w:spacing w:line="360" w:lineRule="auto"/>
              <w:ind w:left="17"/>
              <w:jc w:val="center"/>
              <w:rPr>
                <w:rFonts w:eastAsiaTheme="minorEastAsia"/>
                <w:color w:val="000000" w:themeColor="text1"/>
                <w:szCs w:val="21"/>
              </w:rPr>
            </w:pPr>
            <w:r w:rsidRPr="003C5007">
              <w:rPr>
                <w:rFonts w:eastAsiaTheme="minorEastAsia"/>
                <w:color w:val="000000" w:themeColor="text1"/>
                <w:szCs w:val="21"/>
              </w:rPr>
              <w:t>股票代码</w:t>
            </w:r>
          </w:p>
        </w:tc>
        <w:tc>
          <w:tcPr>
            <w:tcW w:w="1301" w:type="dxa"/>
            <w:shd w:val="clear" w:color="auto" w:fill="auto"/>
            <w:vAlign w:val="center"/>
          </w:tcPr>
          <w:p w:rsidR="007C1A93" w:rsidRPr="003C5007" w:rsidRDefault="007C1A93" w:rsidP="003C5007">
            <w:pPr>
              <w:spacing w:line="360" w:lineRule="auto"/>
              <w:ind w:left="17"/>
              <w:jc w:val="center"/>
              <w:rPr>
                <w:rFonts w:eastAsiaTheme="minorEastAsia"/>
                <w:color w:val="000000" w:themeColor="text1"/>
                <w:szCs w:val="21"/>
              </w:rPr>
            </w:pPr>
            <w:r w:rsidRPr="003C5007">
              <w:rPr>
                <w:rFonts w:eastAsiaTheme="minorEastAsia"/>
                <w:color w:val="000000" w:themeColor="text1"/>
                <w:szCs w:val="21"/>
              </w:rPr>
              <w:t>股票名称</w:t>
            </w:r>
          </w:p>
        </w:tc>
        <w:tc>
          <w:tcPr>
            <w:tcW w:w="1805" w:type="dxa"/>
            <w:shd w:val="clear" w:color="auto" w:fill="auto"/>
            <w:vAlign w:val="center"/>
          </w:tcPr>
          <w:p w:rsidR="007C1A93" w:rsidRPr="003C5007" w:rsidRDefault="007C1A93" w:rsidP="003C5007">
            <w:pPr>
              <w:spacing w:line="360" w:lineRule="auto"/>
              <w:ind w:left="17"/>
              <w:jc w:val="center"/>
              <w:rPr>
                <w:rFonts w:eastAsiaTheme="minorEastAsia"/>
                <w:color w:val="000000" w:themeColor="text1"/>
                <w:szCs w:val="21"/>
              </w:rPr>
            </w:pPr>
            <w:r w:rsidRPr="003C5007">
              <w:rPr>
                <w:rFonts w:eastAsiaTheme="minorEastAsia"/>
                <w:color w:val="000000" w:themeColor="text1"/>
                <w:szCs w:val="21"/>
              </w:rPr>
              <w:t>流通受限部分的公允价值</w:t>
            </w:r>
            <w:r w:rsidRPr="003C5007">
              <w:rPr>
                <w:rFonts w:eastAsiaTheme="minorEastAsia"/>
                <w:color w:val="000000" w:themeColor="text1"/>
                <w:szCs w:val="21"/>
              </w:rPr>
              <w:t>(</w:t>
            </w:r>
            <w:r w:rsidRPr="003C5007">
              <w:rPr>
                <w:rFonts w:eastAsiaTheme="minorEastAsia"/>
                <w:color w:val="000000" w:themeColor="text1"/>
                <w:szCs w:val="21"/>
              </w:rPr>
              <w:t>元</w:t>
            </w:r>
            <w:r w:rsidRPr="003C5007">
              <w:rPr>
                <w:rFonts w:eastAsiaTheme="minorEastAsia"/>
                <w:color w:val="000000" w:themeColor="text1"/>
                <w:szCs w:val="21"/>
              </w:rPr>
              <w:t>)</w:t>
            </w:r>
          </w:p>
        </w:tc>
        <w:tc>
          <w:tcPr>
            <w:tcW w:w="1655" w:type="dxa"/>
            <w:shd w:val="clear" w:color="auto" w:fill="auto"/>
            <w:vAlign w:val="center"/>
          </w:tcPr>
          <w:p w:rsidR="007C1A93" w:rsidRPr="003C5007" w:rsidRDefault="007C1A93" w:rsidP="003C5007">
            <w:pPr>
              <w:spacing w:line="360" w:lineRule="auto"/>
              <w:ind w:left="17"/>
              <w:jc w:val="center"/>
              <w:rPr>
                <w:rFonts w:eastAsiaTheme="minorEastAsia"/>
                <w:color w:val="000000" w:themeColor="text1"/>
                <w:szCs w:val="21"/>
              </w:rPr>
            </w:pPr>
            <w:r w:rsidRPr="003C5007">
              <w:rPr>
                <w:rFonts w:eastAsiaTheme="minorEastAsia"/>
                <w:color w:val="000000" w:themeColor="text1"/>
                <w:szCs w:val="21"/>
              </w:rPr>
              <w:t>占基金资产净值比例</w:t>
            </w:r>
            <w:r w:rsidRPr="003C5007">
              <w:rPr>
                <w:rFonts w:eastAsiaTheme="minorEastAsia"/>
                <w:color w:val="000000" w:themeColor="text1"/>
                <w:szCs w:val="21"/>
              </w:rPr>
              <w:t>(%)</w:t>
            </w:r>
          </w:p>
        </w:tc>
        <w:tc>
          <w:tcPr>
            <w:tcW w:w="1311" w:type="dxa"/>
            <w:shd w:val="clear" w:color="auto" w:fill="auto"/>
            <w:vAlign w:val="center"/>
          </w:tcPr>
          <w:p w:rsidR="007C1A93" w:rsidRPr="003C5007" w:rsidRDefault="007C1A93" w:rsidP="003C5007">
            <w:pPr>
              <w:spacing w:line="360" w:lineRule="auto"/>
              <w:ind w:left="17"/>
              <w:jc w:val="center"/>
              <w:rPr>
                <w:rFonts w:eastAsiaTheme="minorEastAsia"/>
                <w:color w:val="000000" w:themeColor="text1"/>
                <w:szCs w:val="21"/>
              </w:rPr>
            </w:pPr>
            <w:r w:rsidRPr="003C5007">
              <w:rPr>
                <w:rFonts w:eastAsiaTheme="minorEastAsia"/>
                <w:color w:val="000000" w:themeColor="text1"/>
                <w:szCs w:val="21"/>
              </w:rPr>
              <w:t>流通受限情况说明</w:t>
            </w:r>
          </w:p>
        </w:tc>
      </w:tr>
      <w:tr w:rsidR="008E3BA0" w:rsidTr="008E5013">
        <w:tc>
          <w:tcPr>
            <w:tcW w:w="1083" w:type="dxa"/>
            <w:vAlign w:val="center"/>
          </w:tcPr>
          <w:p w:rsidR="008E3BA0" w:rsidRDefault="008E5013">
            <w:pPr>
              <w:jc w:val="center"/>
            </w:pPr>
            <w:r>
              <w:rPr>
                <w:rFonts w:eastAsiaTheme="minorEastAsia"/>
                <w:color w:val="000000" w:themeColor="text1"/>
                <w:szCs w:val="21"/>
              </w:rPr>
              <w:t>1</w:t>
            </w:r>
          </w:p>
        </w:tc>
        <w:tc>
          <w:tcPr>
            <w:tcW w:w="1302" w:type="dxa"/>
            <w:vAlign w:val="center"/>
          </w:tcPr>
          <w:p w:rsidR="008E3BA0" w:rsidRDefault="008E5013">
            <w:pPr>
              <w:jc w:val="center"/>
            </w:pPr>
            <w:r>
              <w:rPr>
                <w:rFonts w:eastAsiaTheme="minorEastAsia"/>
                <w:color w:val="000000" w:themeColor="text1"/>
                <w:szCs w:val="21"/>
              </w:rPr>
              <w:t>002129</w:t>
            </w:r>
          </w:p>
        </w:tc>
        <w:tc>
          <w:tcPr>
            <w:tcW w:w="1301" w:type="dxa"/>
            <w:vAlign w:val="center"/>
          </w:tcPr>
          <w:p w:rsidR="008E3BA0" w:rsidRDefault="008E5013">
            <w:pPr>
              <w:jc w:val="center"/>
            </w:pPr>
            <w:r>
              <w:rPr>
                <w:rFonts w:eastAsiaTheme="minorEastAsia"/>
                <w:color w:val="000000" w:themeColor="text1"/>
                <w:szCs w:val="21"/>
              </w:rPr>
              <w:t>中环股份</w:t>
            </w:r>
          </w:p>
        </w:tc>
        <w:tc>
          <w:tcPr>
            <w:tcW w:w="1805" w:type="dxa"/>
            <w:vAlign w:val="center"/>
          </w:tcPr>
          <w:p w:rsidR="008E3BA0" w:rsidRDefault="008E5013">
            <w:pPr>
              <w:jc w:val="right"/>
            </w:pPr>
            <w:r>
              <w:rPr>
                <w:rFonts w:eastAsiaTheme="minorEastAsia"/>
                <w:color w:val="000000" w:themeColor="text1"/>
                <w:szCs w:val="21"/>
              </w:rPr>
              <w:t>6,210,394.72</w:t>
            </w:r>
          </w:p>
        </w:tc>
        <w:tc>
          <w:tcPr>
            <w:tcW w:w="1655" w:type="dxa"/>
            <w:vAlign w:val="center"/>
          </w:tcPr>
          <w:p w:rsidR="008E3BA0" w:rsidRDefault="008E5013">
            <w:pPr>
              <w:jc w:val="right"/>
            </w:pPr>
            <w:r>
              <w:rPr>
                <w:rFonts w:eastAsiaTheme="minorEastAsia"/>
                <w:color w:val="000000" w:themeColor="text1"/>
                <w:szCs w:val="21"/>
              </w:rPr>
              <w:t>3.79</w:t>
            </w:r>
          </w:p>
        </w:tc>
        <w:tc>
          <w:tcPr>
            <w:tcW w:w="1311" w:type="dxa"/>
            <w:vAlign w:val="center"/>
          </w:tcPr>
          <w:p w:rsidR="008E3BA0" w:rsidRDefault="008E5013">
            <w:pPr>
              <w:jc w:val="right"/>
            </w:pPr>
            <w:r>
              <w:rPr>
                <w:rFonts w:eastAsiaTheme="minorEastAsia"/>
                <w:color w:val="000000" w:themeColor="text1"/>
                <w:szCs w:val="21"/>
              </w:rPr>
              <w:t>重大事项</w:t>
            </w:r>
          </w:p>
        </w:tc>
      </w:tr>
      <w:tr w:rsidR="008E3BA0" w:rsidTr="008E5013">
        <w:tc>
          <w:tcPr>
            <w:tcW w:w="1083" w:type="dxa"/>
            <w:vAlign w:val="center"/>
          </w:tcPr>
          <w:p w:rsidR="008E3BA0" w:rsidRDefault="008E5013">
            <w:pPr>
              <w:jc w:val="center"/>
            </w:pPr>
            <w:r>
              <w:rPr>
                <w:rFonts w:eastAsiaTheme="minorEastAsia"/>
                <w:color w:val="000000" w:themeColor="text1"/>
                <w:szCs w:val="21"/>
              </w:rPr>
              <w:t>2</w:t>
            </w:r>
          </w:p>
        </w:tc>
        <w:tc>
          <w:tcPr>
            <w:tcW w:w="1302" w:type="dxa"/>
            <w:vAlign w:val="center"/>
          </w:tcPr>
          <w:p w:rsidR="008E3BA0" w:rsidRDefault="008E5013">
            <w:pPr>
              <w:jc w:val="center"/>
            </w:pPr>
            <w:r>
              <w:rPr>
                <w:rFonts w:eastAsiaTheme="minorEastAsia"/>
                <w:color w:val="000000" w:themeColor="text1"/>
                <w:szCs w:val="21"/>
              </w:rPr>
              <w:t>002075</w:t>
            </w:r>
          </w:p>
        </w:tc>
        <w:tc>
          <w:tcPr>
            <w:tcW w:w="1301" w:type="dxa"/>
            <w:vAlign w:val="center"/>
          </w:tcPr>
          <w:p w:rsidR="008E3BA0" w:rsidRDefault="008E5013">
            <w:pPr>
              <w:jc w:val="center"/>
            </w:pPr>
            <w:r>
              <w:rPr>
                <w:rFonts w:eastAsiaTheme="minorEastAsia"/>
                <w:color w:val="000000" w:themeColor="text1"/>
                <w:szCs w:val="21"/>
              </w:rPr>
              <w:t>沙钢股份</w:t>
            </w:r>
          </w:p>
        </w:tc>
        <w:tc>
          <w:tcPr>
            <w:tcW w:w="1805" w:type="dxa"/>
            <w:vAlign w:val="center"/>
          </w:tcPr>
          <w:p w:rsidR="008E3BA0" w:rsidRDefault="008E5013">
            <w:pPr>
              <w:jc w:val="right"/>
            </w:pPr>
            <w:r>
              <w:rPr>
                <w:rFonts w:eastAsiaTheme="minorEastAsia"/>
                <w:color w:val="000000" w:themeColor="text1"/>
                <w:szCs w:val="21"/>
              </w:rPr>
              <w:t>4,920,460.44</w:t>
            </w:r>
          </w:p>
        </w:tc>
        <w:tc>
          <w:tcPr>
            <w:tcW w:w="1655" w:type="dxa"/>
            <w:vAlign w:val="center"/>
          </w:tcPr>
          <w:p w:rsidR="008E3BA0" w:rsidRDefault="008E5013">
            <w:pPr>
              <w:jc w:val="right"/>
            </w:pPr>
            <w:r>
              <w:rPr>
                <w:rFonts w:eastAsiaTheme="minorEastAsia"/>
                <w:color w:val="000000" w:themeColor="text1"/>
                <w:szCs w:val="21"/>
              </w:rPr>
              <w:t>3.01</w:t>
            </w:r>
          </w:p>
        </w:tc>
        <w:tc>
          <w:tcPr>
            <w:tcW w:w="1311" w:type="dxa"/>
            <w:vAlign w:val="center"/>
          </w:tcPr>
          <w:p w:rsidR="008E3BA0" w:rsidRDefault="008E5013">
            <w:pPr>
              <w:jc w:val="right"/>
            </w:pPr>
            <w:r>
              <w:rPr>
                <w:rFonts w:eastAsiaTheme="minorEastAsia"/>
                <w:color w:val="000000" w:themeColor="text1"/>
                <w:szCs w:val="21"/>
              </w:rPr>
              <w:t>重大事项</w:t>
            </w:r>
          </w:p>
        </w:tc>
      </w:tr>
      <w:tr w:rsidR="008E3BA0" w:rsidTr="008E5013">
        <w:tc>
          <w:tcPr>
            <w:tcW w:w="1083" w:type="dxa"/>
            <w:vAlign w:val="center"/>
          </w:tcPr>
          <w:p w:rsidR="008E3BA0" w:rsidRDefault="008E5013">
            <w:pPr>
              <w:jc w:val="center"/>
            </w:pPr>
            <w:r>
              <w:rPr>
                <w:rFonts w:eastAsiaTheme="minorEastAsia"/>
                <w:color w:val="000000" w:themeColor="text1"/>
                <w:szCs w:val="21"/>
              </w:rPr>
              <w:t>3</w:t>
            </w:r>
          </w:p>
        </w:tc>
        <w:tc>
          <w:tcPr>
            <w:tcW w:w="1302" w:type="dxa"/>
            <w:vAlign w:val="center"/>
          </w:tcPr>
          <w:p w:rsidR="008E3BA0" w:rsidRDefault="008E5013">
            <w:pPr>
              <w:jc w:val="center"/>
            </w:pPr>
            <w:r>
              <w:rPr>
                <w:rFonts w:eastAsiaTheme="minorEastAsia"/>
                <w:color w:val="000000" w:themeColor="text1"/>
                <w:szCs w:val="21"/>
              </w:rPr>
              <w:t>002426</w:t>
            </w:r>
          </w:p>
        </w:tc>
        <w:tc>
          <w:tcPr>
            <w:tcW w:w="1301" w:type="dxa"/>
            <w:vAlign w:val="center"/>
          </w:tcPr>
          <w:p w:rsidR="008E3BA0" w:rsidRDefault="008E5013">
            <w:pPr>
              <w:jc w:val="center"/>
            </w:pPr>
            <w:r>
              <w:rPr>
                <w:rFonts w:eastAsiaTheme="minorEastAsia"/>
                <w:color w:val="000000" w:themeColor="text1"/>
                <w:szCs w:val="21"/>
              </w:rPr>
              <w:t>胜利精密</w:t>
            </w:r>
          </w:p>
        </w:tc>
        <w:tc>
          <w:tcPr>
            <w:tcW w:w="1805" w:type="dxa"/>
            <w:vAlign w:val="center"/>
          </w:tcPr>
          <w:p w:rsidR="008E3BA0" w:rsidRDefault="008E5013">
            <w:pPr>
              <w:jc w:val="right"/>
            </w:pPr>
            <w:r>
              <w:rPr>
                <w:rFonts w:eastAsiaTheme="minorEastAsia"/>
                <w:color w:val="000000" w:themeColor="text1"/>
                <w:szCs w:val="21"/>
              </w:rPr>
              <w:t>4,355,558.40</w:t>
            </w:r>
          </w:p>
        </w:tc>
        <w:tc>
          <w:tcPr>
            <w:tcW w:w="1655" w:type="dxa"/>
            <w:vAlign w:val="center"/>
          </w:tcPr>
          <w:p w:rsidR="008E3BA0" w:rsidRDefault="008E5013">
            <w:pPr>
              <w:jc w:val="right"/>
            </w:pPr>
            <w:r>
              <w:rPr>
                <w:rFonts w:eastAsiaTheme="minorEastAsia"/>
                <w:color w:val="000000" w:themeColor="text1"/>
                <w:szCs w:val="21"/>
              </w:rPr>
              <w:t>2.66</w:t>
            </w:r>
          </w:p>
        </w:tc>
        <w:tc>
          <w:tcPr>
            <w:tcW w:w="1311" w:type="dxa"/>
            <w:vAlign w:val="center"/>
          </w:tcPr>
          <w:p w:rsidR="008E3BA0" w:rsidRDefault="008E5013">
            <w:pPr>
              <w:jc w:val="right"/>
            </w:pPr>
            <w:r>
              <w:rPr>
                <w:rFonts w:eastAsiaTheme="minorEastAsia"/>
                <w:color w:val="000000" w:themeColor="text1"/>
                <w:szCs w:val="21"/>
              </w:rPr>
              <w:t>重大事项</w:t>
            </w:r>
          </w:p>
        </w:tc>
      </w:tr>
      <w:tr w:rsidR="008E3BA0" w:rsidTr="008E5013">
        <w:tc>
          <w:tcPr>
            <w:tcW w:w="1083" w:type="dxa"/>
            <w:vAlign w:val="center"/>
          </w:tcPr>
          <w:p w:rsidR="008E3BA0" w:rsidRDefault="008E5013">
            <w:pPr>
              <w:jc w:val="center"/>
            </w:pPr>
            <w:r>
              <w:rPr>
                <w:rFonts w:eastAsiaTheme="minorEastAsia"/>
                <w:color w:val="000000" w:themeColor="text1"/>
                <w:szCs w:val="21"/>
              </w:rPr>
              <w:t>4</w:t>
            </w:r>
          </w:p>
        </w:tc>
        <w:tc>
          <w:tcPr>
            <w:tcW w:w="1302" w:type="dxa"/>
            <w:vAlign w:val="center"/>
          </w:tcPr>
          <w:p w:rsidR="008E3BA0" w:rsidRDefault="008E5013">
            <w:pPr>
              <w:jc w:val="center"/>
            </w:pPr>
            <w:r>
              <w:rPr>
                <w:rFonts w:eastAsiaTheme="minorEastAsia"/>
                <w:color w:val="000000" w:themeColor="text1"/>
                <w:szCs w:val="21"/>
              </w:rPr>
              <w:t>002168</w:t>
            </w:r>
          </w:p>
        </w:tc>
        <w:tc>
          <w:tcPr>
            <w:tcW w:w="1301" w:type="dxa"/>
            <w:vAlign w:val="center"/>
          </w:tcPr>
          <w:p w:rsidR="008E3BA0" w:rsidRDefault="008E5013">
            <w:pPr>
              <w:jc w:val="center"/>
            </w:pPr>
            <w:r>
              <w:rPr>
                <w:rFonts w:eastAsiaTheme="minorEastAsia"/>
                <w:color w:val="000000" w:themeColor="text1"/>
                <w:szCs w:val="21"/>
              </w:rPr>
              <w:t>深圳惠程</w:t>
            </w:r>
          </w:p>
        </w:tc>
        <w:tc>
          <w:tcPr>
            <w:tcW w:w="1805" w:type="dxa"/>
            <w:vAlign w:val="center"/>
          </w:tcPr>
          <w:p w:rsidR="008E3BA0" w:rsidRDefault="008E5013">
            <w:pPr>
              <w:jc w:val="right"/>
            </w:pPr>
            <w:r>
              <w:rPr>
                <w:rFonts w:eastAsiaTheme="minorEastAsia"/>
                <w:color w:val="000000" w:themeColor="text1"/>
                <w:szCs w:val="21"/>
              </w:rPr>
              <w:t>4,823,092.94</w:t>
            </w:r>
          </w:p>
        </w:tc>
        <w:tc>
          <w:tcPr>
            <w:tcW w:w="1655" w:type="dxa"/>
            <w:vAlign w:val="center"/>
          </w:tcPr>
          <w:p w:rsidR="008E3BA0" w:rsidRDefault="008E5013">
            <w:pPr>
              <w:jc w:val="right"/>
            </w:pPr>
            <w:r>
              <w:rPr>
                <w:rFonts w:eastAsiaTheme="minorEastAsia"/>
                <w:color w:val="000000" w:themeColor="text1"/>
                <w:szCs w:val="21"/>
              </w:rPr>
              <w:t>2.95</w:t>
            </w:r>
          </w:p>
        </w:tc>
        <w:tc>
          <w:tcPr>
            <w:tcW w:w="1311" w:type="dxa"/>
            <w:vAlign w:val="center"/>
          </w:tcPr>
          <w:p w:rsidR="008E3BA0" w:rsidRDefault="008E5013">
            <w:pPr>
              <w:jc w:val="right"/>
            </w:pPr>
            <w:r>
              <w:rPr>
                <w:rFonts w:eastAsiaTheme="minorEastAsia"/>
                <w:color w:val="000000" w:themeColor="text1"/>
                <w:szCs w:val="21"/>
              </w:rPr>
              <w:t>重大事项</w:t>
            </w:r>
          </w:p>
        </w:tc>
      </w:tr>
      <w:tr w:rsidR="008E3BA0" w:rsidTr="008E5013">
        <w:tc>
          <w:tcPr>
            <w:tcW w:w="1083" w:type="dxa"/>
            <w:vAlign w:val="center"/>
          </w:tcPr>
          <w:p w:rsidR="008E3BA0" w:rsidRDefault="008E5013">
            <w:pPr>
              <w:jc w:val="center"/>
            </w:pPr>
            <w:r>
              <w:rPr>
                <w:rFonts w:eastAsiaTheme="minorEastAsia"/>
                <w:color w:val="000000" w:themeColor="text1"/>
                <w:szCs w:val="21"/>
              </w:rPr>
              <w:t>5</w:t>
            </w:r>
          </w:p>
        </w:tc>
        <w:tc>
          <w:tcPr>
            <w:tcW w:w="1302" w:type="dxa"/>
            <w:vAlign w:val="center"/>
          </w:tcPr>
          <w:p w:rsidR="008E3BA0" w:rsidRDefault="008E5013">
            <w:pPr>
              <w:jc w:val="center"/>
            </w:pPr>
            <w:r>
              <w:rPr>
                <w:rFonts w:eastAsiaTheme="minorEastAsia"/>
                <w:color w:val="000000" w:themeColor="text1"/>
                <w:szCs w:val="21"/>
              </w:rPr>
              <w:t>002252</w:t>
            </w:r>
          </w:p>
        </w:tc>
        <w:tc>
          <w:tcPr>
            <w:tcW w:w="1301" w:type="dxa"/>
            <w:vAlign w:val="center"/>
          </w:tcPr>
          <w:p w:rsidR="008E3BA0" w:rsidRDefault="008E5013">
            <w:pPr>
              <w:jc w:val="center"/>
            </w:pPr>
            <w:r>
              <w:rPr>
                <w:rFonts w:eastAsiaTheme="minorEastAsia"/>
                <w:color w:val="000000" w:themeColor="text1"/>
                <w:szCs w:val="21"/>
              </w:rPr>
              <w:t>上海莱士</w:t>
            </w:r>
          </w:p>
        </w:tc>
        <w:tc>
          <w:tcPr>
            <w:tcW w:w="1805" w:type="dxa"/>
            <w:vAlign w:val="center"/>
          </w:tcPr>
          <w:p w:rsidR="008E3BA0" w:rsidRDefault="008E5013">
            <w:pPr>
              <w:jc w:val="right"/>
            </w:pPr>
            <w:r>
              <w:rPr>
                <w:rFonts w:eastAsiaTheme="minorEastAsia"/>
                <w:color w:val="000000" w:themeColor="text1"/>
                <w:szCs w:val="21"/>
              </w:rPr>
              <w:t>4,032,617.60</w:t>
            </w:r>
          </w:p>
        </w:tc>
        <w:tc>
          <w:tcPr>
            <w:tcW w:w="1655" w:type="dxa"/>
            <w:vAlign w:val="center"/>
          </w:tcPr>
          <w:p w:rsidR="008E3BA0" w:rsidRDefault="008E5013">
            <w:pPr>
              <w:jc w:val="right"/>
            </w:pPr>
            <w:r>
              <w:rPr>
                <w:rFonts w:eastAsiaTheme="minorEastAsia"/>
                <w:color w:val="000000" w:themeColor="text1"/>
                <w:szCs w:val="21"/>
              </w:rPr>
              <w:t>2.46</w:t>
            </w:r>
          </w:p>
        </w:tc>
        <w:tc>
          <w:tcPr>
            <w:tcW w:w="1311" w:type="dxa"/>
            <w:vAlign w:val="center"/>
          </w:tcPr>
          <w:p w:rsidR="008E3BA0" w:rsidRDefault="008E5013">
            <w:pPr>
              <w:jc w:val="right"/>
            </w:pPr>
            <w:r>
              <w:rPr>
                <w:rFonts w:eastAsiaTheme="minorEastAsia"/>
                <w:color w:val="000000" w:themeColor="text1"/>
                <w:szCs w:val="21"/>
              </w:rPr>
              <w:t>重大事项</w:t>
            </w:r>
          </w:p>
        </w:tc>
      </w:tr>
      <w:tr w:rsidR="008E3BA0" w:rsidTr="008E5013">
        <w:tc>
          <w:tcPr>
            <w:tcW w:w="1083" w:type="dxa"/>
            <w:vAlign w:val="center"/>
          </w:tcPr>
          <w:p w:rsidR="008E3BA0" w:rsidRDefault="008E5013">
            <w:pPr>
              <w:jc w:val="center"/>
            </w:pPr>
            <w:r>
              <w:rPr>
                <w:rFonts w:eastAsiaTheme="minorEastAsia"/>
                <w:color w:val="000000" w:themeColor="text1"/>
                <w:szCs w:val="21"/>
              </w:rPr>
              <w:t>6</w:t>
            </w:r>
          </w:p>
        </w:tc>
        <w:tc>
          <w:tcPr>
            <w:tcW w:w="1302" w:type="dxa"/>
            <w:vAlign w:val="center"/>
          </w:tcPr>
          <w:p w:rsidR="008E3BA0" w:rsidRDefault="008E5013">
            <w:pPr>
              <w:jc w:val="center"/>
            </w:pPr>
            <w:r>
              <w:rPr>
                <w:rFonts w:eastAsiaTheme="minorEastAsia"/>
                <w:color w:val="000000" w:themeColor="text1"/>
                <w:szCs w:val="21"/>
              </w:rPr>
              <w:t>002049</w:t>
            </w:r>
          </w:p>
        </w:tc>
        <w:tc>
          <w:tcPr>
            <w:tcW w:w="1301" w:type="dxa"/>
            <w:vAlign w:val="center"/>
          </w:tcPr>
          <w:p w:rsidR="008E3BA0" w:rsidRDefault="008E5013">
            <w:pPr>
              <w:jc w:val="center"/>
            </w:pPr>
            <w:r>
              <w:rPr>
                <w:rFonts w:eastAsiaTheme="minorEastAsia"/>
                <w:color w:val="000000" w:themeColor="text1"/>
                <w:szCs w:val="21"/>
              </w:rPr>
              <w:t>紫光国芯</w:t>
            </w:r>
          </w:p>
        </w:tc>
        <w:tc>
          <w:tcPr>
            <w:tcW w:w="1805" w:type="dxa"/>
            <w:vAlign w:val="center"/>
          </w:tcPr>
          <w:p w:rsidR="008E3BA0" w:rsidRDefault="008E5013">
            <w:pPr>
              <w:jc w:val="right"/>
            </w:pPr>
            <w:r>
              <w:rPr>
                <w:rFonts w:eastAsiaTheme="minorEastAsia"/>
                <w:color w:val="000000" w:themeColor="text1"/>
                <w:szCs w:val="21"/>
              </w:rPr>
              <w:t>3,360,458.70</w:t>
            </w:r>
          </w:p>
        </w:tc>
        <w:tc>
          <w:tcPr>
            <w:tcW w:w="1655" w:type="dxa"/>
            <w:vAlign w:val="center"/>
          </w:tcPr>
          <w:p w:rsidR="008E3BA0" w:rsidRDefault="008E5013">
            <w:pPr>
              <w:jc w:val="right"/>
            </w:pPr>
            <w:r>
              <w:rPr>
                <w:rFonts w:eastAsiaTheme="minorEastAsia"/>
                <w:color w:val="000000" w:themeColor="text1"/>
                <w:szCs w:val="21"/>
              </w:rPr>
              <w:t>2.05</w:t>
            </w:r>
          </w:p>
        </w:tc>
        <w:tc>
          <w:tcPr>
            <w:tcW w:w="1311" w:type="dxa"/>
            <w:vAlign w:val="center"/>
          </w:tcPr>
          <w:p w:rsidR="008E3BA0" w:rsidRDefault="008E5013">
            <w:pPr>
              <w:jc w:val="right"/>
            </w:pPr>
            <w:r>
              <w:rPr>
                <w:rFonts w:eastAsiaTheme="minorEastAsia"/>
                <w:color w:val="000000" w:themeColor="text1"/>
                <w:szCs w:val="21"/>
              </w:rPr>
              <w:t>重大事项</w:t>
            </w:r>
          </w:p>
        </w:tc>
      </w:tr>
    </w:tbl>
    <w:p w:rsidR="009541B9" w:rsidRPr="003C5007" w:rsidRDefault="009541B9" w:rsidP="003C5007">
      <w:pPr>
        <w:pStyle w:val="2"/>
        <w:spacing w:before="0" w:after="0"/>
        <w:rPr>
          <w:rFonts w:ascii="Times New Roman" w:hAnsi="Times New Roman" w:cs="Times New Roman"/>
          <w:b w:val="0"/>
          <w:color w:val="000000"/>
          <w:kern w:val="0"/>
          <w:sz w:val="21"/>
          <w:szCs w:val="21"/>
        </w:rPr>
      </w:pPr>
      <w:r w:rsidRPr="003C5007">
        <w:rPr>
          <w:rFonts w:ascii="Times New Roman" w:hAnsi="Times New Roman" w:cs="Times New Roman"/>
          <w:color w:val="000000"/>
          <w:kern w:val="0"/>
          <w:sz w:val="21"/>
          <w:szCs w:val="21"/>
        </w:rPr>
        <w:t xml:space="preserve">5.2 </w:t>
      </w:r>
      <w:r w:rsidRPr="003C5007">
        <w:rPr>
          <w:rFonts w:ascii="Times New Roman" w:hAnsi="Times New Roman" w:cs="Times New Roman"/>
          <w:color w:val="000000"/>
          <w:kern w:val="0"/>
          <w:sz w:val="21"/>
          <w:szCs w:val="21"/>
        </w:rPr>
        <w:t>申万菱信中小板指数分级证券投资基金</w:t>
      </w:r>
    </w:p>
    <w:p w:rsidR="009541B9" w:rsidRPr="003C5007" w:rsidRDefault="009541B9" w:rsidP="003C5007">
      <w:pPr>
        <w:autoSpaceDE w:val="0"/>
        <w:autoSpaceDN w:val="0"/>
        <w:adjustRightInd w:val="0"/>
        <w:spacing w:line="360" w:lineRule="auto"/>
        <w:ind w:left="15"/>
        <w:jc w:val="left"/>
        <w:rPr>
          <w:b/>
          <w:color w:val="000000"/>
          <w:kern w:val="0"/>
          <w:szCs w:val="21"/>
        </w:rPr>
      </w:pPr>
      <w:r w:rsidRPr="003C5007">
        <w:rPr>
          <w:b/>
          <w:color w:val="000000"/>
          <w:kern w:val="0"/>
          <w:szCs w:val="21"/>
        </w:rPr>
        <w:t>（报告期：</w:t>
      </w:r>
      <w:r w:rsidRPr="003C5007">
        <w:rPr>
          <w:b/>
          <w:color w:val="000000"/>
          <w:kern w:val="0"/>
          <w:szCs w:val="21"/>
        </w:rPr>
        <w:t>2017</w:t>
      </w:r>
      <w:r w:rsidRPr="003C5007">
        <w:rPr>
          <w:b/>
          <w:color w:val="000000"/>
          <w:kern w:val="0"/>
          <w:szCs w:val="21"/>
        </w:rPr>
        <w:t>年</w:t>
      </w:r>
      <w:r w:rsidRPr="003C5007">
        <w:rPr>
          <w:b/>
          <w:color w:val="000000"/>
          <w:kern w:val="0"/>
          <w:szCs w:val="21"/>
        </w:rPr>
        <w:t>4</w:t>
      </w:r>
      <w:r w:rsidRPr="003C5007">
        <w:rPr>
          <w:b/>
          <w:color w:val="000000"/>
          <w:kern w:val="0"/>
          <w:szCs w:val="21"/>
        </w:rPr>
        <w:t>月</w:t>
      </w:r>
      <w:r w:rsidRPr="003C5007">
        <w:rPr>
          <w:b/>
          <w:color w:val="000000"/>
          <w:kern w:val="0"/>
          <w:szCs w:val="21"/>
        </w:rPr>
        <w:t>1</w:t>
      </w:r>
      <w:r w:rsidRPr="003C5007">
        <w:rPr>
          <w:b/>
          <w:color w:val="000000"/>
          <w:kern w:val="0"/>
          <w:szCs w:val="21"/>
        </w:rPr>
        <w:t>日</w:t>
      </w:r>
      <w:r w:rsidRPr="003C5007">
        <w:rPr>
          <w:b/>
          <w:color w:val="000000"/>
          <w:kern w:val="0"/>
          <w:szCs w:val="21"/>
        </w:rPr>
        <w:t>-2017</w:t>
      </w:r>
      <w:r w:rsidRPr="003C5007">
        <w:rPr>
          <w:b/>
          <w:color w:val="000000"/>
          <w:kern w:val="0"/>
          <w:szCs w:val="21"/>
        </w:rPr>
        <w:t>年</w:t>
      </w:r>
      <w:r w:rsidRPr="003C5007">
        <w:rPr>
          <w:b/>
          <w:color w:val="000000"/>
          <w:kern w:val="0"/>
          <w:szCs w:val="21"/>
        </w:rPr>
        <w:t>5</w:t>
      </w:r>
      <w:r w:rsidRPr="003C5007">
        <w:rPr>
          <w:b/>
          <w:color w:val="000000"/>
          <w:kern w:val="0"/>
          <w:szCs w:val="21"/>
        </w:rPr>
        <w:t>月</w:t>
      </w:r>
      <w:r w:rsidRPr="003C5007">
        <w:rPr>
          <w:b/>
          <w:color w:val="000000"/>
          <w:kern w:val="0"/>
          <w:szCs w:val="21"/>
        </w:rPr>
        <w:t>8</w:t>
      </w:r>
      <w:r w:rsidRPr="003C5007">
        <w:rPr>
          <w:b/>
          <w:color w:val="000000"/>
          <w:kern w:val="0"/>
          <w:szCs w:val="21"/>
        </w:rPr>
        <w:t>日）</w:t>
      </w:r>
    </w:p>
    <w:p w:rsidR="00790C57" w:rsidRPr="003C5007" w:rsidRDefault="007C7F93" w:rsidP="003C5007">
      <w:pPr>
        <w:autoSpaceDE w:val="0"/>
        <w:autoSpaceDN w:val="0"/>
        <w:adjustRightInd w:val="0"/>
        <w:spacing w:line="360" w:lineRule="auto"/>
        <w:jc w:val="left"/>
        <w:rPr>
          <w:rFonts w:eastAsiaTheme="minorEastAsia"/>
          <w:b/>
          <w:color w:val="000000" w:themeColor="text1"/>
          <w:kern w:val="0"/>
          <w:szCs w:val="21"/>
        </w:rPr>
      </w:pPr>
      <w:r w:rsidRPr="003C5007">
        <w:rPr>
          <w:rFonts w:eastAsiaTheme="minorEastAsia"/>
          <w:b/>
          <w:color w:val="000000" w:themeColor="text1"/>
          <w:kern w:val="0"/>
          <w:szCs w:val="21"/>
        </w:rPr>
        <w:t>5.2.1</w:t>
      </w:r>
      <w:r w:rsidR="00790C57" w:rsidRPr="003C5007">
        <w:rPr>
          <w:rFonts w:eastAsiaTheme="minorEastAsia"/>
          <w:b/>
          <w:color w:val="000000" w:themeColor="text1"/>
          <w:kern w:val="0"/>
          <w:szCs w:val="21"/>
        </w:rPr>
        <w:t>报告期末基金资产组合情况</w:t>
      </w:r>
    </w:p>
    <w:tbl>
      <w:tblPr>
        <w:tblStyle w:val="af7"/>
        <w:tblW w:w="8484" w:type="dxa"/>
        <w:jc w:val="center"/>
        <w:tblInd w:w="173" w:type="dxa"/>
        <w:tblLayout w:type="fixed"/>
        <w:tblLook w:val="04A0" w:firstRow="1" w:lastRow="0" w:firstColumn="1" w:lastColumn="0" w:noHBand="0" w:noVBand="1"/>
      </w:tblPr>
      <w:tblGrid>
        <w:gridCol w:w="653"/>
        <w:gridCol w:w="3742"/>
        <w:gridCol w:w="2486"/>
        <w:gridCol w:w="1603"/>
      </w:tblGrid>
      <w:tr w:rsidR="00790C57" w:rsidRPr="003C5007" w:rsidTr="008E5013">
        <w:trPr>
          <w:jc w:val="center"/>
        </w:trPr>
        <w:tc>
          <w:tcPr>
            <w:tcW w:w="653" w:type="dxa"/>
            <w:vAlign w:val="center"/>
          </w:tcPr>
          <w:p w:rsidR="00790C57" w:rsidRPr="003C5007" w:rsidRDefault="00790C57" w:rsidP="003C5007">
            <w:pPr>
              <w:spacing w:line="360" w:lineRule="auto"/>
              <w:ind w:left="17"/>
              <w:jc w:val="center"/>
              <w:rPr>
                <w:rFonts w:eastAsiaTheme="minorEastAsia"/>
                <w:color w:val="000000" w:themeColor="text1"/>
                <w:szCs w:val="21"/>
              </w:rPr>
            </w:pPr>
            <w:r w:rsidRPr="003C5007">
              <w:rPr>
                <w:rFonts w:eastAsiaTheme="minorEastAsia"/>
                <w:color w:val="000000" w:themeColor="text1"/>
                <w:szCs w:val="21"/>
              </w:rPr>
              <w:t>序号</w:t>
            </w:r>
          </w:p>
        </w:tc>
        <w:tc>
          <w:tcPr>
            <w:tcW w:w="3742" w:type="dxa"/>
            <w:vAlign w:val="center"/>
          </w:tcPr>
          <w:p w:rsidR="00790C57" w:rsidRPr="003C5007" w:rsidRDefault="00790C57" w:rsidP="003C5007">
            <w:pPr>
              <w:spacing w:line="360" w:lineRule="auto"/>
              <w:ind w:left="17"/>
              <w:jc w:val="center"/>
              <w:rPr>
                <w:rFonts w:eastAsiaTheme="minorEastAsia"/>
                <w:color w:val="000000" w:themeColor="text1"/>
                <w:szCs w:val="21"/>
              </w:rPr>
            </w:pPr>
            <w:r w:rsidRPr="003C5007">
              <w:rPr>
                <w:rFonts w:eastAsiaTheme="minorEastAsia"/>
                <w:color w:val="000000" w:themeColor="text1"/>
                <w:szCs w:val="21"/>
              </w:rPr>
              <w:t>项目</w:t>
            </w:r>
          </w:p>
        </w:tc>
        <w:tc>
          <w:tcPr>
            <w:tcW w:w="2486" w:type="dxa"/>
            <w:vAlign w:val="center"/>
          </w:tcPr>
          <w:p w:rsidR="00790C57" w:rsidRPr="003C5007" w:rsidRDefault="00790C57" w:rsidP="003C5007">
            <w:pPr>
              <w:spacing w:line="360" w:lineRule="auto"/>
              <w:ind w:left="17"/>
              <w:jc w:val="center"/>
              <w:rPr>
                <w:rFonts w:eastAsiaTheme="minorEastAsia"/>
                <w:color w:val="000000" w:themeColor="text1"/>
                <w:szCs w:val="21"/>
              </w:rPr>
            </w:pPr>
            <w:r w:rsidRPr="003C5007">
              <w:rPr>
                <w:rFonts w:eastAsiaTheme="minorEastAsia"/>
                <w:color w:val="000000" w:themeColor="text1"/>
                <w:szCs w:val="21"/>
              </w:rPr>
              <w:t>金额</w:t>
            </w:r>
            <w:r w:rsidRPr="003C5007">
              <w:rPr>
                <w:rFonts w:eastAsiaTheme="minorEastAsia"/>
                <w:color w:val="000000" w:themeColor="text1"/>
                <w:szCs w:val="21"/>
              </w:rPr>
              <w:t>(</w:t>
            </w:r>
            <w:r w:rsidRPr="003C5007">
              <w:rPr>
                <w:rFonts w:eastAsiaTheme="minorEastAsia"/>
                <w:color w:val="000000" w:themeColor="text1"/>
                <w:szCs w:val="21"/>
              </w:rPr>
              <w:t>元</w:t>
            </w:r>
            <w:r w:rsidRPr="003C5007">
              <w:rPr>
                <w:rFonts w:eastAsiaTheme="minorEastAsia"/>
                <w:color w:val="000000" w:themeColor="text1"/>
                <w:szCs w:val="21"/>
              </w:rPr>
              <w:t>)</w:t>
            </w:r>
          </w:p>
        </w:tc>
        <w:tc>
          <w:tcPr>
            <w:tcW w:w="1603" w:type="dxa"/>
            <w:vAlign w:val="center"/>
          </w:tcPr>
          <w:p w:rsidR="00790C57" w:rsidRPr="003C5007" w:rsidRDefault="00790C57" w:rsidP="003C5007">
            <w:pPr>
              <w:spacing w:line="360" w:lineRule="auto"/>
              <w:ind w:left="17"/>
              <w:jc w:val="center"/>
              <w:rPr>
                <w:rFonts w:eastAsiaTheme="minorEastAsia"/>
                <w:color w:val="000000" w:themeColor="text1"/>
                <w:szCs w:val="21"/>
              </w:rPr>
            </w:pPr>
            <w:r w:rsidRPr="003C5007">
              <w:rPr>
                <w:rFonts w:eastAsiaTheme="minorEastAsia"/>
                <w:color w:val="000000" w:themeColor="text1"/>
                <w:szCs w:val="21"/>
              </w:rPr>
              <w:t>占基金总资产的比例</w:t>
            </w:r>
            <w:r w:rsidRPr="003C5007">
              <w:rPr>
                <w:rFonts w:eastAsiaTheme="minorEastAsia"/>
                <w:color w:val="000000" w:themeColor="text1"/>
                <w:szCs w:val="21"/>
              </w:rPr>
              <w:t>(%)</w:t>
            </w:r>
          </w:p>
        </w:tc>
      </w:tr>
      <w:tr w:rsidR="00790C57" w:rsidRPr="003C5007" w:rsidTr="008E5013">
        <w:trPr>
          <w:jc w:val="center"/>
        </w:trPr>
        <w:tc>
          <w:tcPr>
            <w:tcW w:w="653" w:type="dxa"/>
            <w:vAlign w:val="center"/>
          </w:tcPr>
          <w:p w:rsidR="00790C57" w:rsidRPr="003C5007" w:rsidRDefault="00790C57" w:rsidP="003C5007">
            <w:pPr>
              <w:spacing w:line="360" w:lineRule="auto"/>
              <w:ind w:left="17"/>
              <w:jc w:val="center"/>
              <w:rPr>
                <w:rFonts w:eastAsiaTheme="minorEastAsia"/>
                <w:color w:val="000000" w:themeColor="text1"/>
                <w:szCs w:val="21"/>
              </w:rPr>
            </w:pPr>
            <w:r w:rsidRPr="003C5007">
              <w:rPr>
                <w:rFonts w:eastAsiaTheme="minorEastAsia"/>
                <w:color w:val="000000" w:themeColor="text1"/>
                <w:szCs w:val="21"/>
              </w:rPr>
              <w:t>1</w:t>
            </w:r>
          </w:p>
        </w:tc>
        <w:tc>
          <w:tcPr>
            <w:tcW w:w="3742" w:type="dxa"/>
            <w:vAlign w:val="center"/>
          </w:tcPr>
          <w:p w:rsidR="00790C57" w:rsidRPr="003C5007" w:rsidRDefault="00790C57" w:rsidP="003C5007">
            <w:pPr>
              <w:spacing w:line="360" w:lineRule="auto"/>
              <w:ind w:left="17"/>
              <w:jc w:val="left"/>
              <w:rPr>
                <w:rFonts w:eastAsiaTheme="minorEastAsia"/>
                <w:color w:val="000000" w:themeColor="text1"/>
                <w:szCs w:val="21"/>
              </w:rPr>
            </w:pPr>
            <w:r w:rsidRPr="003C5007">
              <w:rPr>
                <w:rFonts w:eastAsiaTheme="minorEastAsia"/>
                <w:color w:val="000000" w:themeColor="text1"/>
                <w:szCs w:val="21"/>
              </w:rPr>
              <w:t>权益投资</w:t>
            </w:r>
          </w:p>
        </w:tc>
        <w:tc>
          <w:tcPr>
            <w:tcW w:w="2486" w:type="dxa"/>
            <w:vAlign w:val="center"/>
          </w:tcPr>
          <w:p w:rsidR="00790C57" w:rsidRPr="003C5007" w:rsidRDefault="00790C57" w:rsidP="003C5007">
            <w:pPr>
              <w:spacing w:line="360" w:lineRule="auto"/>
              <w:ind w:left="17"/>
              <w:jc w:val="right"/>
              <w:rPr>
                <w:rFonts w:eastAsiaTheme="minorEastAsia"/>
                <w:color w:val="000000" w:themeColor="text1"/>
                <w:szCs w:val="21"/>
              </w:rPr>
            </w:pPr>
            <w:r w:rsidRPr="003C5007">
              <w:rPr>
                <w:rFonts w:eastAsiaTheme="minorEastAsia"/>
                <w:color w:val="000000" w:themeColor="text1"/>
                <w:szCs w:val="21"/>
              </w:rPr>
              <w:t>287,820,980.85</w:t>
            </w:r>
          </w:p>
        </w:tc>
        <w:tc>
          <w:tcPr>
            <w:tcW w:w="1603" w:type="dxa"/>
            <w:vAlign w:val="center"/>
          </w:tcPr>
          <w:p w:rsidR="00790C57" w:rsidRPr="003C5007" w:rsidRDefault="00790C57" w:rsidP="003C5007">
            <w:pPr>
              <w:spacing w:line="360" w:lineRule="auto"/>
              <w:ind w:left="17"/>
              <w:jc w:val="right"/>
              <w:rPr>
                <w:rFonts w:eastAsiaTheme="minorEastAsia"/>
                <w:color w:val="000000" w:themeColor="text1"/>
                <w:szCs w:val="21"/>
              </w:rPr>
            </w:pPr>
            <w:r w:rsidRPr="003C5007">
              <w:rPr>
                <w:rFonts w:eastAsiaTheme="minorEastAsia"/>
                <w:color w:val="000000" w:themeColor="text1"/>
                <w:szCs w:val="21"/>
              </w:rPr>
              <w:t>88.25</w:t>
            </w:r>
          </w:p>
        </w:tc>
      </w:tr>
      <w:tr w:rsidR="00790C57" w:rsidRPr="003C5007" w:rsidTr="008E5013">
        <w:trPr>
          <w:jc w:val="center"/>
        </w:trPr>
        <w:tc>
          <w:tcPr>
            <w:tcW w:w="653" w:type="dxa"/>
            <w:vAlign w:val="center"/>
          </w:tcPr>
          <w:p w:rsidR="00790C57" w:rsidRPr="003C5007" w:rsidRDefault="00790C57" w:rsidP="003C5007">
            <w:pPr>
              <w:spacing w:line="360" w:lineRule="auto"/>
              <w:ind w:left="17"/>
              <w:jc w:val="center"/>
              <w:rPr>
                <w:rFonts w:eastAsiaTheme="minorEastAsia"/>
                <w:color w:val="000000" w:themeColor="text1"/>
                <w:szCs w:val="21"/>
              </w:rPr>
            </w:pPr>
          </w:p>
        </w:tc>
        <w:tc>
          <w:tcPr>
            <w:tcW w:w="3742" w:type="dxa"/>
            <w:vAlign w:val="center"/>
          </w:tcPr>
          <w:p w:rsidR="00790C57" w:rsidRPr="003C5007" w:rsidRDefault="00790C57" w:rsidP="003C5007">
            <w:pPr>
              <w:spacing w:line="360" w:lineRule="auto"/>
              <w:ind w:left="17"/>
              <w:jc w:val="left"/>
              <w:rPr>
                <w:rFonts w:eastAsiaTheme="minorEastAsia"/>
                <w:color w:val="000000" w:themeColor="text1"/>
                <w:szCs w:val="21"/>
              </w:rPr>
            </w:pPr>
            <w:r w:rsidRPr="003C5007">
              <w:rPr>
                <w:rFonts w:eastAsiaTheme="minorEastAsia"/>
                <w:color w:val="000000" w:themeColor="text1"/>
                <w:szCs w:val="21"/>
              </w:rPr>
              <w:t>其中：股票</w:t>
            </w:r>
          </w:p>
        </w:tc>
        <w:tc>
          <w:tcPr>
            <w:tcW w:w="2486" w:type="dxa"/>
            <w:vAlign w:val="center"/>
          </w:tcPr>
          <w:p w:rsidR="00790C57" w:rsidRPr="003C5007" w:rsidRDefault="00790C57" w:rsidP="003C5007">
            <w:pPr>
              <w:spacing w:line="360" w:lineRule="auto"/>
              <w:ind w:left="17"/>
              <w:jc w:val="right"/>
              <w:rPr>
                <w:rFonts w:eastAsiaTheme="minorEastAsia"/>
                <w:color w:val="000000" w:themeColor="text1"/>
                <w:szCs w:val="21"/>
              </w:rPr>
            </w:pPr>
            <w:r w:rsidRPr="003C5007">
              <w:rPr>
                <w:rFonts w:eastAsiaTheme="minorEastAsia"/>
                <w:color w:val="000000" w:themeColor="text1"/>
                <w:szCs w:val="21"/>
              </w:rPr>
              <w:t>287,820,980.85</w:t>
            </w:r>
          </w:p>
        </w:tc>
        <w:tc>
          <w:tcPr>
            <w:tcW w:w="1603" w:type="dxa"/>
            <w:vAlign w:val="center"/>
          </w:tcPr>
          <w:p w:rsidR="00790C57" w:rsidRPr="003C5007" w:rsidRDefault="00790C57" w:rsidP="003C5007">
            <w:pPr>
              <w:spacing w:line="360" w:lineRule="auto"/>
              <w:ind w:left="17"/>
              <w:jc w:val="right"/>
              <w:rPr>
                <w:rFonts w:eastAsiaTheme="minorEastAsia"/>
                <w:color w:val="000000" w:themeColor="text1"/>
                <w:szCs w:val="21"/>
              </w:rPr>
            </w:pPr>
            <w:r w:rsidRPr="003C5007">
              <w:rPr>
                <w:rFonts w:eastAsiaTheme="minorEastAsia"/>
                <w:color w:val="000000" w:themeColor="text1"/>
                <w:szCs w:val="21"/>
              </w:rPr>
              <w:t>88.25</w:t>
            </w:r>
          </w:p>
        </w:tc>
      </w:tr>
      <w:tr w:rsidR="00790C57" w:rsidRPr="003C5007" w:rsidTr="008E5013">
        <w:trPr>
          <w:jc w:val="center"/>
        </w:trPr>
        <w:tc>
          <w:tcPr>
            <w:tcW w:w="653" w:type="dxa"/>
            <w:vAlign w:val="center"/>
          </w:tcPr>
          <w:p w:rsidR="00790C57" w:rsidRPr="003C5007" w:rsidRDefault="00790C57" w:rsidP="003C5007">
            <w:pPr>
              <w:spacing w:line="360" w:lineRule="auto"/>
              <w:ind w:left="17"/>
              <w:jc w:val="center"/>
              <w:rPr>
                <w:rFonts w:eastAsiaTheme="minorEastAsia"/>
                <w:color w:val="000000" w:themeColor="text1"/>
                <w:szCs w:val="21"/>
              </w:rPr>
            </w:pPr>
            <w:r w:rsidRPr="003C5007">
              <w:rPr>
                <w:rFonts w:eastAsiaTheme="minorEastAsia"/>
                <w:color w:val="000000" w:themeColor="text1"/>
                <w:szCs w:val="21"/>
              </w:rPr>
              <w:t>2</w:t>
            </w:r>
          </w:p>
        </w:tc>
        <w:tc>
          <w:tcPr>
            <w:tcW w:w="3742" w:type="dxa"/>
            <w:vAlign w:val="center"/>
          </w:tcPr>
          <w:p w:rsidR="00790C57" w:rsidRPr="003C5007" w:rsidRDefault="00790C57" w:rsidP="003C5007">
            <w:pPr>
              <w:spacing w:line="360" w:lineRule="auto"/>
              <w:ind w:left="17"/>
              <w:jc w:val="left"/>
              <w:rPr>
                <w:rFonts w:eastAsiaTheme="minorEastAsia"/>
                <w:color w:val="000000" w:themeColor="text1"/>
                <w:szCs w:val="21"/>
              </w:rPr>
            </w:pPr>
            <w:r w:rsidRPr="003C5007">
              <w:rPr>
                <w:rFonts w:eastAsiaTheme="minorEastAsia"/>
                <w:color w:val="000000" w:themeColor="text1"/>
                <w:szCs w:val="21"/>
              </w:rPr>
              <w:t>固定收益投资</w:t>
            </w:r>
          </w:p>
        </w:tc>
        <w:tc>
          <w:tcPr>
            <w:tcW w:w="2486" w:type="dxa"/>
            <w:vAlign w:val="center"/>
          </w:tcPr>
          <w:p w:rsidR="00790C57" w:rsidRPr="003C5007" w:rsidRDefault="00790C57" w:rsidP="003C5007">
            <w:pPr>
              <w:spacing w:line="360" w:lineRule="auto"/>
              <w:ind w:left="17"/>
              <w:jc w:val="right"/>
              <w:rPr>
                <w:rFonts w:eastAsiaTheme="minorEastAsia"/>
                <w:color w:val="000000" w:themeColor="text1"/>
                <w:szCs w:val="21"/>
              </w:rPr>
            </w:pPr>
            <w:r w:rsidRPr="003C5007">
              <w:rPr>
                <w:rFonts w:eastAsiaTheme="minorEastAsia"/>
                <w:color w:val="000000" w:themeColor="text1"/>
                <w:szCs w:val="21"/>
              </w:rPr>
              <w:t>-</w:t>
            </w:r>
          </w:p>
        </w:tc>
        <w:tc>
          <w:tcPr>
            <w:tcW w:w="1603" w:type="dxa"/>
            <w:vAlign w:val="center"/>
          </w:tcPr>
          <w:p w:rsidR="00790C57" w:rsidRPr="003C5007" w:rsidRDefault="00790C57" w:rsidP="003C5007">
            <w:pPr>
              <w:spacing w:line="360" w:lineRule="auto"/>
              <w:ind w:left="17"/>
              <w:jc w:val="right"/>
              <w:rPr>
                <w:rFonts w:eastAsiaTheme="minorEastAsia"/>
                <w:color w:val="000000" w:themeColor="text1"/>
                <w:szCs w:val="21"/>
              </w:rPr>
            </w:pPr>
            <w:r w:rsidRPr="003C5007">
              <w:rPr>
                <w:rFonts w:eastAsiaTheme="minorEastAsia"/>
                <w:color w:val="000000" w:themeColor="text1"/>
                <w:szCs w:val="21"/>
              </w:rPr>
              <w:t>-</w:t>
            </w:r>
          </w:p>
        </w:tc>
      </w:tr>
      <w:tr w:rsidR="00790C57" w:rsidRPr="003C5007" w:rsidTr="008E5013">
        <w:trPr>
          <w:jc w:val="center"/>
        </w:trPr>
        <w:tc>
          <w:tcPr>
            <w:tcW w:w="653" w:type="dxa"/>
            <w:vAlign w:val="center"/>
          </w:tcPr>
          <w:p w:rsidR="00790C57" w:rsidRPr="003C5007" w:rsidRDefault="00790C57" w:rsidP="003C5007">
            <w:pPr>
              <w:spacing w:line="360" w:lineRule="auto"/>
              <w:ind w:left="17"/>
              <w:jc w:val="center"/>
              <w:rPr>
                <w:rFonts w:eastAsiaTheme="minorEastAsia"/>
                <w:color w:val="000000" w:themeColor="text1"/>
                <w:szCs w:val="21"/>
              </w:rPr>
            </w:pPr>
          </w:p>
        </w:tc>
        <w:tc>
          <w:tcPr>
            <w:tcW w:w="3742" w:type="dxa"/>
            <w:vAlign w:val="center"/>
          </w:tcPr>
          <w:p w:rsidR="00790C57" w:rsidRPr="003C5007" w:rsidRDefault="00790C57" w:rsidP="003C5007">
            <w:pPr>
              <w:spacing w:line="360" w:lineRule="auto"/>
              <w:ind w:left="17"/>
              <w:jc w:val="left"/>
              <w:rPr>
                <w:rFonts w:eastAsiaTheme="minorEastAsia"/>
                <w:color w:val="000000" w:themeColor="text1"/>
                <w:szCs w:val="21"/>
              </w:rPr>
            </w:pPr>
            <w:r w:rsidRPr="003C5007">
              <w:rPr>
                <w:rFonts w:eastAsiaTheme="minorEastAsia"/>
                <w:color w:val="000000" w:themeColor="text1"/>
                <w:szCs w:val="21"/>
              </w:rPr>
              <w:t>其中：债券</w:t>
            </w:r>
          </w:p>
        </w:tc>
        <w:tc>
          <w:tcPr>
            <w:tcW w:w="2486" w:type="dxa"/>
            <w:vAlign w:val="center"/>
          </w:tcPr>
          <w:p w:rsidR="00790C57" w:rsidRPr="003C5007" w:rsidRDefault="00790C57" w:rsidP="003C5007">
            <w:pPr>
              <w:spacing w:line="360" w:lineRule="auto"/>
              <w:ind w:left="17"/>
              <w:jc w:val="right"/>
              <w:rPr>
                <w:rFonts w:eastAsiaTheme="minorEastAsia"/>
                <w:color w:val="000000" w:themeColor="text1"/>
                <w:szCs w:val="21"/>
              </w:rPr>
            </w:pPr>
            <w:r w:rsidRPr="003C5007">
              <w:rPr>
                <w:rFonts w:eastAsiaTheme="minorEastAsia"/>
                <w:color w:val="000000" w:themeColor="text1"/>
                <w:szCs w:val="21"/>
              </w:rPr>
              <w:t>-</w:t>
            </w:r>
          </w:p>
        </w:tc>
        <w:tc>
          <w:tcPr>
            <w:tcW w:w="1603" w:type="dxa"/>
            <w:vAlign w:val="center"/>
          </w:tcPr>
          <w:p w:rsidR="00790C57" w:rsidRPr="003C5007" w:rsidRDefault="00790C57" w:rsidP="003C5007">
            <w:pPr>
              <w:spacing w:line="360" w:lineRule="auto"/>
              <w:ind w:left="17"/>
              <w:jc w:val="right"/>
              <w:rPr>
                <w:rFonts w:eastAsiaTheme="minorEastAsia"/>
                <w:color w:val="000000" w:themeColor="text1"/>
                <w:szCs w:val="21"/>
              </w:rPr>
            </w:pPr>
            <w:r w:rsidRPr="003C5007">
              <w:rPr>
                <w:rFonts w:eastAsiaTheme="minorEastAsia"/>
                <w:color w:val="000000" w:themeColor="text1"/>
                <w:szCs w:val="21"/>
              </w:rPr>
              <w:t>-</w:t>
            </w:r>
          </w:p>
        </w:tc>
      </w:tr>
      <w:tr w:rsidR="00790C57" w:rsidRPr="003C5007" w:rsidTr="008E5013">
        <w:trPr>
          <w:jc w:val="center"/>
        </w:trPr>
        <w:tc>
          <w:tcPr>
            <w:tcW w:w="653" w:type="dxa"/>
            <w:vAlign w:val="center"/>
          </w:tcPr>
          <w:p w:rsidR="00790C57" w:rsidRPr="003C5007" w:rsidRDefault="00790C57" w:rsidP="003C5007">
            <w:pPr>
              <w:spacing w:line="360" w:lineRule="auto"/>
              <w:ind w:left="17"/>
              <w:jc w:val="center"/>
              <w:rPr>
                <w:rFonts w:eastAsiaTheme="minorEastAsia"/>
                <w:color w:val="000000" w:themeColor="text1"/>
                <w:szCs w:val="21"/>
              </w:rPr>
            </w:pPr>
          </w:p>
        </w:tc>
        <w:tc>
          <w:tcPr>
            <w:tcW w:w="3742" w:type="dxa"/>
            <w:vAlign w:val="center"/>
          </w:tcPr>
          <w:p w:rsidR="00790C57" w:rsidRPr="003C5007" w:rsidRDefault="00790C57" w:rsidP="003C5007">
            <w:pPr>
              <w:autoSpaceDE w:val="0"/>
              <w:autoSpaceDN w:val="0"/>
              <w:adjustRightInd w:val="0"/>
              <w:spacing w:line="360" w:lineRule="auto"/>
              <w:ind w:left="17"/>
              <w:jc w:val="left"/>
              <w:rPr>
                <w:rFonts w:eastAsiaTheme="minorEastAsia"/>
                <w:color w:val="000000" w:themeColor="text1"/>
                <w:szCs w:val="21"/>
              </w:rPr>
            </w:pPr>
            <w:r w:rsidRPr="003C5007">
              <w:rPr>
                <w:rFonts w:eastAsiaTheme="minorEastAsia"/>
                <w:color w:val="000000" w:themeColor="text1"/>
                <w:szCs w:val="21"/>
              </w:rPr>
              <w:t>资产支持证券</w:t>
            </w:r>
          </w:p>
        </w:tc>
        <w:tc>
          <w:tcPr>
            <w:tcW w:w="2486" w:type="dxa"/>
            <w:vAlign w:val="center"/>
          </w:tcPr>
          <w:p w:rsidR="00790C57" w:rsidRPr="003C5007" w:rsidRDefault="00790C57" w:rsidP="003C5007">
            <w:pPr>
              <w:spacing w:line="360" w:lineRule="auto"/>
              <w:ind w:left="17"/>
              <w:jc w:val="right"/>
              <w:rPr>
                <w:rFonts w:eastAsiaTheme="minorEastAsia"/>
                <w:color w:val="000000" w:themeColor="text1"/>
                <w:szCs w:val="21"/>
              </w:rPr>
            </w:pPr>
            <w:r w:rsidRPr="003C5007">
              <w:rPr>
                <w:rFonts w:eastAsiaTheme="minorEastAsia"/>
                <w:color w:val="000000" w:themeColor="text1"/>
                <w:szCs w:val="21"/>
              </w:rPr>
              <w:t>-</w:t>
            </w:r>
          </w:p>
        </w:tc>
        <w:tc>
          <w:tcPr>
            <w:tcW w:w="1603" w:type="dxa"/>
            <w:vAlign w:val="center"/>
          </w:tcPr>
          <w:p w:rsidR="00790C57" w:rsidRPr="003C5007" w:rsidRDefault="00790C57" w:rsidP="003C5007">
            <w:pPr>
              <w:spacing w:line="360" w:lineRule="auto"/>
              <w:ind w:left="17"/>
              <w:jc w:val="right"/>
              <w:rPr>
                <w:rFonts w:eastAsiaTheme="minorEastAsia"/>
                <w:color w:val="000000" w:themeColor="text1"/>
                <w:szCs w:val="21"/>
              </w:rPr>
            </w:pPr>
            <w:r w:rsidRPr="003C5007">
              <w:rPr>
                <w:rFonts w:eastAsiaTheme="minorEastAsia"/>
                <w:color w:val="000000" w:themeColor="text1"/>
                <w:szCs w:val="21"/>
              </w:rPr>
              <w:t>-</w:t>
            </w:r>
          </w:p>
        </w:tc>
      </w:tr>
      <w:tr w:rsidR="00790C57" w:rsidRPr="003C5007" w:rsidTr="008E5013">
        <w:trPr>
          <w:jc w:val="center"/>
        </w:trPr>
        <w:tc>
          <w:tcPr>
            <w:tcW w:w="653" w:type="dxa"/>
          </w:tcPr>
          <w:p w:rsidR="00790C57" w:rsidRPr="003C5007" w:rsidRDefault="00790C57" w:rsidP="003C5007">
            <w:pPr>
              <w:spacing w:line="360" w:lineRule="auto"/>
              <w:ind w:left="17"/>
              <w:jc w:val="center"/>
              <w:rPr>
                <w:rFonts w:eastAsiaTheme="minorEastAsia"/>
                <w:color w:val="000000" w:themeColor="text1"/>
                <w:szCs w:val="21"/>
              </w:rPr>
            </w:pPr>
            <w:r w:rsidRPr="003C5007">
              <w:rPr>
                <w:rFonts w:eastAsiaTheme="minorEastAsia"/>
                <w:color w:val="000000" w:themeColor="text1"/>
                <w:szCs w:val="21"/>
              </w:rPr>
              <w:t>3</w:t>
            </w:r>
          </w:p>
        </w:tc>
        <w:tc>
          <w:tcPr>
            <w:tcW w:w="3742" w:type="dxa"/>
          </w:tcPr>
          <w:p w:rsidR="00790C57" w:rsidRPr="003C5007" w:rsidRDefault="00790C57" w:rsidP="003C5007">
            <w:pPr>
              <w:spacing w:line="360" w:lineRule="auto"/>
              <w:ind w:leftChars="50" w:left="105"/>
              <w:rPr>
                <w:rFonts w:eastAsiaTheme="minorEastAsia"/>
                <w:color w:val="000000" w:themeColor="text1"/>
                <w:szCs w:val="21"/>
              </w:rPr>
            </w:pPr>
            <w:r w:rsidRPr="003C5007">
              <w:rPr>
                <w:rFonts w:eastAsiaTheme="minorEastAsia"/>
                <w:color w:val="000000" w:themeColor="text1"/>
                <w:szCs w:val="21"/>
              </w:rPr>
              <w:t>贵金属投资</w:t>
            </w:r>
          </w:p>
        </w:tc>
        <w:tc>
          <w:tcPr>
            <w:tcW w:w="2486" w:type="dxa"/>
            <w:vAlign w:val="center"/>
          </w:tcPr>
          <w:p w:rsidR="00790C57" w:rsidRPr="003C5007" w:rsidRDefault="00790C57" w:rsidP="003C5007">
            <w:pPr>
              <w:spacing w:line="360" w:lineRule="auto"/>
              <w:ind w:left="17"/>
              <w:jc w:val="right"/>
              <w:rPr>
                <w:rFonts w:eastAsiaTheme="minorEastAsia"/>
                <w:color w:val="000000" w:themeColor="text1"/>
                <w:szCs w:val="21"/>
              </w:rPr>
            </w:pPr>
            <w:r w:rsidRPr="003C5007">
              <w:rPr>
                <w:rFonts w:eastAsiaTheme="minorEastAsia"/>
                <w:color w:val="000000" w:themeColor="text1"/>
                <w:szCs w:val="21"/>
              </w:rPr>
              <w:t>-</w:t>
            </w:r>
          </w:p>
        </w:tc>
        <w:tc>
          <w:tcPr>
            <w:tcW w:w="1603" w:type="dxa"/>
            <w:vAlign w:val="center"/>
          </w:tcPr>
          <w:p w:rsidR="00790C57" w:rsidRPr="003C5007" w:rsidRDefault="00790C57" w:rsidP="003C5007">
            <w:pPr>
              <w:spacing w:line="360" w:lineRule="auto"/>
              <w:ind w:left="17"/>
              <w:jc w:val="right"/>
              <w:rPr>
                <w:rFonts w:eastAsiaTheme="minorEastAsia"/>
                <w:color w:val="000000" w:themeColor="text1"/>
                <w:szCs w:val="21"/>
              </w:rPr>
            </w:pPr>
            <w:r w:rsidRPr="003C5007">
              <w:rPr>
                <w:rFonts w:eastAsiaTheme="minorEastAsia"/>
                <w:color w:val="000000" w:themeColor="text1"/>
                <w:szCs w:val="21"/>
              </w:rPr>
              <w:t>-</w:t>
            </w:r>
          </w:p>
        </w:tc>
      </w:tr>
      <w:tr w:rsidR="00790C57" w:rsidRPr="003C5007" w:rsidTr="008E5013">
        <w:trPr>
          <w:jc w:val="center"/>
        </w:trPr>
        <w:tc>
          <w:tcPr>
            <w:tcW w:w="653" w:type="dxa"/>
            <w:vAlign w:val="center"/>
          </w:tcPr>
          <w:p w:rsidR="00790C57" w:rsidRPr="003C5007" w:rsidRDefault="00790C57" w:rsidP="003C5007">
            <w:pPr>
              <w:spacing w:line="360" w:lineRule="auto"/>
              <w:ind w:left="17"/>
              <w:jc w:val="center"/>
              <w:rPr>
                <w:rFonts w:eastAsiaTheme="minorEastAsia"/>
                <w:color w:val="000000" w:themeColor="text1"/>
                <w:szCs w:val="21"/>
              </w:rPr>
            </w:pPr>
            <w:r w:rsidRPr="003C5007">
              <w:rPr>
                <w:rFonts w:eastAsiaTheme="minorEastAsia"/>
                <w:color w:val="000000" w:themeColor="text1"/>
                <w:szCs w:val="21"/>
              </w:rPr>
              <w:t>4</w:t>
            </w:r>
          </w:p>
        </w:tc>
        <w:tc>
          <w:tcPr>
            <w:tcW w:w="3742" w:type="dxa"/>
            <w:vAlign w:val="center"/>
          </w:tcPr>
          <w:p w:rsidR="00790C57" w:rsidRPr="003C5007" w:rsidRDefault="00790C57" w:rsidP="003C5007">
            <w:pPr>
              <w:spacing w:line="360" w:lineRule="auto"/>
              <w:ind w:left="17"/>
              <w:jc w:val="left"/>
              <w:rPr>
                <w:rFonts w:eastAsiaTheme="minorEastAsia"/>
                <w:color w:val="000000" w:themeColor="text1"/>
                <w:szCs w:val="21"/>
              </w:rPr>
            </w:pPr>
            <w:r w:rsidRPr="003C5007">
              <w:rPr>
                <w:rFonts w:eastAsiaTheme="minorEastAsia"/>
                <w:color w:val="000000" w:themeColor="text1"/>
                <w:szCs w:val="21"/>
              </w:rPr>
              <w:t>金融衍生品投资</w:t>
            </w:r>
          </w:p>
        </w:tc>
        <w:tc>
          <w:tcPr>
            <w:tcW w:w="2486" w:type="dxa"/>
            <w:vAlign w:val="center"/>
          </w:tcPr>
          <w:p w:rsidR="00790C57" w:rsidRPr="003C5007" w:rsidRDefault="00790C57" w:rsidP="003C5007">
            <w:pPr>
              <w:spacing w:line="360" w:lineRule="auto"/>
              <w:ind w:left="17"/>
              <w:jc w:val="right"/>
              <w:rPr>
                <w:rFonts w:eastAsiaTheme="minorEastAsia"/>
                <w:color w:val="000000" w:themeColor="text1"/>
                <w:szCs w:val="21"/>
              </w:rPr>
            </w:pPr>
            <w:r w:rsidRPr="003C5007">
              <w:rPr>
                <w:rFonts w:eastAsiaTheme="minorEastAsia"/>
                <w:color w:val="000000" w:themeColor="text1"/>
                <w:szCs w:val="21"/>
              </w:rPr>
              <w:t>-</w:t>
            </w:r>
          </w:p>
        </w:tc>
        <w:tc>
          <w:tcPr>
            <w:tcW w:w="1603" w:type="dxa"/>
            <w:vAlign w:val="center"/>
          </w:tcPr>
          <w:p w:rsidR="00790C57" w:rsidRPr="003C5007" w:rsidRDefault="00790C57" w:rsidP="003C5007">
            <w:pPr>
              <w:spacing w:line="360" w:lineRule="auto"/>
              <w:ind w:left="17"/>
              <w:jc w:val="right"/>
              <w:rPr>
                <w:rFonts w:eastAsiaTheme="minorEastAsia"/>
                <w:color w:val="000000" w:themeColor="text1"/>
                <w:szCs w:val="21"/>
              </w:rPr>
            </w:pPr>
            <w:r w:rsidRPr="003C5007">
              <w:rPr>
                <w:rFonts w:eastAsiaTheme="minorEastAsia"/>
                <w:color w:val="000000" w:themeColor="text1"/>
                <w:szCs w:val="21"/>
              </w:rPr>
              <w:t>-</w:t>
            </w:r>
          </w:p>
        </w:tc>
      </w:tr>
      <w:tr w:rsidR="00790C57" w:rsidRPr="003C5007" w:rsidTr="008E5013">
        <w:trPr>
          <w:jc w:val="center"/>
        </w:trPr>
        <w:tc>
          <w:tcPr>
            <w:tcW w:w="653" w:type="dxa"/>
            <w:vAlign w:val="center"/>
          </w:tcPr>
          <w:p w:rsidR="00790C57" w:rsidRPr="003C5007" w:rsidRDefault="00790C57" w:rsidP="003C5007">
            <w:pPr>
              <w:spacing w:line="360" w:lineRule="auto"/>
              <w:ind w:left="17"/>
              <w:jc w:val="center"/>
              <w:rPr>
                <w:rFonts w:eastAsiaTheme="minorEastAsia"/>
                <w:color w:val="000000" w:themeColor="text1"/>
                <w:szCs w:val="21"/>
              </w:rPr>
            </w:pPr>
            <w:r w:rsidRPr="003C5007">
              <w:rPr>
                <w:rFonts w:eastAsiaTheme="minorEastAsia"/>
                <w:color w:val="000000" w:themeColor="text1"/>
                <w:szCs w:val="21"/>
              </w:rPr>
              <w:t>5</w:t>
            </w:r>
          </w:p>
        </w:tc>
        <w:tc>
          <w:tcPr>
            <w:tcW w:w="3742" w:type="dxa"/>
            <w:vAlign w:val="center"/>
          </w:tcPr>
          <w:p w:rsidR="00790C57" w:rsidRPr="003C5007" w:rsidRDefault="00790C57" w:rsidP="003C5007">
            <w:pPr>
              <w:spacing w:line="360" w:lineRule="auto"/>
              <w:ind w:left="17"/>
              <w:jc w:val="left"/>
              <w:rPr>
                <w:rFonts w:eastAsiaTheme="minorEastAsia"/>
                <w:color w:val="000000" w:themeColor="text1"/>
                <w:szCs w:val="21"/>
              </w:rPr>
            </w:pPr>
            <w:r w:rsidRPr="003C5007">
              <w:rPr>
                <w:rFonts w:eastAsiaTheme="minorEastAsia"/>
                <w:color w:val="000000" w:themeColor="text1"/>
                <w:szCs w:val="21"/>
              </w:rPr>
              <w:t>买入返售金融资产</w:t>
            </w:r>
          </w:p>
        </w:tc>
        <w:tc>
          <w:tcPr>
            <w:tcW w:w="2486" w:type="dxa"/>
            <w:vAlign w:val="center"/>
          </w:tcPr>
          <w:p w:rsidR="00790C57" w:rsidRPr="003C5007" w:rsidRDefault="00790C57" w:rsidP="003C5007">
            <w:pPr>
              <w:spacing w:line="360" w:lineRule="auto"/>
              <w:ind w:left="17"/>
              <w:jc w:val="right"/>
              <w:rPr>
                <w:rFonts w:eastAsiaTheme="minorEastAsia"/>
                <w:color w:val="000000" w:themeColor="text1"/>
                <w:szCs w:val="21"/>
              </w:rPr>
            </w:pPr>
            <w:r w:rsidRPr="003C5007">
              <w:rPr>
                <w:rFonts w:eastAsiaTheme="minorEastAsia"/>
                <w:color w:val="000000" w:themeColor="text1"/>
                <w:szCs w:val="21"/>
              </w:rPr>
              <w:t>-</w:t>
            </w:r>
          </w:p>
        </w:tc>
        <w:tc>
          <w:tcPr>
            <w:tcW w:w="1603" w:type="dxa"/>
            <w:vAlign w:val="center"/>
          </w:tcPr>
          <w:p w:rsidR="00790C57" w:rsidRPr="003C5007" w:rsidRDefault="00790C57" w:rsidP="003C5007">
            <w:pPr>
              <w:spacing w:line="360" w:lineRule="auto"/>
              <w:ind w:left="17"/>
              <w:jc w:val="right"/>
              <w:rPr>
                <w:rFonts w:eastAsiaTheme="minorEastAsia"/>
                <w:color w:val="000000" w:themeColor="text1"/>
                <w:szCs w:val="21"/>
              </w:rPr>
            </w:pPr>
            <w:r w:rsidRPr="003C5007">
              <w:rPr>
                <w:rFonts w:eastAsiaTheme="minorEastAsia"/>
                <w:color w:val="000000" w:themeColor="text1"/>
                <w:szCs w:val="21"/>
              </w:rPr>
              <w:t>-</w:t>
            </w:r>
          </w:p>
        </w:tc>
      </w:tr>
      <w:tr w:rsidR="00790C57" w:rsidRPr="003C5007" w:rsidTr="008E5013">
        <w:trPr>
          <w:jc w:val="center"/>
        </w:trPr>
        <w:tc>
          <w:tcPr>
            <w:tcW w:w="653" w:type="dxa"/>
            <w:vAlign w:val="center"/>
          </w:tcPr>
          <w:p w:rsidR="00790C57" w:rsidRPr="003C5007" w:rsidRDefault="00790C57" w:rsidP="003C5007">
            <w:pPr>
              <w:spacing w:line="360" w:lineRule="auto"/>
              <w:ind w:left="17"/>
              <w:jc w:val="center"/>
              <w:rPr>
                <w:rFonts w:eastAsiaTheme="minorEastAsia"/>
                <w:color w:val="000000" w:themeColor="text1"/>
                <w:szCs w:val="21"/>
              </w:rPr>
            </w:pPr>
          </w:p>
        </w:tc>
        <w:tc>
          <w:tcPr>
            <w:tcW w:w="3742" w:type="dxa"/>
            <w:vAlign w:val="center"/>
          </w:tcPr>
          <w:p w:rsidR="00790C57" w:rsidRPr="003C5007" w:rsidRDefault="00790C57" w:rsidP="003C5007">
            <w:pPr>
              <w:spacing w:line="360" w:lineRule="auto"/>
              <w:ind w:left="17"/>
              <w:jc w:val="left"/>
              <w:rPr>
                <w:rFonts w:eastAsiaTheme="minorEastAsia"/>
                <w:color w:val="000000" w:themeColor="text1"/>
                <w:szCs w:val="21"/>
              </w:rPr>
            </w:pPr>
            <w:r w:rsidRPr="003C5007">
              <w:rPr>
                <w:rFonts w:eastAsiaTheme="minorEastAsia"/>
                <w:color w:val="000000" w:themeColor="text1"/>
                <w:szCs w:val="21"/>
              </w:rPr>
              <w:t>其中：买断式回购的买入返售金融资产</w:t>
            </w:r>
          </w:p>
        </w:tc>
        <w:tc>
          <w:tcPr>
            <w:tcW w:w="2486" w:type="dxa"/>
            <w:vAlign w:val="center"/>
          </w:tcPr>
          <w:p w:rsidR="00790C57" w:rsidRPr="003C5007" w:rsidRDefault="00790C57" w:rsidP="003C5007">
            <w:pPr>
              <w:spacing w:line="360" w:lineRule="auto"/>
              <w:ind w:left="17"/>
              <w:jc w:val="right"/>
              <w:rPr>
                <w:rFonts w:eastAsiaTheme="minorEastAsia"/>
                <w:color w:val="000000" w:themeColor="text1"/>
                <w:szCs w:val="21"/>
              </w:rPr>
            </w:pPr>
            <w:r w:rsidRPr="003C5007">
              <w:rPr>
                <w:rFonts w:eastAsiaTheme="minorEastAsia"/>
                <w:color w:val="000000" w:themeColor="text1"/>
                <w:szCs w:val="21"/>
              </w:rPr>
              <w:t>-</w:t>
            </w:r>
          </w:p>
        </w:tc>
        <w:tc>
          <w:tcPr>
            <w:tcW w:w="1603" w:type="dxa"/>
            <w:vAlign w:val="center"/>
          </w:tcPr>
          <w:p w:rsidR="00790C57" w:rsidRPr="003C5007" w:rsidRDefault="00790C57" w:rsidP="003C5007">
            <w:pPr>
              <w:spacing w:line="360" w:lineRule="auto"/>
              <w:ind w:left="17"/>
              <w:jc w:val="right"/>
              <w:rPr>
                <w:rFonts w:eastAsiaTheme="minorEastAsia"/>
                <w:color w:val="000000" w:themeColor="text1"/>
                <w:szCs w:val="21"/>
              </w:rPr>
            </w:pPr>
            <w:r w:rsidRPr="003C5007">
              <w:rPr>
                <w:rFonts w:eastAsiaTheme="minorEastAsia"/>
                <w:color w:val="000000" w:themeColor="text1"/>
                <w:szCs w:val="21"/>
              </w:rPr>
              <w:t>-</w:t>
            </w:r>
          </w:p>
        </w:tc>
      </w:tr>
      <w:tr w:rsidR="00790C57" w:rsidRPr="003C5007" w:rsidTr="008E5013">
        <w:trPr>
          <w:jc w:val="center"/>
        </w:trPr>
        <w:tc>
          <w:tcPr>
            <w:tcW w:w="653" w:type="dxa"/>
            <w:vAlign w:val="center"/>
          </w:tcPr>
          <w:p w:rsidR="00790C57" w:rsidRPr="003C5007" w:rsidRDefault="00790C57" w:rsidP="003C5007">
            <w:pPr>
              <w:spacing w:line="360" w:lineRule="auto"/>
              <w:ind w:left="17"/>
              <w:jc w:val="center"/>
              <w:rPr>
                <w:rFonts w:eastAsiaTheme="minorEastAsia"/>
                <w:color w:val="000000" w:themeColor="text1"/>
                <w:szCs w:val="21"/>
              </w:rPr>
            </w:pPr>
            <w:r w:rsidRPr="003C5007">
              <w:rPr>
                <w:rFonts w:eastAsiaTheme="minorEastAsia"/>
                <w:color w:val="000000" w:themeColor="text1"/>
                <w:szCs w:val="21"/>
              </w:rPr>
              <w:t>6</w:t>
            </w:r>
          </w:p>
        </w:tc>
        <w:tc>
          <w:tcPr>
            <w:tcW w:w="3742" w:type="dxa"/>
            <w:vAlign w:val="center"/>
          </w:tcPr>
          <w:p w:rsidR="00790C57" w:rsidRPr="003C5007" w:rsidRDefault="00790C57" w:rsidP="003C5007">
            <w:pPr>
              <w:spacing w:line="360" w:lineRule="auto"/>
              <w:ind w:left="17"/>
              <w:jc w:val="left"/>
              <w:rPr>
                <w:rFonts w:eastAsiaTheme="minorEastAsia"/>
                <w:color w:val="000000" w:themeColor="text1"/>
                <w:szCs w:val="21"/>
              </w:rPr>
            </w:pPr>
            <w:r w:rsidRPr="003C5007">
              <w:rPr>
                <w:rFonts w:eastAsiaTheme="minorEastAsia"/>
                <w:color w:val="000000" w:themeColor="text1"/>
                <w:szCs w:val="21"/>
              </w:rPr>
              <w:t>银行存款和结算备付金合计</w:t>
            </w:r>
          </w:p>
        </w:tc>
        <w:tc>
          <w:tcPr>
            <w:tcW w:w="2486" w:type="dxa"/>
            <w:vAlign w:val="center"/>
          </w:tcPr>
          <w:p w:rsidR="00790C57" w:rsidRPr="003C5007" w:rsidRDefault="00790C57" w:rsidP="003C5007">
            <w:pPr>
              <w:spacing w:line="360" w:lineRule="auto"/>
              <w:ind w:left="17"/>
              <w:jc w:val="right"/>
              <w:rPr>
                <w:rFonts w:eastAsiaTheme="minorEastAsia"/>
                <w:color w:val="000000" w:themeColor="text1"/>
                <w:szCs w:val="21"/>
              </w:rPr>
            </w:pPr>
            <w:r w:rsidRPr="003C5007">
              <w:rPr>
                <w:rFonts w:eastAsiaTheme="minorEastAsia"/>
                <w:color w:val="000000" w:themeColor="text1"/>
                <w:szCs w:val="21"/>
              </w:rPr>
              <w:t>26,110,499.27</w:t>
            </w:r>
          </w:p>
        </w:tc>
        <w:tc>
          <w:tcPr>
            <w:tcW w:w="1603" w:type="dxa"/>
            <w:vAlign w:val="center"/>
          </w:tcPr>
          <w:p w:rsidR="00790C57" w:rsidRPr="003C5007" w:rsidRDefault="00790C57" w:rsidP="003C5007">
            <w:pPr>
              <w:spacing w:line="360" w:lineRule="auto"/>
              <w:ind w:left="17"/>
              <w:jc w:val="right"/>
              <w:rPr>
                <w:rFonts w:eastAsiaTheme="minorEastAsia"/>
                <w:color w:val="000000" w:themeColor="text1"/>
                <w:szCs w:val="21"/>
              </w:rPr>
            </w:pPr>
            <w:r w:rsidRPr="003C5007">
              <w:rPr>
                <w:rFonts w:eastAsiaTheme="minorEastAsia"/>
                <w:color w:val="000000" w:themeColor="text1"/>
                <w:szCs w:val="21"/>
              </w:rPr>
              <w:t>8.01</w:t>
            </w:r>
          </w:p>
        </w:tc>
      </w:tr>
      <w:tr w:rsidR="00790C57" w:rsidRPr="003C5007" w:rsidTr="008E5013">
        <w:trPr>
          <w:jc w:val="center"/>
        </w:trPr>
        <w:tc>
          <w:tcPr>
            <w:tcW w:w="653" w:type="dxa"/>
            <w:vAlign w:val="center"/>
          </w:tcPr>
          <w:p w:rsidR="00790C57" w:rsidRPr="003C5007" w:rsidRDefault="00790C57" w:rsidP="003C5007">
            <w:pPr>
              <w:spacing w:line="360" w:lineRule="auto"/>
              <w:ind w:left="17"/>
              <w:jc w:val="center"/>
              <w:rPr>
                <w:rFonts w:eastAsiaTheme="minorEastAsia"/>
                <w:color w:val="000000" w:themeColor="text1"/>
                <w:szCs w:val="21"/>
              </w:rPr>
            </w:pPr>
            <w:r w:rsidRPr="003C5007">
              <w:rPr>
                <w:rFonts w:eastAsiaTheme="minorEastAsia"/>
                <w:color w:val="000000" w:themeColor="text1"/>
                <w:szCs w:val="21"/>
              </w:rPr>
              <w:t>7</w:t>
            </w:r>
          </w:p>
        </w:tc>
        <w:tc>
          <w:tcPr>
            <w:tcW w:w="3742" w:type="dxa"/>
            <w:vAlign w:val="center"/>
          </w:tcPr>
          <w:p w:rsidR="00790C57" w:rsidRPr="003C5007" w:rsidRDefault="00790C57" w:rsidP="003C5007">
            <w:pPr>
              <w:spacing w:line="360" w:lineRule="auto"/>
              <w:jc w:val="left"/>
              <w:rPr>
                <w:rFonts w:eastAsiaTheme="minorEastAsia"/>
                <w:color w:val="000000" w:themeColor="text1"/>
                <w:szCs w:val="21"/>
              </w:rPr>
            </w:pPr>
            <w:r w:rsidRPr="003C5007">
              <w:rPr>
                <w:rFonts w:eastAsiaTheme="minorEastAsia"/>
                <w:color w:val="000000" w:themeColor="text1"/>
                <w:szCs w:val="21"/>
              </w:rPr>
              <w:t>其他各项资产</w:t>
            </w:r>
          </w:p>
        </w:tc>
        <w:tc>
          <w:tcPr>
            <w:tcW w:w="2486" w:type="dxa"/>
            <w:vAlign w:val="center"/>
          </w:tcPr>
          <w:p w:rsidR="00790C57" w:rsidRPr="003C5007" w:rsidRDefault="00790C57" w:rsidP="003C5007">
            <w:pPr>
              <w:spacing w:line="360" w:lineRule="auto"/>
              <w:jc w:val="right"/>
              <w:rPr>
                <w:rFonts w:eastAsiaTheme="minorEastAsia"/>
                <w:color w:val="000000" w:themeColor="text1"/>
                <w:szCs w:val="21"/>
              </w:rPr>
            </w:pPr>
            <w:r w:rsidRPr="003C5007">
              <w:rPr>
                <w:rFonts w:eastAsiaTheme="minorEastAsia"/>
                <w:color w:val="000000" w:themeColor="text1"/>
                <w:szCs w:val="21"/>
              </w:rPr>
              <w:t>12,209,985.76</w:t>
            </w:r>
          </w:p>
        </w:tc>
        <w:tc>
          <w:tcPr>
            <w:tcW w:w="1603" w:type="dxa"/>
            <w:vAlign w:val="center"/>
          </w:tcPr>
          <w:p w:rsidR="00790C57" w:rsidRPr="003C5007" w:rsidRDefault="00790C57" w:rsidP="003C5007">
            <w:pPr>
              <w:spacing w:line="360" w:lineRule="auto"/>
              <w:jc w:val="right"/>
              <w:rPr>
                <w:rFonts w:eastAsiaTheme="minorEastAsia"/>
                <w:color w:val="000000" w:themeColor="text1"/>
                <w:szCs w:val="21"/>
              </w:rPr>
            </w:pPr>
            <w:r w:rsidRPr="003C5007">
              <w:rPr>
                <w:rFonts w:eastAsiaTheme="minorEastAsia"/>
                <w:color w:val="000000" w:themeColor="text1"/>
                <w:szCs w:val="21"/>
              </w:rPr>
              <w:t>3.74</w:t>
            </w:r>
          </w:p>
        </w:tc>
      </w:tr>
      <w:tr w:rsidR="00790C57" w:rsidRPr="003C5007" w:rsidTr="008E5013">
        <w:trPr>
          <w:jc w:val="center"/>
        </w:trPr>
        <w:tc>
          <w:tcPr>
            <w:tcW w:w="653" w:type="dxa"/>
            <w:vAlign w:val="center"/>
          </w:tcPr>
          <w:p w:rsidR="00790C57" w:rsidRPr="003C5007" w:rsidRDefault="00790C57" w:rsidP="003C5007">
            <w:pPr>
              <w:spacing w:line="360" w:lineRule="auto"/>
              <w:ind w:left="17"/>
              <w:jc w:val="center"/>
              <w:rPr>
                <w:rFonts w:eastAsiaTheme="minorEastAsia"/>
                <w:color w:val="000000" w:themeColor="text1"/>
                <w:szCs w:val="21"/>
              </w:rPr>
            </w:pPr>
            <w:r w:rsidRPr="003C5007">
              <w:rPr>
                <w:rFonts w:eastAsiaTheme="minorEastAsia"/>
                <w:color w:val="000000" w:themeColor="text1"/>
                <w:szCs w:val="21"/>
              </w:rPr>
              <w:t>8</w:t>
            </w:r>
          </w:p>
        </w:tc>
        <w:tc>
          <w:tcPr>
            <w:tcW w:w="3742" w:type="dxa"/>
            <w:vAlign w:val="center"/>
          </w:tcPr>
          <w:p w:rsidR="00790C57" w:rsidRPr="003C5007" w:rsidRDefault="00790C57" w:rsidP="003C5007">
            <w:pPr>
              <w:spacing w:line="360" w:lineRule="auto"/>
              <w:jc w:val="left"/>
              <w:rPr>
                <w:rFonts w:eastAsiaTheme="minorEastAsia"/>
                <w:color w:val="000000" w:themeColor="text1"/>
                <w:szCs w:val="21"/>
              </w:rPr>
            </w:pPr>
            <w:r w:rsidRPr="003C5007">
              <w:rPr>
                <w:rFonts w:eastAsiaTheme="minorEastAsia"/>
                <w:color w:val="000000" w:themeColor="text1"/>
                <w:szCs w:val="21"/>
              </w:rPr>
              <w:t>合计</w:t>
            </w:r>
          </w:p>
        </w:tc>
        <w:tc>
          <w:tcPr>
            <w:tcW w:w="2486" w:type="dxa"/>
            <w:vAlign w:val="center"/>
          </w:tcPr>
          <w:p w:rsidR="00790C57" w:rsidRPr="003C5007" w:rsidRDefault="00790C57" w:rsidP="003C5007">
            <w:pPr>
              <w:spacing w:line="360" w:lineRule="auto"/>
              <w:jc w:val="right"/>
              <w:rPr>
                <w:rFonts w:eastAsiaTheme="minorEastAsia"/>
                <w:color w:val="000000" w:themeColor="text1"/>
                <w:szCs w:val="21"/>
              </w:rPr>
            </w:pPr>
            <w:r w:rsidRPr="003C5007">
              <w:rPr>
                <w:rFonts w:eastAsiaTheme="minorEastAsia"/>
                <w:color w:val="000000" w:themeColor="text1"/>
                <w:szCs w:val="21"/>
              </w:rPr>
              <w:t>326,141,465.88</w:t>
            </w:r>
          </w:p>
        </w:tc>
        <w:tc>
          <w:tcPr>
            <w:tcW w:w="1603" w:type="dxa"/>
            <w:vAlign w:val="center"/>
          </w:tcPr>
          <w:p w:rsidR="00790C57" w:rsidRPr="003C5007" w:rsidRDefault="00790C57" w:rsidP="003C5007">
            <w:pPr>
              <w:spacing w:line="360" w:lineRule="auto"/>
              <w:jc w:val="right"/>
              <w:rPr>
                <w:rFonts w:eastAsiaTheme="minorEastAsia"/>
                <w:color w:val="000000" w:themeColor="text1"/>
                <w:szCs w:val="21"/>
              </w:rPr>
            </w:pPr>
            <w:r w:rsidRPr="003C5007">
              <w:rPr>
                <w:rFonts w:eastAsiaTheme="minorEastAsia"/>
                <w:color w:val="000000" w:themeColor="text1"/>
                <w:szCs w:val="21"/>
              </w:rPr>
              <w:t>100.00</w:t>
            </w:r>
          </w:p>
        </w:tc>
      </w:tr>
    </w:tbl>
    <w:p w:rsidR="00790C57" w:rsidRPr="003C5007" w:rsidRDefault="00790C57" w:rsidP="003C5007">
      <w:pPr>
        <w:autoSpaceDE w:val="0"/>
        <w:autoSpaceDN w:val="0"/>
        <w:adjustRightInd w:val="0"/>
        <w:spacing w:line="360" w:lineRule="auto"/>
        <w:jc w:val="left"/>
        <w:rPr>
          <w:rFonts w:eastAsiaTheme="minorEastAsia"/>
          <w:color w:val="000000" w:themeColor="text1"/>
          <w:szCs w:val="21"/>
        </w:rPr>
      </w:pPr>
      <w:r w:rsidRPr="003C5007">
        <w:rPr>
          <w:rFonts w:eastAsiaTheme="minorEastAsia"/>
          <w:color w:val="000000" w:themeColor="text1"/>
          <w:szCs w:val="21"/>
        </w:rPr>
        <w:t>注：本基金未开通港股通交易机制投资于港股。</w:t>
      </w:r>
    </w:p>
    <w:p w:rsidR="00790C57" w:rsidRPr="003C5007" w:rsidRDefault="00790C57" w:rsidP="003C5007">
      <w:pPr>
        <w:autoSpaceDE w:val="0"/>
        <w:autoSpaceDN w:val="0"/>
        <w:adjustRightInd w:val="0"/>
        <w:spacing w:line="360" w:lineRule="auto"/>
        <w:jc w:val="left"/>
        <w:rPr>
          <w:rFonts w:eastAsiaTheme="minorEastAsia"/>
          <w:b/>
          <w:color w:val="000000" w:themeColor="text1"/>
          <w:kern w:val="0"/>
          <w:szCs w:val="21"/>
        </w:rPr>
      </w:pPr>
      <w:r w:rsidRPr="003C5007">
        <w:rPr>
          <w:rFonts w:eastAsiaTheme="minorEastAsia"/>
          <w:b/>
          <w:color w:val="000000" w:themeColor="text1"/>
          <w:kern w:val="0"/>
          <w:szCs w:val="21"/>
        </w:rPr>
        <w:t>5</w:t>
      </w:r>
      <w:r w:rsidR="007C7F93" w:rsidRPr="003C5007">
        <w:rPr>
          <w:rFonts w:eastAsiaTheme="minorEastAsia"/>
          <w:b/>
          <w:color w:val="000000" w:themeColor="text1"/>
          <w:kern w:val="0"/>
          <w:szCs w:val="21"/>
        </w:rPr>
        <w:t>.2</w:t>
      </w:r>
      <w:r w:rsidRPr="003C5007">
        <w:rPr>
          <w:rFonts w:eastAsiaTheme="minorEastAsia"/>
          <w:b/>
          <w:color w:val="000000" w:themeColor="text1"/>
          <w:kern w:val="0"/>
          <w:szCs w:val="21"/>
        </w:rPr>
        <w:t xml:space="preserve">.2 </w:t>
      </w:r>
      <w:r w:rsidRPr="003C5007">
        <w:rPr>
          <w:rFonts w:eastAsiaTheme="minorEastAsia"/>
          <w:b/>
          <w:color w:val="000000" w:themeColor="text1"/>
          <w:kern w:val="0"/>
          <w:szCs w:val="21"/>
        </w:rPr>
        <w:t>报告期末按行业分类的股票投资组合</w:t>
      </w:r>
    </w:p>
    <w:p w:rsidR="00790C57" w:rsidRPr="003C5007" w:rsidRDefault="00790C57" w:rsidP="003C5007">
      <w:pPr>
        <w:spacing w:line="360" w:lineRule="auto"/>
        <w:rPr>
          <w:b/>
          <w:szCs w:val="21"/>
        </w:rPr>
      </w:pPr>
      <w:r w:rsidRPr="003C5007">
        <w:rPr>
          <w:rFonts w:eastAsiaTheme="minorEastAsia"/>
          <w:b/>
          <w:color w:val="000000" w:themeColor="text1"/>
          <w:kern w:val="0"/>
          <w:szCs w:val="21"/>
        </w:rPr>
        <w:t>5</w:t>
      </w:r>
      <w:r w:rsidR="007C7F93" w:rsidRPr="003C5007">
        <w:rPr>
          <w:rFonts w:eastAsiaTheme="minorEastAsia"/>
          <w:b/>
          <w:color w:val="000000" w:themeColor="text1"/>
          <w:kern w:val="0"/>
          <w:szCs w:val="21"/>
        </w:rPr>
        <w:t>.2</w:t>
      </w:r>
      <w:r w:rsidRPr="003C5007">
        <w:rPr>
          <w:rFonts w:eastAsiaTheme="minorEastAsia"/>
          <w:b/>
          <w:color w:val="000000" w:themeColor="text1"/>
          <w:kern w:val="0"/>
          <w:szCs w:val="21"/>
        </w:rPr>
        <w:t>.2.1</w:t>
      </w:r>
      <w:r w:rsidRPr="003C5007">
        <w:rPr>
          <w:rFonts w:eastAsiaTheme="minorEastAsia"/>
          <w:b/>
          <w:color w:val="000000" w:themeColor="text1"/>
          <w:kern w:val="0"/>
          <w:szCs w:val="21"/>
        </w:rPr>
        <w:t>报告期末按行业分类的境内股票投资组合</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684"/>
        <w:gridCol w:w="3574"/>
        <w:gridCol w:w="2571"/>
        <w:gridCol w:w="1503"/>
      </w:tblGrid>
      <w:tr w:rsidR="00790C57" w:rsidRPr="003C5007" w:rsidTr="008E5013">
        <w:trPr>
          <w:trHeight w:val="390"/>
        </w:trPr>
        <w:tc>
          <w:tcPr>
            <w:tcW w:w="410" w:type="pct"/>
            <w:tcBorders>
              <w:top w:val="single" w:sz="4" w:space="0" w:color="000000"/>
              <w:left w:val="single" w:sz="4" w:space="0" w:color="000000"/>
              <w:bottom w:val="single" w:sz="4" w:space="0" w:color="000000"/>
              <w:right w:val="single" w:sz="4" w:space="0" w:color="000000"/>
            </w:tcBorders>
            <w:vAlign w:val="center"/>
          </w:tcPr>
          <w:p w:rsidR="00790C57" w:rsidRPr="003C5007" w:rsidRDefault="00790C57" w:rsidP="003C5007">
            <w:pPr>
              <w:adjustRightInd w:val="0"/>
              <w:snapToGrid w:val="0"/>
              <w:spacing w:line="360" w:lineRule="auto"/>
              <w:jc w:val="center"/>
              <w:rPr>
                <w:rFonts w:eastAsiaTheme="minorEastAsia"/>
                <w:color w:val="000000" w:themeColor="text1"/>
                <w:szCs w:val="21"/>
              </w:rPr>
            </w:pPr>
            <w:r w:rsidRPr="003C5007">
              <w:rPr>
                <w:rFonts w:eastAsiaTheme="minorEastAsia"/>
                <w:color w:val="000000" w:themeColor="text1"/>
                <w:szCs w:val="21"/>
              </w:rPr>
              <w:t>代码</w:t>
            </w:r>
          </w:p>
        </w:tc>
        <w:tc>
          <w:tcPr>
            <w:tcW w:w="2145"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90C57" w:rsidRPr="003C5007" w:rsidRDefault="00790C57" w:rsidP="003C5007">
            <w:pPr>
              <w:adjustRightInd w:val="0"/>
              <w:snapToGrid w:val="0"/>
              <w:spacing w:line="360" w:lineRule="auto"/>
              <w:jc w:val="center"/>
              <w:rPr>
                <w:rFonts w:eastAsiaTheme="minorEastAsia"/>
                <w:color w:val="000000" w:themeColor="text1"/>
                <w:szCs w:val="21"/>
              </w:rPr>
            </w:pPr>
            <w:r w:rsidRPr="003C5007">
              <w:rPr>
                <w:rFonts w:eastAsiaTheme="minorEastAsia"/>
                <w:color w:val="000000" w:themeColor="text1"/>
                <w:szCs w:val="21"/>
              </w:rPr>
              <w:t>行业类别</w:t>
            </w:r>
          </w:p>
        </w:tc>
        <w:tc>
          <w:tcPr>
            <w:tcW w:w="1543" w:type="pct"/>
            <w:tcBorders>
              <w:top w:val="single" w:sz="4" w:space="0" w:color="000000"/>
              <w:left w:val="single" w:sz="4" w:space="0" w:color="auto"/>
              <w:bottom w:val="single" w:sz="4" w:space="0" w:color="000000"/>
              <w:right w:val="single" w:sz="4" w:space="0" w:color="000000"/>
            </w:tcBorders>
            <w:vAlign w:val="center"/>
          </w:tcPr>
          <w:p w:rsidR="00790C57" w:rsidRPr="003C5007" w:rsidRDefault="00790C57" w:rsidP="003C5007">
            <w:pPr>
              <w:adjustRightInd w:val="0"/>
              <w:snapToGrid w:val="0"/>
              <w:spacing w:line="360" w:lineRule="auto"/>
              <w:jc w:val="center"/>
              <w:rPr>
                <w:rFonts w:eastAsiaTheme="minorEastAsia"/>
                <w:color w:val="000000" w:themeColor="text1"/>
                <w:szCs w:val="21"/>
              </w:rPr>
            </w:pPr>
            <w:r w:rsidRPr="003C5007">
              <w:rPr>
                <w:rFonts w:eastAsiaTheme="minorEastAsia"/>
                <w:color w:val="000000" w:themeColor="text1"/>
                <w:szCs w:val="21"/>
              </w:rPr>
              <w:t>公允价值（元）</w:t>
            </w:r>
          </w:p>
        </w:tc>
        <w:tc>
          <w:tcPr>
            <w:tcW w:w="90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90C57" w:rsidRPr="003C5007" w:rsidRDefault="00790C57" w:rsidP="003C5007">
            <w:pPr>
              <w:adjustRightInd w:val="0"/>
              <w:snapToGrid w:val="0"/>
              <w:spacing w:line="360" w:lineRule="auto"/>
              <w:jc w:val="center"/>
              <w:rPr>
                <w:rFonts w:eastAsiaTheme="minorEastAsia"/>
                <w:color w:val="000000" w:themeColor="text1"/>
                <w:szCs w:val="21"/>
              </w:rPr>
            </w:pPr>
            <w:r w:rsidRPr="003C5007">
              <w:rPr>
                <w:rFonts w:eastAsiaTheme="minorEastAsia"/>
                <w:color w:val="000000" w:themeColor="text1"/>
                <w:szCs w:val="21"/>
              </w:rPr>
              <w:t>占基金资产净值比例（％）</w:t>
            </w:r>
          </w:p>
        </w:tc>
      </w:tr>
      <w:tr w:rsidR="00790C57" w:rsidRPr="003C5007" w:rsidTr="008E5013">
        <w:trPr>
          <w:trHeight w:val="285"/>
        </w:trPr>
        <w:tc>
          <w:tcPr>
            <w:tcW w:w="41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90C57" w:rsidRPr="003C5007" w:rsidRDefault="00790C57" w:rsidP="003C5007">
            <w:pPr>
              <w:adjustRightInd w:val="0"/>
              <w:snapToGrid w:val="0"/>
              <w:spacing w:line="360" w:lineRule="auto"/>
              <w:jc w:val="center"/>
              <w:rPr>
                <w:rFonts w:eastAsiaTheme="minorEastAsia"/>
                <w:color w:val="000000" w:themeColor="text1"/>
                <w:szCs w:val="21"/>
              </w:rPr>
            </w:pPr>
            <w:r w:rsidRPr="003C5007">
              <w:rPr>
                <w:rFonts w:eastAsiaTheme="minorEastAsia"/>
                <w:color w:val="000000" w:themeColor="text1"/>
                <w:szCs w:val="21"/>
              </w:rPr>
              <w:t>A</w:t>
            </w:r>
          </w:p>
        </w:tc>
        <w:tc>
          <w:tcPr>
            <w:tcW w:w="2145"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90C57" w:rsidRPr="003C5007" w:rsidRDefault="00790C57" w:rsidP="003C5007">
            <w:pPr>
              <w:adjustRightInd w:val="0"/>
              <w:snapToGrid w:val="0"/>
              <w:spacing w:line="360" w:lineRule="auto"/>
              <w:rPr>
                <w:rFonts w:eastAsiaTheme="minorEastAsia"/>
                <w:color w:val="000000" w:themeColor="text1"/>
                <w:szCs w:val="21"/>
              </w:rPr>
            </w:pPr>
            <w:r w:rsidRPr="003C5007">
              <w:rPr>
                <w:rFonts w:eastAsiaTheme="minorEastAsia"/>
                <w:color w:val="000000" w:themeColor="text1"/>
                <w:szCs w:val="21"/>
              </w:rPr>
              <w:t>农、林、牧、渔业</w:t>
            </w:r>
          </w:p>
        </w:tc>
        <w:tc>
          <w:tcPr>
            <w:tcW w:w="1543" w:type="pct"/>
            <w:tcBorders>
              <w:top w:val="single" w:sz="4" w:space="0" w:color="000000"/>
              <w:left w:val="single" w:sz="4" w:space="0" w:color="auto"/>
              <w:bottom w:val="single" w:sz="4" w:space="0" w:color="000000"/>
              <w:right w:val="single" w:sz="4" w:space="0" w:color="000000"/>
            </w:tcBorders>
            <w:vAlign w:val="center"/>
          </w:tcPr>
          <w:p w:rsidR="00790C57" w:rsidRPr="003C5007" w:rsidRDefault="00790C57" w:rsidP="003C5007">
            <w:pPr>
              <w:autoSpaceDE w:val="0"/>
              <w:autoSpaceDN w:val="0"/>
              <w:adjustRightInd w:val="0"/>
              <w:spacing w:line="360" w:lineRule="auto"/>
              <w:ind w:left="15"/>
              <w:jc w:val="right"/>
              <w:rPr>
                <w:rFonts w:eastAsiaTheme="minorEastAsia"/>
                <w:color w:val="000000" w:themeColor="text1"/>
                <w:szCs w:val="21"/>
              </w:rPr>
            </w:pPr>
            <w:r w:rsidRPr="003C5007">
              <w:rPr>
                <w:rFonts w:eastAsiaTheme="minorEastAsia"/>
                <w:color w:val="000000" w:themeColor="text1"/>
                <w:szCs w:val="21"/>
              </w:rPr>
              <w:t>1,621,218.66</w:t>
            </w:r>
          </w:p>
        </w:tc>
        <w:tc>
          <w:tcPr>
            <w:tcW w:w="90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90C57" w:rsidRPr="003C5007" w:rsidRDefault="00790C57" w:rsidP="003C5007">
            <w:pPr>
              <w:autoSpaceDE w:val="0"/>
              <w:autoSpaceDN w:val="0"/>
              <w:adjustRightInd w:val="0"/>
              <w:spacing w:line="360" w:lineRule="auto"/>
              <w:ind w:left="15"/>
              <w:jc w:val="right"/>
              <w:rPr>
                <w:rFonts w:eastAsiaTheme="minorEastAsia"/>
                <w:color w:val="000000" w:themeColor="text1"/>
                <w:szCs w:val="21"/>
              </w:rPr>
            </w:pPr>
            <w:r w:rsidRPr="003C5007">
              <w:rPr>
                <w:rFonts w:eastAsiaTheme="minorEastAsia"/>
                <w:color w:val="000000" w:themeColor="text1"/>
                <w:szCs w:val="21"/>
              </w:rPr>
              <w:t>0.51</w:t>
            </w:r>
          </w:p>
        </w:tc>
      </w:tr>
      <w:tr w:rsidR="00790C57" w:rsidRPr="003C5007" w:rsidTr="008E5013">
        <w:trPr>
          <w:trHeight w:val="285"/>
        </w:trPr>
        <w:tc>
          <w:tcPr>
            <w:tcW w:w="41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90C57" w:rsidRPr="003C5007" w:rsidRDefault="00790C57" w:rsidP="003C5007">
            <w:pPr>
              <w:adjustRightInd w:val="0"/>
              <w:snapToGrid w:val="0"/>
              <w:spacing w:line="360" w:lineRule="auto"/>
              <w:jc w:val="center"/>
              <w:rPr>
                <w:rFonts w:eastAsiaTheme="minorEastAsia"/>
                <w:color w:val="000000" w:themeColor="text1"/>
                <w:szCs w:val="21"/>
              </w:rPr>
            </w:pPr>
            <w:r w:rsidRPr="003C5007">
              <w:rPr>
                <w:rFonts w:eastAsiaTheme="minorEastAsia"/>
                <w:color w:val="000000" w:themeColor="text1"/>
                <w:szCs w:val="21"/>
              </w:rPr>
              <w:t>B</w:t>
            </w:r>
          </w:p>
        </w:tc>
        <w:tc>
          <w:tcPr>
            <w:tcW w:w="2145"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90C57" w:rsidRPr="003C5007" w:rsidRDefault="00790C57" w:rsidP="003C5007">
            <w:pPr>
              <w:adjustRightInd w:val="0"/>
              <w:snapToGrid w:val="0"/>
              <w:spacing w:line="360" w:lineRule="auto"/>
              <w:rPr>
                <w:rFonts w:eastAsiaTheme="minorEastAsia"/>
                <w:color w:val="000000" w:themeColor="text1"/>
                <w:szCs w:val="21"/>
              </w:rPr>
            </w:pPr>
            <w:r w:rsidRPr="003C5007">
              <w:rPr>
                <w:rFonts w:eastAsiaTheme="minorEastAsia"/>
                <w:color w:val="000000" w:themeColor="text1"/>
                <w:szCs w:val="21"/>
              </w:rPr>
              <w:t>采矿业</w:t>
            </w:r>
          </w:p>
        </w:tc>
        <w:tc>
          <w:tcPr>
            <w:tcW w:w="1543" w:type="pct"/>
            <w:tcBorders>
              <w:top w:val="single" w:sz="4" w:space="0" w:color="000000"/>
              <w:left w:val="single" w:sz="4" w:space="0" w:color="auto"/>
              <w:bottom w:val="single" w:sz="4" w:space="0" w:color="000000"/>
              <w:right w:val="single" w:sz="4" w:space="0" w:color="000000"/>
            </w:tcBorders>
            <w:vAlign w:val="center"/>
          </w:tcPr>
          <w:p w:rsidR="00790C57" w:rsidRPr="003C5007" w:rsidRDefault="00790C57" w:rsidP="008E5013">
            <w:pPr>
              <w:spacing w:line="360" w:lineRule="auto"/>
              <w:jc w:val="right"/>
              <w:rPr>
                <w:rFonts w:eastAsiaTheme="minorEastAsia"/>
                <w:color w:val="000000" w:themeColor="text1"/>
                <w:szCs w:val="21"/>
              </w:rPr>
            </w:pPr>
            <w:r w:rsidRPr="003C5007">
              <w:rPr>
                <w:rFonts w:eastAsiaTheme="minorEastAsia"/>
                <w:color w:val="000000" w:themeColor="text1"/>
                <w:szCs w:val="21"/>
              </w:rPr>
              <w:t>-</w:t>
            </w:r>
          </w:p>
        </w:tc>
        <w:tc>
          <w:tcPr>
            <w:tcW w:w="90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90C57" w:rsidRPr="003C5007" w:rsidRDefault="00790C57" w:rsidP="008E5013">
            <w:pPr>
              <w:spacing w:line="360" w:lineRule="auto"/>
              <w:jc w:val="right"/>
              <w:rPr>
                <w:rFonts w:eastAsiaTheme="minorEastAsia"/>
                <w:color w:val="000000" w:themeColor="text1"/>
                <w:szCs w:val="21"/>
              </w:rPr>
            </w:pPr>
            <w:r w:rsidRPr="003C5007">
              <w:rPr>
                <w:rFonts w:eastAsiaTheme="minorEastAsia"/>
                <w:color w:val="000000" w:themeColor="text1"/>
                <w:szCs w:val="21"/>
              </w:rPr>
              <w:t>-</w:t>
            </w:r>
          </w:p>
        </w:tc>
      </w:tr>
      <w:tr w:rsidR="00790C57" w:rsidRPr="003C5007" w:rsidTr="008E5013">
        <w:trPr>
          <w:trHeight w:val="285"/>
        </w:trPr>
        <w:tc>
          <w:tcPr>
            <w:tcW w:w="41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90C57" w:rsidRPr="003C5007" w:rsidRDefault="00790C57" w:rsidP="003C5007">
            <w:pPr>
              <w:adjustRightInd w:val="0"/>
              <w:snapToGrid w:val="0"/>
              <w:spacing w:line="360" w:lineRule="auto"/>
              <w:jc w:val="center"/>
              <w:rPr>
                <w:rFonts w:eastAsiaTheme="minorEastAsia"/>
                <w:color w:val="000000" w:themeColor="text1"/>
                <w:szCs w:val="21"/>
              </w:rPr>
            </w:pPr>
            <w:r w:rsidRPr="003C5007">
              <w:rPr>
                <w:rFonts w:eastAsiaTheme="minorEastAsia"/>
                <w:color w:val="000000" w:themeColor="text1"/>
                <w:szCs w:val="21"/>
              </w:rPr>
              <w:t>C</w:t>
            </w:r>
          </w:p>
        </w:tc>
        <w:tc>
          <w:tcPr>
            <w:tcW w:w="2145"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90C57" w:rsidRPr="003C5007" w:rsidRDefault="00790C57" w:rsidP="003C5007">
            <w:pPr>
              <w:adjustRightInd w:val="0"/>
              <w:snapToGrid w:val="0"/>
              <w:spacing w:line="360" w:lineRule="auto"/>
              <w:rPr>
                <w:rFonts w:eastAsiaTheme="minorEastAsia"/>
                <w:color w:val="000000" w:themeColor="text1"/>
                <w:szCs w:val="21"/>
              </w:rPr>
            </w:pPr>
            <w:r w:rsidRPr="003C5007">
              <w:rPr>
                <w:rFonts w:eastAsiaTheme="minorEastAsia"/>
                <w:color w:val="000000" w:themeColor="text1"/>
                <w:szCs w:val="21"/>
              </w:rPr>
              <w:t>制造业</w:t>
            </w:r>
          </w:p>
        </w:tc>
        <w:tc>
          <w:tcPr>
            <w:tcW w:w="1543" w:type="pct"/>
            <w:tcBorders>
              <w:top w:val="single" w:sz="4" w:space="0" w:color="000000"/>
              <w:left w:val="single" w:sz="4" w:space="0" w:color="auto"/>
              <w:bottom w:val="single" w:sz="4" w:space="0" w:color="000000"/>
              <w:right w:val="single" w:sz="4" w:space="0" w:color="000000"/>
            </w:tcBorders>
            <w:vAlign w:val="center"/>
          </w:tcPr>
          <w:p w:rsidR="00790C57" w:rsidRPr="003C5007" w:rsidRDefault="00790C57" w:rsidP="003C5007">
            <w:pPr>
              <w:spacing w:line="360" w:lineRule="auto"/>
              <w:jc w:val="right"/>
              <w:rPr>
                <w:rFonts w:eastAsiaTheme="minorEastAsia"/>
                <w:color w:val="000000" w:themeColor="text1"/>
                <w:szCs w:val="21"/>
              </w:rPr>
            </w:pPr>
            <w:r w:rsidRPr="003C5007">
              <w:rPr>
                <w:rFonts w:eastAsiaTheme="minorEastAsia"/>
                <w:color w:val="000000" w:themeColor="text1"/>
                <w:szCs w:val="21"/>
              </w:rPr>
              <w:t>200,182,857.49</w:t>
            </w:r>
          </w:p>
        </w:tc>
        <w:tc>
          <w:tcPr>
            <w:tcW w:w="90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90C57" w:rsidRPr="003C5007" w:rsidRDefault="00790C57" w:rsidP="003C5007">
            <w:pPr>
              <w:spacing w:line="360" w:lineRule="auto"/>
              <w:jc w:val="right"/>
              <w:rPr>
                <w:rFonts w:eastAsiaTheme="minorEastAsia"/>
                <w:color w:val="000000" w:themeColor="text1"/>
                <w:szCs w:val="21"/>
              </w:rPr>
            </w:pPr>
            <w:r w:rsidRPr="003C5007">
              <w:rPr>
                <w:rFonts w:eastAsiaTheme="minorEastAsia"/>
                <w:color w:val="000000" w:themeColor="text1"/>
                <w:szCs w:val="21"/>
              </w:rPr>
              <w:t>63.31</w:t>
            </w:r>
          </w:p>
        </w:tc>
      </w:tr>
      <w:tr w:rsidR="00790C57" w:rsidRPr="003C5007" w:rsidTr="008E5013">
        <w:trPr>
          <w:trHeight w:val="285"/>
        </w:trPr>
        <w:tc>
          <w:tcPr>
            <w:tcW w:w="41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90C57" w:rsidRPr="003C5007" w:rsidRDefault="00790C57" w:rsidP="003C5007">
            <w:pPr>
              <w:adjustRightInd w:val="0"/>
              <w:snapToGrid w:val="0"/>
              <w:spacing w:line="360" w:lineRule="auto"/>
              <w:jc w:val="center"/>
              <w:rPr>
                <w:rFonts w:eastAsiaTheme="minorEastAsia"/>
                <w:color w:val="000000" w:themeColor="text1"/>
                <w:szCs w:val="21"/>
              </w:rPr>
            </w:pPr>
            <w:r w:rsidRPr="003C5007">
              <w:rPr>
                <w:rFonts w:eastAsiaTheme="minorEastAsia"/>
                <w:color w:val="000000" w:themeColor="text1"/>
                <w:szCs w:val="21"/>
              </w:rPr>
              <w:t>D</w:t>
            </w:r>
          </w:p>
        </w:tc>
        <w:tc>
          <w:tcPr>
            <w:tcW w:w="2145"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90C57" w:rsidRPr="003C5007" w:rsidRDefault="00790C57" w:rsidP="003C5007">
            <w:pPr>
              <w:adjustRightInd w:val="0"/>
              <w:snapToGrid w:val="0"/>
              <w:spacing w:line="360" w:lineRule="auto"/>
              <w:rPr>
                <w:rFonts w:eastAsiaTheme="minorEastAsia"/>
                <w:color w:val="000000" w:themeColor="text1"/>
                <w:szCs w:val="21"/>
              </w:rPr>
            </w:pPr>
            <w:r w:rsidRPr="003C5007">
              <w:rPr>
                <w:rFonts w:eastAsiaTheme="minorEastAsia"/>
                <w:color w:val="000000" w:themeColor="text1"/>
                <w:szCs w:val="21"/>
              </w:rPr>
              <w:t>电力、热力、燃气及水生产和供应业</w:t>
            </w:r>
          </w:p>
        </w:tc>
        <w:tc>
          <w:tcPr>
            <w:tcW w:w="1543" w:type="pct"/>
            <w:tcBorders>
              <w:top w:val="single" w:sz="4" w:space="0" w:color="000000"/>
              <w:left w:val="single" w:sz="4" w:space="0" w:color="auto"/>
              <w:bottom w:val="single" w:sz="4" w:space="0" w:color="000000"/>
              <w:right w:val="single" w:sz="4" w:space="0" w:color="000000"/>
            </w:tcBorders>
            <w:vAlign w:val="center"/>
          </w:tcPr>
          <w:p w:rsidR="00790C57" w:rsidRPr="003C5007" w:rsidRDefault="00790C57" w:rsidP="003C5007">
            <w:pPr>
              <w:spacing w:line="360" w:lineRule="auto"/>
              <w:jc w:val="right"/>
              <w:rPr>
                <w:rFonts w:eastAsiaTheme="minorEastAsia"/>
                <w:color w:val="000000" w:themeColor="text1"/>
                <w:szCs w:val="21"/>
              </w:rPr>
            </w:pPr>
            <w:r w:rsidRPr="003C5007">
              <w:rPr>
                <w:rFonts w:eastAsiaTheme="minorEastAsia"/>
                <w:color w:val="000000" w:themeColor="text1"/>
                <w:szCs w:val="21"/>
              </w:rPr>
              <w:t>-</w:t>
            </w:r>
          </w:p>
        </w:tc>
        <w:tc>
          <w:tcPr>
            <w:tcW w:w="90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90C57" w:rsidRPr="003C5007" w:rsidRDefault="00790C57" w:rsidP="003C5007">
            <w:pPr>
              <w:spacing w:line="360" w:lineRule="auto"/>
              <w:jc w:val="right"/>
              <w:rPr>
                <w:rFonts w:eastAsiaTheme="minorEastAsia"/>
                <w:color w:val="000000" w:themeColor="text1"/>
                <w:szCs w:val="21"/>
              </w:rPr>
            </w:pPr>
            <w:r w:rsidRPr="003C5007">
              <w:rPr>
                <w:rFonts w:eastAsiaTheme="minorEastAsia"/>
                <w:color w:val="000000" w:themeColor="text1"/>
                <w:szCs w:val="21"/>
              </w:rPr>
              <w:t>-</w:t>
            </w:r>
          </w:p>
        </w:tc>
      </w:tr>
      <w:tr w:rsidR="00790C57" w:rsidRPr="003C5007" w:rsidTr="008E5013">
        <w:trPr>
          <w:trHeight w:val="285"/>
        </w:trPr>
        <w:tc>
          <w:tcPr>
            <w:tcW w:w="41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90C57" w:rsidRPr="003C5007" w:rsidRDefault="00790C57" w:rsidP="003C5007">
            <w:pPr>
              <w:adjustRightInd w:val="0"/>
              <w:snapToGrid w:val="0"/>
              <w:spacing w:line="360" w:lineRule="auto"/>
              <w:jc w:val="center"/>
              <w:rPr>
                <w:rFonts w:eastAsiaTheme="minorEastAsia"/>
                <w:color w:val="000000" w:themeColor="text1"/>
                <w:szCs w:val="21"/>
              </w:rPr>
            </w:pPr>
            <w:r w:rsidRPr="003C5007">
              <w:rPr>
                <w:rFonts w:eastAsiaTheme="minorEastAsia"/>
                <w:color w:val="000000" w:themeColor="text1"/>
                <w:szCs w:val="21"/>
              </w:rPr>
              <w:t>E</w:t>
            </w:r>
          </w:p>
        </w:tc>
        <w:tc>
          <w:tcPr>
            <w:tcW w:w="2145"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90C57" w:rsidRPr="003C5007" w:rsidRDefault="00790C57" w:rsidP="003C5007">
            <w:pPr>
              <w:adjustRightInd w:val="0"/>
              <w:snapToGrid w:val="0"/>
              <w:spacing w:line="360" w:lineRule="auto"/>
              <w:rPr>
                <w:rFonts w:eastAsiaTheme="minorEastAsia"/>
                <w:color w:val="000000" w:themeColor="text1"/>
                <w:szCs w:val="21"/>
              </w:rPr>
            </w:pPr>
            <w:r w:rsidRPr="003C5007">
              <w:rPr>
                <w:rFonts w:eastAsiaTheme="minorEastAsia"/>
                <w:color w:val="000000" w:themeColor="text1"/>
                <w:szCs w:val="21"/>
              </w:rPr>
              <w:t>建筑业</w:t>
            </w:r>
          </w:p>
        </w:tc>
        <w:tc>
          <w:tcPr>
            <w:tcW w:w="1543" w:type="pct"/>
            <w:tcBorders>
              <w:top w:val="single" w:sz="4" w:space="0" w:color="000000"/>
              <w:left w:val="single" w:sz="4" w:space="0" w:color="auto"/>
              <w:bottom w:val="single" w:sz="4" w:space="0" w:color="000000"/>
              <w:right w:val="single" w:sz="4" w:space="0" w:color="000000"/>
            </w:tcBorders>
            <w:vAlign w:val="center"/>
          </w:tcPr>
          <w:p w:rsidR="00790C57" w:rsidRPr="003C5007" w:rsidRDefault="00790C57" w:rsidP="003C5007">
            <w:pPr>
              <w:spacing w:line="360" w:lineRule="auto"/>
              <w:jc w:val="right"/>
              <w:rPr>
                <w:rFonts w:eastAsiaTheme="minorEastAsia"/>
                <w:color w:val="000000" w:themeColor="text1"/>
                <w:szCs w:val="21"/>
              </w:rPr>
            </w:pPr>
            <w:r w:rsidRPr="003C5007">
              <w:rPr>
                <w:rFonts w:eastAsiaTheme="minorEastAsia"/>
                <w:color w:val="000000" w:themeColor="text1"/>
                <w:szCs w:val="21"/>
              </w:rPr>
              <w:t>10,106,310.36</w:t>
            </w:r>
          </w:p>
        </w:tc>
        <w:tc>
          <w:tcPr>
            <w:tcW w:w="90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90C57" w:rsidRPr="003C5007" w:rsidRDefault="00790C57" w:rsidP="003C5007">
            <w:pPr>
              <w:spacing w:line="360" w:lineRule="auto"/>
              <w:jc w:val="right"/>
              <w:rPr>
                <w:rFonts w:eastAsiaTheme="minorEastAsia"/>
                <w:color w:val="000000" w:themeColor="text1"/>
                <w:szCs w:val="21"/>
              </w:rPr>
            </w:pPr>
            <w:r w:rsidRPr="003C5007">
              <w:rPr>
                <w:rFonts w:eastAsiaTheme="minorEastAsia"/>
                <w:color w:val="000000" w:themeColor="text1"/>
                <w:szCs w:val="21"/>
              </w:rPr>
              <w:t>3.20</w:t>
            </w:r>
          </w:p>
        </w:tc>
      </w:tr>
      <w:tr w:rsidR="00790C57" w:rsidRPr="003C5007" w:rsidTr="008E5013">
        <w:trPr>
          <w:trHeight w:val="285"/>
        </w:trPr>
        <w:tc>
          <w:tcPr>
            <w:tcW w:w="41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90C57" w:rsidRPr="003C5007" w:rsidRDefault="00790C57" w:rsidP="003C5007">
            <w:pPr>
              <w:adjustRightInd w:val="0"/>
              <w:snapToGrid w:val="0"/>
              <w:spacing w:line="360" w:lineRule="auto"/>
              <w:jc w:val="center"/>
              <w:rPr>
                <w:rFonts w:eastAsiaTheme="minorEastAsia"/>
                <w:color w:val="000000" w:themeColor="text1"/>
                <w:szCs w:val="21"/>
              </w:rPr>
            </w:pPr>
            <w:r w:rsidRPr="003C5007">
              <w:rPr>
                <w:rFonts w:eastAsiaTheme="minorEastAsia"/>
                <w:color w:val="000000" w:themeColor="text1"/>
                <w:szCs w:val="21"/>
              </w:rPr>
              <w:t>F</w:t>
            </w:r>
          </w:p>
        </w:tc>
        <w:tc>
          <w:tcPr>
            <w:tcW w:w="2145"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90C57" w:rsidRPr="003C5007" w:rsidRDefault="00790C57" w:rsidP="003C5007">
            <w:pPr>
              <w:adjustRightInd w:val="0"/>
              <w:snapToGrid w:val="0"/>
              <w:spacing w:line="360" w:lineRule="auto"/>
              <w:rPr>
                <w:rFonts w:eastAsiaTheme="minorEastAsia"/>
                <w:color w:val="000000" w:themeColor="text1"/>
                <w:szCs w:val="21"/>
              </w:rPr>
            </w:pPr>
            <w:r w:rsidRPr="003C5007">
              <w:rPr>
                <w:rFonts w:eastAsiaTheme="minorEastAsia"/>
                <w:color w:val="000000" w:themeColor="text1"/>
                <w:szCs w:val="21"/>
              </w:rPr>
              <w:t>批发和零售业</w:t>
            </w:r>
          </w:p>
        </w:tc>
        <w:tc>
          <w:tcPr>
            <w:tcW w:w="1543" w:type="pct"/>
            <w:tcBorders>
              <w:top w:val="single" w:sz="4" w:space="0" w:color="000000"/>
              <w:left w:val="single" w:sz="4" w:space="0" w:color="auto"/>
              <w:bottom w:val="single" w:sz="4" w:space="0" w:color="000000"/>
              <w:right w:val="single" w:sz="4" w:space="0" w:color="000000"/>
            </w:tcBorders>
            <w:vAlign w:val="center"/>
          </w:tcPr>
          <w:p w:rsidR="00790C57" w:rsidRPr="003C5007" w:rsidRDefault="00790C57" w:rsidP="003C5007">
            <w:pPr>
              <w:spacing w:line="360" w:lineRule="auto"/>
              <w:jc w:val="right"/>
              <w:rPr>
                <w:rFonts w:eastAsiaTheme="minorEastAsia"/>
                <w:color w:val="000000" w:themeColor="text1"/>
                <w:szCs w:val="21"/>
              </w:rPr>
            </w:pPr>
            <w:r w:rsidRPr="003C5007">
              <w:rPr>
                <w:rFonts w:eastAsiaTheme="minorEastAsia"/>
                <w:color w:val="000000" w:themeColor="text1"/>
                <w:szCs w:val="21"/>
              </w:rPr>
              <w:t>7,709,643.10</w:t>
            </w:r>
          </w:p>
        </w:tc>
        <w:tc>
          <w:tcPr>
            <w:tcW w:w="90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90C57" w:rsidRPr="003C5007" w:rsidRDefault="00790C57" w:rsidP="003C5007">
            <w:pPr>
              <w:spacing w:line="360" w:lineRule="auto"/>
              <w:jc w:val="right"/>
              <w:rPr>
                <w:rFonts w:eastAsiaTheme="minorEastAsia"/>
                <w:color w:val="000000" w:themeColor="text1"/>
                <w:szCs w:val="21"/>
              </w:rPr>
            </w:pPr>
            <w:r w:rsidRPr="003C5007">
              <w:rPr>
                <w:rFonts w:eastAsiaTheme="minorEastAsia"/>
                <w:color w:val="000000" w:themeColor="text1"/>
                <w:szCs w:val="21"/>
              </w:rPr>
              <w:t>2.44</w:t>
            </w:r>
          </w:p>
        </w:tc>
      </w:tr>
      <w:tr w:rsidR="00790C57" w:rsidRPr="003C5007" w:rsidTr="008E5013">
        <w:trPr>
          <w:trHeight w:val="285"/>
        </w:trPr>
        <w:tc>
          <w:tcPr>
            <w:tcW w:w="41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90C57" w:rsidRPr="003C5007" w:rsidRDefault="00790C57" w:rsidP="003C5007">
            <w:pPr>
              <w:adjustRightInd w:val="0"/>
              <w:snapToGrid w:val="0"/>
              <w:spacing w:line="360" w:lineRule="auto"/>
              <w:jc w:val="center"/>
              <w:rPr>
                <w:rFonts w:eastAsiaTheme="minorEastAsia"/>
                <w:color w:val="000000" w:themeColor="text1"/>
                <w:szCs w:val="21"/>
              </w:rPr>
            </w:pPr>
            <w:r w:rsidRPr="003C5007">
              <w:rPr>
                <w:rFonts w:eastAsiaTheme="minorEastAsia"/>
                <w:color w:val="000000" w:themeColor="text1"/>
                <w:szCs w:val="21"/>
              </w:rPr>
              <w:t>G</w:t>
            </w:r>
          </w:p>
        </w:tc>
        <w:tc>
          <w:tcPr>
            <w:tcW w:w="2145"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90C57" w:rsidRPr="003C5007" w:rsidRDefault="00790C57" w:rsidP="003C5007">
            <w:pPr>
              <w:adjustRightInd w:val="0"/>
              <w:snapToGrid w:val="0"/>
              <w:spacing w:line="360" w:lineRule="auto"/>
              <w:rPr>
                <w:rFonts w:eastAsiaTheme="minorEastAsia"/>
                <w:color w:val="000000" w:themeColor="text1"/>
                <w:szCs w:val="21"/>
              </w:rPr>
            </w:pPr>
            <w:r w:rsidRPr="003C5007">
              <w:rPr>
                <w:rFonts w:eastAsiaTheme="minorEastAsia"/>
                <w:color w:val="000000" w:themeColor="text1"/>
                <w:szCs w:val="21"/>
              </w:rPr>
              <w:t>交通运输、仓储和邮政业</w:t>
            </w:r>
          </w:p>
        </w:tc>
        <w:tc>
          <w:tcPr>
            <w:tcW w:w="1543" w:type="pct"/>
            <w:tcBorders>
              <w:top w:val="single" w:sz="4" w:space="0" w:color="000000"/>
              <w:left w:val="single" w:sz="4" w:space="0" w:color="auto"/>
              <w:bottom w:val="single" w:sz="4" w:space="0" w:color="000000"/>
              <w:right w:val="single" w:sz="4" w:space="0" w:color="000000"/>
            </w:tcBorders>
            <w:vAlign w:val="center"/>
          </w:tcPr>
          <w:p w:rsidR="00790C57" w:rsidRPr="003C5007" w:rsidRDefault="00790C57" w:rsidP="003C5007">
            <w:pPr>
              <w:spacing w:line="360" w:lineRule="auto"/>
              <w:jc w:val="right"/>
              <w:rPr>
                <w:rFonts w:eastAsiaTheme="minorEastAsia"/>
                <w:color w:val="000000" w:themeColor="text1"/>
                <w:szCs w:val="21"/>
              </w:rPr>
            </w:pPr>
            <w:r w:rsidRPr="003C5007">
              <w:rPr>
                <w:rFonts w:eastAsiaTheme="minorEastAsia"/>
                <w:color w:val="000000" w:themeColor="text1"/>
                <w:szCs w:val="21"/>
              </w:rPr>
              <w:t>-</w:t>
            </w:r>
          </w:p>
        </w:tc>
        <w:tc>
          <w:tcPr>
            <w:tcW w:w="90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90C57" w:rsidRPr="003C5007" w:rsidRDefault="00790C57" w:rsidP="003C5007">
            <w:pPr>
              <w:spacing w:line="360" w:lineRule="auto"/>
              <w:jc w:val="right"/>
              <w:rPr>
                <w:rFonts w:eastAsiaTheme="minorEastAsia"/>
                <w:color w:val="000000" w:themeColor="text1"/>
                <w:szCs w:val="21"/>
              </w:rPr>
            </w:pPr>
            <w:r w:rsidRPr="003C5007">
              <w:rPr>
                <w:rFonts w:eastAsiaTheme="minorEastAsia"/>
                <w:color w:val="000000" w:themeColor="text1"/>
                <w:szCs w:val="21"/>
              </w:rPr>
              <w:t>-</w:t>
            </w:r>
          </w:p>
        </w:tc>
      </w:tr>
      <w:tr w:rsidR="00790C57" w:rsidRPr="003C5007" w:rsidTr="008E5013">
        <w:trPr>
          <w:trHeight w:val="285"/>
        </w:trPr>
        <w:tc>
          <w:tcPr>
            <w:tcW w:w="41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90C57" w:rsidRPr="003C5007" w:rsidRDefault="00790C57" w:rsidP="003C5007">
            <w:pPr>
              <w:adjustRightInd w:val="0"/>
              <w:snapToGrid w:val="0"/>
              <w:spacing w:line="360" w:lineRule="auto"/>
              <w:jc w:val="center"/>
              <w:rPr>
                <w:rFonts w:eastAsiaTheme="minorEastAsia"/>
                <w:color w:val="000000" w:themeColor="text1"/>
                <w:szCs w:val="21"/>
              </w:rPr>
            </w:pPr>
            <w:r w:rsidRPr="003C5007">
              <w:rPr>
                <w:rFonts w:eastAsiaTheme="minorEastAsia"/>
                <w:color w:val="000000" w:themeColor="text1"/>
                <w:szCs w:val="21"/>
              </w:rPr>
              <w:t>H</w:t>
            </w:r>
          </w:p>
        </w:tc>
        <w:tc>
          <w:tcPr>
            <w:tcW w:w="2145"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90C57" w:rsidRPr="003C5007" w:rsidRDefault="00790C57" w:rsidP="003C5007">
            <w:pPr>
              <w:adjustRightInd w:val="0"/>
              <w:snapToGrid w:val="0"/>
              <w:spacing w:line="360" w:lineRule="auto"/>
              <w:rPr>
                <w:rFonts w:eastAsiaTheme="minorEastAsia"/>
                <w:color w:val="000000" w:themeColor="text1"/>
                <w:szCs w:val="21"/>
              </w:rPr>
            </w:pPr>
            <w:r w:rsidRPr="003C5007">
              <w:rPr>
                <w:rFonts w:eastAsiaTheme="minorEastAsia"/>
                <w:color w:val="000000" w:themeColor="text1"/>
                <w:szCs w:val="21"/>
              </w:rPr>
              <w:t>住宿和餐饮业</w:t>
            </w:r>
          </w:p>
        </w:tc>
        <w:tc>
          <w:tcPr>
            <w:tcW w:w="1543" w:type="pct"/>
            <w:tcBorders>
              <w:top w:val="single" w:sz="4" w:space="0" w:color="000000"/>
              <w:left w:val="single" w:sz="4" w:space="0" w:color="auto"/>
              <w:bottom w:val="single" w:sz="4" w:space="0" w:color="000000"/>
              <w:right w:val="single" w:sz="4" w:space="0" w:color="000000"/>
            </w:tcBorders>
            <w:vAlign w:val="center"/>
          </w:tcPr>
          <w:p w:rsidR="00790C57" w:rsidRPr="003C5007" w:rsidRDefault="00790C57" w:rsidP="003C5007">
            <w:pPr>
              <w:spacing w:line="360" w:lineRule="auto"/>
              <w:jc w:val="right"/>
              <w:rPr>
                <w:rFonts w:eastAsiaTheme="minorEastAsia"/>
                <w:color w:val="000000" w:themeColor="text1"/>
                <w:szCs w:val="21"/>
              </w:rPr>
            </w:pPr>
            <w:r w:rsidRPr="003C5007">
              <w:rPr>
                <w:rFonts w:eastAsiaTheme="minorEastAsia"/>
                <w:color w:val="000000" w:themeColor="text1"/>
                <w:szCs w:val="21"/>
              </w:rPr>
              <w:t>-</w:t>
            </w:r>
          </w:p>
        </w:tc>
        <w:tc>
          <w:tcPr>
            <w:tcW w:w="90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90C57" w:rsidRPr="003C5007" w:rsidRDefault="00790C57" w:rsidP="003C5007">
            <w:pPr>
              <w:spacing w:line="360" w:lineRule="auto"/>
              <w:jc w:val="right"/>
              <w:rPr>
                <w:rFonts w:eastAsiaTheme="minorEastAsia"/>
                <w:color w:val="000000" w:themeColor="text1"/>
                <w:szCs w:val="21"/>
              </w:rPr>
            </w:pPr>
            <w:r w:rsidRPr="003C5007">
              <w:rPr>
                <w:rFonts w:eastAsiaTheme="minorEastAsia"/>
                <w:color w:val="000000" w:themeColor="text1"/>
                <w:szCs w:val="21"/>
              </w:rPr>
              <w:t>-</w:t>
            </w:r>
          </w:p>
        </w:tc>
      </w:tr>
      <w:tr w:rsidR="00790C57" w:rsidRPr="003C5007" w:rsidTr="008E5013">
        <w:trPr>
          <w:trHeight w:val="285"/>
        </w:trPr>
        <w:tc>
          <w:tcPr>
            <w:tcW w:w="41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90C57" w:rsidRPr="003C5007" w:rsidRDefault="00790C57" w:rsidP="003C5007">
            <w:pPr>
              <w:adjustRightInd w:val="0"/>
              <w:snapToGrid w:val="0"/>
              <w:spacing w:line="360" w:lineRule="auto"/>
              <w:jc w:val="center"/>
              <w:rPr>
                <w:rFonts w:eastAsiaTheme="minorEastAsia"/>
                <w:color w:val="000000" w:themeColor="text1"/>
                <w:szCs w:val="21"/>
              </w:rPr>
            </w:pPr>
            <w:r w:rsidRPr="003C5007">
              <w:rPr>
                <w:rFonts w:eastAsiaTheme="minorEastAsia"/>
                <w:color w:val="000000" w:themeColor="text1"/>
                <w:szCs w:val="21"/>
              </w:rPr>
              <w:t>I</w:t>
            </w:r>
          </w:p>
        </w:tc>
        <w:tc>
          <w:tcPr>
            <w:tcW w:w="2145"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90C57" w:rsidRPr="003C5007" w:rsidRDefault="00790C57" w:rsidP="003C5007">
            <w:pPr>
              <w:adjustRightInd w:val="0"/>
              <w:snapToGrid w:val="0"/>
              <w:spacing w:line="360" w:lineRule="auto"/>
              <w:rPr>
                <w:rFonts w:eastAsiaTheme="minorEastAsia"/>
                <w:color w:val="000000" w:themeColor="text1"/>
                <w:szCs w:val="21"/>
              </w:rPr>
            </w:pPr>
            <w:r w:rsidRPr="003C5007">
              <w:rPr>
                <w:rFonts w:eastAsiaTheme="minorEastAsia"/>
                <w:color w:val="000000" w:themeColor="text1"/>
                <w:szCs w:val="21"/>
              </w:rPr>
              <w:t>信息传输、软件和信息技术服务业</w:t>
            </w:r>
          </w:p>
        </w:tc>
        <w:tc>
          <w:tcPr>
            <w:tcW w:w="1543" w:type="pct"/>
            <w:tcBorders>
              <w:top w:val="single" w:sz="4" w:space="0" w:color="000000"/>
              <w:left w:val="single" w:sz="4" w:space="0" w:color="auto"/>
              <w:bottom w:val="single" w:sz="4" w:space="0" w:color="000000"/>
              <w:right w:val="single" w:sz="4" w:space="0" w:color="000000"/>
            </w:tcBorders>
            <w:vAlign w:val="center"/>
          </w:tcPr>
          <w:p w:rsidR="00790C57" w:rsidRPr="003C5007" w:rsidRDefault="00790C57" w:rsidP="003C5007">
            <w:pPr>
              <w:spacing w:line="360" w:lineRule="auto"/>
              <w:jc w:val="right"/>
              <w:rPr>
                <w:rFonts w:eastAsiaTheme="minorEastAsia"/>
                <w:color w:val="000000" w:themeColor="text1"/>
                <w:szCs w:val="21"/>
              </w:rPr>
            </w:pPr>
            <w:r w:rsidRPr="003C5007">
              <w:rPr>
                <w:rFonts w:eastAsiaTheme="minorEastAsia"/>
                <w:color w:val="000000" w:themeColor="text1"/>
                <w:szCs w:val="21"/>
              </w:rPr>
              <w:t>29,439,396.74</w:t>
            </w:r>
          </w:p>
        </w:tc>
        <w:tc>
          <w:tcPr>
            <w:tcW w:w="90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90C57" w:rsidRPr="003C5007" w:rsidRDefault="00790C57" w:rsidP="003C5007">
            <w:pPr>
              <w:spacing w:line="360" w:lineRule="auto"/>
              <w:jc w:val="right"/>
              <w:rPr>
                <w:rFonts w:eastAsiaTheme="minorEastAsia"/>
                <w:color w:val="000000" w:themeColor="text1"/>
                <w:szCs w:val="21"/>
              </w:rPr>
            </w:pPr>
            <w:r w:rsidRPr="003C5007">
              <w:rPr>
                <w:rFonts w:eastAsiaTheme="minorEastAsia"/>
                <w:color w:val="000000" w:themeColor="text1"/>
                <w:szCs w:val="21"/>
              </w:rPr>
              <w:t>9.31</w:t>
            </w:r>
          </w:p>
        </w:tc>
      </w:tr>
      <w:tr w:rsidR="00790C57" w:rsidRPr="003C5007" w:rsidTr="008E5013">
        <w:trPr>
          <w:trHeight w:val="285"/>
        </w:trPr>
        <w:tc>
          <w:tcPr>
            <w:tcW w:w="41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90C57" w:rsidRPr="003C5007" w:rsidRDefault="00790C57" w:rsidP="003C5007">
            <w:pPr>
              <w:adjustRightInd w:val="0"/>
              <w:snapToGrid w:val="0"/>
              <w:spacing w:line="360" w:lineRule="auto"/>
              <w:jc w:val="center"/>
              <w:rPr>
                <w:rFonts w:eastAsiaTheme="minorEastAsia"/>
                <w:color w:val="000000" w:themeColor="text1"/>
                <w:szCs w:val="21"/>
              </w:rPr>
            </w:pPr>
            <w:r w:rsidRPr="003C5007">
              <w:rPr>
                <w:rFonts w:eastAsiaTheme="minorEastAsia"/>
                <w:color w:val="000000" w:themeColor="text1"/>
                <w:szCs w:val="21"/>
              </w:rPr>
              <w:t>J</w:t>
            </w:r>
          </w:p>
        </w:tc>
        <w:tc>
          <w:tcPr>
            <w:tcW w:w="2145"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90C57" w:rsidRPr="003C5007" w:rsidRDefault="00790C57" w:rsidP="003C5007">
            <w:pPr>
              <w:adjustRightInd w:val="0"/>
              <w:snapToGrid w:val="0"/>
              <w:spacing w:line="360" w:lineRule="auto"/>
              <w:rPr>
                <w:rFonts w:eastAsiaTheme="minorEastAsia"/>
                <w:color w:val="000000" w:themeColor="text1"/>
                <w:szCs w:val="21"/>
              </w:rPr>
            </w:pPr>
            <w:r w:rsidRPr="003C5007">
              <w:rPr>
                <w:rFonts w:eastAsiaTheme="minorEastAsia"/>
                <w:color w:val="000000" w:themeColor="text1"/>
                <w:szCs w:val="21"/>
              </w:rPr>
              <w:t>金融业</w:t>
            </w:r>
          </w:p>
        </w:tc>
        <w:tc>
          <w:tcPr>
            <w:tcW w:w="1543" w:type="pct"/>
            <w:tcBorders>
              <w:top w:val="single" w:sz="4" w:space="0" w:color="000000"/>
              <w:left w:val="single" w:sz="4" w:space="0" w:color="auto"/>
              <w:bottom w:val="single" w:sz="4" w:space="0" w:color="000000"/>
              <w:right w:val="single" w:sz="4" w:space="0" w:color="000000"/>
            </w:tcBorders>
            <w:vAlign w:val="center"/>
          </w:tcPr>
          <w:p w:rsidR="00790C57" w:rsidRPr="003C5007" w:rsidRDefault="00790C57" w:rsidP="003C5007">
            <w:pPr>
              <w:spacing w:line="360" w:lineRule="auto"/>
              <w:jc w:val="right"/>
              <w:rPr>
                <w:rFonts w:eastAsiaTheme="minorEastAsia"/>
                <w:color w:val="000000" w:themeColor="text1"/>
                <w:szCs w:val="21"/>
              </w:rPr>
            </w:pPr>
            <w:r w:rsidRPr="003C5007">
              <w:rPr>
                <w:rFonts w:eastAsiaTheme="minorEastAsia"/>
                <w:color w:val="000000" w:themeColor="text1"/>
                <w:szCs w:val="21"/>
              </w:rPr>
              <w:t>19,222,589.68</w:t>
            </w:r>
          </w:p>
        </w:tc>
        <w:tc>
          <w:tcPr>
            <w:tcW w:w="90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90C57" w:rsidRPr="003C5007" w:rsidRDefault="00790C57" w:rsidP="003C5007">
            <w:pPr>
              <w:spacing w:line="360" w:lineRule="auto"/>
              <w:jc w:val="right"/>
              <w:rPr>
                <w:rFonts w:eastAsiaTheme="minorEastAsia"/>
                <w:color w:val="000000" w:themeColor="text1"/>
                <w:szCs w:val="21"/>
              </w:rPr>
            </w:pPr>
            <w:r w:rsidRPr="003C5007">
              <w:rPr>
                <w:rFonts w:eastAsiaTheme="minorEastAsia"/>
                <w:color w:val="000000" w:themeColor="text1"/>
                <w:szCs w:val="21"/>
              </w:rPr>
              <w:t>6.08</w:t>
            </w:r>
          </w:p>
        </w:tc>
      </w:tr>
      <w:tr w:rsidR="00790C57" w:rsidRPr="003C5007" w:rsidTr="008E5013">
        <w:trPr>
          <w:trHeight w:val="285"/>
        </w:trPr>
        <w:tc>
          <w:tcPr>
            <w:tcW w:w="41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90C57" w:rsidRPr="003C5007" w:rsidRDefault="00790C57" w:rsidP="003C5007">
            <w:pPr>
              <w:adjustRightInd w:val="0"/>
              <w:snapToGrid w:val="0"/>
              <w:spacing w:line="360" w:lineRule="auto"/>
              <w:jc w:val="center"/>
              <w:rPr>
                <w:rFonts w:eastAsiaTheme="minorEastAsia"/>
                <w:color w:val="000000" w:themeColor="text1"/>
                <w:szCs w:val="21"/>
              </w:rPr>
            </w:pPr>
            <w:r w:rsidRPr="003C5007">
              <w:rPr>
                <w:rFonts w:eastAsiaTheme="minorEastAsia"/>
                <w:color w:val="000000" w:themeColor="text1"/>
                <w:szCs w:val="21"/>
              </w:rPr>
              <w:t>K</w:t>
            </w:r>
          </w:p>
        </w:tc>
        <w:tc>
          <w:tcPr>
            <w:tcW w:w="2145"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90C57" w:rsidRPr="003C5007" w:rsidRDefault="00790C57" w:rsidP="003C5007">
            <w:pPr>
              <w:adjustRightInd w:val="0"/>
              <w:snapToGrid w:val="0"/>
              <w:spacing w:line="360" w:lineRule="auto"/>
              <w:rPr>
                <w:rFonts w:eastAsiaTheme="minorEastAsia"/>
                <w:color w:val="000000" w:themeColor="text1"/>
                <w:szCs w:val="21"/>
              </w:rPr>
            </w:pPr>
            <w:r w:rsidRPr="003C5007">
              <w:rPr>
                <w:rFonts w:eastAsiaTheme="minorEastAsia"/>
                <w:color w:val="000000" w:themeColor="text1"/>
                <w:szCs w:val="21"/>
              </w:rPr>
              <w:t>房地产业</w:t>
            </w:r>
          </w:p>
        </w:tc>
        <w:tc>
          <w:tcPr>
            <w:tcW w:w="1543" w:type="pct"/>
            <w:tcBorders>
              <w:top w:val="single" w:sz="4" w:space="0" w:color="000000"/>
              <w:left w:val="single" w:sz="4" w:space="0" w:color="auto"/>
              <w:bottom w:val="single" w:sz="4" w:space="0" w:color="000000"/>
              <w:right w:val="single" w:sz="4" w:space="0" w:color="000000"/>
            </w:tcBorders>
            <w:vAlign w:val="center"/>
          </w:tcPr>
          <w:p w:rsidR="00790C57" w:rsidRPr="003C5007" w:rsidRDefault="00790C57" w:rsidP="003C5007">
            <w:pPr>
              <w:spacing w:line="360" w:lineRule="auto"/>
              <w:jc w:val="right"/>
              <w:rPr>
                <w:rFonts w:eastAsiaTheme="minorEastAsia"/>
                <w:color w:val="000000" w:themeColor="text1"/>
                <w:szCs w:val="21"/>
              </w:rPr>
            </w:pPr>
            <w:r w:rsidRPr="003C5007">
              <w:rPr>
                <w:rFonts w:eastAsiaTheme="minorEastAsia"/>
                <w:color w:val="000000" w:themeColor="text1"/>
                <w:szCs w:val="21"/>
              </w:rPr>
              <w:t>3,748,068.78</w:t>
            </w:r>
          </w:p>
        </w:tc>
        <w:tc>
          <w:tcPr>
            <w:tcW w:w="90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90C57" w:rsidRPr="003C5007" w:rsidRDefault="00790C57" w:rsidP="003C5007">
            <w:pPr>
              <w:spacing w:line="360" w:lineRule="auto"/>
              <w:jc w:val="right"/>
              <w:rPr>
                <w:rFonts w:eastAsiaTheme="minorEastAsia"/>
                <w:color w:val="000000" w:themeColor="text1"/>
                <w:szCs w:val="21"/>
              </w:rPr>
            </w:pPr>
            <w:r w:rsidRPr="003C5007">
              <w:rPr>
                <w:rFonts w:eastAsiaTheme="minorEastAsia"/>
                <w:color w:val="000000" w:themeColor="text1"/>
                <w:szCs w:val="21"/>
              </w:rPr>
              <w:t>1.19</w:t>
            </w:r>
          </w:p>
        </w:tc>
      </w:tr>
      <w:tr w:rsidR="00790C57" w:rsidRPr="003C5007" w:rsidTr="008E5013">
        <w:trPr>
          <w:trHeight w:val="285"/>
        </w:trPr>
        <w:tc>
          <w:tcPr>
            <w:tcW w:w="41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90C57" w:rsidRPr="003C5007" w:rsidRDefault="00790C57" w:rsidP="003C5007">
            <w:pPr>
              <w:adjustRightInd w:val="0"/>
              <w:snapToGrid w:val="0"/>
              <w:spacing w:line="360" w:lineRule="auto"/>
              <w:jc w:val="center"/>
              <w:rPr>
                <w:rFonts w:eastAsiaTheme="minorEastAsia"/>
                <w:color w:val="000000" w:themeColor="text1"/>
                <w:szCs w:val="21"/>
              </w:rPr>
            </w:pPr>
            <w:r w:rsidRPr="003C5007">
              <w:rPr>
                <w:rFonts w:eastAsiaTheme="minorEastAsia"/>
                <w:color w:val="000000" w:themeColor="text1"/>
                <w:szCs w:val="21"/>
              </w:rPr>
              <w:t>L</w:t>
            </w:r>
          </w:p>
        </w:tc>
        <w:tc>
          <w:tcPr>
            <w:tcW w:w="2145"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90C57" w:rsidRPr="003C5007" w:rsidRDefault="00790C57" w:rsidP="003C5007">
            <w:pPr>
              <w:adjustRightInd w:val="0"/>
              <w:snapToGrid w:val="0"/>
              <w:spacing w:line="360" w:lineRule="auto"/>
              <w:rPr>
                <w:rFonts w:eastAsiaTheme="minorEastAsia"/>
                <w:color w:val="000000" w:themeColor="text1"/>
                <w:szCs w:val="21"/>
              </w:rPr>
            </w:pPr>
            <w:r w:rsidRPr="003C5007">
              <w:rPr>
                <w:rFonts w:eastAsiaTheme="minorEastAsia"/>
                <w:color w:val="000000" w:themeColor="text1"/>
                <w:szCs w:val="21"/>
              </w:rPr>
              <w:t>租赁和商务服务业</w:t>
            </w:r>
          </w:p>
        </w:tc>
        <w:tc>
          <w:tcPr>
            <w:tcW w:w="1543" w:type="pct"/>
            <w:tcBorders>
              <w:top w:val="single" w:sz="4" w:space="0" w:color="000000"/>
              <w:left w:val="single" w:sz="4" w:space="0" w:color="auto"/>
              <w:bottom w:val="single" w:sz="4" w:space="0" w:color="000000"/>
              <w:right w:val="single" w:sz="4" w:space="0" w:color="000000"/>
            </w:tcBorders>
            <w:vAlign w:val="center"/>
          </w:tcPr>
          <w:p w:rsidR="00790C57" w:rsidRPr="003C5007" w:rsidRDefault="00790C57" w:rsidP="003C5007">
            <w:pPr>
              <w:spacing w:line="360" w:lineRule="auto"/>
              <w:jc w:val="right"/>
              <w:rPr>
                <w:rFonts w:eastAsiaTheme="minorEastAsia"/>
                <w:color w:val="000000" w:themeColor="text1"/>
                <w:szCs w:val="21"/>
              </w:rPr>
            </w:pPr>
            <w:r w:rsidRPr="003C5007">
              <w:rPr>
                <w:rFonts w:eastAsiaTheme="minorEastAsia"/>
                <w:color w:val="000000" w:themeColor="text1"/>
                <w:szCs w:val="21"/>
              </w:rPr>
              <w:t>8,562,447.46</w:t>
            </w:r>
          </w:p>
        </w:tc>
        <w:tc>
          <w:tcPr>
            <w:tcW w:w="90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90C57" w:rsidRPr="003C5007" w:rsidRDefault="00790C57" w:rsidP="003C5007">
            <w:pPr>
              <w:spacing w:line="360" w:lineRule="auto"/>
              <w:jc w:val="right"/>
              <w:rPr>
                <w:rFonts w:eastAsiaTheme="minorEastAsia"/>
                <w:color w:val="000000" w:themeColor="text1"/>
                <w:szCs w:val="21"/>
              </w:rPr>
            </w:pPr>
            <w:r w:rsidRPr="003C5007">
              <w:rPr>
                <w:rFonts w:eastAsiaTheme="minorEastAsia"/>
                <w:color w:val="000000" w:themeColor="text1"/>
                <w:szCs w:val="21"/>
              </w:rPr>
              <w:t>2.71</w:t>
            </w:r>
          </w:p>
        </w:tc>
      </w:tr>
      <w:tr w:rsidR="00790C57" w:rsidRPr="003C5007" w:rsidTr="008E5013">
        <w:trPr>
          <w:trHeight w:val="285"/>
        </w:trPr>
        <w:tc>
          <w:tcPr>
            <w:tcW w:w="41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90C57" w:rsidRPr="003C5007" w:rsidRDefault="00790C57" w:rsidP="003C5007">
            <w:pPr>
              <w:adjustRightInd w:val="0"/>
              <w:snapToGrid w:val="0"/>
              <w:spacing w:line="360" w:lineRule="auto"/>
              <w:jc w:val="center"/>
              <w:rPr>
                <w:rFonts w:eastAsiaTheme="minorEastAsia"/>
                <w:color w:val="000000" w:themeColor="text1"/>
                <w:szCs w:val="21"/>
              </w:rPr>
            </w:pPr>
            <w:r w:rsidRPr="003C5007">
              <w:rPr>
                <w:rFonts w:eastAsiaTheme="minorEastAsia"/>
                <w:color w:val="000000" w:themeColor="text1"/>
                <w:szCs w:val="21"/>
              </w:rPr>
              <w:t>M</w:t>
            </w:r>
          </w:p>
        </w:tc>
        <w:tc>
          <w:tcPr>
            <w:tcW w:w="2145"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90C57" w:rsidRPr="003C5007" w:rsidRDefault="00790C57" w:rsidP="003C5007">
            <w:pPr>
              <w:adjustRightInd w:val="0"/>
              <w:snapToGrid w:val="0"/>
              <w:spacing w:line="360" w:lineRule="auto"/>
              <w:rPr>
                <w:rFonts w:eastAsiaTheme="minorEastAsia"/>
                <w:color w:val="000000" w:themeColor="text1"/>
                <w:szCs w:val="21"/>
              </w:rPr>
            </w:pPr>
            <w:r w:rsidRPr="003C5007">
              <w:rPr>
                <w:rFonts w:eastAsiaTheme="minorEastAsia"/>
                <w:color w:val="000000" w:themeColor="text1"/>
                <w:szCs w:val="21"/>
              </w:rPr>
              <w:t>科学研究和技术服务业</w:t>
            </w:r>
          </w:p>
        </w:tc>
        <w:tc>
          <w:tcPr>
            <w:tcW w:w="1543" w:type="pct"/>
            <w:tcBorders>
              <w:top w:val="single" w:sz="4" w:space="0" w:color="000000"/>
              <w:left w:val="single" w:sz="4" w:space="0" w:color="auto"/>
              <w:bottom w:val="single" w:sz="4" w:space="0" w:color="000000"/>
              <w:right w:val="single" w:sz="4" w:space="0" w:color="000000"/>
            </w:tcBorders>
            <w:vAlign w:val="center"/>
          </w:tcPr>
          <w:p w:rsidR="00790C57" w:rsidRPr="003C5007" w:rsidRDefault="00790C57" w:rsidP="003C5007">
            <w:pPr>
              <w:spacing w:line="360" w:lineRule="auto"/>
              <w:jc w:val="right"/>
              <w:rPr>
                <w:rFonts w:eastAsiaTheme="minorEastAsia"/>
                <w:color w:val="000000" w:themeColor="text1"/>
                <w:szCs w:val="21"/>
              </w:rPr>
            </w:pPr>
            <w:r w:rsidRPr="003C5007">
              <w:rPr>
                <w:rFonts w:eastAsiaTheme="minorEastAsia"/>
                <w:color w:val="000000" w:themeColor="text1"/>
                <w:szCs w:val="21"/>
              </w:rPr>
              <w:t>-</w:t>
            </w:r>
          </w:p>
        </w:tc>
        <w:tc>
          <w:tcPr>
            <w:tcW w:w="90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90C57" w:rsidRPr="003C5007" w:rsidRDefault="00790C57" w:rsidP="003C5007">
            <w:pPr>
              <w:spacing w:line="360" w:lineRule="auto"/>
              <w:jc w:val="right"/>
              <w:rPr>
                <w:rFonts w:eastAsiaTheme="minorEastAsia"/>
                <w:color w:val="000000" w:themeColor="text1"/>
                <w:szCs w:val="21"/>
              </w:rPr>
            </w:pPr>
            <w:r w:rsidRPr="003C5007">
              <w:rPr>
                <w:rFonts w:eastAsiaTheme="minorEastAsia"/>
                <w:color w:val="000000" w:themeColor="text1"/>
                <w:szCs w:val="21"/>
              </w:rPr>
              <w:t>-</w:t>
            </w:r>
          </w:p>
        </w:tc>
      </w:tr>
      <w:tr w:rsidR="00790C57" w:rsidRPr="003C5007" w:rsidTr="008E5013">
        <w:trPr>
          <w:trHeight w:val="285"/>
        </w:trPr>
        <w:tc>
          <w:tcPr>
            <w:tcW w:w="41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90C57" w:rsidRPr="003C5007" w:rsidRDefault="00790C57" w:rsidP="003C5007">
            <w:pPr>
              <w:adjustRightInd w:val="0"/>
              <w:snapToGrid w:val="0"/>
              <w:spacing w:line="360" w:lineRule="auto"/>
              <w:jc w:val="center"/>
              <w:rPr>
                <w:rFonts w:eastAsiaTheme="minorEastAsia"/>
                <w:color w:val="000000" w:themeColor="text1"/>
                <w:szCs w:val="21"/>
              </w:rPr>
            </w:pPr>
            <w:r w:rsidRPr="003C5007">
              <w:rPr>
                <w:rFonts w:eastAsiaTheme="minorEastAsia"/>
                <w:color w:val="000000" w:themeColor="text1"/>
                <w:szCs w:val="21"/>
              </w:rPr>
              <w:t>N</w:t>
            </w:r>
          </w:p>
        </w:tc>
        <w:tc>
          <w:tcPr>
            <w:tcW w:w="2145"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90C57" w:rsidRPr="003C5007" w:rsidRDefault="00790C57" w:rsidP="003C5007">
            <w:pPr>
              <w:adjustRightInd w:val="0"/>
              <w:snapToGrid w:val="0"/>
              <w:spacing w:line="360" w:lineRule="auto"/>
              <w:rPr>
                <w:rFonts w:eastAsiaTheme="minorEastAsia"/>
                <w:color w:val="000000" w:themeColor="text1"/>
                <w:szCs w:val="21"/>
              </w:rPr>
            </w:pPr>
            <w:r w:rsidRPr="003C5007">
              <w:rPr>
                <w:rFonts w:eastAsiaTheme="minorEastAsia"/>
                <w:color w:val="000000" w:themeColor="text1"/>
                <w:szCs w:val="21"/>
              </w:rPr>
              <w:t>水利、环境和公共设施管理业</w:t>
            </w:r>
          </w:p>
        </w:tc>
        <w:tc>
          <w:tcPr>
            <w:tcW w:w="1543" w:type="pct"/>
            <w:tcBorders>
              <w:top w:val="single" w:sz="4" w:space="0" w:color="000000"/>
              <w:left w:val="single" w:sz="4" w:space="0" w:color="auto"/>
              <w:bottom w:val="single" w:sz="4" w:space="0" w:color="000000"/>
              <w:right w:val="single" w:sz="4" w:space="0" w:color="000000"/>
            </w:tcBorders>
            <w:vAlign w:val="center"/>
          </w:tcPr>
          <w:p w:rsidR="00790C57" w:rsidRPr="003C5007" w:rsidRDefault="00790C57" w:rsidP="003C5007">
            <w:pPr>
              <w:spacing w:line="360" w:lineRule="auto"/>
              <w:jc w:val="right"/>
              <w:rPr>
                <w:rFonts w:eastAsiaTheme="minorEastAsia"/>
                <w:color w:val="000000" w:themeColor="text1"/>
                <w:szCs w:val="21"/>
              </w:rPr>
            </w:pPr>
            <w:r w:rsidRPr="003C5007">
              <w:rPr>
                <w:rFonts w:eastAsiaTheme="minorEastAsia"/>
                <w:color w:val="000000" w:themeColor="text1"/>
                <w:szCs w:val="21"/>
              </w:rPr>
              <w:t>2,587,963.92</w:t>
            </w:r>
          </w:p>
        </w:tc>
        <w:tc>
          <w:tcPr>
            <w:tcW w:w="90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90C57" w:rsidRPr="003C5007" w:rsidRDefault="00790C57" w:rsidP="003C5007">
            <w:pPr>
              <w:spacing w:line="360" w:lineRule="auto"/>
              <w:jc w:val="right"/>
              <w:rPr>
                <w:rFonts w:eastAsiaTheme="minorEastAsia"/>
                <w:color w:val="000000" w:themeColor="text1"/>
                <w:szCs w:val="21"/>
              </w:rPr>
            </w:pPr>
            <w:r w:rsidRPr="003C5007">
              <w:rPr>
                <w:rFonts w:eastAsiaTheme="minorEastAsia"/>
                <w:color w:val="000000" w:themeColor="text1"/>
                <w:szCs w:val="21"/>
              </w:rPr>
              <w:t>0.82</w:t>
            </w:r>
          </w:p>
        </w:tc>
      </w:tr>
      <w:tr w:rsidR="00790C57" w:rsidRPr="003C5007" w:rsidTr="008E5013">
        <w:trPr>
          <w:trHeight w:val="285"/>
        </w:trPr>
        <w:tc>
          <w:tcPr>
            <w:tcW w:w="41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90C57" w:rsidRPr="003C5007" w:rsidRDefault="00790C57" w:rsidP="003C5007">
            <w:pPr>
              <w:adjustRightInd w:val="0"/>
              <w:snapToGrid w:val="0"/>
              <w:spacing w:line="360" w:lineRule="auto"/>
              <w:jc w:val="center"/>
              <w:rPr>
                <w:rFonts w:eastAsiaTheme="minorEastAsia"/>
                <w:color w:val="000000" w:themeColor="text1"/>
                <w:szCs w:val="21"/>
              </w:rPr>
            </w:pPr>
            <w:r w:rsidRPr="003C5007">
              <w:rPr>
                <w:rFonts w:eastAsiaTheme="minorEastAsia"/>
                <w:color w:val="000000" w:themeColor="text1"/>
                <w:szCs w:val="21"/>
              </w:rPr>
              <w:t>O</w:t>
            </w:r>
          </w:p>
        </w:tc>
        <w:tc>
          <w:tcPr>
            <w:tcW w:w="2145"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90C57" w:rsidRPr="003C5007" w:rsidRDefault="00790C57" w:rsidP="003C5007">
            <w:pPr>
              <w:adjustRightInd w:val="0"/>
              <w:snapToGrid w:val="0"/>
              <w:spacing w:line="360" w:lineRule="auto"/>
              <w:rPr>
                <w:rFonts w:eastAsiaTheme="minorEastAsia"/>
                <w:color w:val="000000" w:themeColor="text1"/>
                <w:szCs w:val="21"/>
              </w:rPr>
            </w:pPr>
            <w:r w:rsidRPr="003C5007">
              <w:rPr>
                <w:rFonts w:eastAsiaTheme="minorEastAsia"/>
                <w:color w:val="000000" w:themeColor="text1"/>
                <w:szCs w:val="21"/>
              </w:rPr>
              <w:t>居民服务、修理和其他服务业</w:t>
            </w:r>
          </w:p>
        </w:tc>
        <w:tc>
          <w:tcPr>
            <w:tcW w:w="1543" w:type="pct"/>
            <w:tcBorders>
              <w:top w:val="single" w:sz="4" w:space="0" w:color="000000"/>
              <w:left w:val="single" w:sz="4" w:space="0" w:color="auto"/>
              <w:bottom w:val="single" w:sz="4" w:space="0" w:color="000000"/>
              <w:right w:val="single" w:sz="4" w:space="0" w:color="000000"/>
            </w:tcBorders>
            <w:vAlign w:val="center"/>
          </w:tcPr>
          <w:p w:rsidR="00790C57" w:rsidRPr="003C5007" w:rsidRDefault="00790C57" w:rsidP="003C5007">
            <w:pPr>
              <w:spacing w:line="360" w:lineRule="auto"/>
              <w:jc w:val="right"/>
              <w:rPr>
                <w:rFonts w:eastAsiaTheme="minorEastAsia"/>
                <w:color w:val="000000" w:themeColor="text1"/>
                <w:szCs w:val="21"/>
              </w:rPr>
            </w:pPr>
            <w:r w:rsidRPr="003C5007">
              <w:rPr>
                <w:rFonts w:eastAsiaTheme="minorEastAsia"/>
                <w:color w:val="000000" w:themeColor="text1"/>
                <w:szCs w:val="21"/>
              </w:rPr>
              <w:t>-</w:t>
            </w:r>
          </w:p>
        </w:tc>
        <w:tc>
          <w:tcPr>
            <w:tcW w:w="90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90C57" w:rsidRPr="003C5007" w:rsidRDefault="00790C57" w:rsidP="003C5007">
            <w:pPr>
              <w:spacing w:line="360" w:lineRule="auto"/>
              <w:jc w:val="right"/>
              <w:rPr>
                <w:rFonts w:eastAsiaTheme="minorEastAsia"/>
                <w:color w:val="000000" w:themeColor="text1"/>
                <w:szCs w:val="21"/>
              </w:rPr>
            </w:pPr>
            <w:r w:rsidRPr="003C5007">
              <w:rPr>
                <w:rFonts w:eastAsiaTheme="minorEastAsia"/>
                <w:color w:val="000000" w:themeColor="text1"/>
                <w:szCs w:val="21"/>
              </w:rPr>
              <w:t>-</w:t>
            </w:r>
          </w:p>
        </w:tc>
      </w:tr>
      <w:tr w:rsidR="00790C57" w:rsidRPr="003C5007" w:rsidTr="008E5013">
        <w:trPr>
          <w:trHeight w:val="285"/>
        </w:trPr>
        <w:tc>
          <w:tcPr>
            <w:tcW w:w="41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90C57" w:rsidRPr="003C5007" w:rsidRDefault="00790C57" w:rsidP="003C5007">
            <w:pPr>
              <w:adjustRightInd w:val="0"/>
              <w:snapToGrid w:val="0"/>
              <w:spacing w:line="360" w:lineRule="auto"/>
              <w:jc w:val="center"/>
              <w:rPr>
                <w:rFonts w:eastAsiaTheme="minorEastAsia"/>
                <w:color w:val="000000" w:themeColor="text1"/>
                <w:szCs w:val="21"/>
              </w:rPr>
            </w:pPr>
            <w:r w:rsidRPr="003C5007">
              <w:rPr>
                <w:rFonts w:eastAsiaTheme="minorEastAsia"/>
                <w:color w:val="000000" w:themeColor="text1"/>
                <w:szCs w:val="21"/>
              </w:rPr>
              <w:t>P</w:t>
            </w:r>
          </w:p>
        </w:tc>
        <w:tc>
          <w:tcPr>
            <w:tcW w:w="2145"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90C57" w:rsidRPr="003C5007" w:rsidRDefault="00790C57" w:rsidP="003C5007">
            <w:pPr>
              <w:adjustRightInd w:val="0"/>
              <w:snapToGrid w:val="0"/>
              <w:spacing w:line="360" w:lineRule="auto"/>
              <w:rPr>
                <w:rFonts w:eastAsiaTheme="minorEastAsia"/>
                <w:color w:val="000000" w:themeColor="text1"/>
                <w:szCs w:val="21"/>
              </w:rPr>
            </w:pPr>
            <w:r w:rsidRPr="003C5007">
              <w:rPr>
                <w:rFonts w:eastAsiaTheme="minorEastAsia"/>
                <w:color w:val="000000" w:themeColor="text1"/>
                <w:szCs w:val="21"/>
              </w:rPr>
              <w:t>教育</w:t>
            </w:r>
          </w:p>
        </w:tc>
        <w:tc>
          <w:tcPr>
            <w:tcW w:w="1543" w:type="pct"/>
            <w:tcBorders>
              <w:top w:val="single" w:sz="4" w:space="0" w:color="000000"/>
              <w:left w:val="single" w:sz="4" w:space="0" w:color="auto"/>
              <w:bottom w:val="single" w:sz="4" w:space="0" w:color="000000"/>
              <w:right w:val="single" w:sz="4" w:space="0" w:color="000000"/>
            </w:tcBorders>
            <w:vAlign w:val="center"/>
          </w:tcPr>
          <w:p w:rsidR="00790C57" w:rsidRPr="003C5007" w:rsidRDefault="00790C57" w:rsidP="003C5007">
            <w:pPr>
              <w:spacing w:line="360" w:lineRule="auto"/>
              <w:jc w:val="right"/>
              <w:rPr>
                <w:rFonts w:eastAsiaTheme="minorEastAsia"/>
                <w:color w:val="000000" w:themeColor="text1"/>
                <w:szCs w:val="21"/>
              </w:rPr>
            </w:pPr>
            <w:r w:rsidRPr="003C5007">
              <w:rPr>
                <w:rFonts w:eastAsiaTheme="minorEastAsia"/>
                <w:color w:val="000000" w:themeColor="text1"/>
                <w:szCs w:val="21"/>
              </w:rPr>
              <w:t>-</w:t>
            </w:r>
          </w:p>
        </w:tc>
        <w:tc>
          <w:tcPr>
            <w:tcW w:w="90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90C57" w:rsidRPr="003C5007" w:rsidRDefault="00790C57" w:rsidP="003C5007">
            <w:pPr>
              <w:spacing w:line="360" w:lineRule="auto"/>
              <w:jc w:val="right"/>
              <w:rPr>
                <w:rFonts w:eastAsiaTheme="minorEastAsia"/>
                <w:color w:val="000000" w:themeColor="text1"/>
                <w:szCs w:val="21"/>
              </w:rPr>
            </w:pPr>
            <w:r w:rsidRPr="003C5007">
              <w:rPr>
                <w:rFonts w:eastAsiaTheme="minorEastAsia"/>
                <w:color w:val="000000" w:themeColor="text1"/>
                <w:szCs w:val="21"/>
              </w:rPr>
              <w:t>-</w:t>
            </w:r>
          </w:p>
        </w:tc>
      </w:tr>
      <w:tr w:rsidR="00790C57" w:rsidRPr="003C5007" w:rsidTr="008E5013">
        <w:trPr>
          <w:trHeight w:val="285"/>
        </w:trPr>
        <w:tc>
          <w:tcPr>
            <w:tcW w:w="41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90C57" w:rsidRPr="003C5007" w:rsidRDefault="00790C57" w:rsidP="003C5007">
            <w:pPr>
              <w:adjustRightInd w:val="0"/>
              <w:snapToGrid w:val="0"/>
              <w:spacing w:line="360" w:lineRule="auto"/>
              <w:jc w:val="center"/>
              <w:rPr>
                <w:rFonts w:eastAsiaTheme="minorEastAsia"/>
                <w:color w:val="000000" w:themeColor="text1"/>
                <w:szCs w:val="21"/>
              </w:rPr>
            </w:pPr>
            <w:r w:rsidRPr="003C5007">
              <w:rPr>
                <w:rFonts w:eastAsiaTheme="minorEastAsia"/>
                <w:color w:val="000000" w:themeColor="text1"/>
                <w:szCs w:val="21"/>
              </w:rPr>
              <w:t>Q</w:t>
            </w:r>
          </w:p>
        </w:tc>
        <w:tc>
          <w:tcPr>
            <w:tcW w:w="2145"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90C57" w:rsidRPr="003C5007" w:rsidRDefault="00790C57" w:rsidP="003C5007">
            <w:pPr>
              <w:adjustRightInd w:val="0"/>
              <w:snapToGrid w:val="0"/>
              <w:spacing w:line="360" w:lineRule="auto"/>
              <w:rPr>
                <w:rFonts w:eastAsiaTheme="minorEastAsia"/>
                <w:color w:val="000000" w:themeColor="text1"/>
                <w:szCs w:val="21"/>
              </w:rPr>
            </w:pPr>
            <w:r w:rsidRPr="003C5007">
              <w:rPr>
                <w:rFonts w:eastAsiaTheme="minorEastAsia"/>
                <w:color w:val="000000" w:themeColor="text1"/>
                <w:szCs w:val="21"/>
              </w:rPr>
              <w:t>卫生和社会工作</w:t>
            </w:r>
          </w:p>
        </w:tc>
        <w:tc>
          <w:tcPr>
            <w:tcW w:w="1543" w:type="pct"/>
            <w:tcBorders>
              <w:top w:val="single" w:sz="4" w:space="0" w:color="000000"/>
              <w:left w:val="single" w:sz="4" w:space="0" w:color="auto"/>
              <w:bottom w:val="single" w:sz="4" w:space="0" w:color="000000"/>
              <w:right w:val="single" w:sz="4" w:space="0" w:color="000000"/>
            </w:tcBorders>
            <w:vAlign w:val="center"/>
          </w:tcPr>
          <w:p w:rsidR="00790C57" w:rsidRPr="003C5007" w:rsidRDefault="00790C57" w:rsidP="003C5007">
            <w:pPr>
              <w:spacing w:line="360" w:lineRule="auto"/>
              <w:jc w:val="right"/>
              <w:rPr>
                <w:rFonts w:eastAsiaTheme="minorEastAsia"/>
                <w:color w:val="000000" w:themeColor="text1"/>
                <w:szCs w:val="21"/>
              </w:rPr>
            </w:pPr>
            <w:r w:rsidRPr="003C5007">
              <w:rPr>
                <w:rFonts w:eastAsiaTheme="minorEastAsia"/>
                <w:color w:val="000000" w:themeColor="text1"/>
                <w:szCs w:val="21"/>
              </w:rPr>
              <w:t>-</w:t>
            </w:r>
          </w:p>
        </w:tc>
        <w:tc>
          <w:tcPr>
            <w:tcW w:w="90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90C57" w:rsidRPr="003C5007" w:rsidRDefault="00790C57" w:rsidP="003C5007">
            <w:pPr>
              <w:spacing w:line="360" w:lineRule="auto"/>
              <w:jc w:val="right"/>
              <w:rPr>
                <w:rFonts w:eastAsiaTheme="minorEastAsia"/>
                <w:color w:val="000000" w:themeColor="text1"/>
                <w:szCs w:val="21"/>
              </w:rPr>
            </w:pPr>
            <w:r w:rsidRPr="003C5007">
              <w:rPr>
                <w:rFonts w:eastAsiaTheme="minorEastAsia"/>
                <w:color w:val="000000" w:themeColor="text1"/>
                <w:szCs w:val="21"/>
              </w:rPr>
              <w:t>-</w:t>
            </w:r>
          </w:p>
        </w:tc>
      </w:tr>
      <w:tr w:rsidR="00790C57" w:rsidRPr="003C5007" w:rsidTr="008E5013">
        <w:trPr>
          <w:trHeight w:val="285"/>
        </w:trPr>
        <w:tc>
          <w:tcPr>
            <w:tcW w:w="41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90C57" w:rsidRPr="003C5007" w:rsidRDefault="00790C57" w:rsidP="003C5007">
            <w:pPr>
              <w:adjustRightInd w:val="0"/>
              <w:snapToGrid w:val="0"/>
              <w:spacing w:line="360" w:lineRule="auto"/>
              <w:jc w:val="center"/>
              <w:rPr>
                <w:rFonts w:eastAsiaTheme="minorEastAsia"/>
                <w:color w:val="000000" w:themeColor="text1"/>
                <w:szCs w:val="21"/>
              </w:rPr>
            </w:pPr>
            <w:r w:rsidRPr="003C5007">
              <w:rPr>
                <w:rFonts w:eastAsiaTheme="minorEastAsia"/>
                <w:color w:val="000000" w:themeColor="text1"/>
                <w:szCs w:val="21"/>
              </w:rPr>
              <w:t>R</w:t>
            </w:r>
          </w:p>
        </w:tc>
        <w:tc>
          <w:tcPr>
            <w:tcW w:w="2145"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90C57" w:rsidRPr="003C5007" w:rsidRDefault="00790C57" w:rsidP="003C5007">
            <w:pPr>
              <w:adjustRightInd w:val="0"/>
              <w:snapToGrid w:val="0"/>
              <w:spacing w:line="360" w:lineRule="auto"/>
              <w:rPr>
                <w:rFonts w:eastAsiaTheme="minorEastAsia"/>
                <w:color w:val="000000" w:themeColor="text1"/>
                <w:szCs w:val="21"/>
              </w:rPr>
            </w:pPr>
            <w:r w:rsidRPr="003C5007">
              <w:rPr>
                <w:rFonts w:eastAsiaTheme="minorEastAsia"/>
                <w:color w:val="000000" w:themeColor="text1"/>
                <w:szCs w:val="21"/>
              </w:rPr>
              <w:t>文化、体育和娱乐业</w:t>
            </w:r>
          </w:p>
        </w:tc>
        <w:tc>
          <w:tcPr>
            <w:tcW w:w="1543" w:type="pct"/>
            <w:tcBorders>
              <w:top w:val="single" w:sz="4" w:space="0" w:color="000000"/>
              <w:left w:val="single" w:sz="4" w:space="0" w:color="auto"/>
              <w:bottom w:val="single" w:sz="4" w:space="0" w:color="000000"/>
              <w:right w:val="single" w:sz="4" w:space="0" w:color="000000"/>
            </w:tcBorders>
            <w:vAlign w:val="center"/>
          </w:tcPr>
          <w:p w:rsidR="00790C57" w:rsidRPr="003C5007" w:rsidRDefault="00790C57" w:rsidP="003C5007">
            <w:pPr>
              <w:spacing w:line="360" w:lineRule="auto"/>
              <w:jc w:val="right"/>
              <w:rPr>
                <w:rFonts w:eastAsiaTheme="minorEastAsia"/>
                <w:color w:val="000000" w:themeColor="text1"/>
                <w:szCs w:val="21"/>
              </w:rPr>
            </w:pPr>
            <w:r w:rsidRPr="003C5007">
              <w:rPr>
                <w:rFonts w:eastAsiaTheme="minorEastAsia"/>
                <w:color w:val="000000" w:themeColor="text1"/>
                <w:szCs w:val="21"/>
              </w:rPr>
              <w:t>4,640,484.66</w:t>
            </w:r>
          </w:p>
        </w:tc>
        <w:tc>
          <w:tcPr>
            <w:tcW w:w="90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90C57" w:rsidRPr="003C5007" w:rsidRDefault="00790C57" w:rsidP="003C5007">
            <w:pPr>
              <w:spacing w:line="360" w:lineRule="auto"/>
              <w:jc w:val="right"/>
              <w:rPr>
                <w:rFonts w:eastAsiaTheme="minorEastAsia"/>
                <w:color w:val="000000" w:themeColor="text1"/>
                <w:szCs w:val="21"/>
              </w:rPr>
            </w:pPr>
            <w:r w:rsidRPr="003C5007">
              <w:rPr>
                <w:rFonts w:eastAsiaTheme="minorEastAsia"/>
                <w:color w:val="000000" w:themeColor="text1"/>
                <w:szCs w:val="21"/>
              </w:rPr>
              <w:t>1.47</w:t>
            </w:r>
          </w:p>
        </w:tc>
      </w:tr>
      <w:tr w:rsidR="00790C57" w:rsidRPr="003C5007" w:rsidTr="008E5013">
        <w:trPr>
          <w:trHeight w:val="285"/>
        </w:trPr>
        <w:tc>
          <w:tcPr>
            <w:tcW w:w="41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90C57" w:rsidRPr="003C5007" w:rsidRDefault="00790C57" w:rsidP="003C5007">
            <w:pPr>
              <w:adjustRightInd w:val="0"/>
              <w:snapToGrid w:val="0"/>
              <w:spacing w:line="360" w:lineRule="auto"/>
              <w:jc w:val="center"/>
              <w:rPr>
                <w:rFonts w:eastAsiaTheme="minorEastAsia"/>
                <w:color w:val="000000" w:themeColor="text1"/>
                <w:szCs w:val="21"/>
              </w:rPr>
            </w:pPr>
            <w:r w:rsidRPr="003C5007">
              <w:rPr>
                <w:rFonts w:eastAsiaTheme="minorEastAsia"/>
                <w:color w:val="000000" w:themeColor="text1"/>
                <w:szCs w:val="21"/>
              </w:rPr>
              <w:t>S</w:t>
            </w:r>
          </w:p>
        </w:tc>
        <w:tc>
          <w:tcPr>
            <w:tcW w:w="2145"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90C57" w:rsidRPr="003C5007" w:rsidRDefault="00790C57" w:rsidP="003C5007">
            <w:pPr>
              <w:adjustRightInd w:val="0"/>
              <w:snapToGrid w:val="0"/>
              <w:spacing w:line="360" w:lineRule="auto"/>
              <w:rPr>
                <w:rFonts w:eastAsiaTheme="minorEastAsia"/>
                <w:color w:val="000000" w:themeColor="text1"/>
                <w:szCs w:val="21"/>
              </w:rPr>
            </w:pPr>
            <w:r w:rsidRPr="003C5007">
              <w:rPr>
                <w:rFonts w:eastAsiaTheme="minorEastAsia"/>
                <w:color w:val="000000" w:themeColor="text1"/>
                <w:szCs w:val="21"/>
              </w:rPr>
              <w:t>综合</w:t>
            </w:r>
          </w:p>
        </w:tc>
        <w:tc>
          <w:tcPr>
            <w:tcW w:w="1543" w:type="pct"/>
            <w:tcBorders>
              <w:top w:val="single" w:sz="4" w:space="0" w:color="000000"/>
              <w:left w:val="single" w:sz="4" w:space="0" w:color="auto"/>
              <w:bottom w:val="single" w:sz="4" w:space="0" w:color="000000"/>
              <w:right w:val="single" w:sz="4" w:space="0" w:color="000000"/>
            </w:tcBorders>
            <w:vAlign w:val="center"/>
          </w:tcPr>
          <w:p w:rsidR="00790C57" w:rsidRPr="003C5007" w:rsidRDefault="00790C57" w:rsidP="003C5007">
            <w:pPr>
              <w:spacing w:line="360" w:lineRule="auto"/>
              <w:jc w:val="right"/>
              <w:rPr>
                <w:rFonts w:eastAsiaTheme="minorEastAsia"/>
                <w:color w:val="000000" w:themeColor="text1"/>
                <w:szCs w:val="21"/>
              </w:rPr>
            </w:pPr>
            <w:r w:rsidRPr="003C5007">
              <w:rPr>
                <w:rFonts w:eastAsiaTheme="minorEastAsia"/>
                <w:color w:val="000000" w:themeColor="text1"/>
                <w:szCs w:val="21"/>
              </w:rPr>
              <w:t>-</w:t>
            </w:r>
          </w:p>
        </w:tc>
        <w:tc>
          <w:tcPr>
            <w:tcW w:w="90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90C57" w:rsidRPr="003C5007" w:rsidRDefault="00790C57" w:rsidP="003C5007">
            <w:pPr>
              <w:spacing w:line="360" w:lineRule="auto"/>
              <w:jc w:val="right"/>
              <w:rPr>
                <w:rFonts w:eastAsiaTheme="minorEastAsia"/>
                <w:color w:val="000000" w:themeColor="text1"/>
                <w:szCs w:val="21"/>
              </w:rPr>
            </w:pPr>
            <w:r w:rsidRPr="003C5007">
              <w:rPr>
                <w:rFonts w:eastAsiaTheme="minorEastAsia"/>
                <w:color w:val="000000" w:themeColor="text1"/>
                <w:szCs w:val="21"/>
              </w:rPr>
              <w:t>-</w:t>
            </w:r>
          </w:p>
        </w:tc>
      </w:tr>
      <w:tr w:rsidR="00790C57" w:rsidRPr="003C5007" w:rsidTr="008E5013">
        <w:trPr>
          <w:trHeight w:val="285"/>
        </w:trPr>
        <w:tc>
          <w:tcPr>
            <w:tcW w:w="41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90C57" w:rsidRPr="003C5007" w:rsidRDefault="00790C57" w:rsidP="003C5007">
            <w:pPr>
              <w:adjustRightInd w:val="0"/>
              <w:snapToGrid w:val="0"/>
              <w:spacing w:line="360" w:lineRule="auto"/>
              <w:jc w:val="center"/>
              <w:rPr>
                <w:rFonts w:eastAsiaTheme="minorEastAsia"/>
                <w:color w:val="000000" w:themeColor="text1"/>
                <w:szCs w:val="21"/>
              </w:rPr>
            </w:pPr>
          </w:p>
        </w:tc>
        <w:tc>
          <w:tcPr>
            <w:tcW w:w="2145"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90C57" w:rsidRPr="003C5007" w:rsidRDefault="00790C57" w:rsidP="003C5007">
            <w:pPr>
              <w:adjustRightInd w:val="0"/>
              <w:snapToGrid w:val="0"/>
              <w:spacing w:line="360" w:lineRule="auto"/>
              <w:rPr>
                <w:rFonts w:eastAsiaTheme="minorEastAsia"/>
                <w:color w:val="000000" w:themeColor="text1"/>
                <w:szCs w:val="21"/>
              </w:rPr>
            </w:pPr>
            <w:r w:rsidRPr="003C5007">
              <w:rPr>
                <w:rFonts w:eastAsiaTheme="minorEastAsia"/>
                <w:color w:val="000000" w:themeColor="text1"/>
                <w:szCs w:val="21"/>
              </w:rPr>
              <w:t>合计</w:t>
            </w:r>
          </w:p>
        </w:tc>
        <w:tc>
          <w:tcPr>
            <w:tcW w:w="1543" w:type="pct"/>
            <w:tcBorders>
              <w:top w:val="single" w:sz="4" w:space="0" w:color="000000"/>
              <w:left w:val="single" w:sz="4" w:space="0" w:color="auto"/>
              <w:bottom w:val="single" w:sz="4" w:space="0" w:color="000000"/>
              <w:right w:val="single" w:sz="4" w:space="0" w:color="000000"/>
            </w:tcBorders>
            <w:vAlign w:val="center"/>
          </w:tcPr>
          <w:p w:rsidR="00790C57" w:rsidRPr="003C5007" w:rsidRDefault="00790C57" w:rsidP="003C5007">
            <w:pPr>
              <w:spacing w:line="360" w:lineRule="auto"/>
              <w:jc w:val="right"/>
              <w:rPr>
                <w:rFonts w:eastAsiaTheme="minorEastAsia"/>
                <w:color w:val="000000" w:themeColor="text1"/>
                <w:szCs w:val="21"/>
              </w:rPr>
            </w:pPr>
            <w:r w:rsidRPr="003C5007">
              <w:rPr>
                <w:rFonts w:eastAsiaTheme="minorEastAsia"/>
                <w:color w:val="000000" w:themeColor="text1"/>
                <w:szCs w:val="21"/>
              </w:rPr>
              <w:t>287,820,980.85</w:t>
            </w:r>
          </w:p>
        </w:tc>
        <w:tc>
          <w:tcPr>
            <w:tcW w:w="90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90C57" w:rsidRPr="003C5007" w:rsidRDefault="00790C57" w:rsidP="003C5007">
            <w:pPr>
              <w:spacing w:line="360" w:lineRule="auto"/>
              <w:jc w:val="right"/>
              <w:rPr>
                <w:rFonts w:eastAsiaTheme="minorEastAsia"/>
                <w:color w:val="000000" w:themeColor="text1"/>
                <w:szCs w:val="21"/>
              </w:rPr>
            </w:pPr>
            <w:r w:rsidRPr="003C5007">
              <w:rPr>
                <w:rFonts w:eastAsiaTheme="minorEastAsia"/>
                <w:color w:val="000000" w:themeColor="text1"/>
                <w:szCs w:val="21"/>
              </w:rPr>
              <w:t>91.03</w:t>
            </w:r>
          </w:p>
        </w:tc>
      </w:tr>
    </w:tbl>
    <w:p w:rsidR="00790C57" w:rsidRPr="003C5007" w:rsidRDefault="00790C57" w:rsidP="003C5007">
      <w:pPr>
        <w:spacing w:line="360" w:lineRule="auto"/>
        <w:jc w:val="left"/>
        <w:rPr>
          <w:rFonts w:eastAsiaTheme="minorEastAsia"/>
          <w:color w:val="000000" w:themeColor="text1"/>
          <w:szCs w:val="21"/>
        </w:rPr>
      </w:pPr>
      <w:r w:rsidRPr="003C5007">
        <w:rPr>
          <w:rFonts w:eastAsiaTheme="minorEastAsia"/>
          <w:b/>
          <w:color w:val="000000" w:themeColor="text1"/>
          <w:kern w:val="0"/>
          <w:szCs w:val="21"/>
        </w:rPr>
        <w:t>5</w:t>
      </w:r>
      <w:r w:rsidR="007C7F93" w:rsidRPr="003C5007">
        <w:rPr>
          <w:rFonts w:eastAsiaTheme="minorEastAsia"/>
          <w:b/>
          <w:color w:val="000000" w:themeColor="text1"/>
          <w:kern w:val="0"/>
          <w:szCs w:val="21"/>
        </w:rPr>
        <w:t>.2</w:t>
      </w:r>
      <w:r w:rsidRPr="003C5007">
        <w:rPr>
          <w:rFonts w:eastAsiaTheme="minorEastAsia"/>
          <w:b/>
          <w:color w:val="000000" w:themeColor="text1"/>
          <w:kern w:val="0"/>
          <w:szCs w:val="21"/>
        </w:rPr>
        <w:t>.2.2</w:t>
      </w:r>
      <w:r w:rsidRPr="003C5007">
        <w:rPr>
          <w:rFonts w:eastAsiaTheme="minorEastAsia"/>
          <w:b/>
          <w:color w:val="000000" w:themeColor="text1"/>
          <w:kern w:val="0"/>
          <w:szCs w:val="21"/>
        </w:rPr>
        <w:t>报告期末按行业分类的</w:t>
      </w:r>
      <w:r w:rsidR="002A2F10">
        <w:rPr>
          <w:rFonts w:eastAsiaTheme="minorEastAsia"/>
          <w:b/>
          <w:color w:val="000000" w:themeColor="text1"/>
          <w:kern w:val="0"/>
          <w:szCs w:val="21"/>
        </w:rPr>
        <w:t>港股通</w:t>
      </w:r>
      <w:r w:rsidRPr="003C5007">
        <w:rPr>
          <w:rFonts w:eastAsiaTheme="minorEastAsia"/>
          <w:b/>
          <w:color w:val="000000" w:themeColor="text1"/>
          <w:kern w:val="0"/>
          <w:szCs w:val="21"/>
        </w:rPr>
        <w:t>投资股票投资组合</w:t>
      </w:r>
    </w:p>
    <w:p w:rsidR="00790C57" w:rsidRDefault="00790C57" w:rsidP="003C5007">
      <w:pPr>
        <w:autoSpaceDE w:val="0"/>
        <w:autoSpaceDN w:val="0"/>
        <w:adjustRightInd w:val="0"/>
        <w:spacing w:line="360" w:lineRule="auto"/>
        <w:jc w:val="left"/>
        <w:rPr>
          <w:rFonts w:eastAsiaTheme="minorEastAsia"/>
          <w:color w:val="000000" w:themeColor="text1"/>
          <w:szCs w:val="21"/>
        </w:rPr>
      </w:pPr>
      <w:r w:rsidRPr="003C5007">
        <w:rPr>
          <w:rFonts w:eastAsiaTheme="minorEastAsia"/>
          <w:color w:val="000000" w:themeColor="text1"/>
          <w:szCs w:val="21"/>
        </w:rPr>
        <w:t>本基金未开通港股通交易机制投资于港股。</w:t>
      </w:r>
    </w:p>
    <w:p w:rsidR="00790C57" w:rsidRPr="003C5007" w:rsidRDefault="00790C57" w:rsidP="003C5007">
      <w:pPr>
        <w:autoSpaceDE w:val="0"/>
        <w:autoSpaceDN w:val="0"/>
        <w:adjustRightInd w:val="0"/>
        <w:spacing w:line="360" w:lineRule="auto"/>
        <w:jc w:val="left"/>
        <w:rPr>
          <w:rFonts w:eastAsiaTheme="minorEastAsia"/>
          <w:b/>
          <w:color w:val="000000" w:themeColor="text1"/>
          <w:kern w:val="0"/>
          <w:szCs w:val="21"/>
        </w:rPr>
      </w:pPr>
      <w:r w:rsidRPr="003C5007">
        <w:rPr>
          <w:rFonts w:eastAsiaTheme="minorEastAsia"/>
          <w:b/>
          <w:color w:val="000000" w:themeColor="text1"/>
          <w:kern w:val="0"/>
          <w:szCs w:val="21"/>
        </w:rPr>
        <w:t>5</w:t>
      </w:r>
      <w:r w:rsidR="007C7F93" w:rsidRPr="003C5007">
        <w:rPr>
          <w:rFonts w:eastAsiaTheme="minorEastAsia"/>
          <w:b/>
          <w:color w:val="000000" w:themeColor="text1"/>
          <w:kern w:val="0"/>
          <w:szCs w:val="21"/>
        </w:rPr>
        <w:t>.2</w:t>
      </w:r>
      <w:r w:rsidRPr="003C5007">
        <w:rPr>
          <w:rFonts w:eastAsiaTheme="minorEastAsia"/>
          <w:b/>
          <w:color w:val="000000" w:themeColor="text1"/>
          <w:kern w:val="0"/>
          <w:szCs w:val="21"/>
        </w:rPr>
        <w:t xml:space="preserve">.3 </w:t>
      </w:r>
      <w:r w:rsidRPr="003C5007">
        <w:rPr>
          <w:rFonts w:eastAsiaTheme="minorEastAsia"/>
          <w:b/>
          <w:color w:val="000000" w:themeColor="text1"/>
          <w:kern w:val="0"/>
          <w:szCs w:val="21"/>
        </w:rPr>
        <w:t>报告期末按公允价值占基金资产净值比例大小排序的前十名股票投资明细</w:t>
      </w:r>
    </w:p>
    <w:tbl>
      <w:tblPr>
        <w:tblStyle w:val="af7"/>
        <w:tblW w:w="0" w:type="auto"/>
        <w:jc w:val="center"/>
        <w:tblLayout w:type="fixed"/>
        <w:tblLook w:val="04A0" w:firstRow="1" w:lastRow="0" w:firstColumn="1" w:lastColumn="0" w:noHBand="0" w:noVBand="1"/>
      </w:tblPr>
      <w:tblGrid>
        <w:gridCol w:w="817"/>
        <w:gridCol w:w="1276"/>
        <w:gridCol w:w="1417"/>
        <w:gridCol w:w="1276"/>
        <w:gridCol w:w="1985"/>
        <w:gridCol w:w="1559"/>
      </w:tblGrid>
      <w:tr w:rsidR="00790C57" w:rsidRPr="003C5007" w:rsidTr="008E5013">
        <w:trPr>
          <w:jc w:val="center"/>
        </w:trPr>
        <w:tc>
          <w:tcPr>
            <w:tcW w:w="817" w:type="dxa"/>
            <w:vAlign w:val="center"/>
          </w:tcPr>
          <w:p w:rsidR="00790C57" w:rsidRPr="003C5007" w:rsidRDefault="00790C57" w:rsidP="003C5007">
            <w:pPr>
              <w:spacing w:line="360" w:lineRule="auto"/>
              <w:ind w:left="17"/>
              <w:jc w:val="center"/>
              <w:rPr>
                <w:rFonts w:eastAsiaTheme="minorEastAsia"/>
                <w:color w:val="000000" w:themeColor="text1"/>
                <w:szCs w:val="21"/>
              </w:rPr>
            </w:pPr>
            <w:r w:rsidRPr="003C5007">
              <w:rPr>
                <w:rFonts w:eastAsiaTheme="minorEastAsia"/>
                <w:color w:val="000000" w:themeColor="text1"/>
                <w:szCs w:val="21"/>
              </w:rPr>
              <w:t>序号</w:t>
            </w:r>
          </w:p>
        </w:tc>
        <w:tc>
          <w:tcPr>
            <w:tcW w:w="1276" w:type="dxa"/>
            <w:vAlign w:val="center"/>
          </w:tcPr>
          <w:p w:rsidR="00790C57" w:rsidRPr="003C5007" w:rsidRDefault="00790C57" w:rsidP="003C5007">
            <w:pPr>
              <w:spacing w:line="360" w:lineRule="auto"/>
              <w:ind w:left="17"/>
              <w:jc w:val="center"/>
              <w:rPr>
                <w:rFonts w:eastAsiaTheme="minorEastAsia"/>
                <w:color w:val="000000" w:themeColor="text1"/>
                <w:szCs w:val="21"/>
              </w:rPr>
            </w:pPr>
            <w:r w:rsidRPr="003C5007">
              <w:rPr>
                <w:rFonts w:eastAsiaTheme="minorEastAsia"/>
                <w:color w:val="000000" w:themeColor="text1"/>
                <w:szCs w:val="21"/>
              </w:rPr>
              <w:t>股票代码</w:t>
            </w:r>
          </w:p>
        </w:tc>
        <w:tc>
          <w:tcPr>
            <w:tcW w:w="1417" w:type="dxa"/>
            <w:vAlign w:val="center"/>
          </w:tcPr>
          <w:p w:rsidR="00790C57" w:rsidRPr="003C5007" w:rsidRDefault="00790C57" w:rsidP="003C5007">
            <w:pPr>
              <w:spacing w:line="360" w:lineRule="auto"/>
              <w:ind w:left="17"/>
              <w:jc w:val="center"/>
              <w:rPr>
                <w:rFonts w:eastAsiaTheme="minorEastAsia"/>
                <w:color w:val="000000" w:themeColor="text1"/>
                <w:szCs w:val="21"/>
              </w:rPr>
            </w:pPr>
            <w:r w:rsidRPr="003C5007">
              <w:rPr>
                <w:rFonts w:eastAsiaTheme="minorEastAsia"/>
                <w:color w:val="000000" w:themeColor="text1"/>
                <w:szCs w:val="21"/>
              </w:rPr>
              <w:t>股票名称</w:t>
            </w:r>
          </w:p>
        </w:tc>
        <w:tc>
          <w:tcPr>
            <w:tcW w:w="1276" w:type="dxa"/>
            <w:vAlign w:val="center"/>
          </w:tcPr>
          <w:p w:rsidR="00790C57" w:rsidRPr="003C5007" w:rsidRDefault="00790C57" w:rsidP="003C5007">
            <w:pPr>
              <w:spacing w:line="360" w:lineRule="auto"/>
              <w:ind w:left="17"/>
              <w:jc w:val="center"/>
              <w:rPr>
                <w:rFonts w:eastAsiaTheme="minorEastAsia"/>
                <w:color w:val="000000" w:themeColor="text1"/>
                <w:szCs w:val="21"/>
              </w:rPr>
            </w:pPr>
            <w:r w:rsidRPr="003C5007">
              <w:rPr>
                <w:rFonts w:eastAsiaTheme="minorEastAsia"/>
                <w:color w:val="000000" w:themeColor="text1"/>
                <w:szCs w:val="21"/>
              </w:rPr>
              <w:t>数量</w:t>
            </w:r>
            <w:r w:rsidRPr="003C5007">
              <w:rPr>
                <w:rFonts w:eastAsiaTheme="minorEastAsia"/>
                <w:color w:val="000000" w:themeColor="text1"/>
                <w:szCs w:val="21"/>
              </w:rPr>
              <w:t>(</w:t>
            </w:r>
            <w:r w:rsidRPr="003C5007">
              <w:rPr>
                <w:rFonts w:eastAsiaTheme="minorEastAsia"/>
                <w:color w:val="000000" w:themeColor="text1"/>
                <w:szCs w:val="21"/>
              </w:rPr>
              <w:t>股</w:t>
            </w:r>
            <w:r w:rsidRPr="003C5007">
              <w:rPr>
                <w:rFonts w:eastAsiaTheme="minorEastAsia"/>
                <w:color w:val="000000" w:themeColor="text1"/>
                <w:szCs w:val="21"/>
              </w:rPr>
              <w:t>)</w:t>
            </w:r>
          </w:p>
        </w:tc>
        <w:tc>
          <w:tcPr>
            <w:tcW w:w="1985" w:type="dxa"/>
            <w:vAlign w:val="center"/>
          </w:tcPr>
          <w:p w:rsidR="00790C57" w:rsidRPr="003C5007" w:rsidRDefault="00790C57" w:rsidP="003C5007">
            <w:pPr>
              <w:autoSpaceDE w:val="0"/>
              <w:autoSpaceDN w:val="0"/>
              <w:adjustRightInd w:val="0"/>
              <w:spacing w:line="360" w:lineRule="auto"/>
              <w:ind w:left="17"/>
              <w:jc w:val="center"/>
              <w:rPr>
                <w:rFonts w:eastAsiaTheme="minorEastAsia"/>
                <w:color w:val="000000" w:themeColor="text1"/>
                <w:szCs w:val="21"/>
              </w:rPr>
            </w:pPr>
            <w:r w:rsidRPr="003C5007">
              <w:rPr>
                <w:rFonts w:eastAsiaTheme="minorEastAsia"/>
                <w:color w:val="000000" w:themeColor="text1"/>
                <w:szCs w:val="21"/>
              </w:rPr>
              <w:t>公允价值</w:t>
            </w:r>
            <w:r w:rsidRPr="003C5007">
              <w:rPr>
                <w:rFonts w:eastAsiaTheme="minorEastAsia"/>
                <w:color w:val="000000" w:themeColor="text1"/>
                <w:szCs w:val="21"/>
              </w:rPr>
              <w:t>(</w:t>
            </w:r>
            <w:r w:rsidRPr="003C5007">
              <w:rPr>
                <w:rFonts w:eastAsiaTheme="minorEastAsia"/>
                <w:color w:val="000000" w:themeColor="text1"/>
                <w:szCs w:val="21"/>
              </w:rPr>
              <w:t>元</w:t>
            </w:r>
            <w:r w:rsidRPr="003C5007">
              <w:rPr>
                <w:rFonts w:eastAsiaTheme="minorEastAsia"/>
                <w:color w:val="000000" w:themeColor="text1"/>
                <w:szCs w:val="21"/>
              </w:rPr>
              <w:t>)</w:t>
            </w:r>
          </w:p>
        </w:tc>
        <w:tc>
          <w:tcPr>
            <w:tcW w:w="1559" w:type="dxa"/>
            <w:vAlign w:val="center"/>
          </w:tcPr>
          <w:p w:rsidR="00790C57" w:rsidRPr="003C5007" w:rsidRDefault="00790C57" w:rsidP="003C5007">
            <w:pPr>
              <w:spacing w:line="360" w:lineRule="auto"/>
              <w:ind w:left="17"/>
              <w:jc w:val="center"/>
              <w:rPr>
                <w:rFonts w:eastAsiaTheme="minorEastAsia"/>
                <w:color w:val="000000" w:themeColor="text1"/>
                <w:szCs w:val="21"/>
              </w:rPr>
            </w:pPr>
            <w:r w:rsidRPr="003C5007">
              <w:rPr>
                <w:rFonts w:eastAsiaTheme="minorEastAsia"/>
                <w:color w:val="000000" w:themeColor="text1"/>
                <w:szCs w:val="21"/>
              </w:rPr>
              <w:t>占基金资产净值比例</w:t>
            </w:r>
            <w:r w:rsidRPr="003C5007">
              <w:rPr>
                <w:rFonts w:eastAsiaTheme="minorEastAsia"/>
                <w:color w:val="000000" w:themeColor="text1"/>
                <w:szCs w:val="21"/>
              </w:rPr>
              <w:t>(</w:t>
            </w:r>
            <w:r w:rsidRPr="003C5007">
              <w:rPr>
                <w:rFonts w:eastAsiaTheme="minorEastAsia"/>
                <w:color w:val="000000" w:themeColor="text1"/>
                <w:szCs w:val="21"/>
              </w:rPr>
              <w:t>％</w:t>
            </w:r>
            <w:r w:rsidRPr="003C5007">
              <w:rPr>
                <w:rFonts w:eastAsiaTheme="minorEastAsia"/>
                <w:color w:val="000000" w:themeColor="text1"/>
                <w:szCs w:val="21"/>
              </w:rPr>
              <w:t>)</w:t>
            </w:r>
          </w:p>
        </w:tc>
      </w:tr>
      <w:tr w:rsidR="008E3BA0" w:rsidTr="008E5013">
        <w:trPr>
          <w:jc w:val="center"/>
        </w:trPr>
        <w:tc>
          <w:tcPr>
            <w:tcW w:w="817" w:type="dxa"/>
            <w:vAlign w:val="center"/>
          </w:tcPr>
          <w:p w:rsidR="008E3BA0" w:rsidRDefault="008E5013">
            <w:pPr>
              <w:jc w:val="center"/>
            </w:pPr>
            <w:r>
              <w:rPr>
                <w:rFonts w:eastAsiaTheme="minorEastAsia"/>
                <w:color w:val="000000" w:themeColor="text1"/>
                <w:szCs w:val="21"/>
              </w:rPr>
              <w:t>1</w:t>
            </w:r>
          </w:p>
        </w:tc>
        <w:tc>
          <w:tcPr>
            <w:tcW w:w="1276" w:type="dxa"/>
            <w:vAlign w:val="center"/>
          </w:tcPr>
          <w:p w:rsidR="008E3BA0" w:rsidRDefault="008E5013">
            <w:pPr>
              <w:jc w:val="center"/>
            </w:pPr>
            <w:r>
              <w:rPr>
                <w:rFonts w:eastAsiaTheme="minorEastAsia"/>
                <w:color w:val="000000" w:themeColor="text1"/>
                <w:szCs w:val="21"/>
              </w:rPr>
              <w:t>002415</w:t>
            </w:r>
          </w:p>
        </w:tc>
        <w:tc>
          <w:tcPr>
            <w:tcW w:w="1417" w:type="dxa"/>
            <w:vAlign w:val="center"/>
          </w:tcPr>
          <w:p w:rsidR="008E3BA0" w:rsidRDefault="008E5013">
            <w:pPr>
              <w:jc w:val="center"/>
            </w:pPr>
            <w:r>
              <w:rPr>
                <w:rFonts w:eastAsiaTheme="minorEastAsia"/>
                <w:color w:val="000000" w:themeColor="text1"/>
                <w:szCs w:val="21"/>
              </w:rPr>
              <w:t>海康威视</w:t>
            </w:r>
          </w:p>
        </w:tc>
        <w:tc>
          <w:tcPr>
            <w:tcW w:w="1276" w:type="dxa"/>
            <w:vAlign w:val="center"/>
          </w:tcPr>
          <w:p w:rsidR="008E3BA0" w:rsidRDefault="008E5013">
            <w:pPr>
              <w:jc w:val="right"/>
            </w:pPr>
            <w:r>
              <w:rPr>
                <w:rFonts w:eastAsiaTheme="minorEastAsia"/>
                <w:color w:val="000000" w:themeColor="text1"/>
                <w:szCs w:val="21"/>
              </w:rPr>
              <w:t>392,890.00</w:t>
            </w:r>
          </w:p>
        </w:tc>
        <w:tc>
          <w:tcPr>
            <w:tcW w:w="1985" w:type="dxa"/>
            <w:vAlign w:val="center"/>
          </w:tcPr>
          <w:p w:rsidR="008E3BA0" w:rsidRDefault="008E5013">
            <w:pPr>
              <w:jc w:val="right"/>
            </w:pPr>
            <w:r>
              <w:rPr>
                <w:rFonts w:eastAsiaTheme="minorEastAsia"/>
                <w:color w:val="000000" w:themeColor="text1"/>
                <w:szCs w:val="21"/>
              </w:rPr>
              <w:t>13,986,884.00</w:t>
            </w:r>
          </w:p>
        </w:tc>
        <w:tc>
          <w:tcPr>
            <w:tcW w:w="1559" w:type="dxa"/>
            <w:vAlign w:val="center"/>
          </w:tcPr>
          <w:p w:rsidR="008E3BA0" w:rsidRDefault="008E5013">
            <w:pPr>
              <w:jc w:val="right"/>
            </w:pPr>
            <w:r>
              <w:rPr>
                <w:rFonts w:eastAsiaTheme="minorEastAsia"/>
                <w:color w:val="000000" w:themeColor="text1"/>
                <w:szCs w:val="21"/>
              </w:rPr>
              <w:t>4.42</w:t>
            </w:r>
          </w:p>
        </w:tc>
      </w:tr>
      <w:tr w:rsidR="008E3BA0" w:rsidTr="008E5013">
        <w:trPr>
          <w:jc w:val="center"/>
        </w:trPr>
        <w:tc>
          <w:tcPr>
            <w:tcW w:w="817" w:type="dxa"/>
            <w:vAlign w:val="center"/>
          </w:tcPr>
          <w:p w:rsidR="008E3BA0" w:rsidRDefault="008E5013">
            <w:pPr>
              <w:jc w:val="center"/>
            </w:pPr>
            <w:r>
              <w:rPr>
                <w:rFonts w:eastAsiaTheme="minorEastAsia"/>
                <w:color w:val="000000" w:themeColor="text1"/>
                <w:szCs w:val="21"/>
              </w:rPr>
              <w:t>2</w:t>
            </w:r>
          </w:p>
        </w:tc>
        <w:tc>
          <w:tcPr>
            <w:tcW w:w="1276" w:type="dxa"/>
            <w:vAlign w:val="center"/>
          </w:tcPr>
          <w:p w:rsidR="008E3BA0" w:rsidRDefault="008E5013">
            <w:pPr>
              <w:jc w:val="center"/>
            </w:pPr>
            <w:r>
              <w:rPr>
                <w:rFonts w:eastAsiaTheme="minorEastAsia"/>
                <w:color w:val="000000" w:themeColor="text1"/>
                <w:szCs w:val="21"/>
              </w:rPr>
              <w:t>002450</w:t>
            </w:r>
          </w:p>
        </w:tc>
        <w:tc>
          <w:tcPr>
            <w:tcW w:w="1417" w:type="dxa"/>
            <w:vAlign w:val="center"/>
          </w:tcPr>
          <w:p w:rsidR="008E3BA0" w:rsidRDefault="008E5013">
            <w:pPr>
              <w:jc w:val="center"/>
            </w:pPr>
            <w:r>
              <w:rPr>
                <w:rFonts w:eastAsiaTheme="minorEastAsia"/>
                <w:color w:val="000000" w:themeColor="text1"/>
                <w:szCs w:val="21"/>
              </w:rPr>
              <w:t>康得新</w:t>
            </w:r>
          </w:p>
        </w:tc>
        <w:tc>
          <w:tcPr>
            <w:tcW w:w="1276" w:type="dxa"/>
            <w:vAlign w:val="center"/>
          </w:tcPr>
          <w:p w:rsidR="008E3BA0" w:rsidRDefault="008E5013">
            <w:pPr>
              <w:jc w:val="right"/>
            </w:pPr>
            <w:r>
              <w:rPr>
                <w:rFonts w:eastAsiaTheme="minorEastAsia"/>
                <w:color w:val="000000" w:themeColor="text1"/>
                <w:szCs w:val="21"/>
              </w:rPr>
              <w:t>476,782.00</w:t>
            </w:r>
          </w:p>
        </w:tc>
        <w:tc>
          <w:tcPr>
            <w:tcW w:w="1985" w:type="dxa"/>
            <w:vAlign w:val="center"/>
          </w:tcPr>
          <w:p w:rsidR="008E3BA0" w:rsidRDefault="008E5013">
            <w:pPr>
              <w:jc w:val="right"/>
            </w:pPr>
            <w:r>
              <w:rPr>
                <w:rFonts w:eastAsiaTheme="minorEastAsia"/>
                <w:color w:val="000000" w:themeColor="text1"/>
                <w:szCs w:val="21"/>
              </w:rPr>
              <w:t>9,015,947.62</w:t>
            </w:r>
          </w:p>
        </w:tc>
        <w:tc>
          <w:tcPr>
            <w:tcW w:w="1559" w:type="dxa"/>
            <w:vAlign w:val="center"/>
          </w:tcPr>
          <w:p w:rsidR="008E3BA0" w:rsidRDefault="008E5013">
            <w:pPr>
              <w:jc w:val="right"/>
            </w:pPr>
            <w:r>
              <w:rPr>
                <w:rFonts w:eastAsiaTheme="minorEastAsia"/>
                <w:color w:val="000000" w:themeColor="text1"/>
                <w:szCs w:val="21"/>
              </w:rPr>
              <w:t>2.85</w:t>
            </w:r>
          </w:p>
        </w:tc>
      </w:tr>
      <w:tr w:rsidR="008E3BA0" w:rsidTr="008E5013">
        <w:trPr>
          <w:jc w:val="center"/>
        </w:trPr>
        <w:tc>
          <w:tcPr>
            <w:tcW w:w="817" w:type="dxa"/>
            <w:vAlign w:val="center"/>
          </w:tcPr>
          <w:p w:rsidR="008E3BA0" w:rsidRDefault="008E5013">
            <w:pPr>
              <w:jc w:val="center"/>
            </w:pPr>
            <w:r>
              <w:rPr>
                <w:rFonts w:eastAsiaTheme="minorEastAsia"/>
                <w:color w:val="000000" w:themeColor="text1"/>
                <w:szCs w:val="21"/>
              </w:rPr>
              <w:t>3</w:t>
            </w:r>
          </w:p>
        </w:tc>
        <w:tc>
          <w:tcPr>
            <w:tcW w:w="1276" w:type="dxa"/>
            <w:vAlign w:val="center"/>
          </w:tcPr>
          <w:p w:rsidR="008E3BA0" w:rsidRDefault="008E5013">
            <w:pPr>
              <w:jc w:val="center"/>
            </w:pPr>
            <w:r>
              <w:rPr>
                <w:rFonts w:eastAsiaTheme="minorEastAsia"/>
                <w:color w:val="000000" w:themeColor="text1"/>
                <w:szCs w:val="21"/>
              </w:rPr>
              <w:t>002304</w:t>
            </w:r>
          </w:p>
        </w:tc>
        <w:tc>
          <w:tcPr>
            <w:tcW w:w="1417" w:type="dxa"/>
            <w:vAlign w:val="center"/>
          </w:tcPr>
          <w:p w:rsidR="008E3BA0" w:rsidRDefault="008E5013">
            <w:pPr>
              <w:jc w:val="center"/>
            </w:pPr>
            <w:r>
              <w:rPr>
                <w:rFonts w:eastAsiaTheme="minorEastAsia"/>
                <w:color w:val="000000" w:themeColor="text1"/>
                <w:szCs w:val="21"/>
              </w:rPr>
              <w:t>洋河股份</w:t>
            </w:r>
          </w:p>
        </w:tc>
        <w:tc>
          <w:tcPr>
            <w:tcW w:w="1276" w:type="dxa"/>
            <w:vAlign w:val="center"/>
          </w:tcPr>
          <w:p w:rsidR="008E3BA0" w:rsidRDefault="008E5013">
            <w:pPr>
              <w:jc w:val="right"/>
            </w:pPr>
            <w:r>
              <w:rPr>
                <w:rFonts w:eastAsiaTheme="minorEastAsia"/>
                <w:color w:val="000000" w:themeColor="text1"/>
                <w:szCs w:val="21"/>
              </w:rPr>
              <w:t>109,776.00</w:t>
            </w:r>
          </w:p>
        </w:tc>
        <w:tc>
          <w:tcPr>
            <w:tcW w:w="1985" w:type="dxa"/>
            <w:vAlign w:val="center"/>
          </w:tcPr>
          <w:p w:rsidR="008E3BA0" w:rsidRDefault="008E5013">
            <w:pPr>
              <w:jc w:val="right"/>
            </w:pPr>
            <w:r>
              <w:rPr>
                <w:rFonts w:eastAsiaTheme="minorEastAsia"/>
                <w:color w:val="000000" w:themeColor="text1"/>
                <w:szCs w:val="21"/>
              </w:rPr>
              <w:t>8,839,163.52</w:t>
            </w:r>
          </w:p>
        </w:tc>
        <w:tc>
          <w:tcPr>
            <w:tcW w:w="1559" w:type="dxa"/>
            <w:vAlign w:val="center"/>
          </w:tcPr>
          <w:p w:rsidR="008E3BA0" w:rsidRDefault="008E5013">
            <w:pPr>
              <w:jc w:val="right"/>
            </w:pPr>
            <w:r>
              <w:rPr>
                <w:rFonts w:eastAsiaTheme="minorEastAsia"/>
                <w:color w:val="000000" w:themeColor="text1"/>
                <w:szCs w:val="21"/>
              </w:rPr>
              <w:t>2.80</w:t>
            </w:r>
          </w:p>
        </w:tc>
      </w:tr>
      <w:tr w:rsidR="008E3BA0" w:rsidTr="008E5013">
        <w:trPr>
          <w:jc w:val="center"/>
        </w:trPr>
        <w:tc>
          <w:tcPr>
            <w:tcW w:w="817" w:type="dxa"/>
            <w:vAlign w:val="center"/>
          </w:tcPr>
          <w:p w:rsidR="008E3BA0" w:rsidRDefault="008E5013">
            <w:pPr>
              <w:jc w:val="center"/>
            </w:pPr>
            <w:r>
              <w:rPr>
                <w:rFonts w:eastAsiaTheme="minorEastAsia"/>
                <w:color w:val="000000" w:themeColor="text1"/>
                <w:szCs w:val="21"/>
              </w:rPr>
              <w:t>4</w:t>
            </w:r>
          </w:p>
        </w:tc>
        <w:tc>
          <w:tcPr>
            <w:tcW w:w="1276" w:type="dxa"/>
            <w:vAlign w:val="center"/>
          </w:tcPr>
          <w:p w:rsidR="008E3BA0" w:rsidRDefault="008E5013">
            <w:pPr>
              <w:jc w:val="center"/>
            </w:pPr>
            <w:r>
              <w:rPr>
                <w:rFonts w:eastAsiaTheme="minorEastAsia"/>
                <w:color w:val="000000" w:themeColor="text1"/>
                <w:szCs w:val="21"/>
              </w:rPr>
              <w:t>002024</w:t>
            </w:r>
          </w:p>
        </w:tc>
        <w:tc>
          <w:tcPr>
            <w:tcW w:w="1417" w:type="dxa"/>
            <w:vAlign w:val="center"/>
          </w:tcPr>
          <w:p w:rsidR="008E3BA0" w:rsidRDefault="008E5013">
            <w:pPr>
              <w:jc w:val="center"/>
            </w:pPr>
            <w:r>
              <w:rPr>
                <w:rFonts w:eastAsiaTheme="minorEastAsia"/>
                <w:color w:val="000000" w:themeColor="text1"/>
                <w:szCs w:val="21"/>
              </w:rPr>
              <w:t>苏宁云商</w:t>
            </w:r>
          </w:p>
        </w:tc>
        <w:tc>
          <w:tcPr>
            <w:tcW w:w="1276" w:type="dxa"/>
            <w:vAlign w:val="center"/>
          </w:tcPr>
          <w:p w:rsidR="008E3BA0" w:rsidRDefault="008E5013">
            <w:pPr>
              <w:jc w:val="right"/>
            </w:pPr>
            <w:r>
              <w:rPr>
                <w:rFonts w:eastAsiaTheme="minorEastAsia"/>
                <w:color w:val="000000" w:themeColor="text1"/>
                <w:szCs w:val="21"/>
              </w:rPr>
              <w:t>763,331.00</w:t>
            </w:r>
          </w:p>
        </w:tc>
        <w:tc>
          <w:tcPr>
            <w:tcW w:w="1985" w:type="dxa"/>
            <w:vAlign w:val="center"/>
          </w:tcPr>
          <w:p w:rsidR="008E3BA0" w:rsidRDefault="008E5013">
            <w:pPr>
              <w:jc w:val="right"/>
            </w:pPr>
            <w:r>
              <w:rPr>
                <w:rFonts w:eastAsiaTheme="minorEastAsia"/>
                <w:color w:val="000000" w:themeColor="text1"/>
                <w:szCs w:val="21"/>
              </w:rPr>
              <w:t>7,709,643.10</w:t>
            </w:r>
          </w:p>
        </w:tc>
        <w:tc>
          <w:tcPr>
            <w:tcW w:w="1559" w:type="dxa"/>
            <w:vAlign w:val="center"/>
          </w:tcPr>
          <w:p w:rsidR="008E3BA0" w:rsidRDefault="008E5013">
            <w:pPr>
              <w:jc w:val="right"/>
            </w:pPr>
            <w:r>
              <w:rPr>
                <w:rFonts w:eastAsiaTheme="minorEastAsia"/>
                <w:color w:val="000000" w:themeColor="text1"/>
                <w:szCs w:val="21"/>
              </w:rPr>
              <w:t>2.44</w:t>
            </w:r>
          </w:p>
        </w:tc>
      </w:tr>
      <w:tr w:rsidR="008E3BA0" w:rsidTr="008E5013">
        <w:trPr>
          <w:jc w:val="center"/>
        </w:trPr>
        <w:tc>
          <w:tcPr>
            <w:tcW w:w="817" w:type="dxa"/>
            <w:vAlign w:val="center"/>
          </w:tcPr>
          <w:p w:rsidR="008E3BA0" w:rsidRDefault="008E5013">
            <w:pPr>
              <w:jc w:val="center"/>
            </w:pPr>
            <w:r>
              <w:rPr>
                <w:rFonts w:eastAsiaTheme="minorEastAsia"/>
                <w:color w:val="000000" w:themeColor="text1"/>
                <w:szCs w:val="21"/>
              </w:rPr>
              <w:t>5</w:t>
            </w:r>
          </w:p>
        </w:tc>
        <w:tc>
          <w:tcPr>
            <w:tcW w:w="1276" w:type="dxa"/>
            <w:vAlign w:val="center"/>
          </w:tcPr>
          <w:p w:rsidR="008E3BA0" w:rsidRDefault="008E5013">
            <w:pPr>
              <w:jc w:val="center"/>
            </w:pPr>
            <w:r>
              <w:rPr>
                <w:rFonts w:eastAsiaTheme="minorEastAsia"/>
                <w:color w:val="000000" w:themeColor="text1"/>
                <w:szCs w:val="21"/>
              </w:rPr>
              <w:t>002142</w:t>
            </w:r>
          </w:p>
        </w:tc>
        <w:tc>
          <w:tcPr>
            <w:tcW w:w="1417" w:type="dxa"/>
            <w:vAlign w:val="center"/>
          </w:tcPr>
          <w:p w:rsidR="008E3BA0" w:rsidRDefault="008E5013">
            <w:pPr>
              <w:jc w:val="center"/>
            </w:pPr>
            <w:r>
              <w:rPr>
                <w:rFonts w:eastAsiaTheme="minorEastAsia"/>
                <w:color w:val="000000" w:themeColor="text1"/>
                <w:szCs w:val="21"/>
              </w:rPr>
              <w:t>宁波银行</w:t>
            </w:r>
          </w:p>
        </w:tc>
        <w:tc>
          <w:tcPr>
            <w:tcW w:w="1276" w:type="dxa"/>
            <w:vAlign w:val="center"/>
          </w:tcPr>
          <w:p w:rsidR="008E3BA0" w:rsidRDefault="008E5013">
            <w:pPr>
              <w:jc w:val="right"/>
            </w:pPr>
            <w:r>
              <w:rPr>
                <w:rFonts w:eastAsiaTheme="minorEastAsia"/>
                <w:color w:val="000000" w:themeColor="text1"/>
                <w:szCs w:val="21"/>
              </w:rPr>
              <w:t>351,930.00</w:t>
            </w:r>
          </w:p>
        </w:tc>
        <w:tc>
          <w:tcPr>
            <w:tcW w:w="1985" w:type="dxa"/>
            <w:vAlign w:val="center"/>
          </w:tcPr>
          <w:p w:rsidR="008E3BA0" w:rsidRDefault="008E5013">
            <w:pPr>
              <w:jc w:val="right"/>
            </w:pPr>
            <w:r>
              <w:rPr>
                <w:rFonts w:eastAsiaTheme="minorEastAsia"/>
                <w:color w:val="000000" w:themeColor="text1"/>
                <w:szCs w:val="21"/>
              </w:rPr>
              <w:t>5,834,999.40</w:t>
            </w:r>
          </w:p>
        </w:tc>
        <w:tc>
          <w:tcPr>
            <w:tcW w:w="1559" w:type="dxa"/>
            <w:vAlign w:val="center"/>
          </w:tcPr>
          <w:p w:rsidR="008E3BA0" w:rsidRDefault="008E5013">
            <w:pPr>
              <w:jc w:val="right"/>
            </w:pPr>
            <w:r>
              <w:rPr>
                <w:rFonts w:eastAsiaTheme="minorEastAsia"/>
                <w:color w:val="000000" w:themeColor="text1"/>
                <w:szCs w:val="21"/>
              </w:rPr>
              <w:t>1.85</w:t>
            </w:r>
          </w:p>
        </w:tc>
      </w:tr>
      <w:tr w:rsidR="008E3BA0" w:rsidTr="008E5013">
        <w:trPr>
          <w:jc w:val="center"/>
        </w:trPr>
        <w:tc>
          <w:tcPr>
            <w:tcW w:w="817" w:type="dxa"/>
            <w:vAlign w:val="center"/>
          </w:tcPr>
          <w:p w:rsidR="008E3BA0" w:rsidRDefault="008E5013">
            <w:pPr>
              <w:jc w:val="center"/>
            </w:pPr>
            <w:r>
              <w:rPr>
                <w:rFonts w:eastAsiaTheme="minorEastAsia"/>
                <w:color w:val="000000" w:themeColor="text1"/>
                <w:szCs w:val="21"/>
              </w:rPr>
              <w:t>6</w:t>
            </w:r>
          </w:p>
        </w:tc>
        <w:tc>
          <w:tcPr>
            <w:tcW w:w="1276" w:type="dxa"/>
            <w:vAlign w:val="center"/>
          </w:tcPr>
          <w:p w:rsidR="008E3BA0" w:rsidRDefault="008E5013">
            <w:pPr>
              <w:jc w:val="center"/>
            </w:pPr>
            <w:r>
              <w:rPr>
                <w:rFonts w:eastAsiaTheme="minorEastAsia"/>
                <w:color w:val="000000" w:themeColor="text1"/>
                <w:szCs w:val="21"/>
              </w:rPr>
              <w:t>002241</w:t>
            </w:r>
          </w:p>
        </w:tc>
        <w:tc>
          <w:tcPr>
            <w:tcW w:w="1417" w:type="dxa"/>
            <w:vAlign w:val="center"/>
          </w:tcPr>
          <w:p w:rsidR="008E3BA0" w:rsidRDefault="008E5013">
            <w:pPr>
              <w:jc w:val="center"/>
            </w:pPr>
            <w:r>
              <w:rPr>
                <w:rFonts w:eastAsiaTheme="minorEastAsia"/>
                <w:color w:val="000000" w:themeColor="text1"/>
                <w:szCs w:val="21"/>
              </w:rPr>
              <w:t>歌尔股份</w:t>
            </w:r>
          </w:p>
        </w:tc>
        <w:tc>
          <w:tcPr>
            <w:tcW w:w="1276" w:type="dxa"/>
            <w:vAlign w:val="center"/>
          </w:tcPr>
          <w:p w:rsidR="008E3BA0" w:rsidRDefault="008E5013">
            <w:pPr>
              <w:jc w:val="right"/>
            </w:pPr>
            <w:r>
              <w:rPr>
                <w:rFonts w:eastAsiaTheme="minorEastAsia"/>
                <w:color w:val="000000" w:themeColor="text1"/>
                <w:szCs w:val="21"/>
              </w:rPr>
              <w:t>348,291.00</w:t>
            </w:r>
          </w:p>
        </w:tc>
        <w:tc>
          <w:tcPr>
            <w:tcW w:w="1985" w:type="dxa"/>
            <w:vAlign w:val="center"/>
          </w:tcPr>
          <w:p w:rsidR="008E3BA0" w:rsidRDefault="008E5013">
            <w:pPr>
              <w:jc w:val="right"/>
            </w:pPr>
            <w:r>
              <w:rPr>
                <w:rFonts w:eastAsiaTheme="minorEastAsia"/>
                <w:color w:val="000000" w:themeColor="text1"/>
                <w:szCs w:val="21"/>
              </w:rPr>
              <w:t>5,802,528.06</w:t>
            </w:r>
          </w:p>
        </w:tc>
        <w:tc>
          <w:tcPr>
            <w:tcW w:w="1559" w:type="dxa"/>
            <w:vAlign w:val="center"/>
          </w:tcPr>
          <w:p w:rsidR="008E3BA0" w:rsidRDefault="008E5013">
            <w:pPr>
              <w:jc w:val="right"/>
            </w:pPr>
            <w:r>
              <w:rPr>
                <w:rFonts w:eastAsiaTheme="minorEastAsia"/>
                <w:color w:val="000000" w:themeColor="text1"/>
                <w:szCs w:val="21"/>
              </w:rPr>
              <w:t>1.84</w:t>
            </w:r>
          </w:p>
        </w:tc>
      </w:tr>
      <w:tr w:rsidR="008E3BA0" w:rsidTr="008E5013">
        <w:trPr>
          <w:jc w:val="center"/>
        </w:trPr>
        <w:tc>
          <w:tcPr>
            <w:tcW w:w="817" w:type="dxa"/>
            <w:vAlign w:val="center"/>
          </w:tcPr>
          <w:p w:rsidR="008E3BA0" w:rsidRDefault="008E5013">
            <w:pPr>
              <w:jc w:val="center"/>
            </w:pPr>
            <w:r>
              <w:rPr>
                <w:rFonts w:eastAsiaTheme="minorEastAsia"/>
                <w:color w:val="000000" w:themeColor="text1"/>
                <w:szCs w:val="21"/>
              </w:rPr>
              <w:t>7</w:t>
            </w:r>
          </w:p>
        </w:tc>
        <w:tc>
          <w:tcPr>
            <w:tcW w:w="1276" w:type="dxa"/>
            <w:vAlign w:val="center"/>
          </w:tcPr>
          <w:p w:rsidR="008E3BA0" w:rsidRDefault="008E5013">
            <w:pPr>
              <w:jc w:val="center"/>
            </w:pPr>
            <w:r>
              <w:rPr>
                <w:rFonts w:eastAsiaTheme="minorEastAsia"/>
                <w:color w:val="000000" w:themeColor="text1"/>
                <w:szCs w:val="21"/>
              </w:rPr>
              <w:t>002466</w:t>
            </w:r>
          </w:p>
        </w:tc>
        <w:tc>
          <w:tcPr>
            <w:tcW w:w="1417" w:type="dxa"/>
            <w:vAlign w:val="center"/>
          </w:tcPr>
          <w:p w:rsidR="008E3BA0" w:rsidRDefault="008E5013">
            <w:pPr>
              <w:jc w:val="center"/>
            </w:pPr>
            <w:r>
              <w:rPr>
                <w:rFonts w:eastAsiaTheme="minorEastAsia"/>
                <w:color w:val="000000" w:themeColor="text1"/>
                <w:szCs w:val="21"/>
              </w:rPr>
              <w:t>天齐锂业</w:t>
            </w:r>
          </w:p>
        </w:tc>
        <w:tc>
          <w:tcPr>
            <w:tcW w:w="1276" w:type="dxa"/>
            <w:vAlign w:val="center"/>
          </w:tcPr>
          <w:p w:rsidR="008E3BA0" w:rsidRDefault="008E5013">
            <w:pPr>
              <w:jc w:val="right"/>
            </w:pPr>
            <w:r>
              <w:rPr>
                <w:rFonts w:eastAsiaTheme="minorEastAsia"/>
                <w:color w:val="000000" w:themeColor="text1"/>
                <w:szCs w:val="21"/>
              </w:rPr>
              <w:t>127,421.00</w:t>
            </w:r>
          </w:p>
        </w:tc>
        <w:tc>
          <w:tcPr>
            <w:tcW w:w="1985" w:type="dxa"/>
            <w:vAlign w:val="center"/>
          </w:tcPr>
          <w:p w:rsidR="008E3BA0" w:rsidRDefault="008E5013">
            <w:pPr>
              <w:jc w:val="right"/>
            </w:pPr>
            <w:r>
              <w:rPr>
                <w:rFonts w:eastAsiaTheme="minorEastAsia"/>
                <w:color w:val="000000" w:themeColor="text1"/>
                <w:szCs w:val="21"/>
              </w:rPr>
              <w:t>5,732,670.79</w:t>
            </w:r>
          </w:p>
        </w:tc>
        <w:tc>
          <w:tcPr>
            <w:tcW w:w="1559" w:type="dxa"/>
            <w:vAlign w:val="center"/>
          </w:tcPr>
          <w:p w:rsidR="008E3BA0" w:rsidRDefault="008E5013">
            <w:pPr>
              <w:jc w:val="right"/>
            </w:pPr>
            <w:r>
              <w:rPr>
                <w:rFonts w:eastAsiaTheme="minorEastAsia"/>
                <w:color w:val="000000" w:themeColor="text1"/>
                <w:szCs w:val="21"/>
              </w:rPr>
              <w:t>1.81</w:t>
            </w:r>
          </w:p>
        </w:tc>
      </w:tr>
      <w:tr w:rsidR="008E3BA0" w:rsidTr="008E5013">
        <w:trPr>
          <w:jc w:val="center"/>
        </w:trPr>
        <w:tc>
          <w:tcPr>
            <w:tcW w:w="817" w:type="dxa"/>
            <w:vAlign w:val="center"/>
          </w:tcPr>
          <w:p w:rsidR="008E3BA0" w:rsidRDefault="008E5013">
            <w:pPr>
              <w:jc w:val="center"/>
            </w:pPr>
            <w:r>
              <w:rPr>
                <w:rFonts w:eastAsiaTheme="minorEastAsia"/>
                <w:color w:val="000000" w:themeColor="text1"/>
                <w:szCs w:val="21"/>
              </w:rPr>
              <w:t>8</w:t>
            </w:r>
          </w:p>
        </w:tc>
        <w:tc>
          <w:tcPr>
            <w:tcW w:w="1276" w:type="dxa"/>
            <w:vAlign w:val="center"/>
          </w:tcPr>
          <w:p w:rsidR="008E3BA0" w:rsidRDefault="008E5013">
            <w:pPr>
              <w:jc w:val="center"/>
            </w:pPr>
            <w:r>
              <w:rPr>
                <w:rFonts w:eastAsiaTheme="minorEastAsia"/>
                <w:color w:val="000000" w:themeColor="text1"/>
                <w:szCs w:val="21"/>
              </w:rPr>
              <w:t>002456</w:t>
            </w:r>
          </w:p>
        </w:tc>
        <w:tc>
          <w:tcPr>
            <w:tcW w:w="1417" w:type="dxa"/>
            <w:vAlign w:val="center"/>
          </w:tcPr>
          <w:p w:rsidR="008E3BA0" w:rsidRDefault="008E5013">
            <w:pPr>
              <w:jc w:val="center"/>
            </w:pPr>
            <w:r>
              <w:rPr>
                <w:rFonts w:eastAsiaTheme="minorEastAsia"/>
                <w:color w:val="000000" w:themeColor="text1"/>
                <w:szCs w:val="21"/>
              </w:rPr>
              <w:t>欧菲光</w:t>
            </w:r>
          </w:p>
        </w:tc>
        <w:tc>
          <w:tcPr>
            <w:tcW w:w="1276" w:type="dxa"/>
            <w:vAlign w:val="center"/>
          </w:tcPr>
          <w:p w:rsidR="008E3BA0" w:rsidRDefault="008E5013">
            <w:pPr>
              <w:jc w:val="right"/>
            </w:pPr>
            <w:r>
              <w:rPr>
                <w:rFonts w:eastAsiaTheme="minorEastAsia"/>
                <w:color w:val="000000" w:themeColor="text1"/>
                <w:szCs w:val="21"/>
              </w:rPr>
              <w:t>152,967.00</w:t>
            </w:r>
          </w:p>
        </w:tc>
        <w:tc>
          <w:tcPr>
            <w:tcW w:w="1985" w:type="dxa"/>
            <w:vAlign w:val="center"/>
          </w:tcPr>
          <w:p w:rsidR="008E3BA0" w:rsidRDefault="008E5013">
            <w:pPr>
              <w:jc w:val="right"/>
            </w:pPr>
            <w:r>
              <w:rPr>
                <w:rFonts w:eastAsiaTheme="minorEastAsia"/>
                <w:color w:val="000000" w:themeColor="text1"/>
                <w:szCs w:val="21"/>
              </w:rPr>
              <w:t>5,702,609.76</w:t>
            </w:r>
          </w:p>
        </w:tc>
        <w:tc>
          <w:tcPr>
            <w:tcW w:w="1559" w:type="dxa"/>
            <w:vAlign w:val="center"/>
          </w:tcPr>
          <w:p w:rsidR="008E3BA0" w:rsidRDefault="008E5013">
            <w:pPr>
              <w:jc w:val="right"/>
            </w:pPr>
            <w:r>
              <w:rPr>
                <w:rFonts w:eastAsiaTheme="minorEastAsia"/>
                <w:color w:val="000000" w:themeColor="text1"/>
                <w:szCs w:val="21"/>
              </w:rPr>
              <w:t>1.80</w:t>
            </w:r>
          </w:p>
        </w:tc>
      </w:tr>
      <w:tr w:rsidR="008E3BA0" w:rsidTr="008E5013">
        <w:trPr>
          <w:jc w:val="center"/>
        </w:trPr>
        <w:tc>
          <w:tcPr>
            <w:tcW w:w="817" w:type="dxa"/>
            <w:vAlign w:val="center"/>
          </w:tcPr>
          <w:p w:rsidR="008E3BA0" w:rsidRDefault="008E5013">
            <w:pPr>
              <w:jc w:val="center"/>
            </w:pPr>
            <w:r>
              <w:rPr>
                <w:rFonts w:eastAsiaTheme="minorEastAsia"/>
                <w:color w:val="000000" w:themeColor="text1"/>
                <w:szCs w:val="21"/>
              </w:rPr>
              <w:t>9</w:t>
            </w:r>
          </w:p>
        </w:tc>
        <w:tc>
          <w:tcPr>
            <w:tcW w:w="1276" w:type="dxa"/>
            <w:vAlign w:val="center"/>
          </w:tcPr>
          <w:p w:rsidR="008E3BA0" w:rsidRDefault="008E5013">
            <w:pPr>
              <w:jc w:val="center"/>
            </w:pPr>
            <w:r>
              <w:rPr>
                <w:rFonts w:eastAsiaTheme="minorEastAsia"/>
                <w:color w:val="000000" w:themeColor="text1"/>
                <w:szCs w:val="21"/>
              </w:rPr>
              <w:t>002230</w:t>
            </w:r>
          </w:p>
        </w:tc>
        <w:tc>
          <w:tcPr>
            <w:tcW w:w="1417" w:type="dxa"/>
            <w:vAlign w:val="center"/>
          </w:tcPr>
          <w:p w:rsidR="008E3BA0" w:rsidRDefault="008E5013">
            <w:pPr>
              <w:jc w:val="center"/>
            </w:pPr>
            <w:r>
              <w:rPr>
                <w:rFonts w:eastAsiaTheme="minorEastAsia"/>
                <w:color w:val="000000" w:themeColor="text1"/>
                <w:szCs w:val="21"/>
              </w:rPr>
              <w:t>科大讯飞</w:t>
            </w:r>
          </w:p>
        </w:tc>
        <w:tc>
          <w:tcPr>
            <w:tcW w:w="1276" w:type="dxa"/>
            <w:vAlign w:val="center"/>
          </w:tcPr>
          <w:p w:rsidR="008E3BA0" w:rsidRDefault="008E5013">
            <w:pPr>
              <w:jc w:val="right"/>
            </w:pPr>
            <w:r>
              <w:rPr>
                <w:rFonts w:eastAsiaTheme="minorEastAsia"/>
                <w:color w:val="000000" w:themeColor="text1"/>
                <w:szCs w:val="21"/>
              </w:rPr>
              <w:t>189,988.00</w:t>
            </w:r>
          </w:p>
        </w:tc>
        <w:tc>
          <w:tcPr>
            <w:tcW w:w="1985" w:type="dxa"/>
            <w:vAlign w:val="center"/>
          </w:tcPr>
          <w:p w:rsidR="008E3BA0" w:rsidRDefault="008E5013">
            <w:pPr>
              <w:jc w:val="right"/>
            </w:pPr>
            <w:r>
              <w:rPr>
                <w:rFonts w:eastAsiaTheme="minorEastAsia"/>
                <w:color w:val="000000" w:themeColor="text1"/>
                <w:szCs w:val="21"/>
              </w:rPr>
              <w:t>5,699,640.00</w:t>
            </w:r>
          </w:p>
        </w:tc>
        <w:tc>
          <w:tcPr>
            <w:tcW w:w="1559" w:type="dxa"/>
            <w:vAlign w:val="center"/>
          </w:tcPr>
          <w:p w:rsidR="008E3BA0" w:rsidRDefault="008E5013">
            <w:pPr>
              <w:jc w:val="right"/>
            </w:pPr>
            <w:r>
              <w:rPr>
                <w:rFonts w:eastAsiaTheme="minorEastAsia"/>
                <w:color w:val="000000" w:themeColor="text1"/>
                <w:szCs w:val="21"/>
              </w:rPr>
              <w:t>1.80</w:t>
            </w:r>
          </w:p>
        </w:tc>
      </w:tr>
      <w:tr w:rsidR="008E3BA0" w:rsidTr="008E5013">
        <w:trPr>
          <w:jc w:val="center"/>
        </w:trPr>
        <w:tc>
          <w:tcPr>
            <w:tcW w:w="817" w:type="dxa"/>
            <w:vAlign w:val="center"/>
          </w:tcPr>
          <w:p w:rsidR="008E3BA0" w:rsidRDefault="008E5013">
            <w:pPr>
              <w:jc w:val="center"/>
            </w:pPr>
            <w:r>
              <w:rPr>
                <w:rFonts w:eastAsiaTheme="minorEastAsia"/>
                <w:color w:val="000000" w:themeColor="text1"/>
                <w:szCs w:val="21"/>
              </w:rPr>
              <w:t>10</w:t>
            </w:r>
          </w:p>
        </w:tc>
        <w:tc>
          <w:tcPr>
            <w:tcW w:w="1276" w:type="dxa"/>
            <w:vAlign w:val="center"/>
          </w:tcPr>
          <w:p w:rsidR="008E3BA0" w:rsidRDefault="008E5013">
            <w:pPr>
              <w:jc w:val="center"/>
            </w:pPr>
            <w:r>
              <w:rPr>
                <w:rFonts w:eastAsiaTheme="minorEastAsia"/>
                <w:color w:val="000000" w:themeColor="text1"/>
                <w:szCs w:val="21"/>
              </w:rPr>
              <w:t>002594</w:t>
            </w:r>
          </w:p>
        </w:tc>
        <w:tc>
          <w:tcPr>
            <w:tcW w:w="1417" w:type="dxa"/>
            <w:vAlign w:val="center"/>
          </w:tcPr>
          <w:p w:rsidR="008E3BA0" w:rsidRDefault="008E5013">
            <w:pPr>
              <w:jc w:val="center"/>
            </w:pPr>
            <w:r>
              <w:rPr>
                <w:rFonts w:eastAsiaTheme="minorEastAsia"/>
                <w:color w:val="000000" w:themeColor="text1"/>
                <w:szCs w:val="21"/>
              </w:rPr>
              <w:t>比亚迪</w:t>
            </w:r>
          </w:p>
        </w:tc>
        <w:tc>
          <w:tcPr>
            <w:tcW w:w="1276" w:type="dxa"/>
            <w:vAlign w:val="center"/>
          </w:tcPr>
          <w:p w:rsidR="008E3BA0" w:rsidRDefault="008E5013">
            <w:pPr>
              <w:jc w:val="right"/>
            </w:pPr>
            <w:r>
              <w:rPr>
                <w:rFonts w:eastAsiaTheme="minorEastAsia"/>
                <w:color w:val="000000" w:themeColor="text1"/>
                <w:szCs w:val="21"/>
              </w:rPr>
              <w:t>110,108.00</w:t>
            </w:r>
          </w:p>
        </w:tc>
        <w:tc>
          <w:tcPr>
            <w:tcW w:w="1985" w:type="dxa"/>
            <w:vAlign w:val="center"/>
          </w:tcPr>
          <w:p w:rsidR="008E3BA0" w:rsidRDefault="008E5013">
            <w:pPr>
              <w:jc w:val="right"/>
            </w:pPr>
            <w:r>
              <w:rPr>
                <w:rFonts w:eastAsiaTheme="minorEastAsia"/>
                <w:color w:val="000000" w:themeColor="text1"/>
                <w:szCs w:val="21"/>
              </w:rPr>
              <w:t>5,372,169.32</w:t>
            </w:r>
          </w:p>
        </w:tc>
        <w:tc>
          <w:tcPr>
            <w:tcW w:w="1559" w:type="dxa"/>
            <w:vAlign w:val="center"/>
          </w:tcPr>
          <w:p w:rsidR="008E3BA0" w:rsidRDefault="008E5013">
            <w:pPr>
              <w:jc w:val="right"/>
            </w:pPr>
            <w:r>
              <w:rPr>
                <w:rFonts w:eastAsiaTheme="minorEastAsia"/>
                <w:color w:val="000000" w:themeColor="text1"/>
                <w:szCs w:val="21"/>
              </w:rPr>
              <w:t>1.70</w:t>
            </w:r>
          </w:p>
        </w:tc>
      </w:tr>
    </w:tbl>
    <w:p w:rsidR="00790C57" w:rsidRPr="003C5007" w:rsidRDefault="00790C57" w:rsidP="003C5007">
      <w:pPr>
        <w:autoSpaceDE w:val="0"/>
        <w:autoSpaceDN w:val="0"/>
        <w:adjustRightInd w:val="0"/>
        <w:spacing w:line="360" w:lineRule="auto"/>
        <w:jc w:val="left"/>
        <w:rPr>
          <w:rFonts w:eastAsiaTheme="minorEastAsia"/>
          <w:b/>
          <w:color w:val="000000" w:themeColor="text1"/>
          <w:kern w:val="0"/>
          <w:szCs w:val="21"/>
        </w:rPr>
      </w:pPr>
      <w:r w:rsidRPr="003C5007">
        <w:rPr>
          <w:rFonts w:eastAsiaTheme="minorEastAsia"/>
          <w:b/>
          <w:color w:val="000000" w:themeColor="text1"/>
          <w:kern w:val="0"/>
          <w:szCs w:val="21"/>
        </w:rPr>
        <w:t>5</w:t>
      </w:r>
      <w:r w:rsidR="007C7F93" w:rsidRPr="003C5007">
        <w:rPr>
          <w:rFonts w:eastAsiaTheme="minorEastAsia"/>
          <w:b/>
          <w:color w:val="000000" w:themeColor="text1"/>
          <w:kern w:val="0"/>
          <w:szCs w:val="21"/>
        </w:rPr>
        <w:t>.2</w:t>
      </w:r>
      <w:r w:rsidRPr="003C5007">
        <w:rPr>
          <w:rFonts w:eastAsiaTheme="minorEastAsia"/>
          <w:b/>
          <w:color w:val="000000" w:themeColor="text1"/>
          <w:kern w:val="0"/>
          <w:szCs w:val="21"/>
        </w:rPr>
        <w:t xml:space="preserve">.4 </w:t>
      </w:r>
      <w:r w:rsidRPr="003C5007">
        <w:rPr>
          <w:rFonts w:eastAsiaTheme="minorEastAsia"/>
          <w:b/>
          <w:color w:val="000000" w:themeColor="text1"/>
          <w:kern w:val="0"/>
          <w:szCs w:val="21"/>
        </w:rPr>
        <w:t>报告期末按债券品种分类的债券投资组合</w:t>
      </w:r>
    </w:p>
    <w:p w:rsidR="00790C57" w:rsidRPr="003C5007" w:rsidRDefault="00790C57" w:rsidP="003C5007">
      <w:pPr>
        <w:autoSpaceDE w:val="0"/>
        <w:autoSpaceDN w:val="0"/>
        <w:adjustRightInd w:val="0"/>
        <w:spacing w:line="360" w:lineRule="auto"/>
        <w:jc w:val="left"/>
        <w:rPr>
          <w:rFonts w:eastAsiaTheme="minorEastAsia"/>
          <w:color w:val="000000" w:themeColor="text1"/>
          <w:szCs w:val="21"/>
        </w:rPr>
      </w:pPr>
      <w:r w:rsidRPr="003C5007">
        <w:rPr>
          <w:rFonts w:eastAsiaTheme="minorEastAsia"/>
          <w:color w:val="000000" w:themeColor="text1"/>
          <w:szCs w:val="21"/>
        </w:rPr>
        <w:t>本基金本报告期末未持有债券。</w:t>
      </w:r>
    </w:p>
    <w:p w:rsidR="00790C57" w:rsidRPr="003C5007" w:rsidRDefault="00790C57" w:rsidP="003C5007">
      <w:pPr>
        <w:autoSpaceDE w:val="0"/>
        <w:autoSpaceDN w:val="0"/>
        <w:adjustRightInd w:val="0"/>
        <w:spacing w:line="360" w:lineRule="auto"/>
        <w:jc w:val="left"/>
        <w:rPr>
          <w:rFonts w:eastAsiaTheme="minorEastAsia"/>
          <w:b/>
          <w:color w:val="000000" w:themeColor="text1"/>
          <w:kern w:val="0"/>
          <w:szCs w:val="21"/>
        </w:rPr>
      </w:pPr>
      <w:r w:rsidRPr="003C5007">
        <w:rPr>
          <w:rFonts w:eastAsiaTheme="minorEastAsia"/>
          <w:b/>
          <w:color w:val="000000" w:themeColor="text1"/>
          <w:kern w:val="0"/>
          <w:szCs w:val="21"/>
        </w:rPr>
        <w:t>5</w:t>
      </w:r>
      <w:r w:rsidR="007C7F93" w:rsidRPr="003C5007">
        <w:rPr>
          <w:rFonts w:eastAsiaTheme="minorEastAsia"/>
          <w:b/>
          <w:color w:val="000000" w:themeColor="text1"/>
          <w:kern w:val="0"/>
          <w:szCs w:val="21"/>
        </w:rPr>
        <w:t>.2</w:t>
      </w:r>
      <w:r w:rsidRPr="003C5007">
        <w:rPr>
          <w:rFonts w:eastAsiaTheme="minorEastAsia"/>
          <w:b/>
          <w:color w:val="000000" w:themeColor="text1"/>
          <w:kern w:val="0"/>
          <w:szCs w:val="21"/>
        </w:rPr>
        <w:t xml:space="preserve">.5 </w:t>
      </w:r>
      <w:r w:rsidRPr="003C5007">
        <w:rPr>
          <w:rFonts w:eastAsiaTheme="minorEastAsia"/>
          <w:b/>
          <w:color w:val="000000" w:themeColor="text1"/>
          <w:kern w:val="0"/>
          <w:szCs w:val="21"/>
        </w:rPr>
        <w:t>报告期末按公允价值占基金资产净值比例大小排序的前五名债券投资明细</w:t>
      </w:r>
    </w:p>
    <w:p w:rsidR="00790C57" w:rsidRPr="003C5007" w:rsidRDefault="00790C57" w:rsidP="003C5007">
      <w:pPr>
        <w:autoSpaceDE w:val="0"/>
        <w:autoSpaceDN w:val="0"/>
        <w:adjustRightInd w:val="0"/>
        <w:spacing w:line="360" w:lineRule="auto"/>
        <w:jc w:val="left"/>
        <w:rPr>
          <w:rFonts w:eastAsiaTheme="minorEastAsia"/>
          <w:color w:val="000000" w:themeColor="text1"/>
          <w:szCs w:val="21"/>
        </w:rPr>
      </w:pPr>
      <w:r w:rsidRPr="003C5007">
        <w:rPr>
          <w:rFonts w:eastAsiaTheme="minorEastAsia"/>
          <w:color w:val="000000" w:themeColor="text1"/>
          <w:szCs w:val="21"/>
        </w:rPr>
        <w:t>本基金本报告期末未持有债券。</w:t>
      </w:r>
    </w:p>
    <w:p w:rsidR="00790C57" w:rsidRPr="003C5007" w:rsidRDefault="00790C57" w:rsidP="003C5007">
      <w:pPr>
        <w:autoSpaceDE w:val="0"/>
        <w:autoSpaceDN w:val="0"/>
        <w:adjustRightInd w:val="0"/>
        <w:spacing w:line="360" w:lineRule="auto"/>
        <w:jc w:val="left"/>
        <w:rPr>
          <w:rFonts w:eastAsiaTheme="minorEastAsia"/>
          <w:b/>
          <w:color w:val="000000" w:themeColor="text1"/>
          <w:kern w:val="0"/>
          <w:szCs w:val="21"/>
        </w:rPr>
      </w:pPr>
      <w:r w:rsidRPr="003C5007">
        <w:rPr>
          <w:rFonts w:eastAsiaTheme="minorEastAsia"/>
          <w:b/>
          <w:color w:val="000000" w:themeColor="text1"/>
          <w:kern w:val="0"/>
          <w:szCs w:val="21"/>
        </w:rPr>
        <w:t>5</w:t>
      </w:r>
      <w:r w:rsidR="007C7F93" w:rsidRPr="003C5007">
        <w:rPr>
          <w:rFonts w:eastAsiaTheme="minorEastAsia"/>
          <w:b/>
          <w:color w:val="000000" w:themeColor="text1"/>
          <w:kern w:val="0"/>
          <w:szCs w:val="21"/>
        </w:rPr>
        <w:t>.2</w:t>
      </w:r>
      <w:r w:rsidRPr="003C5007">
        <w:rPr>
          <w:rFonts w:eastAsiaTheme="minorEastAsia"/>
          <w:b/>
          <w:color w:val="000000" w:themeColor="text1"/>
          <w:kern w:val="0"/>
          <w:szCs w:val="21"/>
        </w:rPr>
        <w:t>.6</w:t>
      </w:r>
      <w:r w:rsidRPr="003C5007">
        <w:rPr>
          <w:rFonts w:eastAsiaTheme="minorEastAsia"/>
          <w:b/>
          <w:color w:val="000000" w:themeColor="text1"/>
          <w:kern w:val="0"/>
          <w:szCs w:val="21"/>
        </w:rPr>
        <w:t>报告期末按公允价值占基金资产净值比例大小排序的前十名资产支持证券投资明细</w:t>
      </w:r>
    </w:p>
    <w:p w:rsidR="00790C57" w:rsidRPr="003C5007" w:rsidRDefault="00790C57" w:rsidP="003C5007">
      <w:pPr>
        <w:autoSpaceDE w:val="0"/>
        <w:autoSpaceDN w:val="0"/>
        <w:adjustRightInd w:val="0"/>
        <w:spacing w:line="360" w:lineRule="auto"/>
        <w:jc w:val="left"/>
        <w:rPr>
          <w:rFonts w:eastAsiaTheme="minorEastAsia"/>
          <w:color w:val="000000" w:themeColor="text1"/>
          <w:szCs w:val="21"/>
        </w:rPr>
      </w:pPr>
      <w:r w:rsidRPr="003C5007">
        <w:rPr>
          <w:rFonts w:eastAsiaTheme="minorEastAsia"/>
          <w:color w:val="000000" w:themeColor="text1"/>
          <w:szCs w:val="21"/>
        </w:rPr>
        <w:t>本基金本报告期末未持有资产支持证券。</w:t>
      </w:r>
    </w:p>
    <w:p w:rsidR="00790C57" w:rsidRPr="003C5007" w:rsidRDefault="00790C57" w:rsidP="003C5007">
      <w:pPr>
        <w:autoSpaceDE w:val="0"/>
        <w:autoSpaceDN w:val="0"/>
        <w:adjustRightInd w:val="0"/>
        <w:spacing w:line="360" w:lineRule="auto"/>
        <w:jc w:val="left"/>
        <w:rPr>
          <w:rFonts w:eastAsiaTheme="minorEastAsia"/>
          <w:b/>
          <w:bCs/>
          <w:color w:val="000000" w:themeColor="text1"/>
          <w:kern w:val="0"/>
          <w:szCs w:val="21"/>
        </w:rPr>
      </w:pPr>
      <w:r w:rsidRPr="003C5007">
        <w:rPr>
          <w:rFonts w:eastAsiaTheme="minorEastAsia"/>
          <w:b/>
          <w:bCs/>
          <w:color w:val="000000" w:themeColor="text1"/>
          <w:kern w:val="0"/>
          <w:szCs w:val="21"/>
        </w:rPr>
        <w:t>5.</w:t>
      </w:r>
      <w:r w:rsidR="007C7F93" w:rsidRPr="003C5007">
        <w:rPr>
          <w:rFonts w:eastAsiaTheme="minorEastAsia"/>
          <w:b/>
          <w:bCs/>
          <w:color w:val="000000" w:themeColor="text1"/>
          <w:kern w:val="0"/>
          <w:szCs w:val="21"/>
        </w:rPr>
        <w:t>2.</w:t>
      </w:r>
      <w:r w:rsidRPr="003C5007">
        <w:rPr>
          <w:rFonts w:eastAsiaTheme="minorEastAsia"/>
          <w:b/>
          <w:bCs/>
          <w:color w:val="000000" w:themeColor="text1"/>
          <w:kern w:val="0"/>
          <w:szCs w:val="21"/>
        </w:rPr>
        <w:t xml:space="preserve">7 </w:t>
      </w:r>
      <w:r w:rsidRPr="003C5007">
        <w:rPr>
          <w:rFonts w:eastAsiaTheme="minorEastAsia"/>
          <w:b/>
          <w:bCs/>
          <w:color w:val="000000" w:themeColor="text1"/>
          <w:kern w:val="0"/>
          <w:szCs w:val="21"/>
        </w:rPr>
        <w:t>报告期末按公允价值占基金资产净值比例大小排序的前五名贵金属投资明细</w:t>
      </w:r>
    </w:p>
    <w:p w:rsidR="00790C57" w:rsidRPr="003C5007" w:rsidRDefault="00790C57" w:rsidP="003C5007">
      <w:pPr>
        <w:widowControl/>
        <w:spacing w:line="360" w:lineRule="auto"/>
        <w:jc w:val="left"/>
        <w:rPr>
          <w:color w:val="000000" w:themeColor="text1"/>
          <w:szCs w:val="21"/>
        </w:rPr>
      </w:pPr>
      <w:r w:rsidRPr="003C5007">
        <w:rPr>
          <w:color w:val="000000" w:themeColor="text1"/>
          <w:szCs w:val="21"/>
        </w:rPr>
        <w:t>本基金本报告期末未持有贵金属。</w:t>
      </w:r>
    </w:p>
    <w:p w:rsidR="00790C57" w:rsidRPr="003C5007" w:rsidRDefault="0096669A" w:rsidP="003C5007">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5.</w:t>
      </w:r>
      <w:r w:rsidR="00790C57" w:rsidRPr="003C5007">
        <w:rPr>
          <w:rFonts w:eastAsiaTheme="minorEastAsia"/>
          <w:b/>
          <w:color w:val="000000" w:themeColor="text1"/>
          <w:kern w:val="0"/>
          <w:szCs w:val="21"/>
        </w:rPr>
        <w:t>2</w:t>
      </w:r>
      <w:r w:rsidR="00DC6C7D" w:rsidRPr="003C5007">
        <w:rPr>
          <w:rFonts w:eastAsiaTheme="minorEastAsia"/>
          <w:b/>
          <w:color w:val="000000" w:themeColor="text1"/>
          <w:kern w:val="0"/>
          <w:szCs w:val="21"/>
        </w:rPr>
        <w:t>.8</w:t>
      </w:r>
      <w:r w:rsidR="00790C57" w:rsidRPr="003C5007">
        <w:rPr>
          <w:rFonts w:eastAsiaTheme="minorEastAsia"/>
          <w:b/>
          <w:color w:val="000000" w:themeColor="text1"/>
          <w:kern w:val="0"/>
          <w:szCs w:val="21"/>
        </w:rPr>
        <w:t>报告期末按公允价值占基金资产净值比例大小排序的前五名权证投资明细</w:t>
      </w:r>
    </w:p>
    <w:p w:rsidR="00790C57" w:rsidRPr="003C5007" w:rsidRDefault="00790C57" w:rsidP="003C5007">
      <w:pPr>
        <w:autoSpaceDE w:val="0"/>
        <w:autoSpaceDN w:val="0"/>
        <w:adjustRightInd w:val="0"/>
        <w:spacing w:line="360" w:lineRule="auto"/>
        <w:jc w:val="left"/>
        <w:rPr>
          <w:rFonts w:eastAsiaTheme="minorEastAsia"/>
          <w:color w:val="000000" w:themeColor="text1"/>
          <w:szCs w:val="21"/>
        </w:rPr>
      </w:pPr>
      <w:r w:rsidRPr="003C5007">
        <w:rPr>
          <w:rFonts w:eastAsiaTheme="minorEastAsia"/>
          <w:color w:val="000000" w:themeColor="text1"/>
          <w:szCs w:val="21"/>
        </w:rPr>
        <w:t>本基金本报告期末未持有权证。</w:t>
      </w:r>
    </w:p>
    <w:p w:rsidR="00790C57" w:rsidRPr="003C5007" w:rsidRDefault="0096669A" w:rsidP="003C5007">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5.</w:t>
      </w:r>
      <w:r w:rsidR="00790C57" w:rsidRPr="003C5007">
        <w:rPr>
          <w:rFonts w:eastAsiaTheme="minorEastAsia"/>
          <w:b/>
          <w:color w:val="000000" w:themeColor="text1"/>
          <w:kern w:val="0"/>
          <w:szCs w:val="21"/>
        </w:rPr>
        <w:t>2</w:t>
      </w:r>
      <w:r w:rsidR="00DC6C7D" w:rsidRPr="003C5007">
        <w:rPr>
          <w:rFonts w:eastAsiaTheme="minorEastAsia"/>
          <w:b/>
          <w:color w:val="000000" w:themeColor="text1"/>
          <w:kern w:val="0"/>
          <w:szCs w:val="21"/>
        </w:rPr>
        <w:t>.9</w:t>
      </w:r>
      <w:r w:rsidR="00790C57" w:rsidRPr="003C5007">
        <w:rPr>
          <w:rFonts w:eastAsiaTheme="minorEastAsia"/>
          <w:b/>
          <w:color w:val="000000" w:themeColor="text1"/>
          <w:kern w:val="0"/>
          <w:szCs w:val="21"/>
        </w:rPr>
        <w:t>报告期末本基金投资的股指期货交易情况说明</w:t>
      </w:r>
    </w:p>
    <w:p w:rsidR="00790C57" w:rsidRPr="003C5007" w:rsidRDefault="00DC6C7D" w:rsidP="003C5007">
      <w:pPr>
        <w:autoSpaceDE w:val="0"/>
        <w:autoSpaceDN w:val="0"/>
        <w:adjustRightInd w:val="0"/>
        <w:spacing w:line="360" w:lineRule="auto"/>
        <w:jc w:val="left"/>
        <w:rPr>
          <w:rFonts w:eastAsiaTheme="minorEastAsia"/>
          <w:b/>
          <w:color w:val="000000" w:themeColor="text1"/>
          <w:kern w:val="0"/>
          <w:szCs w:val="21"/>
        </w:rPr>
      </w:pPr>
      <w:r w:rsidRPr="003C5007">
        <w:rPr>
          <w:rFonts w:eastAsiaTheme="minorEastAsia"/>
          <w:b/>
          <w:color w:val="000000" w:themeColor="text1"/>
          <w:kern w:val="0"/>
          <w:szCs w:val="21"/>
        </w:rPr>
        <w:t>5.2.</w:t>
      </w:r>
      <w:r w:rsidR="00790C57" w:rsidRPr="003C5007">
        <w:rPr>
          <w:rFonts w:eastAsiaTheme="minorEastAsia"/>
          <w:b/>
          <w:color w:val="000000" w:themeColor="text1"/>
          <w:kern w:val="0"/>
          <w:szCs w:val="21"/>
        </w:rPr>
        <w:t>9</w:t>
      </w:r>
      <w:r w:rsidRPr="003C5007">
        <w:rPr>
          <w:rFonts w:eastAsiaTheme="minorEastAsia"/>
          <w:b/>
          <w:color w:val="000000" w:themeColor="text1"/>
          <w:kern w:val="0"/>
          <w:szCs w:val="21"/>
        </w:rPr>
        <w:t>.1</w:t>
      </w:r>
      <w:r w:rsidR="00790C57" w:rsidRPr="003C5007">
        <w:rPr>
          <w:rFonts w:eastAsiaTheme="minorEastAsia"/>
          <w:b/>
          <w:color w:val="000000" w:themeColor="text1"/>
          <w:kern w:val="0"/>
          <w:szCs w:val="21"/>
        </w:rPr>
        <w:t>报告期末本基金投资的股指期货持仓和损益明细</w:t>
      </w:r>
    </w:p>
    <w:p w:rsidR="00790C57" w:rsidRPr="003C5007" w:rsidRDefault="00790C57" w:rsidP="003C5007">
      <w:pPr>
        <w:autoSpaceDE w:val="0"/>
        <w:autoSpaceDN w:val="0"/>
        <w:adjustRightInd w:val="0"/>
        <w:spacing w:line="360" w:lineRule="auto"/>
        <w:jc w:val="left"/>
        <w:rPr>
          <w:rFonts w:eastAsiaTheme="minorEastAsia"/>
          <w:color w:val="000000" w:themeColor="text1"/>
          <w:szCs w:val="21"/>
        </w:rPr>
      </w:pPr>
      <w:r w:rsidRPr="003C5007">
        <w:rPr>
          <w:rFonts w:eastAsiaTheme="minorEastAsia"/>
          <w:color w:val="000000" w:themeColor="text1"/>
          <w:szCs w:val="21"/>
        </w:rPr>
        <w:t>本基金本报告期末未持有股指期货。</w:t>
      </w:r>
    </w:p>
    <w:p w:rsidR="00790C57" w:rsidRPr="003C5007" w:rsidRDefault="00DC6C7D" w:rsidP="003C5007">
      <w:pPr>
        <w:autoSpaceDE w:val="0"/>
        <w:autoSpaceDN w:val="0"/>
        <w:adjustRightInd w:val="0"/>
        <w:spacing w:line="360" w:lineRule="auto"/>
        <w:jc w:val="left"/>
        <w:rPr>
          <w:rFonts w:eastAsiaTheme="minorEastAsia"/>
          <w:b/>
          <w:color w:val="000000" w:themeColor="text1"/>
          <w:kern w:val="0"/>
          <w:szCs w:val="21"/>
        </w:rPr>
      </w:pPr>
      <w:r w:rsidRPr="003C5007">
        <w:rPr>
          <w:rFonts w:eastAsiaTheme="minorEastAsia"/>
          <w:b/>
          <w:color w:val="000000" w:themeColor="text1"/>
          <w:kern w:val="0"/>
          <w:szCs w:val="21"/>
        </w:rPr>
        <w:t>5.2.</w:t>
      </w:r>
      <w:r w:rsidR="00790C57" w:rsidRPr="003C5007">
        <w:rPr>
          <w:rFonts w:eastAsiaTheme="minorEastAsia"/>
          <w:b/>
          <w:color w:val="000000" w:themeColor="text1"/>
          <w:kern w:val="0"/>
          <w:szCs w:val="21"/>
        </w:rPr>
        <w:t>9</w:t>
      </w:r>
      <w:r w:rsidRPr="003C5007">
        <w:rPr>
          <w:rFonts w:eastAsiaTheme="minorEastAsia"/>
          <w:b/>
          <w:color w:val="000000" w:themeColor="text1"/>
          <w:kern w:val="0"/>
          <w:szCs w:val="21"/>
        </w:rPr>
        <w:t>.2</w:t>
      </w:r>
      <w:r w:rsidR="00790C57" w:rsidRPr="003C5007">
        <w:rPr>
          <w:rFonts w:eastAsiaTheme="minorEastAsia"/>
          <w:b/>
          <w:color w:val="000000" w:themeColor="text1"/>
          <w:kern w:val="0"/>
          <w:szCs w:val="21"/>
        </w:rPr>
        <w:t>本基金投资股指期货的投资政策</w:t>
      </w:r>
    </w:p>
    <w:p w:rsidR="00790C57" w:rsidRPr="003C5007" w:rsidRDefault="00790C57" w:rsidP="008E5013">
      <w:pPr>
        <w:spacing w:line="360" w:lineRule="auto"/>
        <w:rPr>
          <w:rFonts w:eastAsiaTheme="minorEastAsia"/>
          <w:color w:val="000000" w:themeColor="text1"/>
          <w:szCs w:val="21"/>
        </w:rPr>
      </w:pPr>
      <w:r w:rsidRPr="003C5007">
        <w:rPr>
          <w:rFonts w:eastAsiaTheme="minorEastAsia"/>
          <w:color w:val="000000" w:themeColor="text1"/>
          <w:szCs w:val="21"/>
        </w:rPr>
        <w:t>本基金本报告期末未持有股指期货。</w:t>
      </w:r>
    </w:p>
    <w:p w:rsidR="00790C57" w:rsidRPr="003C5007" w:rsidRDefault="0096669A" w:rsidP="003C5007">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5.</w:t>
      </w:r>
      <w:r w:rsidR="00790C57" w:rsidRPr="003C5007">
        <w:rPr>
          <w:rFonts w:eastAsiaTheme="minorEastAsia"/>
          <w:b/>
          <w:color w:val="000000" w:themeColor="text1"/>
          <w:kern w:val="0"/>
          <w:szCs w:val="21"/>
        </w:rPr>
        <w:t>2</w:t>
      </w:r>
      <w:r w:rsidR="00DC6C7D" w:rsidRPr="003C5007">
        <w:rPr>
          <w:rFonts w:eastAsiaTheme="minorEastAsia"/>
          <w:b/>
          <w:color w:val="000000" w:themeColor="text1"/>
          <w:kern w:val="0"/>
          <w:szCs w:val="21"/>
        </w:rPr>
        <w:t xml:space="preserve">.10 </w:t>
      </w:r>
      <w:r w:rsidR="00790C57" w:rsidRPr="003C5007">
        <w:rPr>
          <w:rFonts w:eastAsiaTheme="minorEastAsia"/>
          <w:b/>
          <w:color w:val="000000" w:themeColor="text1"/>
          <w:kern w:val="0"/>
          <w:szCs w:val="21"/>
        </w:rPr>
        <w:t>报告期末本基金投资的国债期货交易情况说明</w:t>
      </w:r>
    </w:p>
    <w:p w:rsidR="00790C57" w:rsidRPr="003C5007" w:rsidRDefault="00DC6C7D" w:rsidP="003C5007">
      <w:pPr>
        <w:autoSpaceDE w:val="0"/>
        <w:autoSpaceDN w:val="0"/>
        <w:adjustRightInd w:val="0"/>
        <w:spacing w:line="360" w:lineRule="auto"/>
        <w:jc w:val="left"/>
        <w:rPr>
          <w:rFonts w:eastAsiaTheme="minorEastAsia"/>
          <w:b/>
          <w:color w:val="000000" w:themeColor="text1"/>
          <w:kern w:val="0"/>
          <w:szCs w:val="21"/>
        </w:rPr>
      </w:pPr>
      <w:r w:rsidRPr="003C5007">
        <w:rPr>
          <w:rFonts w:eastAsiaTheme="minorEastAsia"/>
          <w:b/>
          <w:color w:val="000000" w:themeColor="text1"/>
          <w:kern w:val="0"/>
          <w:szCs w:val="21"/>
        </w:rPr>
        <w:t>5.2.</w:t>
      </w:r>
      <w:r w:rsidR="00790C57" w:rsidRPr="003C5007">
        <w:rPr>
          <w:rFonts w:eastAsiaTheme="minorEastAsia"/>
          <w:b/>
          <w:color w:val="000000" w:themeColor="text1"/>
          <w:kern w:val="0"/>
          <w:szCs w:val="21"/>
        </w:rPr>
        <w:t>10</w:t>
      </w:r>
      <w:r w:rsidRPr="003C5007">
        <w:rPr>
          <w:rFonts w:eastAsiaTheme="minorEastAsia"/>
          <w:b/>
          <w:color w:val="000000" w:themeColor="text1"/>
          <w:kern w:val="0"/>
          <w:szCs w:val="21"/>
        </w:rPr>
        <w:t>.1</w:t>
      </w:r>
      <w:r w:rsidR="00790C57" w:rsidRPr="003C5007">
        <w:rPr>
          <w:rFonts w:eastAsiaTheme="minorEastAsia"/>
          <w:b/>
          <w:color w:val="000000" w:themeColor="text1"/>
          <w:kern w:val="0"/>
          <w:szCs w:val="21"/>
        </w:rPr>
        <w:t>本期国债期货投资政策</w:t>
      </w:r>
    </w:p>
    <w:p w:rsidR="00790C57" w:rsidRPr="003C5007" w:rsidRDefault="00790C57" w:rsidP="008E5013">
      <w:pPr>
        <w:spacing w:line="360" w:lineRule="auto"/>
        <w:rPr>
          <w:rFonts w:eastAsiaTheme="minorEastAsia"/>
          <w:color w:val="000000" w:themeColor="text1"/>
          <w:szCs w:val="21"/>
        </w:rPr>
      </w:pPr>
      <w:r w:rsidRPr="003C5007">
        <w:rPr>
          <w:rFonts w:eastAsiaTheme="minorEastAsia"/>
          <w:color w:val="000000" w:themeColor="text1"/>
          <w:szCs w:val="21"/>
        </w:rPr>
        <w:t>本基金本报告期末未投资国债期货交易。</w:t>
      </w:r>
    </w:p>
    <w:p w:rsidR="00790C57" w:rsidRPr="003C5007" w:rsidRDefault="00DC6C7D" w:rsidP="003C5007">
      <w:pPr>
        <w:autoSpaceDE w:val="0"/>
        <w:autoSpaceDN w:val="0"/>
        <w:adjustRightInd w:val="0"/>
        <w:spacing w:line="360" w:lineRule="auto"/>
        <w:jc w:val="left"/>
        <w:rPr>
          <w:rFonts w:eastAsiaTheme="minorEastAsia"/>
          <w:b/>
          <w:color w:val="000000" w:themeColor="text1"/>
          <w:kern w:val="0"/>
          <w:szCs w:val="21"/>
        </w:rPr>
      </w:pPr>
      <w:r w:rsidRPr="003C5007">
        <w:rPr>
          <w:rFonts w:eastAsiaTheme="minorEastAsia"/>
          <w:b/>
          <w:color w:val="000000" w:themeColor="text1"/>
          <w:kern w:val="0"/>
          <w:szCs w:val="21"/>
        </w:rPr>
        <w:t>5.2.</w:t>
      </w:r>
      <w:r w:rsidR="00790C57" w:rsidRPr="003C5007">
        <w:rPr>
          <w:rFonts w:eastAsiaTheme="minorEastAsia"/>
          <w:b/>
          <w:color w:val="000000" w:themeColor="text1"/>
          <w:kern w:val="0"/>
          <w:szCs w:val="21"/>
        </w:rPr>
        <w:t>10</w:t>
      </w:r>
      <w:r w:rsidRPr="003C5007">
        <w:rPr>
          <w:rFonts w:eastAsiaTheme="minorEastAsia"/>
          <w:b/>
          <w:color w:val="000000" w:themeColor="text1"/>
          <w:kern w:val="0"/>
          <w:szCs w:val="21"/>
        </w:rPr>
        <w:t>.2</w:t>
      </w:r>
      <w:r w:rsidR="00790C57" w:rsidRPr="003C5007">
        <w:rPr>
          <w:rFonts w:eastAsiaTheme="minorEastAsia"/>
          <w:b/>
          <w:color w:val="000000" w:themeColor="text1"/>
          <w:kern w:val="0"/>
          <w:szCs w:val="21"/>
        </w:rPr>
        <w:t>报告期末本基金投资的国债期货持仓和损益明细</w:t>
      </w:r>
    </w:p>
    <w:p w:rsidR="00790C57" w:rsidRPr="003C5007" w:rsidRDefault="00790C57" w:rsidP="003C5007">
      <w:pPr>
        <w:autoSpaceDE w:val="0"/>
        <w:autoSpaceDN w:val="0"/>
        <w:adjustRightInd w:val="0"/>
        <w:spacing w:line="360" w:lineRule="auto"/>
        <w:jc w:val="left"/>
        <w:rPr>
          <w:rFonts w:eastAsiaTheme="minorEastAsia"/>
          <w:color w:val="000000" w:themeColor="text1"/>
          <w:szCs w:val="21"/>
        </w:rPr>
      </w:pPr>
      <w:r w:rsidRPr="003C5007">
        <w:rPr>
          <w:rFonts w:eastAsiaTheme="minorEastAsia"/>
          <w:color w:val="000000" w:themeColor="text1"/>
          <w:szCs w:val="21"/>
        </w:rPr>
        <w:t>本基金本报告期末未投资国债期货交易。</w:t>
      </w:r>
    </w:p>
    <w:p w:rsidR="00790C57" w:rsidRPr="003C5007" w:rsidRDefault="00DC6C7D" w:rsidP="003C5007">
      <w:pPr>
        <w:autoSpaceDE w:val="0"/>
        <w:autoSpaceDN w:val="0"/>
        <w:adjustRightInd w:val="0"/>
        <w:spacing w:line="360" w:lineRule="auto"/>
        <w:jc w:val="left"/>
        <w:rPr>
          <w:rFonts w:eastAsiaTheme="minorEastAsia"/>
          <w:b/>
          <w:color w:val="000000" w:themeColor="text1"/>
          <w:kern w:val="0"/>
          <w:szCs w:val="21"/>
        </w:rPr>
      </w:pPr>
      <w:r w:rsidRPr="003C5007">
        <w:rPr>
          <w:rFonts w:eastAsiaTheme="minorEastAsia"/>
          <w:b/>
          <w:color w:val="000000" w:themeColor="text1"/>
          <w:kern w:val="0"/>
          <w:szCs w:val="21"/>
        </w:rPr>
        <w:t>5.2.</w:t>
      </w:r>
      <w:r w:rsidR="00790C57" w:rsidRPr="003C5007">
        <w:rPr>
          <w:rFonts w:eastAsiaTheme="minorEastAsia"/>
          <w:b/>
          <w:color w:val="000000" w:themeColor="text1"/>
          <w:kern w:val="0"/>
          <w:szCs w:val="21"/>
        </w:rPr>
        <w:t>10</w:t>
      </w:r>
      <w:r w:rsidRPr="003C5007">
        <w:rPr>
          <w:rFonts w:eastAsiaTheme="minorEastAsia"/>
          <w:b/>
          <w:color w:val="000000" w:themeColor="text1"/>
          <w:kern w:val="0"/>
          <w:szCs w:val="21"/>
        </w:rPr>
        <w:t>.3</w:t>
      </w:r>
      <w:r w:rsidR="00790C57" w:rsidRPr="003C5007">
        <w:rPr>
          <w:rFonts w:eastAsiaTheme="minorEastAsia"/>
          <w:b/>
          <w:color w:val="000000" w:themeColor="text1"/>
          <w:kern w:val="0"/>
          <w:szCs w:val="21"/>
        </w:rPr>
        <w:t>本期国债期货投资评价</w:t>
      </w:r>
    </w:p>
    <w:p w:rsidR="00790C57" w:rsidRPr="003C5007" w:rsidRDefault="00790C57" w:rsidP="008E5013">
      <w:pPr>
        <w:spacing w:line="360" w:lineRule="auto"/>
        <w:rPr>
          <w:rFonts w:eastAsiaTheme="minorEastAsia"/>
          <w:color w:val="000000" w:themeColor="text1"/>
          <w:szCs w:val="21"/>
        </w:rPr>
      </w:pPr>
      <w:r w:rsidRPr="003C5007">
        <w:rPr>
          <w:rFonts w:eastAsiaTheme="minorEastAsia"/>
          <w:color w:val="000000" w:themeColor="text1"/>
          <w:szCs w:val="21"/>
        </w:rPr>
        <w:t>本基金本报告期末未投资国债期货交易。</w:t>
      </w:r>
    </w:p>
    <w:p w:rsidR="00790C57" w:rsidRPr="003C5007" w:rsidRDefault="0096669A" w:rsidP="003C5007">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5.</w:t>
      </w:r>
      <w:r w:rsidR="00790C57" w:rsidRPr="003C5007">
        <w:rPr>
          <w:rFonts w:eastAsiaTheme="minorEastAsia"/>
          <w:b/>
          <w:color w:val="000000" w:themeColor="text1"/>
          <w:kern w:val="0"/>
          <w:szCs w:val="21"/>
        </w:rPr>
        <w:t>2</w:t>
      </w:r>
      <w:r w:rsidR="00DC6C7D" w:rsidRPr="003C5007">
        <w:rPr>
          <w:rFonts w:eastAsiaTheme="minorEastAsia"/>
          <w:b/>
          <w:color w:val="000000" w:themeColor="text1"/>
          <w:kern w:val="0"/>
          <w:szCs w:val="21"/>
        </w:rPr>
        <w:t>.11</w:t>
      </w:r>
      <w:r w:rsidR="00790C57" w:rsidRPr="003C5007">
        <w:rPr>
          <w:rFonts w:eastAsiaTheme="minorEastAsia"/>
          <w:b/>
          <w:color w:val="000000" w:themeColor="text1"/>
          <w:kern w:val="0"/>
          <w:szCs w:val="21"/>
        </w:rPr>
        <w:t>投资组合报告附注</w:t>
      </w:r>
    </w:p>
    <w:p w:rsidR="00790C57" w:rsidRPr="003C5007" w:rsidRDefault="00DC6C7D" w:rsidP="003C5007">
      <w:pPr>
        <w:spacing w:line="360" w:lineRule="auto"/>
        <w:rPr>
          <w:rFonts w:eastAsiaTheme="minorEastAsia"/>
          <w:color w:val="000000" w:themeColor="text1"/>
          <w:szCs w:val="21"/>
        </w:rPr>
      </w:pPr>
      <w:r w:rsidRPr="003C5007">
        <w:rPr>
          <w:rFonts w:eastAsiaTheme="minorEastAsia"/>
          <w:color w:val="000000" w:themeColor="text1"/>
          <w:szCs w:val="21"/>
        </w:rPr>
        <w:t>5.2.</w:t>
      </w:r>
      <w:r w:rsidR="00790C57" w:rsidRPr="003C5007">
        <w:rPr>
          <w:rFonts w:eastAsiaTheme="minorEastAsia"/>
          <w:color w:val="000000" w:themeColor="text1"/>
          <w:szCs w:val="21"/>
        </w:rPr>
        <w:t>11</w:t>
      </w:r>
      <w:r w:rsidRPr="003C5007">
        <w:rPr>
          <w:rFonts w:eastAsiaTheme="minorEastAsia"/>
          <w:color w:val="000000" w:themeColor="text1"/>
          <w:szCs w:val="21"/>
        </w:rPr>
        <w:t xml:space="preserve">.1 </w:t>
      </w:r>
      <w:r w:rsidR="00790C57" w:rsidRPr="003C5007">
        <w:rPr>
          <w:rFonts w:eastAsiaTheme="minorEastAsia"/>
          <w:color w:val="000000" w:themeColor="text1"/>
          <w:szCs w:val="21"/>
        </w:rPr>
        <w:t>本基金投资的前十名证券的发行主体本期没有出现被监管部门立案调查，或在报告编制日前一年内受到公开谴责、处罚的情形。</w:t>
      </w:r>
    </w:p>
    <w:p w:rsidR="00790C57" w:rsidRPr="003C5007" w:rsidRDefault="00DC6C7D" w:rsidP="003C5007">
      <w:pPr>
        <w:spacing w:line="360" w:lineRule="auto"/>
        <w:rPr>
          <w:rFonts w:eastAsiaTheme="minorEastAsia"/>
          <w:color w:val="000000" w:themeColor="text1"/>
          <w:szCs w:val="21"/>
        </w:rPr>
      </w:pPr>
      <w:r w:rsidRPr="003C5007">
        <w:rPr>
          <w:rFonts w:eastAsiaTheme="minorEastAsia"/>
          <w:color w:val="000000" w:themeColor="text1"/>
          <w:szCs w:val="21"/>
        </w:rPr>
        <w:t>5.2.</w:t>
      </w:r>
      <w:r w:rsidR="00790C57" w:rsidRPr="003C5007">
        <w:rPr>
          <w:rFonts w:eastAsiaTheme="minorEastAsia"/>
          <w:color w:val="000000" w:themeColor="text1"/>
          <w:szCs w:val="21"/>
        </w:rPr>
        <w:t>11</w:t>
      </w:r>
      <w:r w:rsidRPr="003C5007">
        <w:rPr>
          <w:rFonts w:eastAsiaTheme="minorEastAsia"/>
          <w:color w:val="000000" w:themeColor="text1"/>
          <w:szCs w:val="21"/>
        </w:rPr>
        <w:t xml:space="preserve">.2 </w:t>
      </w:r>
      <w:r w:rsidR="00790C57" w:rsidRPr="003C5007">
        <w:rPr>
          <w:rFonts w:eastAsiaTheme="minorEastAsia"/>
          <w:color w:val="000000" w:themeColor="text1"/>
          <w:szCs w:val="21"/>
        </w:rPr>
        <w:t>基金投资的前十名股票没有超出基金合同规定的备选股票库。</w:t>
      </w:r>
    </w:p>
    <w:p w:rsidR="00790C57" w:rsidRPr="003C5007" w:rsidRDefault="00DC6C7D" w:rsidP="003C5007">
      <w:pPr>
        <w:autoSpaceDE w:val="0"/>
        <w:autoSpaceDN w:val="0"/>
        <w:adjustRightInd w:val="0"/>
        <w:spacing w:line="360" w:lineRule="auto"/>
        <w:jc w:val="left"/>
        <w:rPr>
          <w:rFonts w:eastAsiaTheme="minorEastAsia"/>
          <w:b/>
          <w:color w:val="000000" w:themeColor="text1"/>
          <w:kern w:val="0"/>
          <w:szCs w:val="21"/>
        </w:rPr>
      </w:pPr>
      <w:r w:rsidRPr="003C5007">
        <w:rPr>
          <w:rFonts w:eastAsiaTheme="minorEastAsia"/>
          <w:b/>
          <w:color w:val="000000" w:themeColor="text1"/>
          <w:kern w:val="0"/>
          <w:szCs w:val="21"/>
        </w:rPr>
        <w:t>5.2.</w:t>
      </w:r>
      <w:r w:rsidR="00790C57" w:rsidRPr="003C5007">
        <w:rPr>
          <w:rFonts w:eastAsiaTheme="minorEastAsia"/>
          <w:b/>
          <w:color w:val="000000" w:themeColor="text1"/>
          <w:kern w:val="0"/>
          <w:szCs w:val="21"/>
        </w:rPr>
        <w:t>11</w:t>
      </w:r>
      <w:r w:rsidRPr="003C5007">
        <w:rPr>
          <w:rFonts w:eastAsiaTheme="minorEastAsia"/>
          <w:b/>
          <w:color w:val="000000" w:themeColor="text1"/>
          <w:kern w:val="0"/>
          <w:szCs w:val="21"/>
        </w:rPr>
        <w:t xml:space="preserve">.3 </w:t>
      </w:r>
      <w:r w:rsidR="00790C57" w:rsidRPr="003C5007">
        <w:rPr>
          <w:rFonts w:eastAsiaTheme="minorEastAsia"/>
          <w:b/>
          <w:color w:val="000000" w:themeColor="text1"/>
          <w:kern w:val="0"/>
          <w:szCs w:val="21"/>
        </w:rPr>
        <w:t>其他资产构成</w:t>
      </w:r>
    </w:p>
    <w:tbl>
      <w:tblPr>
        <w:tblStyle w:val="af7"/>
        <w:tblW w:w="4884" w:type="pct"/>
        <w:jc w:val="center"/>
        <w:tblLook w:val="04A0" w:firstRow="1" w:lastRow="0" w:firstColumn="1" w:lastColumn="0" w:noHBand="0" w:noVBand="1"/>
      </w:tblPr>
      <w:tblGrid>
        <w:gridCol w:w="803"/>
        <w:gridCol w:w="2907"/>
        <w:gridCol w:w="4620"/>
      </w:tblGrid>
      <w:tr w:rsidR="00790C57" w:rsidRPr="003C5007" w:rsidTr="008E5013">
        <w:trPr>
          <w:jc w:val="center"/>
        </w:trPr>
        <w:tc>
          <w:tcPr>
            <w:tcW w:w="482" w:type="pct"/>
            <w:vAlign w:val="center"/>
          </w:tcPr>
          <w:p w:rsidR="00790C57" w:rsidRPr="003C5007" w:rsidRDefault="00790C57" w:rsidP="003C5007">
            <w:pPr>
              <w:autoSpaceDE w:val="0"/>
              <w:autoSpaceDN w:val="0"/>
              <w:adjustRightInd w:val="0"/>
              <w:spacing w:line="360" w:lineRule="auto"/>
              <w:ind w:left="17"/>
              <w:jc w:val="center"/>
              <w:rPr>
                <w:rFonts w:eastAsiaTheme="minorEastAsia"/>
                <w:color w:val="000000" w:themeColor="text1"/>
                <w:kern w:val="0"/>
                <w:szCs w:val="21"/>
              </w:rPr>
            </w:pPr>
            <w:r w:rsidRPr="003C5007">
              <w:rPr>
                <w:rFonts w:eastAsiaTheme="minorEastAsia"/>
                <w:color w:val="000000" w:themeColor="text1"/>
                <w:kern w:val="0"/>
                <w:szCs w:val="21"/>
              </w:rPr>
              <w:t>序号</w:t>
            </w:r>
          </w:p>
        </w:tc>
        <w:tc>
          <w:tcPr>
            <w:tcW w:w="1745" w:type="pct"/>
            <w:vAlign w:val="center"/>
          </w:tcPr>
          <w:p w:rsidR="00790C57" w:rsidRPr="003C5007" w:rsidRDefault="00790C57" w:rsidP="003C5007">
            <w:pPr>
              <w:autoSpaceDE w:val="0"/>
              <w:autoSpaceDN w:val="0"/>
              <w:adjustRightInd w:val="0"/>
              <w:spacing w:line="360" w:lineRule="auto"/>
              <w:ind w:left="17"/>
              <w:jc w:val="center"/>
              <w:rPr>
                <w:rFonts w:eastAsiaTheme="minorEastAsia"/>
                <w:color w:val="000000" w:themeColor="text1"/>
                <w:kern w:val="0"/>
                <w:szCs w:val="21"/>
              </w:rPr>
            </w:pPr>
            <w:r w:rsidRPr="003C5007">
              <w:rPr>
                <w:rFonts w:eastAsiaTheme="minorEastAsia"/>
                <w:color w:val="000000" w:themeColor="text1"/>
                <w:kern w:val="0"/>
                <w:szCs w:val="21"/>
              </w:rPr>
              <w:t>名称</w:t>
            </w:r>
          </w:p>
        </w:tc>
        <w:tc>
          <w:tcPr>
            <w:tcW w:w="2773" w:type="pct"/>
            <w:vAlign w:val="center"/>
          </w:tcPr>
          <w:p w:rsidR="00790C57" w:rsidRPr="003C5007" w:rsidRDefault="00790C57" w:rsidP="003C5007">
            <w:pPr>
              <w:autoSpaceDE w:val="0"/>
              <w:autoSpaceDN w:val="0"/>
              <w:adjustRightInd w:val="0"/>
              <w:spacing w:line="360" w:lineRule="auto"/>
              <w:ind w:left="17"/>
              <w:jc w:val="center"/>
              <w:rPr>
                <w:rFonts w:eastAsiaTheme="minorEastAsia"/>
                <w:color w:val="000000" w:themeColor="text1"/>
                <w:kern w:val="0"/>
                <w:szCs w:val="21"/>
              </w:rPr>
            </w:pPr>
            <w:r w:rsidRPr="003C5007">
              <w:rPr>
                <w:rFonts w:eastAsiaTheme="minorEastAsia"/>
                <w:color w:val="000000" w:themeColor="text1"/>
                <w:kern w:val="0"/>
                <w:szCs w:val="21"/>
              </w:rPr>
              <w:t>金额</w:t>
            </w:r>
            <w:r w:rsidRPr="003C5007">
              <w:rPr>
                <w:rFonts w:eastAsiaTheme="minorEastAsia"/>
                <w:color w:val="000000" w:themeColor="text1"/>
                <w:kern w:val="0"/>
                <w:szCs w:val="21"/>
              </w:rPr>
              <w:t>(</w:t>
            </w:r>
            <w:r w:rsidRPr="003C5007">
              <w:rPr>
                <w:rFonts w:eastAsiaTheme="minorEastAsia"/>
                <w:color w:val="000000" w:themeColor="text1"/>
                <w:kern w:val="0"/>
                <w:szCs w:val="21"/>
              </w:rPr>
              <w:t>元</w:t>
            </w:r>
            <w:r w:rsidRPr="003C5007">
              <w:rPr>
                <w:rFonts w:eastAsiaTheme="minorEastAsia"/>
                <w:color w:val="000000" w:themeColor="text1"/>
                <w:kern w:val="0"/>
                <w:szCs w:val="21"/>
              </w:rPr>
              <w:t>)</w:t>
            </w:r>
          </w:p>
        </w:tc>
      </w:tr>
      <w:tr w:rsidR="00790C57" w:rsidRPr="003C5007" w:rsidTr="008E5013">
        <w:trPr>
          <w:jc w:val="center"/>
        </w:trPr>
        <w:tc>
          <w:tcPr>
            <w:tcW w:w="482" w:type="pct"/>
            <w:vAlign w:val="center"/>
          </w:tcPr>
          <w:p w:rsidR="00790C57" w:rsidRPr="003C5007" w:rsidRDefault="00790C57" w:rsidP="003C5007">
            <w:pPr>
              <w:autoSpaceDE w:val="0"/>
              <w:autoSpaceDN w:val="0"/>
              <w:adjustRightInd w:val="0"/>
              <w:spacing w:line="360" w:lineRule="auto"/>
              <w:ind w:left="15"/>
              <w:jc w:val="center"/>
              <w:rPr>
                <w:rFonts w:eastAsiaTheme="minorEastAsia"/>
                <w:color w:val="000000" w:themeColor="text1"/>
                <w:kern w:val="0"/>
                <w:szCs w:val="21"/>
              </w:rPr>
            </w:pPr>
            <w:r w:rsidRPr="003C5007">
              <w:rPr>
                <w:rFonts w:eastAsiaTheme="minorEastAsia"/>
                <w:color w:val="000000" w:themeColor="text1"/>
                <w:szCs w:val="21"/>
              </w:rPr>
              <w:t>1</w:t>
            </w:r>
          </w:p>
        </w:tc>
        <w:tc>
          <w:tcPr>
            <w:tcW w:w="1745" w:type="pct"/>
            <w:vAlign w:val="center"/>
          </w:tcPr>
          <w:p w:rsidR="00790C57" w:rsidRPr="003C5007" w:rsidRDefault="00790C57" w:rsidP="003C5007">
            <w:pPr>
              <w:autoSpaceDE w:val="0"/>
              <w:autoSpaceDN w:val="0"/>
              <w:adjustRightInd w:val="0"/>
              <w:spacing w:line="360" w:lineRule="auto"/>
              <w:ind w:left="15"/>
              <w:jc w:val="left"/>
              <w:rPr>
                <w:rFonts w:eastAsiaTheme="minorEastAsia"/>
                <w:color w:val="000000" w:themeColor="text1"/>
                <w:kern w:val="0"/>
                <w:szCs w:val="21"/>
              </w:rPr>
            </w:pPr>
            <w:r w:rsidRPr="003C5007">
              <w:rPr>
                <w:rFonts w:eastAsiaTheme="minorEastAsia"/>
                <w:color w:val="000000" w:themeColor="text1"/>
                <w:kern w:val="0"/>
                <w:szCs w:val="21"/>
              </w:rPr>
              <w:t>存出保证金</w:t>
            </w:r>
          </w:p>
        </w:tc>
        <w:tc>
          <w:tcPr>
            <w:tcW w:w="2773" w:type="pct"/>
            <w:vAlign w:val="center"/>
          </w:tcPr>
          <w:p w:rsidR="00790C57" w:rsidRPr="003C5007" w:rsidRDefault="00790C57" w:rsidP="003C5007">
            <w:pPr>
              <w:autoSpaceDE w:val="0"/>
              <w:autoSpaceDN w:val="0"/>
              <w:adjustRightInd w:val="0"/>
              <w:spacing w:line="360" w:lineRule="auto"/>
              <w:ind w:left="15"/>
              <w:jc w:val="right"/>
              <w:rPr>
                <w:rFonts w:eastAsiaTheme="minorEastAsia"/>
                <w:color w:val="000000" w:themeColor="text1"/>
                <w:kern w:val="0"/>
                <w:szCs w:val="21"/>
              </w:rPr>
            </w:pPr>
            <w:r w:rsidRPr="003C5007">
              <w:rPr>
                <w:rFonts w:eastAsiaTheme="minorEastAsia"/>
                <w:color w:val="000000" w:themeColor="text1"/>
                <w:kern w:val="0"/>
                <w:szCs w:val="21"/>
              </w:rPr>
              <w:t>91,144.25</w:t>
            </w:r>
          </w:p>
        </w:tc>
      </w:tr>
      <w:tr w:rsidR="00790C57" w:rsidRPr="003C5007" w:rsidTr="008E5013">
        <w:trPr>
          <w:jc w:val="center"/>
        </w:trPr>
        <w:tc>
          <w:tcPr>
            <w:tcW w:w="482" w:type="pct"/>
            <w:vAlign w:val="center"/>
          </w:tcPr>
          <w:p w:rsidR="00790C57" w:rsidRPr="003C5007" w:rsidRDefault="00790C57" w:rsidP="003C5007">
            <w:pPr>
              <w:autoSpaceDE w:val="0"/>
              <w:autoSpaceDN w:val="0"/>
              <w:adjustRightInd w:val="0"/>
              <w:spacing w:line="360" w:lineRule="auto"/>
              <w:ind w:left="15"/>
              <w:jc w:val="center"/>
              <w:rPr>
                <w:rFonts w:eastAsiaTheme="minorEastAsia"/>
                <w:color w:val="000000" w:themeColor="text1"/>
                <w:szCs w:val="21"/>
              </w:rPr>
            </w:pPr>
            <w:r w:rsidRPr="003C5007">
              <w:rPr>
                <w:rFonts w:eastAsiaTheme="minorEastAsia"/>
                <w:color w:val="000000" w:themeColor="text1"/>
                <w:szCs w:val="21"/>
              </w:rPr>
              <w:t>2</w:t>
            </w:r>
          </w:p>
        </w:tc>
        <w:tc>
          <w:tcPr>
            <w:tcW w:w="1745" w:type="pct"/>
            <w:vAlign w:val="center"/>
          </w:tcPr>
          <w:p w:rsidR="00790C57" w:rsidRPr="003C5007" w:rsidRDefault="00790C57" w:rsidP="003C5007">
            <w:pPr>
              <w:autoSpaceDE w:val="0"/>
              <w:autoSpaceDN w:val="0"/>
              <w:adjustRightInd w:val="0"/>
              <w:spacing w:line="360" w:lineRule="auto"/>
              <w:ind w:left="15"/>
              <w:jc w:val="left"/>
              <w:rPr>
                <w:rFonts w:eastAsiaTheme="minorEastAsia"/>
                <w:color w:val="000000" w:themeColor="text1"/>
                <w:kern w:val="0"/>
                <w:szCs w:val="21"/>
              </w:rPr>
            </w:pPr>
            <w:r w:rsidRPr="003C5007">
              <w:rPr>
                <w:rFonts w:eastAsiaTheme="minorEastAsia"/>
                <w:color w:val="000000" w:themeColor="text1"/>
                <w:kern w:val="0"/>
                <w:szCs w:val="21"/>
              </w:rPr>
              <w:t>应收证券清算款</w:t>
            </w:r>
          </w:p>
        </w:tc>
        <w:tc>
          <w:tcPr>
            <w:tcW w:w="2773" w:type="pct"/>
            <w:vAlign w:val="center"/>
          </w:tcPr>
          <w:p w:rsidR="00790C57" w:rsidRPr="003C5007" w:rsidRDefault="00790C57" w:rsidP="003C5007">
            <w:pPr>
              <w:autoSpaceDE w:val="0"/>
              <w:autoSpaceDN w:val="0"/>
              <w:adjustRightInd w:val="0"/>
              <w:spacing w:line="360" w:lineRule="auto"/>
              <w:ind w:left="15"/>
              <w:jc w:val="right"/>
              <w:rPr>
                <w:rFonts w:eastAsiaTheme="minorEastAsia"/>
                <w:color w:val="000000" w:themeColor="text1"/>
                <w:kern w:val="0"/>
                <w:szCs w:val="21"/>
              </w:rPr>
            </w:pPr>
            <w:r w:rsidRPr="003C5007">
              <w:rPr>
                <w:rFonts w:eastAsiaTheme="minorEastAsia"/>
                <w:color w:val="000000" w:themeColor="text1"/>
                <w:kern w:val="0"/>
                <w:szCs w:val="21"/>
              </w:rPr>
              <w:t>12,071,725.84</w:t>
            </w:r>
          </w:p>
        </w:tc>
      </w:tr>
      <w:tr w:rsidR="00790C57" w:rsidRPr="003C5007" w:rsidTr="008E5013">
        <w:trPr>
          <w:jc w:val="center"/>
        </w:trPr>
        <w:tc>
          <w:tcPr>
            <w:tcW w:w="482" w:type="pct"/>
            <w:vAlign w:val="center"/>
          </w:tcPr>
          <w:p w:rsidR="00790C57" w:rsidRPr="003C5007" w:rsidRDefault="00790C57" w:rsidP="003C5007">
            <w:pPr>
              <w:autoSpaceDE w:val="0"/>
              <w:autoSpaceDN w:val="0"/>
              <w:adjustRightInd w:val="0"/>
              <w:spacing w:line="360" w:lineRule="auto"/>
              <w:ind w:left="15"/>
              <w:jc w:val="center"/>
              <w:rPr>
                <w:rFonts w:eastAsiaTheme="minorEastAsia"/>
                <w:color w:val="000000" w:themeColor="text1"/>
                <w:szCs w:val="21"/>
              </w:rPr>
            </w:pPr>
            <w:r w:rsidRPr="003C5007">
              <w:rPr>
                <w:rFonts w:eastAsiaTheme="minorEastAsia"/>
                <w:color w:val="000000" w:themeColor="text1"/>
                <w:szCs w:val="21"/>
              </w:rPr>
              <w:t>3</w:t>
            </w:r>
          </w:p>
        </w:tc>
        <w:tc>
          <w:tcPr>
            <w:tcW w:w="1745" w:type="pct"/>
            <w:vAlign w:val="center"/>
          </w:tcPr>
          <w:p w:rsidR="00790C57" w:rsidRPr="003C5007" w:rsidRDefault="00790C57" w:rsidP="003C5007">
            <w:pPr>
              <w:autoSpaceDE w:val="0"/>
              <w:autoSpaceDN w:val="0"/>
              <w:adjustRightInd w:val="0"/>
              <w:spacing w:line="360" w:lineRule="auto"/>
              <w:ind w:left="15"/>
              <w:jc w:val="left"/>
              <w:rPr>
                <w:rFonts w:eastAsiaTheme="minorEastAsia"/>
                <w:color w:val="000000" w:themeColor="text1"/>
                <w:kern w:val="0"/>
                <w:szCs w:val="21"/>
              </w:rPr>
            </w:pPr>
            <w:r w:rsidRPr="003C5007">
              <w:rPr>
                <w:rFonts w:eastAsiaTheme="minorEastAsia"/>
                <w:color w:val="000000" w:themeColor="text1"/>
                <w:kern w:val="0"/>
                <w:szCs w:val="21"/>
              </w:rPr>
              <w:t>应收股利</w:t>
            </w:r>
          </w:p>
        </w:tc>
        <w:tc>
          <w:tcPr>
            <w:tcW w:w="2773" w:type="pct"/>
            <w:vAlign w:val="center"/>
          </w:tcPr>
          <w:p w:rsidR="00790C57" w:rsidRPr="003C5007" w:rsidRDefault="00790C57" w:rsidP="003C5007">
            <w:pPr>
              <w:autoSpaceDE w:val="0"/>
              <w:autoSpaceDN w:val="0"/>
              <w:adjustRightInd w:val="0"/>
              <w:spacing w:line="360" w:lineRule="auto"/>
              <w:ind w:left="15"/>
              <w:jc w:val="right"/>
              <w:rPr>
                <w:rFonts w:eastAsiaTheme="minorEastAsia"/>
                <w:color w:val="000000" w:themeColor="text1"/>
                <w:kern w:val="0"/>
                <w:szCs w:val="21"/>
              </w:rPr>
            </w:pPr>
            <w:r w:rsidRPr="003C5007">
              <w:rPr>
                <w:rFonts w:eastAsiaTheme="minorEastAsia"/>
                <w:color w:val="000000" w:themeColor="text1"/>
                <w:kern w:val="0"/>
                <w:szCs w:val="21"/>
              </w:rPr>
              <w:t>-</w:t>
            </w:r>
          </w:p>
        </w:tc>
      </w:tr>
      <w:tr w:rsidR="00790C57" w:rsidRPr="003C5007" w:rsidTr="008E5013">
        <w:trPr>
          <w:jc w:val="center"/>
        </w:trPr>
        <w:tc>
          <w:tcPr>
            <w:tcW w:w="482" w:type="pct"/>
            <w:vAlign w:val="center"/>
          </w:tcPr>
          <w:p w:rsidR="00790C57" w:rsidRPr="003C5007" w:rsidRDefault="00790C57" w:rsidP="003C5007">
            <w:pPr>
              <w:autoSpaceDE w:val="0"/>
              <w:autoSpaceDN w:val="0"/>
              <w:adjustRightInd w:val="0"/>
              <w:spacing w:line="360" w:lineRule="auto"/>
              <w:ind w:left="15"/>
              <w:jc w:val="center"/>
              <w:rPr>
                <w:rFonts w:eastAsiaTheme="minorEastAsia"/>
                <w:color w:val="000000" w:themeColor="text1"/>
                <w:szCs w:val="21"/>
              </w:rPr>
            </w:pPr>
            <w:r w:rsidRPr="003C5007">
              <w:rPr>
                <w:rFonts w:eastAsiaTheme="minorEastAsia"/>
                <w:color w:val="000000" w:themeColor="text1"/>
                <w:szCs w:val="21"/>
              </w:rPr>
              <w:t>4</w:t>
            </w:r>
          </w:p>
        </w:tc>
        <w:tc>
          <w:tcPr>
            <w:tcW w:w="1745" w:type="pct"/>
            <w:vAlign w:val="center"/>
          </w:tcPr>
          <w:p w:rsidR="00790C57" w:rsidRPr="003C5007" w:rsidRDefault="00790C57" w:rsidP="003C5007">
            <w:pPr>
              <w:autoSpaceDE w:val="0"/>
              <w:autoSpaceDN w:val="0"/>
              <w:adjustRightInd w:val="0"/>
              <w:spacing w:line="360" w:lineRule="auto"/>
              <w:ind w:left="15"/>
              <w:jc w:val="left"/>
              <w:rPr>
                <w:rFonts w:eastAsiaTheme="minorEastAsia"/>
                <w:color w:val="000000" w:themeColor="text1"/>
                <w:kern w:val="0"/>
                <w:szCs w:val="21"/>
              </w:rPr>
            </w:pPr>
            <w:r w:rsidRPr="003C5007">
              <w:rPr>
                <w:rFonts w:eastAsiaTheme="minorEastAsia"/>
                <w:color w:val="000000" w:themeColor="text1"/>
                <w:kern w:val="0"/>
                <w:szCs w:val="21"/>
              </w:rPr>
              <w:t>应收利息</w:t>
            </w:r>
          </w:p>
        </w:tc>
        <w:tc>
          <w:tcPr>
            <w:tcW w:w="2773" w:type="pct"/>
            <w:vAlign w:val="center"/>
          </w:tcPr>
          <w:p w:rsidR="00790C57" w:rsidRPr="003C5007" w:rsidRDefault="00790C57" w:rsidP="003C5007">
            <w:pPr>
              <w:autoSpaceDE w:val="0"/>
              <w:autoSpaceDN w:val="0"/>
              <w:adjustRightInd w:val="0"/>
              <w:spacing w:line="360" w:lineRule="auto"/>
              <w:ind w:left="15"/>
              <w:jc w:val="right"/>
              <w:rPr>
                <w:rFonts w:eastAsiaTheme="minorEastAsia"/>
                <w:color w:val="000000" w:themeColor="text1"/>
                <w:kern w:val="0"/>
                <w:szCs w:val="21"/>
              </w:rPr>
            </w:pPr>
            <w:r w:rsidRPr="003C5007">
              <w:rPr>
                <w:rFonts w:eastAsiaTheme="minorEastAsia"/>
                <w:color w:val="000000" w:themeColor="text1"/>
                <w:kern w:val="0"/>
                <w:szCs w:val="21"/>
              </w:rPr>
              <w:t>25,725.46</w:t>
            </w:r>
          </w:p>
        </w:tc>
      </w:tr>
      <w:tr w:rsidR="00790C57" w:rsidRPr="003C5007" w:rsidTr="008E5013">
        <w:trPr>
          <w:jc w:val="center"/>
        </w:trPr>
        <w:tc>
          <w:tcPr>
            <w:tcW w:w="482" w:type="pct"/>
            <w:vAlign w:val="center"/>
          </w:tcPr>
          <w:p w:rsidR="00790C57" w:rsidRPr="003C5007" w:rsidRDefault="00790C57" w:rsidP="003C5007">
            <w:pPr>
              <w:autoSpaceDE w:val="0"/>
              <w:autoSpaceDN w:val="0"/>
              <w:adjustRightInd w:val="0"/>
              <w:spacing w:line="360" w:lineRule="auto"/>
              <w:ind w:left="15"/>
              <w:jc w:val="center"/>
              <w:rPr>
                <w:rFonts w:eastAsiaTheme="minorEastAsia"/>
                <w:color w:val="000000" w:themeColor="text1"/>
                <w:szCs w:val="21"/>
              </w:rPr>
            </w:pPr>
            <w:r w:rsidRPr="003C5007">
              <w:rPr>
                <w:rFonts w:eastAsiaTheme="minorEastAsia"/>
                <w:color w:val="000000" w:themeColor="text1"/>
                <w:szCs w:val="21"/>
              </w:rPr>
              <w:t>5</w:t>
            </w:r>
          </w:p>
        </w:tc>
        <w:tc>
          <w:tcPr>
            <w:tcW w:w="1745" w:type="pct"/>
            <w:vAlign w:val="center"/>
          </w:tcPr>
          <w:p w:rsidR="00790C57" w:rsidRPr="003C5007" w:rsidRDefault="00790C57" w:rsidP="003C5007">
            <w:pPr>
              <w:autoSpaceDE w:val="0"/>
              <w:autoSpaceDN w:val="0"/>
              <w:adjustRightInd w:val="0"/>
              <w:spacing w:line="360" w:lineRule="auto"/>
              <w:ind w:left="15"/>
              <w:jc w:val="left"/>
              <w:rPr>
                <w:rFonts w:eastAsiaTheme="minorEastAsia"/>
                <w:color w:val="000000" w:themeColor="text1"/>
                <w:kern w:val="0"/>
                <w:szCs w:val="21"/>
              </w:rPr>
            </w:pPr>
            <w:r w:rsidRPr="003C5007">
              <w:rPr>
                <w:rFonts w:eastAsiaTheme="minorEastAsia"/>
                <w:color w:val="000000" w:themeColor="text1"/>
                <w:kern w:val="0"/>
                <w:szCs w:val="21"/>
              </w:rPr>
              <w:t>应收申购款</w:t>
            </w:r>
          </w:p>
        </w:tc>
        <w:tc>
          <w:tcPr>
            <w:tcW w:w="2773" w:type="pct"/>
            <w:vAlign w:val="center"/>
          </w:tcPr>
          <w:p w:rsidR="00790C57" w:rsidRPr="003C5007" w:rsidRDefault="00790C57" w:rsidP="003C5007">
            <w:pPr>
              <w:autoSpaceDE w:val="0"/>
              <w:autoSpaceDN w:val="0"/>
              <w:adjustRightInd w:val="0"/>
              <w:spacing w:line="360" w:lineRule="auto"/>
              <w:ind w:left="15"/>
              <w:jc w:val="right"/>
              <w:rPr>
                <w:rFonts w:eastAsiaTheme="minorEastAsia"/>
                <w:color w:val="000000" w:themeColor="text1"/>
                <w:kern w:val="0"/>
                <w:szCs w:val="21"/>
              </w:rPr>
            </w:pPr>
            <w:r w:rsidRPr="003C5007">
              <w:rPr>
                <w:rFonts w:eastAsiaTheme="minorEastAsia"/>
                <w:color w:val="000000" w:themeColor="text1"/>
                <w:kern w:val="0"/>
                <w:szCs w:val="21"/>
              </w:rPr>
              <w:t>21,390.21</w:t>
            </w:r>
          </w:p>
        </w:tc>
      </w:tr>
      <w:tr w:rsidR="00790C57" w:rsidRPr="003C5007" w:rsidTr="008E5013">
        <w:trPr>
          <w:jc w:val="center"/>
        </w:trPr>
        <w:tc>
          <w:tcPr>
            <w:tcW w:w="482" w:type="pct"/>
            <w:vAlign w:val="center"/>
          </w:tcPr>
          <w:p w:rsidR="00790C57" w:rsidRPr="003C5007" w:rsidRDefault="00790C57" w:rsidP="003C5007">
            <w:pPr>
              <w:autoSpaceDE w:val="0"/>
              <w:autoSpaceDN w:val="0"/>
              <w:adjustRightInd w:val="0"/>
              <w:spacing w:line="360" w:lineRule="auto"/>
              <w:ind w:left="15"/>
              <w:jc w:val="center"/>
              <w:rPr>
                <w:rFonts w:eastAsiaTheme="minorEastAsia"/>
                <w:color w:val="000000" w:themeColor="text1"/>
                <w:szCs w:val="21"/>
              </w:rPr>
            </w:pPr>
            <w:r w:rsidRPr="003C5007">
              <w:rPr>
                <w:rFonts w:eastAsiaTheme="minorEastAsia"/>
                <w:color w:val="000000" w:themeColor="text1"/>
                <w:szCs w:val="21"/>
              </w:rPr>
              <w:t>6</w:t>
            </w:r>
          </w:p>
        </w:tc>
        <w:tc>
          <w:tcPr>
            <w:tcW w:w="1745" w:type="pct"/>
            <w:vAlign w:val="center"/>
          </w:tcPr>
          <w:p w:rsidR="00790C57" w:rsidRPr="003C5007" w:rsidRDefault="00790C57" w:rsidP="003C5007">
            <w:pPr>
              <w:autoSpaceDE w:val="0"/>
              <w:autoSpaceDN w:val="0"/>
              <w:adjustRightInd w:val="0"/>
              <w:spacing w:line="360" w:lineRule="auto"/>
              <w:ind w:left="15"/>
              <w:jc w:val="left"/>
              <w:rPr>
                <w:rFonts w:eastAsiaTheme="minorEastAsia"/>
                <w:color w:val="000000" w:themeColor="text1"/>
                <w:kern w:val="0"/>
                <w:szCs w:val="21"/>
              </w:rPr>
            </w:pPr>
            <w:r w:rsidRPr="003C5007">
              <w:rPr>
                <w:rFonts w:eastAsiaTheme="minorEastAsia"/>
                <w:color w:val="000000" w:themeColor="text1"/>
                <w:kern w:val="0"/>
                <w:szCs w:val="21"/>
              </w:rPr>
              <w:t>其他应收款</w:t>
            </w:r>
          </w:p>
        </w:tc>
        <w:tc>
          <w:tcPr>
            <w:tcW w:w="2773" w:type="pct"/>
            <w:vAlign w:val="center"/>
          </w:tcPr>
          <w:p w:rsidR="00790C57" w:rsidRPr="003C5007" w:rsidRDefault="00790C57" w:rsidP="003C5007">
            <w:pPr>
              <w:autoSpaceDE w:val="0"/>
              <w:autoSpaceDN w:val="0"/>
              <w:adjustRightInd w:val="0"/>
              <w:spacing w:line="360" w:lineRule="auto"/>
              <w:ind w:left="15"/>
              <w:jc w:val="right"/>
              <w:rPr>
                <w:rFonts w:eastAsiaTheme="minorEastAsia"/>
                <w:color w:val="000000" w:themeColor="text1"/>
                <w:kern w:val="0"/>
                <w:szCs w:val="21"/>
              </w:rPr>
            </w:pPr>
            <w:r w:rsidRPr="003C5007">
              <w:rPr>
                <w:rFonts w:eastAsiaTheme="minorEastAsia"/>
                <w:color w:val="000000" w:themeColor="text1"/>
                <w:kern w:val="0"/>
                <w:szCs w:val="21"/>
              </w:rPr>
              <w:t>-</w:t>
            </w:r>
          </w:p>
        </w:tc>
      </w:tr>
      <w:tr w:rsidR="00790C57" w:rsidRPr="003C5007" w:rsidTr="008E5013">
        <w:trPr>
          <w:jc w:val="center"/>
        </w:trPr>
        <w:tc>
          <w:tcPr>
            <w:tcW w:w="482" w:type="pct"/>
          </w:tcPr>
          <w:p w:rsidR="00790C57" w:rsidRPr="003C5007" w:rsidRDefault="00790C57" w:rsidP="003C5007">
            <w:pPr>
              <w:autoSpaceDE w:val="0"/>
              <w:autoSpaceDN w:val="0"/>
              <w:adjustRightInd w:val="0"/>
              <w:spacing w:line="360" w:lineRule="auto"/>
              <w:ind w:left="15"/>
              <w:jc w:val="center"/>
              <w:rPr>
                <w:rFonts w:eastAsiaTheme="minorEastAsia"/>
                <w:color w:val="000000" w:themeColor="text1"/>
                <w:szCs w:val="21"/>
              </w:rPr>
            </w:pPr>
            <w:r w:rsidRPr="003C5007">
              <w:rPr>
                <w:rFonts w:eastAsiaTheme="minorEastAsia"/>
                <w:color w:val="000000" w:themeColor="text1"/>
                <w:szCs w:val="21"/>
              </w:rPr>
              <w:t>7</w:t>
            </w:r>
          </w:p>
        </w:tc>
        <w:tc>
          <w:tcPr>
            <w:tcW w:w="1745" w:type="pct"/>
          </w:tcPr>
          <w:p w:rsidR="00790C57" w:rsidRPr="003C5007" w:rsidRDefault="00790C57" w:rsidP="003C5007">
            <w:pPr>
              <w:autoSpaceDE w:val="0"/>
              <w:autoSpaceDN w:val="0"/>
              <w:adjustRightInd w:val="0"/>
              <w:spacing w:line="360" w:lineRule="auto"/>
              <w:ind w:leftChars="50" w:left="105"/>
              <w:rPr>
                <w:rFonts w:eastAsiaTheme="minorEastAsia"/>
                <w:color w:val="000000" w:themeColor="text1"/>
                <w:szCs w:val="21"/>
              </w:rPr>
            </w:pPr>
            <w:r w:rsidRPr="003C5007">
              <w:rPr>
                <w:rFonts w:eastAsiaTheme="minorEastAsia"/>
                <w:color w:val="000000" w:themeColor="text1"/>
                <w:szCs w:val="21"/>
              </w:rPr>
              <w:t>待摊费用</w:t>
            </w:r>
          </w:p>
        </w:tc>
        <w:tc>
          <w:tcPr>
            <w:tcW w:w="2773" w:type="pct"/>
            <w:vAlign w:val="center"/>
          </w:tcPr>
          <w:p w:rsidR="00790C57" w:rsidRPr="003C5007" w:rsidRDefault="00790C57" w:rsidP="003C5007">
            <w:pPr>
              <w:autoSpaceDE w:val="0"/>
              <w:autoSpaceDN w:val="0"/>
              <w:adjustRightInd w:val="0"/>
              <w:spacing w:line="360" w:lineRule="auto"/>
              <w:ind w:left="15"/>
              <w:jc w:val="right"/>
              <w:rPr>
                <w:rFonts w:eastAsiaTheme="minorEastAsia"/>
                <w:color w:val="000000" w:themeColor="text1"/>
                <w:szCs w:val="21"/>
              </w:rPr>
            </w:pPr>
            <w:r w:rsidRPr="003C5007">
              <w:rPr>
                <w:rFonts w:eastAsiaTheme="minorEastAsia"/>
                <w:color w:val="000000" w:themeColor="text1"/>
                <w:szCs w:val="21"/>
              </w:rPr>
              <w:t>-</w:t>
            </w:r>
          </w:p>
        </w:tc>
      </w:tr>
      <w:tr w:rsidR="00790C57" w:rsidRPr="003C5007" w:rsidTr="008E5013">
        <w:trPr>
          <w:jc w:val="center"/>
        </w:trPr>
        <w:tc>
          <w:tcPr>
            <w:tcW w:w="482" w:type="pct"/>
            <w:vAlign w:val="center"/>
          </w:tcPr>
          <w:p w:rsidR="00790C57" w:rsidRPr="003C5007" w:rsidRDefault="00790C57" w:rsidP="003C5007">
            <w:pPr>
              <w:autoSpaceDE w:val="0"/>
              <w:autoSpaceDN w:val="0"/>
              <w:adjustRightInd w:val="0"/>
              <w:spacing w:line="360" w:lineRule="auto"/>
              <w:ind w:left="15"/>
              <w:jc w:val="center"/>
              <w:rPr>
                <w:rFonts w:eastAsiaTheme="minorEastAsia"/>
                <w:color w:val="000000" w:themeColor="text1"/>
                <w:szCs w:val="21"/>
              </w:rPr>
            </w:pPr>
            <w:r w:rsidRPr="003C5007">
              <w:rPr>
                <w:rFonts w:eastAsiaTheme="minorEastAsia"/>
                <w:color w:val="000000" w:themeColor="text1"/>
                <w:szCs w:val="21"/>
              </w:rPr>
              <w:t>8</w:t>
            </w:r>
          </w:p>
        </w:tc>
        <w:tc>
          <w:tcPr>
            <w:tcW w:w="1745" w:type="pct"/>
            <w:vAlign w:val="center"/>
          </w:tcPr>
          <w:p w:rsidR="00790C57" w:rsidRPr="003C5007" w:rsidRDefault="00790C57" w:rsidP="003C5007">
            <w:pPr>
              <w:autoSpaceDE w:val="0"/>
              <w:autoSpaceDN w:val="0"/>
              <w:adjustRightInd w:val="0"/>
              <w:spacing w:line="360" w:lineRule="auto"/>
              <w:ind w:left="15"/>
              <w:jc w:val="left"/>
              <w:rPr>
                <w:rFonts w:eastAsiaTheme="minorEastAsia"/>
                <w:color w:val="000000" w:themeColor="text1"/>
                <w:kern w:val="0"/>
                <w:szCs w:val="21"/>
              </w:rPr>
            </w:pPr>
            <w:r w:rsidRPr="003C5007">
              <w:rPr>
                <w:rFonts w:eastAsiaTheme="minorEastAsia"/>
                <w:color w:val="000000" w:themeColor="text1"/>
                <w:kern w:val="0"/>
                <w:szCs w:val="21"/>
              </w:rPr>
              <w:t>其他</w:t>
            </w:r>
          </w:p>
        </w:tc>
        <w:tc>
          <w:tcPr>
            <w:tcW w:w="2773" w:type="pct"/>
            <w:vAlign w:val="center"/>
          </w:tcPr>
          <w:p w:rsidR="00790C57" w:rsidRPr="003C5007" w:rsidRDefault="00790C57" w:rsidP="003C5007">
            <w:pPr>
              <w:autoSpaceDE w:val="0"/>
              <w:autoSpaceDN w:val="0"/>
              <w:adjustRightInd w:val="0"/>
              <w:spacing w:line="360" w:lineRule="auto"/>
              <w:ind w:left="15"/>
              <w:jc w:val="right"/>
              <w:rPr>
                <w:rFonts w:eastAsiaTheme="minorEastAsia"/>
                <w:color w:val="000000" w:themeColor="text1"/>
                <w:kern w:val="0"/>
                <w:szCs w:val="21"/>
              </w:rPr>
            </w:pPr>
            <w:r w:rsidRPr="003C5007">
              <w:rPr>
                <w:rFonts w:eastAsiaTheme="minorEastAsia"/>
                <w:color w:val="000000" w:themeColor="text1"/>
                <w:kern w:val="0"/>
                <w:szCs w:val="21"/>
              </w:rPr>
              <w:t>-</w:t>
            </w:r>
          </w:p>
        </w:tc>
      </w:tr>
      <w:tr w:rsidR="00790C57" w:rsidRPr="003C5007" w:rsidTr="008E5013">
        <w:trPr>
          <w:jc w:val="center"/>
        </w:trPr>
        <w:tc>
          <w:tcPr>
            <w:tcW w:w="482" w:type="pct"/>
            <w:vAlign w:val="center"/>
          </w:tcPr>
          <w:p w:rsidR="00790C57" w:rsidRPr="003C5007" w:rsidRDefault="00790C57" w:rsidP="003C5007">
            <w:pPr>
              <w:autoSpaceDE w:val="0"/>
              <w:autoSpaceDN w:val="0"/>
              <w:adjustRightInd w:val="0"/>
              <w:spacing w:line="360" w:lineRule="auto"/>
              <w:ind w:left="15"/>
              <w:jc w:val="center"/>
              <w:rPr>
                <w:rFonts w:eastAsiaTheme="minorEastAsia"/>
                <w:color w:val="000000" w:themeColor="text1"/>
                <w:szCs w:val="21"/>
              </w:rPr>
            </w:pPr>
            <w:r w:rsidRPr="003C5007">
              <w:rPr>
                <w:rFonts w:eastAsiaTheme="minorEastAsia"/>
                <w:color w:val="000000" w:themeColor="text1"/>
                <w:szCs w:val="21"/>
              </w:rPr>
              <w:t>9</w:t>
            </w:r>
          </w:p>
        </w:tc>
        <w:tc>
          <w:tcPr>
            <w:tcW w:w="1745" w:type="pct"/>
            <w:vAlign w:val="center"/>
          </w:tcPr>
          <w:p w:rsidR="00790C57" w:rsidRPr="003C5007" w:rsidRDefault="00790C57" w:rsidP="003C5007">
            <w:pPr>
              <w:autoSpaceDE w:val="0"/>
              <w:autoSpaceDN w:val="0"/>
              <w:adjustRightInd w:val="0"/>
              <w:spacing w:line="360" w:lineRule="auto"/>
              <w:ind w:left="15"/>
              <w:jc w:val="left"/>
              <w:rPr>
                <w:rFonts w:eastAsiaTheme="minorEastAsia"/>
                <w:color w:val="000000" w:themeColor="text1"/>
                <w:kern w:val="0"/>
                <w:szCs w:val="21"/>
              </w:rPr>
            </w:pPr>
            <w:r w:rsidRPr="003C5007">
              <w:rPr>
                <w:rFonts w:eastAsiaTheme="minorEastAsia"/>
                <w:color w:val="000000" w:themeColor="text1"/>
                <w:kern w:val="0"/>
                <w:szCs w:val="21"/>
              </w:rPr>
              <w:t>合计</w:t>
            </w:r>
          </w:p>
        </w:tc>
        <w:tc>
          <w:tcPr>
            <w:tcW w:w="2773" w:type="pct"/>
            <w:vAlign w:val="center"/>
          </w:tcPr>
          <w:p w:rsidR="00790C57" w:rsidRPr="003C5007" w:rsidRDefault="00790C57" w:rsidP="003C5007">
            <w:pPr>
              <w:autoSpaceDE w:val="0"/>
              <w:autoSpaceDN w:val="0"/>
              <w:adjustRightInd w:val="0"/>
              <w:spacing w:line="360" w:lineRule="auto"/>
              <w:ind w:left="15"/>
              <w:jc w:val="right"/>
              <w:rPr>
                <w:rFonts w:eastAsiaTheme="minorEastAsia"/>
                <w:color w:val="000000" w:themeColor="text1"/>
                <w:kern w:val="0"/>
                <w:szCs w:val="21"/>
              </w:rPr>
            </w:pPr>
            <w:r w:rsidRPr="003C5007">
              <w:rPr>
                <w:rFonts w:eastAsiaTheme="minorEastAsia"/>
                <w:color w:val="000000" w:themeColor="text1"/>
                <w:kern w:val="0"/>
                <w:szCs w:val="21"/>
              </w:rPr>
              <w:t>12,209,985.76</w:t>
            </w:r>
          </w:p>
        </w:tc>
      </w:tr>
    </w:tbl>
    <w:p w:rsidR="00790C57" w:rsidRPr="003C5007" w:rsidRDefault="00DC6C7D" w:rsidP="003C5007">
      <w:pPr>
        <w:autoSpaceDE w:val="0"/>
        <w:autoSpaceDN w:val="0"/>
        <w:adjustRightInd w:val="0"/>
        <w:spacing w:line="360" w:lineRule="auto"/>
        <w:jc w:val="left"/>
        <w:rPr>
          <w:rFonts w:eastAsiaTheme="minorEastAsia"/>
          <w:b/>
          <w:color w:val="000000" w:themeColor="text1"/>
          <w:kern w:val="0"/>
          <w:szCs w:val="21"/>
        </w:rPr>
      </w:pPr>
      <w:r w:rsidRPr="003C5007">
        <w:rPr>
          <w:rFonts w:eastAsiaTheme="minorEastAsia"/>
          <w:b/>
          <w:color w:val="000000" w:themeColor="text1"/>
          <w:kern w:val="0"/>
          <w:szCs w:val="21"/>
        </w:rPr>
        <w:t>5.2.</w:t>
      </w:r>
      <w:r w:rsidR="00790C57" w:rsidRPr="003C5007">
        <w:rPr>
          <w:rFonts w:eastAsiaTheme="minorEastAsia"/>
          <w:b/>
          <w:color w:val="000000" w:themeColor="text1"/>
          <w:kern w:val="0"/>
          <w:szCs w:val="21"/>
        </w:rPr>
        <w:t>11</w:t>
      </w:r>
      <w:r w:rsidRPr="003C5007">
        <w:rPr>
          <w:rFonts w:eastAsiaTheme="minorEastAsia"/>
          <w:b/>
          <w:color w:val="000000" w:themeColor="text1"/>
          <w:kern w:val="0"/>
          <w:szCs w:val="21"/>
        </w:rPr>
        <w:t xml:space="preserve">.4 </w:t>
      </w:r>
      <w:r w:rsidR="00790C57" w:rsidRPr="003C5007">
        <w:rPr>
          <w:rFonts w:eastAsiaTheme="minorEastAsia"/>
          <w:b/>
          <w:color w:val="000000" w:themeColor="text1"/>
          <w:kern w:val="0"/>
          <w:szCs w:val="21"/>
        </w:rPr>
        <w:t>报告期末持有的处于转股期的可转换债券明细</w:t>
      </w:r>
    </w:p>
    <w:p w:rsidR="00790C57" w:rsidRPr="003C5007" w:rsidRDefault="00790C57" w:rsidP="003C5007">
      <w:pPr>
        <w:autoSpaceDE w:val="0"/>
        <w:autoSpaceDN w:val="0"/>
        <w:adjustRightInd w:val="0"/>
        <w:spacing w:line="360" w:lineRule="auto"/>
        <w:jc w:val="left"/>
        <w:rPr>
          <w:rFonts w:eastAsiaTheme="minorEastAsia"/>
          <w:color w:val="000000" w:themeColor="text1"/>
          <w:szCs w:val="21"/>
        </w:rPr>
      </w:pPr>
      <w:r w:rsidRPr="003C5007">
        <w:rPr>
          <w:rFonts w:eastAsiaTheme="minorEastAsia"/>
          <w:color w:val="000000" w:themeColor="text1"/>
          <w:szCs w:val="21"/>
        </w:rPr>
        <w:t>本基金本报告期末未持有处于转股期的可转换债券。</w:t>
      </w:r>
    </w:p>
    <w:p w:rsidR="00790C57" w:rsidRPr="003C5007" w:rsidRDefault="00DC6C7D" w:rsidP="003C5007">
      <w:pPr>
        <w:autoSpaceDE w:val="0"/>
        <w:autoSpaceDN w:val="0"/>
        <w:adjustRightInd w:val="0"/>
        <w:spacing w:line="360" w:lineRule="auto"/>
        <w:jc w:val="left"/>
        <w:rPr>
          <w:rFonts w:eastAsiaTheme="minorEastAsia"/>
          <w:b/>
          <w:color w:val="000000" w:themeColor="text1"/>
          <w:kern w:val="0"/>
          <w:szCs w:val="21"/>
        </w:rPr>
      </w:pPr>
      <w:r w:rsidRPr="003C5007">
        <w:rPr>
          <w:rFonts w:eastAsiaTheme="minorEastAsia"/>
          <w:b/>
          <w:color w:val="000000" w:themeColor="text1"/>
          <w:kern w:val="0"/>
          <w:szCs w:val="21"/>
        </w:rPr>
        <w:t>5.2.</w:t>
      </w:r>
      <w:r w:rsidR="00790C57" w:rsidRPr="003C5007">
        <w:rPr>
          <w:rFonts w:eastAsiaTheme="minorEastAsia"/>
          <w:b/>
          <w:color w:val="000000" w:themeColor="text1"/>
          <w:kern w:val="0"/>
          <w:szCs w:val="21"/>
        </w:rPr>
        <w:t>11</w:t>
      </w:r>
      <w:r w:rsidRPr="003C5007">
        <w:rPr>
          <w:rFonts w:eastAsiaTheme="minorEastAsia"/>
          <w:b/>
          <w:color w:val="000000" w:themeColor="text1"/>
          <w:kern w:val="0"/>
          <w:szCs w:val="21"/>
        </w:rPr>
        <w:t xml:space="preserve">.5 </w:t>
      </w:r>
      <w:r w:rsidR="00790C57" w:rsidRPr="003C5007">
        <w:rPr>
          <w:rFonts w:eastAsiaTheme="minorEastAsia"/>
          <w:b/>
          <w:color w:val="000000" w:themeColor="text1"/>
          <w:kern w:val="0"/>
          <w:szCs w:val="21"/>
        </w:rPr>
        <w:t>报告期末前十名股票中存在流通受限情况的说明</w:t>
      </w:r>
    </w:p>
    <w:p w:rsidR="00790C57" w:rsidRPr="003C5007" w:rsidRDefault="00790C57" w:rsidP="003C5007">
      <w:pPr>
        <w:autoSpaceDE w:val="0"/>
        <w:autoSpaceDN w:val="0"/>
        <w:adjustRightInd w:val="0"/>
        <w:spacing w:line="360" w:lineRule="auto"/>
        <w:jc w:val="left"/>
        <w:rPr>
          <w:rFonts w:eastAsiaTheme="minorEastAsia"/>
          <w:color w:val="000000" w:themeColor="text1"/>
          <w:szCs w:val="21"/>
        </w:rPr>
      </w:pPr>
      <w:r w:rsidRPr="003C5007">
        <w:rPr>
          <w:rFonts w:eastAsiaTheme="minorEastAsia"/>
          <w:color w:val="000000" w:themeColor="text1"/>
          <w:szCs w:val="21"/>
        </w:rPr>
        <w:t>本基金本报告期末前十名股票中不存在流通受限情况。</w:t>
      </w:r>
    </w:p>
    <w:p w:rsidR="00220542" w:rsidRPr="003C5007" w:rsidRDefault="00220542" w:rsidP="00767A35">
      <w:pPr>
        <w:pStyle w:val="1"/>
        <w:spacing w:beforeLines="100" w:before="312" w:afterLines="100" w:after="312" w:line="360" w:lineRule="auto"/>
        <w:jc w:val="center"/>
        <w:rPr>
          <w:rFonts w:eastAsiaTheme="minorEastAsia"/>
          <w:color w:val="000000" w:themeColor="text1"/>
          <w:kern w:val="0"/>
          <w:sz w:val="21"/>
          <w:szCs w:val="21"/>
        </w:rPr>
      </w:pPr>
      <w:r w:rsidRPr="003C5007">
        <w:rPr>
          <w:rFonts w:eastAsiaTheme="minorEastAsia"/>
          <w:color w:val="000000" w:themeColor="text1"/>
          <w:kern w:val="0"/>
          <w:sz w:val="21"/>
          <w:szCs w:val="21"/>
        </w:rPr>
        <w:t xml:space="preserve">§6  </w:t>
      </w:r>
      <w:r w:rsidRPr="003C5007">
        <w:rPr>
          <w:rFonts w:eastAsiaTheme="minorEastAsia"/>
          <w:color w:val="000000" w:themeColor="text1"/>
          <w:kern w:val="0"/>
          <w:sz w:val="21"/>
          <w:szCs w:val="21"/>
        </w:rPr>
        <w:t>开放式基金份额变动</w:t>
      </w:r>
    </w:p>
    <w:p w:rsidR="0076122D" w:rsidRPr="003C5007" w:rsidRDefault="0076122D" w:rsidP="003C5007">
      <w:pPr>
        <w:pStyle w:val="2"/>
        <w:spacing w:before="0" w:after="0"/>
        <w:rPr>
          <w:rFonts w:ascii="Times New Roman" w:hAnsi="Times New Roman" w:cs="Times New Roman"/>
          <w:kern w:val="0"/>
          <w:sz w:val="21"/>
          <w:szCs w:val="21"/>
        </w:rPr>
      </w:pPr>
      <w:r w:rsidRPr="003C5007">
        <w:rPr>
          <w:rFonts w:ascii="Times New Roman" w:hAnsi="Times New Roman" w:cs="Times New Roman"/>
          <w:kern w:val="0"/>
          <w:sz w:val="21"/>
          <w:szCs w:val="21"/>
        </w:rPr>
        <w:t xml:space="preserve">6.1 </w:t>
      </w:r>
      <w:r w:rsidRPr="003C5007">
        <w:rPr>
          <w:rFonts w:ascii="Times New Roman" w:hAnsi="Times New Roman" w:cs="Times New Roman"/>
          <w:kern w:val="0"/>
          <w:sz w:val="21"/>
          <w:szCs w:val="21"/>
        </w:rPr>
        <w:t>申万菱信中小板指数证券投资基金</w:t>
      </w:r>
      <w:r w:rsidRPr="003C5007">
        <w:rPr>
          <w:rFonts w:ascii="Times New Roman" w:hAnsi="Times New Roman" w:cs="Times New Roman"/>
          <w:kern w:val="0"/>
          <w:sz w:val="21"/>
          <w:szCs w:val="21"/>
        </w:rPr>
        <w:t>(LOF)</w:t>
      </w:r>
    </w:p>
    <w:p w:rsidR="00220542" w:rsidRPr="003C5007" w:rsidRDefault="00220542" w:rsidP="003C5007">
      <w:pPr>
        <w:autoSpaceDE w:val="0"/>
        <w:autoSpaceDN w:val="0"/>
        <w:adjustRightInd w:val="0"/>
        <w:spacing w:line="360" w:lineRule="auto"/>
        <w:ind w:left="15"/>
        <w:jc w:val="right"/>
        <w:rPr>
          <w:rFonts w:eastAsiaTheme="minorEastAsia"/>
          <w:color w:val="000000" w:themeColor="text1"/>
          <w:kern w:val="0"/>
          <w:szCs w:val="21"/>
        </w:rPr>
      </w:pPr>
      <w:r w:rsidRPr="003C5007">
        <w:rPr>
          <w:rFonts w:eastAsiaTheme="minorEastAsia"/>
          <w:color w:val="000000" w:themeColor="text1"/>
          <w:kern w:val="0"/>
          <w:szCs w:val="21"/>
        </w:rPr>
        <w:t>单位：份</w:t>
      </w:r>
    </w:p>
    <w:tbl>
      <w:tblPr>
        <w:tblW w:w="0" w:type="auto"/>
        <w:tblInd w:w="-106" w:type="dxa"/>
        <w:tblLayout w:type="fixed"/>
        <w:tblLook w:val="0000" w:firstRow="0" w:lastRow="0" w:firstColumn="0" w:lastColumn="0" w:noHBand="0" w:noVBand="0"/>
      </w:tblPr>
      <w:tblGrid>
        <w:gridCol w:w="5459"/>
        <w:gridCol w:w="3175"/>
      </w:tblGrid>
      <w:tr w:rsidR="003E712B" w:rsidRPr="003C5007" w:rsidTr="008E5013">
        <w:tc>
          <w:tcPr>
            <w:tcW w:w="5459" w:type="dxa"/>
            <w:tcBorders>
              <w:top w:val="single" w:sz="8" w:space="0" w:color="000000"/>
              <w:left w:val="single" w:sz="8" w:space="0" w:color="000000"/>
              <w:bottom w:val="single" w:sz="8" w:space="0" w:color="000000"/>
              <w:right w:val="single" w:sz="8" w:space="0" w:color="000000"/>
            </w:tcBorders>
            <w:vAlign w:val="center"/>
          </w:tcPr>
          <w:p w:rsidR="007C1A93" w:rsidRPr="003C5007" w:rsidRDefault="008E5013" w:rsidP="008E5013">
            <w:pPr>
              <w:autoSpaceDE w:val="0"/>
              <w:autoSpaceDN w:val="0"/>
              <w:adjustRightInd w:val="0"/>
              <w:spacing w:line="360" w:lineRule="auto"/>
              <w:ind w:left="17"/>
              <w:rPr>
                <w:rFonts w:eastAsiaTheme="minorEastAsia"/>
                <w:color w:val="000000" w:themeColor="text1"/>
                <w:kern w:val="0"/>
                <w:szCs w:val="21"/>
              </w:rPr>
            </w:pPr>
            <w:r>
              <w:rPr>
                <w:rFonts w:eastAsiaTheme="minorEastAsia" w:hint="eastAsia"/>
                <w:color w:val="000000" w:themeColor="text1"/>
                <w:szCs w:val="21"/>
              </w:rPr>
              <w:t>分级运作终止</w:t>
            </w:r>
            <w:r>
              <w:rPr>
                <w:rFonts w:eastAsiaTheme="minorEastAsia"/>
                <w:color w:val="000000" w:themeColor="text1"/>
                <w:szCs w:val="21"/>
              </w:rPr>
              <w:t>日次日</w:t>
            </w:r>
            <w:r w:rsidR="007C1A93" w:rsidRPr="003C5007">
              <w:rPr>
                <w:rFonts w:eastAsiaTheme="minorEastAsia"/>
                <w:color w:val="000000" w:themeColor="text1"/>
                <w:kern w:val="0"/>
                <w:szCs w:val="21"/>
              </w:rPr>
              <w:t>基金份额总额</w:t>
            </w:r>
          </w:p>
        </w:tc>
        <w:tc>
          <w:tcPr>
            <w:tcW w:w="3175" w:type="dxa"/>
            <w:tcBorders>
              <w:top w:val="single" w:sz="8" w:space="0" w:color="000000"/>
              <w:left w:val="single" w:sz="8" w:space="0" w:color="000000"/>
              <w:bottom w:val="single" w:sz="8" w:space="0" w:color="000000"/>
              <w:right w:val="single" w:sz="8" w:space="0" w:color="000000"/>
            </w:tcBorders>
            <w:vAlign w:val="center"/>
          </w:tcPr>
          <w:p w:rsidR="007C1A93" w:rsidRPr="003C5007" w:rsidRDefault="007C1A93" w:rsidP="003C5007">
            <w:pPr>
              <w:autoSpaceDE w:val="0"/>
              <w:autoSpaceDN w:val="0"/>
              <w:adjustRightInd w:val="0"/>
              <w:spacing w:line="360" w:lineRule="auto"/>
              <w:ind w:left="17"/>
              <w:jc w:val="right"/>
              <w:rPr>
                <w:rFonts w:eastAsiaTheme="minorEastAsia"/>
                <w:color w:val="000000" w:themeColor="text1"/>
                <w:szCs w:val="21"/>
              </w:rPr>
            </w:pPr>
            <w:r w:rsidRPr="003C5007">
              <w:rPr>
                <w:rFonts w:eastAsiaTheme="minorEastAsia"/>
                <w:color w:val="000000" w:themeColor="text1"/>
                <w:szCs w:val="21"/>
              </w:rPr>
              <w:t>324,950,387.61</w:t>
            </w:r>
          </w:p>
        </w:tc>
      </w:tr>
      <w:tr w:rsidR="003E712B" w:rsidRPr="003C5007" w:rsidTr="008E5013">
        <w:tc>
          <w:tcPr>
            <w:tcW w:w="5459" w:type="dxa"/>
            <w:tcBorders>
              <w:top w:val="single" w:sz="8" w:space="0" w:color="000000"/>
              <w:left w:val="single" w:sz="8" w:space="0" w:color="000000"/>
              <w:bottom w:val="single" w:sz="8" w:space="0" w:color="000000"/>
              <w:right w:val="single" w:sz="8" w:space="0" w:color="000000"/>
            </w:tcBorders>
            <w:vAlign w:val="center"/>
          </w:tcPr>
          <w:p w:rsidR="007C1A93" w:rsidRPr="003C5007" w:rsidRDefault="008E5013" w:rsidP="003C5007">
            <w:pPr>
              <w:autoSpaceDE w:val="0"/>
              <w:autoSpaceDN w:val="0"/>
              <w:adjustRightInd w:val="0"/>
              <w:spacing w:line="360" w:lineRule="auto"/>
              <w:ind w:left="17"/>
              <w:rPr>
                <w:rFonts w:eastAsiaTheme="minorEastAsia"/>
                <w:color w:val="000000" w:themeColor="text1"/>
                <w:kern w:val="0"/>
                <w:szCs w:val="21"/>
              </w:rPr>
            </w:pPr>
            <w:r>
              <w:rPr>
                <w:rFonts w:eastAsiaTheme="minorEastAsia" w:hint="eastAsia"/>
                <w:color w:val="000000" w:themeColor="text1"/>
                <w:szCs w:val="21"/>
              </w:rPr>
              <w:t>分级运作终止</w:t>
            </w:r>
            <w:r>
              <w:rPr>
                <w:rFonts w:eastAsiaTheme="minorEastAsia"/>
                <w:color w:val="000000" w:themeColor="text1"/>
                <w:szCs w:val="21"/>
              </w:rPr>
              <w:t>日次日起至本报告期末</w:t>
            </w:r>
            <w:r>
              <w:rPr>
                <w:rFonts w:eastAsiaTheme="minorEastAsia" w:hint="eastAsia"/>
                <w:color w:val="000000" w:themeColor="text1"/>
                <w:szCs w:val="21"/>
              </w:rPr>
              <w:t>基金</w:t>
            </w:r>
            <w:r w:rsidR="007C1A93" w:rsidRPr="003C5007">
              <w:rPr>
                <w:rFonts w:eastAsiaTheme="minorEastAsia"/>
                <w:color w:val="000000" w:themeColor="text1"/>
                <w:kern w:val="0"/>
                <w:szCs w:val="21"/>
              </w:rPr>
              <w:t>总申购份额</w:t>
            </w:r>
          </w:p>
        </w:tc>
        <w:tc>
          <w:tcPr>
            <w:tcW w:w="3175" w:type="dxa"/>
            <w:tcBorders>
              <w:top w:val="single" w:sz="8" w:space="0" w:color="000000"/>
              <w:left w:val="single" w:sz="8" w:space="0" w:color="000000"/>
              <w:bottom w:val="single" w:sz="8" w:space="0" w:color="000000"/>
              <w:right w:val="single" w:sz="8" w:space="0" w:color="000000"/>
            </w:tcBorders>
            <w:vAlign w:val="center"/>
          </w:tcPr>
          <w:p w:rsidR="007C1A93" w:rsidRPr="003C5007" w:rsidRDefault="007C1A93" w:rsidP="003C5007">
            <w:pPr>
              <w:autoSpaceDE w:val="0"/>
              <w:autoSpaceDN w:val="0"/>
              <w:adjustRightInd w:val="0"/>
              <w:spacing w:line="360" w:lineRule="auto"/>
              <w:ind w:left="17"/>
              <w:jc w:val="right"/>
              <w:rPr>
                <w:rFonts w:eastAsiaTheme="minorEastAsia"/>
                <w:color w:val="000000" w:themeColor="text1"/>
                <w:szCs w:val="21"/>
              </w:rPr>
            </w:pPr>
            <w:r w:rsidRPr="003C5007">
              <w:rPr>
                <w:rFonts w:eastAsiaTheme="minorEastAsia"/>
                <w:color w:val="000000" w:themeColor="text1"/>
                <w:szCs w:val="21"/>
              </w:rPr>
              <w:t>2,865,647.64</w:t>
            </w:r>
          </w:p>
        </w:tc>
      </w:tr>
      <w:tr w:rsidR="003E712B" w:rsidRPr="003C5007" w:rsidTr="008E5013">
        <w:tc>
          <w:tcPr>
            <w:tcW w:w="5459" w:type="dxa"/>
            <w:tcBorders>
              <w:top w:val="single" w:sz="8" w:space="0" w:color="000000"/>
              <w:left w:val="single" w:sz="8" w:space="0" w:color="000000"/>
              <w:bottom w:val="single" w:sz="8" w:space="0" w:color="000000"/>
              <w:right w:val="single" w:sz="8" w:space="0" w:color="000000"/>
            </w:tcBorders>
            <w:vAlign w:val="center"/>
          </w:tcPr>
          <w:p w:rsidR="007C1A93" w:rsidRPr="003C5007" w:rsidRDefault="007C1A93" w:rsidP="008E5013">
            <w:pPr>
              <w:autoSpaceDE w:val="0"/>
              <w:autoSpaceDN w:val="0"/>
              <w:adjustRightInd w:val="0"/>
              <w:spacing w:line="360" w:lineRule="auto"/>
              <w:ind w:left="17"/>
              <w:rPr>
                <w:rFonts w:eastAsiaTheme="minorEastAsia"/>
                <w:color w:val="000000" w:themeColor="text1"/>
                <w:kern w:val="0"/>
                <w:szCs w:val="21"/>
              </w:rPr>
            </w:pPr>
            <w:r w:rsidRPr="003C5007">
              <w:rPr>
                <w:rFonts w:eastAsiaTheme="minorEastAsia"/>
                <w:color w:val="000000" w:themeColor="text1"/>
                <w:kern w:val="0"/>
                <w:szCs w:val="21"/>
              </w:rPr>
              <w:t>减：</w:t>
            </w:r>
            <w:r w:rsidR="008E5013">
              <w:rPr>
                <w:rFonts w:eastAsiaTheme="minorEastAsia" w:hint="eastAsia"/>
                <w:color w:val="000000" w:themeColor="text1"/>
                <w:szCs w:val="21"/>
              </w:rPr>
              <w:t>分级运作终止</w:t>
            </w:r>
            <w:r w:rsidR="008E5013">
              <w:rPr>
                <w:rFonts w:eastAsiaTheme="minorEastAsia"/>
                <w:color w:val="000000" w:themeColor="text1"/>
                <w:szCs w:val="21"/>
              </w:rPr>
              <w:t>日次日起至本报告期末</w:t>
            </w:r>
            <w:r w:rsidR="008E5013">
              <w:rPr>
                <w:rFonts w:eastAsiaTheme="minorEastAsia" w:hint="eastAsia"/>
                <w:color w:val="000000" w:themeColor="text1"/>
                <w:szCs w:val="21"/>
              </w:rPr>
              <w:t>基金</w:t>
            </w:r>
            <w:r w:rsidRPr="003C5007">
              <w:rPr>
                <w:rFonts w:eastAsiaTheme="minorEastAsia"/>
                <w:color w:val="000000" w:themeColor="text1"/>
                <w:kern w:val="0"/>
                <w:szCs w:val="21"/>
              </w:rPr>
              <w:t>总赎回份额</w:t>
            </w:r>
          </w:p>
        </w:tc>
        <w:tc>
          <w:tcPr>
            <w:tcW w:w="3175" w:type="dxa"/>
            <w:tcBorders>
              <w:top w:val="single" w:sz="8" w:space="0" w:color="000000"/>
              <w:left w:val="single" w:sz="8" w:space="0" w:color="000000"/>
              <w:bottom w:val="single" w:sz="8" w:space="0" w:color="000000"/>
              <w:right w:val="single" w:sz="8" w:space="0" w:color="000000"/>
            </w:tcBorders>
            <w:vAlign w:val="center"/>
          </w:tcPr>
          <w:p w:rsidR="007C1A93" w:rsidRPr="003C5007" w:rsidRDefault="007C1A93" w:rsidP="003C5007">
            <w:pPr>
              <w:autoSpaceDE w:val="0"/>
              <w:autoSpaceDN w:val="0"/>
              <w:adjustRightInd w:val="0"/>
              <w:spacing w:line="360" w:lineRule="auto"/>
              <w:ind w:left="17"/>
              <w:jc w:val="right"/>
              <w:rPr>
                <w:rFonts w:eastAsiaTheme="minorEastAsia"/>
                <w:color w:val="000000" w:themeColor="text1"/>
                <w:szCs w:val="21"/>
              </w:rPr>
            </w:pPr>
            <w:r w:rsidRPr="003C5007">
              <w:rPr>
                <w:rFonts w:eastAsiaTheme="minorEastAsia"/>
                <w:color w:val="000000" w:themeColor="text1"/>
                <w:szCs w:val="21"/>
              </w:rPr>
              <w:t>173,510,319.17</w:t>
            </w:r>
          </w:p>
        </w:tc>
      </w:tr>
      <w:tr w:rsidR="003E712B" w:rsidRPr="003C5007" w:rsidTr="008E5013">
        <w:tc>
          <w:tcPr>
            <w:tcW w:w="5459" w:type="dxa"/>
            <w:tcBorders>
              <w:top w:val="single" w:sz="8" w:space="0" w:color="000000"/>
              <w:left w:val="single" w:sz="8" w:space="0" w:color="000000"/>
              <w:bottom w:val="single" w:sz="8" w:space="0" w:color="000000"/>
              <w:right w:val="single" w:sz="8" w:space="0" w:color="000000"/>
            </w:tcBorders>
            <w:vAlign w:val="center"/>
          </w:tcPr>
          <w:p w:rsidR="007C1A93" w:rsidRPr="003C5007" w:rsidRDefault="008E5013" w:rsidP="003C5007">
            <w:pPr>
              <w:autoSpaceDE w:val="0"/>
              <w:autoSpaceDN w:val="0"/>
              <w:adjustRightInd w:val="0"/>
              <w:spacing w:line="360" w:lineRule="auto"/>
              <w:ind w:left="17"/>
              <w:rPr>
                <w:rFonts w:eastAsiaTheme="minorEastAsia"/>
                <w:color w:val="000000" w:themeColor="text1"/>
                <w:kern w:val="0"/>
                <w:szCs w:val="21"/>
              </w:rPr>
            </w:pPr>
            <w:r>
              <w:rPr>
                <w:rFonts w:eastAsiaTheme="minorEastAsia" w:hint="eastAsia"/>
                <w:color w:val="000000" w:themeColor="text1"/>
                <w:szCs w:val="21"/>
              </w:rPr>
              <w:t>分级运作终止</w:t>
            </w:r>
            <w:r>
              <w:rPr>
                <w:rFonts w:eastAsiaTheme="minorEastAsia"/>
                <w:color w:val="000000" w:themeColor="text1"/>
                <w:szCs w:val="21"/>
              </w:rPr>
              <w:t>日次日起至本报告期末</w:t>
            </w:r>
            <w:r w:rsidR="00C733F6">
              <w:rPr>
                <w:rFonts w:eastAsiaTheme="minorEastAsia" w:hint="eastAsia"/>
                <w:color w:val="000000" w:themeColor="text1"/>
                <w:szCs w:val="21"/>
              </w:rPr>
              <w:t>基金</w:t>
            </w:r>
            <w:r w:rsidR="007C1A93" w:rsidRPr="003C5007">
              <w:rPr>
                <w:rFonts w:eastAsiaTheme="minorEastAsia"/>
                <w:color w:val="000000" w:themeColor="text1"/>
                <w:kern w:val="0"/>
                <w:szCs w:val="21"/>
              </w:rPr>
              <w:t>拆分变动份额</w:t>
            </w:r>
          </w:p>
        </w:tc>
        <w:tc>
          <w:tcPr>
            <w:tcW w:w="3175" w:type="dxa"/>
            <w:tcBorders>
              <w:top w:val="single" w:sz="8" w:space="0" w:color="000000"/>
              <w:left w:val="single" w:sz="8" w:space="0" w:color="000000"/>
              <w:bottom w:val="single" w:sz="8" w:space="0" w:color="000000"/>
              <w:right w:val="single" w:sz="8" w:space="0" w:color="000000"/>
            </w:tcBorders>
            <w:vAlign w:val="center"/>
          </w:tcPr>
          <w:p w:rsidR="007C1A93" w:rsidRPr="003C5007" w:rsidRDefault="007C1A93" w:rsidP="003C5007">
            <w:pPr>
              <w:autoSpaceDE w:val="0"/>
              <w:autoSpaceDN w:val="0"/>
              <w:adjustRightInd w:val="0"/>
              <w:spacing w:line="360" w:lineRule="auto"/>
              <w:ind w:left="17"/>
              <w:jc w:val="right"/>
              <w:rPr>
                <w:rFonts w:eastAsiaTheme="minorEastAsia"/>
                <w:color w:val="000000" w:themeColor="text1"/>
                <w:szCs w:val="21"/>
              </w:rPr>
            </w:pPr>
            <w:r w:rsidRPr="003C5007">
              <w:rPr>
                <w:rFonts w:eastAsiaTheme="minorEastAsia"/>
                <w:color w:val="000000" w:themeColor="text1"/>
                <w:szCs w:val="21"/>
              </w:rPr>
              <w:t>-1.00</w:t>
            </w:r>
          </w:p>
        </w:tc>
      </w:tr>
      <w:tr w:rsidR="003E712B" w:rsidRPr="003C5007" w:rsidTr="008E5013">
        <w:tc>
          <w:tcPr>
            <w:tcW w:w="5459" w:type="dxa"/>
            <w:tcBorders>
              <w:top w:val="single" w:sz="8" w:space="0" w:color="000000"/>
              <w:left w:val="single" w:sz="8" w:space="0" w:color="000000"/>
              <w:bottom w:val="single" w:sz="8" w:space="0" w:color="000000"/>
              <w:right w:val="single" w:sz="8" w:space="0" w:color="000000"/>
            </w:tcBorders>
            <w:vAlign w:val="center"/>
          </w:tcPr>
          <w:p w:rsidR="007C1A93" w:rsidRPr="003C5007" w:rsidRDefault="007C1A93" w:rsidP="003C5007">
            <w:pPr>
              <w:autoSpaceDE w:val="0"/>
              <w:autoSpaceDN w:val="0"/>
              <w:adjustRightInd w:val="0"/>
              <w:spacing w:line="360" w:lineRule="auto"/>
              <w:ind w:left="17"/>
              <w:rPr>
                <w:rFonts w:eastAsiaTheme="minorEastAsia"/>
                <w:color w:val="000000" w:themeColor="text1"/>
                <w:kern w:val="0"/>
                <w:szCs w:val="21"/>
              </w:rPr>
            </w:pPr>
            <w:r w:rsidRPr="003C5007">
              <w:rPr>
                <w:rFonts w:eastAsiaTheme="minorEastAsia"/>
                <w:color w:val="000000" w:themeColor="text1"/>
                <w:kern w:val="0"/>
                <w:szCs w:val="21"/>
              </w:rPr>
              <w:t>本报告期期末基金份额总额</w:t>
            </w:r>
          </w:p>
        </w:tc>
        <w:tc>
          <w:tcPr>
            <w:tcW w:w="3175" w:type="dxa"/>
            <w:tcBorders>
              <w:top w:val="single" w:sz="8" w:space="0" w:color="000000"/>
              <w:left w:val="single" w:sz="8" w:space="0" w:color="000000"/>
              <w:bottom w:val="single" w:sz="8" w:space="0" w:color="000000"/>
              <w:right w:val="single" w:sz="8" w:space="0" w:color="000000"/>
            </w:tcBorders>
            <w:vAlign w:val="center"/>
          </w:tcPr>
          <w:p w:rsidR="007C1A93" w:rsidRPr="003C5007" w:rsidRDefault="007C1A93" w:rsidP="003C5007">
            <w:pPr>
              <w:autoSpaceDE w:val="0"/>
              <w:autoSpaceDN w:val="0"/>
              <w:adjustRightInd w:val="0"/>
              <w:spacing w:line="360" w:lineRule="auto"/>
              <w:ind w:left="17"/>
              <w:jc w:val="right"/>
              <w:rPr>
                <w:rFonts w:eastAsiaTheme="minorEastAsia"/>
                <w:color w:val="000000" w:themeColor="text1"/>
                <w:szCs w:val="21"/>
              </w:rPr>
            </w:pPr>
            <w:r w:rsidRPr="003C5007">
              <w:rPr>
                <w:rFonts w:eastAsiaTheme="minorEastAsia"/>
                <w:color w:val="000000" w:themeColor="text1"/>
                <w:szCs w:val="21"/>
              </w:rPr>
              <w:t>154,305,715.08</w:t>
            </w:r>
          </w:p>
        </w:tc>
      </w:tr>
    </w:tbl>
    <w:p w:rsidR="0076122D" w:rsidRPr="003C5007" w:rsidRDefault="0076122D" w:rsidP="003C5007">
      <w:pPr>
        <w:pStyle w:val="2"/>
        <w:spacing w:before="0" w:after="0"/>
        <w:rPr>
          <w:rFonts w:ascii="Times New Roman" w:hAnsi="Times New Roman" w:cs="Times New Roman"/>
          <w:kern w:val="0"/>
          <w:sz w:val="21"/>
          <w:szCs w:val="21"/>
        </w:rPr>
      </w:pPr>
      <w:r w:rsidRPr="003C5007">
        <w:rPr>
          <w:rFonts w:ascii="Times New Roman" w:hAnsi="Times New Roman" w:cs="Times New Roman"/>
          <w:kern w:val="0"/>
          <w:sz w:val="21"/>
          <w:szCs w:val="21"/>
        </w:rPr>
        <w:t xml:space="preserve">6.2 </w:t>
      </w:r>
      <w:r w:rsidRPr="003C5007">
        <w:rPr>
          <w:rFonts w:ascii="Times New Roman" w:hAnsi="Times New Roman" w:cs="Times New Roman"/>
          <w:kern w:val="0"/>
          <w:sz w:val="21"/>
          <w:szCs w:val="21"/>
        </w:rPr>
        <w:t>申万菱信中小板指数分级证券投资基金</w:t>
      </w:r>
    </w:p>
    <w:p w:rsidR="000D117D" w:rsidRPr="003C5007" w:rsidRDefault="000D117D" w:rsidP="003C5007">
      <w:pPr>
        <w:autoSpaceDE w:val="0"/>
        <w:autoSpaceDN w:val="0"/>
        <w:adjustRightInd w:val="0"/>
        <w:spacing w:line="360" w:lineRule="auto"/>
        <w:ind w:left="15"/>
        <w:jc w:val="right"/>
        <w:rPr>
          <w:rFonts w:eastAsiaTheme="minorEastAsia"/>
          <w:color w:val="000000" w:themeColor="text1"/>
          <w:kern w:val="0"/>
          <w:szCs w:val="21"/>
        </w:rPr>
      </w:pPr>
      <w:r w:rsidRPr="003C5007">
        <w:rPr>
          <w:rFonts w:eastAsiaTheme="minorEastAsia"/>
          <w:color w:val="000000" w:themeColor="text1"/>
          <w:kern w:val="0"/>
          <w:szCs w:val="21"/>
        </w:rPr>
        <w:t>单位：份</w:t>
      </w:r>
    </w:p>
    <w:tbl>
      <w:tblPr>
        <w:tblW w:w="0" w:type="auto"/>
        <w:tblInd w:w="-106" w:type="dxa"/>
        <w:tblLayout w:type="fixed"/>
        <w:tblLook w:val="0000" w:firstRow="0" w:lastRow="0" w:firstColumn="0" w:lastColumn="0" w:noHBand="0" w:noVBand="0"/>
      </w:tblPr>
      <w:tblGrid>
        <w:gridCol w:w="3900"/>
        <w:gridCol w:w="1559"/>
        <w:gridCol w:w="1559"/>
        <w:gridCol w:w="1616"/>
      </w:tblGrid>
      <w:tr w:rsidR="000D117D" w:rsidRPr="003C5007" w:rsidTr="00C733F6">
        <w:tc>
          <w:tcPr>
            <w:tcW w:w="3900" w:type="dxa"/>
            <w:tcBorders>
              <w:top w:val="single" w:sz="8" w:space="0" w:color="000000"/>
              <w:left w:val="single" w:sz="8" w:space="0" w:color="000000"/>
              <w:bottom w:val="single" w:sz="8" w:space="0" w:color="000000"/>
              <w:right w:val="single" w:sz="8" w:space="0" w:color="000000"/>
            </w:tcBorders>
            <w:vAlign w:val="center"/>
          </w:tcPr>
          <w:p w:rsidR="000D117D" w:rsidRPr="003C5007" w:rsidRDefault="000D117D" w:rsidP="00D36C45">
            <w:pPr>
              <w:autoSpaceDE w:val="0"/>
              <w:autoSpaceDN w:val="0"/>
              <w:adjustRightInd w:val="0"/>
              <w:spacing w:line="360" w:lineRule="auto"/>
              <w:ind w:left="17"/>
              <w:jc w:val="center"/>
              <w:rPr>
                <w:rFonts w:eastAsiaTheme="minorEastAsia"/>
                <w:color w:val="000000" w:themeColor="text1"/>
                <w:kern w:val="0"/>
                <w:szCs w:val="21"/>
              </w:rPr>
            </w:pPr>
            <w:r w:rsidRPr="003C5007">
              <w:rPr>
                <w:rFonts w:eastAsiaTheme="minorEastAsia"/>
                <w:color w:val="000000" w:themeColor="text1"/>
                <w:kern w:val="0"/>
                <w:szCs w:val="21"/>
              </w:rPr>
              <w:t>项目</w:t>
            </w:r>
          </w:p>
        </w:tc>
        <w:tc>
          <w:tcPr>
            <w:tcW w:w="1559" w:type="dxa"/>
            <w:tcBorders>
              <w:top w:val="single" w:sz="8" w:space="0" w:color="000000"/>
              <w:left w:val="single" w:sz="8" w:space="0" w:color="000000"/>
              <w:bottom w:val="single" w:sz="8" w:space="0" w:color="000000"/>
              <w:right w:val="single" w:sz="8" w:space="0" w:color="000000"/>
            </w:tcBorders>
            <w:vAlign w:val="center"/>
          </w:tcPr>
          <w:p w:rsidR="000D117D" w:rsidRPr="003C5007" w:rsidRDefault="000D117D" w:rsidP="00D36C45">
            <w:pPr>
              <w:autoSpaceDE w:val="0"/>
              <w:autoSpaceDN w:val="0"/>
              <w:adjustRightInd w:val="0"/>
              <w:spacing w:line="360" w:lineRule="auto"/>
              <w:ind w:left="17"/>
              <w:jc w:val="center"/>
              <w:rPr>
                <w:rFonts w:eastAsiaTheme="minorEastAsia"/>
                <w:color w:val="000000" w:themeColor="text1"/>
                <w:szCs w:val="21"/>
              </w:rPr>
            </w:pPr>
            <w:r w:rsidRPr="003C5007">
              <w:rPr>
                <w:rFonts w:eastAsiaTheme="minorEastAsia"/>
                <w:color w:val="000000" w:themeColor="text1"/>
                <w:szCs w:val="21"/>
              </w:rPr>
              <w:t>申万中小</w:t>
            </w:r>
          </w:p>
        </w:tc>
        <w:tc>
          <w:tcPr>
            <w:tcW w:w="1559" w:type="dxa"/>
            <w:tcBorders>
              <w:top w:val="single" w:sz="8" w:space="0" w:color="000000"/>
              <w:left w:val="single" w:sz="8" w:space="0" w:color="000000"/>
              <w:bottom w:val="single" w:sz="8" w:space="0" w:color="000000"/>
              <w:right w:val="single" w:sz="8" w:space="0" w:color="000000"/>
            </w:tcBorders>
            <w:vAlign w:val="center"/>
          </w:tcPr>
          <w:p w:rsidR="000D117D" w:rsidRPr="003C5007" w:rsidRDefault="000D117D" w:rsidP="00D36C45">
            <w:pPr>
              <w:autoSpaceDE w:val="0"/>
              <w:autoSpaceDN w:val="0"/>
              <w:adjustRightInd w:val="0"/>
              <w:spacing w:line="360" w:lineRule="auto"/>
              <w:ind w:left="17"/>
              <w:jc w:val="center"/>
              <w:rPr>
                <w:rFonts w:eastAsiaTheme="minorEastAsia"/>
                <w:color w:val="000000" w:themeColor="text1"/>
                <w:szCs w:val="21"/>
              </w:rPr>
            </w:pPr>
            <w:r w:rsidRPr="003C5007">
              <w:rPr>
                <w:rFonts w:eastAsiaTheme="minorEastAsia"/>
                <w:color w:val="000000" w:themeColor="text1"/>
                <w:szCs w:val="21"/>
              </w:rPr>
              <w:t>中小板</w:t>
            </w:r>
            <w:r w:rsidRPr="003C5007">
              <w:rPr>
                <w:rFonts w:eastAsiaTheme="minorEastAsia"/>
                <w:color w:val="000000" w:themeColor="text1"/>
                <w:szCs w:val="21"/>
              </w:rPr>
              <w:t>A</w:t>
            </w:r>
          </w:p>
        </w:tc>
        <w:tc>
          <w:tcPr>
            <w:tcW w:w="1616" w:type="dxa"/>
            <w:tcBorders>
              <w:top w:val="single" w:sz="8" w:space="0" w:color="000000"/>
              <w:left w:val="single" w:sz="8" w:space="0" w:color="000000"/>
              <w:bottom w:val="single" w:sz="8" w:space="0" w:color="000000"/>
              <w:right w:val="single" w:sz="8" w:space="0" w:color="000000"/>
            </w:tcBorders>
            <w:vAlign w:val="center"/>
          </w:tcPr>
          <w:p w:rsidR="000D117D" w:rsidRPr="003C5007" w:rsidRDefault="000D117D" w:rsidP="00D36C45">
            <w:pPr>
              <w:spacing w:line="360" w:lineRule="auto"/>
              <w:jc w:val="center"/>
              <w:rPr>
                <w:rFonts w:eastAsiaTheme="minorEastAsia"/>
                <w:color w:val="000000" w:themeColor="text1"/>
                <w:szCs w:val="21"/>
              </w:rPr>
            </w:pPr>
            <w:r w:rsidRPr="003C5007">
              <w:rPr>
                <w:rFonts w:eastAsiaTheme="minorEastAsia"/>
                <w:color w:val="000000" w:themeColor="text1"/>
                <w:szCs w:val="21"/>
              </w:rPr>
              <w:t>中小板</w:t>
            </w:r>
            <w:r w:rsidRPr="003C5007">
              <w:rPr>
                <w:rFonts w:eastAsiaTheme="minorEastAsia"/>
                <w:color w:val="000000" w:themeColor="text1"/>
                <w:szCs w:val="21"/>
              </w:rPr>
              <w:t>B</w:t>
            </w:r>
          </w:p>
        </w:tc>
      </w:tr>
      <w:tr w:rsidR="000D117D" w:rsidRPr="003C5007" w:rsidTr="00C733F6">
        <w:tc>
          <w:tcPr>
            <w:tcW w:w="3900" w:type="dxa"/>
            <w:tcBorders>
              <w:top w:val="single" w:sz="8" w:space="0" w:color="000000"/>
              <w:left w:val="single" w:sz="8" w:space="0" w:color="000000"/>
              <w:bottom w:val="single" w:sz="8" w:space="0" w:color="000000"/>
              <w:right w:val="single" w:sz="8" w:space="0" w:color="000000"/>
            </w:tcBorders>
            <w:vAlign w:val="center"/>
          </w:tcPr>
          <w:p w:rsidR="000D117D" w:rsidRPr="003C5007" w:rsidRDefault="000D117D" w:rsidP="003C5007">
            <w:pPr>
              <w:autoSpaceDE w:val="0"/>
              <w:autoSpaceDN w:val="0"/>
              <w:adjustRightInd w:val="0"/>
              <w:spacing w:line="360" w:lineRule="auto"/>
              <w:ind w:left="17"/>
              <w:jc w:val="left"/>
              <w:rPr>
                <w:rFonts w:eastAsiaTheme="minorEastAsia"/>
                <w:color w:val="000000" w:themeColor="text1"/>
                <w:kern w:val="0"/>
                <w:szCs w:val="21"/>
              </w:rPr>
            </w:pPr>
            <w:r w:rsidRPr="003C5007">
              <w:rPr>
                <w:rFonts w:eastAsiaTheme="minorEastAsia"/>
                <w:color w:val="000000" w:themeColor="text1"/>
                <w:kern w:val="0"/>
                <w:szCs w:val="21"/>
              </w:rPr>
              <w:t>本报告期期初基金份额总额</w:t>
            </w:r>
          </w:p>
        </w:tc>
        <w:tc>
          <w:tcPr>
            <w:tcW w:w="1559" w:type="dxa"/>
            <w:tcBorders>
              <w:top w:val="single" w:sz="8" w:space="0" w:color="000000"/>
              <w:left w:val="single" w:sz="8" w:space="0" w:color="000000"/>
              <w:bottom w:val="single" w:sz="8" w:space="0" w:color="000000"/>
              <w:right w:val="single" w:sz="8" w:space="0" w:color="000000"/>
            </w:tcBorders>
            <w:vAlign w:val="center"/>
          </w:tcPr>
          <w:p w:rsidR="000D117D" w:rsidRPr="003C5007" w:rsidRDefault="000D117D" w:rsidP="003C5007">
            <w:pPr>
              <w:autoSpaceDE w:val="0"/>
              <w:autoSpaceDN w:val="0"/>
              <w:adjustRightInd w:val="0"/>
              <w:spacing w:line="360" w:lineRule="auto"/>
              <w:ind w:left="17"/>
              <w:jc w:val="right"/>
              <w:rPr>
                <w:rFonts w:eastAsiaTheme="minorEastAsia"/>
                <w:color w:val="000000" w:themeColor="text1"/>
                <w:szCs w:val="21"/>
              </w:rPr>
            </w:pPr>
            <w:r w:rsidRPr="003C5007">
              <w:rPr>
                <w:rFonts w:eastAsiaTheme="minorEastAsia"/>
                <w:color w:val="000000" w:themeColor="text1"/>
                <w:szCs w:val="21"/>
              </w:rPr>
              <w:t>103,392,646.15</w:t>
            </w:r>
          </w:p>
        </w:tc>
        <w:tc>
          <w:tcPr>
            <w:tcW w:w="1559" w:type="dxa"/>
            <w:tcBorders>
              <w:top w:val="single" w:sz="8" w:space="0" w:color="000000"/>
              <w:left w:val="single" w:sz="8" w:space="0" w:color="000000"/>
              <w:bottom w:val="single" w:sz="8" w:space="0" w:color="000000"/>
              <w:right w:val="single" w:sz="8" w:space="0" w:color="000000"/>
            </w:tcBorders>
            <w:vAlign w:val="center"/>
          </w:tcPr>
          <w:p w:rsidR="000D117D" w:rsidRPr="003C5007" w:rsidRDefault="000D117D" w:rsidP="003C5007">
            <w:pPr>
              <w:autoSpaceDE w:val="0"/>
              <w:autoSpaceDN w:val="0"/>
              <w:adjustRightInd w:val="0"/>
              <w:spacing w:line="360" w:lineRule="auto"/>
              <w:ind w:left="17"/>
              <w:jc w:val="right"/>
              <w:rPr>
                <w:rFonts w:eastAsiaTheme="minorEastAsia"/>
                <w:color w:val="000000" w:themeColor="text1"/>
                <w:szCs w:val="21"/>
              </w:rPr>
            </w:pPr>
            <w:r w:rsidRPr="003C5007">
              <w:rPr>
                <w:rFonts w:eastAsiaTheme="minorEastAsia"/>
                <w:color w:val="000000" w:themeColor="text1"/>
                <w:szCs w:val="21"/>
              </w:rPr>
              <w:t>132,377,952.00</w:t>
            </w:r>
          </w:p>
        </w:tc>
        <w:tc>
          <w:tcPr>
            <w:tcW w:w="1616" w:type="dxa"/>
            <w:tcBorders>
              <w:top w:val="single" w:sz="8" w:space="0" w:color="000000"/>
              <w:left w:val="single" w:sz="8" w:space="0" w:color="000000"/>
              <w:bottom w:val="single" w:sz="8" w:space="0" w:color="000000"/>
              <w:right w:val="single" w:sz="8" w:space="0" w:color="000000"/>
            </w:tcBorders>
            <w:vAlign w:val="center"/>
          </w:tcPr>
          <w:p w:rsidR="000D117D" w:rsidRPr="003C5007" w:rsidRDefault="000D117D" w:rsidP="003C5007">
            <w:pPr>
              <w:autoSpaceDE w:val="0"/>
              <w:autoSpaceDN w:val="0"/>
              <w:adjustRightInd w:val="0"/>
              <w:spacing w:line="360" w:lineRule="auto"/>
              <w:ind w:left="17"/>
              <w:jc w:val="right"/>
              <w:rPr>
                <w:rFonts w:eastAsiaTheme="minorEastAsia"/>
                <w:color w:val="000000" w:themeColor="text1"/>
                <w:szCs w:val="21"/>
              </w:rPr>
            </w:pPr>
            <w:r w:rsidRPr="003C5007">
              <w:rPr>
                <w:rFonts w:eastAsiaTheme="minorEastAsia"/>
                <w:color w:val="000000" w:themeColor="text1"/>
                <w:szCs w:val="21"/>
              </w:rPr>
              <w:t>132,377,952.00</w:t>
            </w:r>
          </w:p>
        </w:tc>
      </w:tr>
      <w:tr w:rsidR="000D117D" w:rsidRPr="003C5007" w:rsidTr="00C733F6">
        <w:tc>
          <w:tcPr>
            <w:tcW w:w="3900" w:type="dxa"/>
            <w:tcBorders>
              <w:top w:val="single" w:sz="8" w:space="0" w:color="000000"/>
              <w:left w:val="single" w:sz="8" w:space="0" w:color="000000"/>
              <w:bottom w:val="single" w:sz="8" w:space="0" w:color="000000"/>
              <w:right w:val="single" w:sz="8" w:space="0" w:color="000000"/>
            </w:tcBorders>
            <w:vAlign w:val="center"/>
          </w:tcPr>
          <w:p w:rsidR="000D117D" w:rsidRPr="003C5007" w:rsidRDefault="00C733F6" w:rsidP="003C5007">
            <w:pPr>
              <w:autoSpaceDE w:val="0"/>
              <w:autoSpaceDN w:val="0"/>
              <w:adjustRightInd w:val="0"/>
              <w:spacing w:line="360" w:lineRule="auto"/>
              <w:ind w:left="17"/>
              <w:jc w:val="left"/>
              <w:rPr>
                <w:rFonts w:eastAsiaTheme="minorEastAsia"/>
                <w:color w:val="000000" w:themeColor="text1"/>
                <w:kern w:val="0"/>
                <w:szCs w:val="21"/>
              </w:rPr>
            </w:pPr>
            <w:r w:rsidRPr="003C5007">
              <w:rPr>
                <w:rFonts w:eastAsiaTheme="minorEastAsia"/>
                <w:color w:val="000000" w:themeColor="text1"/>
                <w:kern w:val="0"/>
                <w:szCs w:val="21"/>
              </w:rPr>
              <w:t>本报告期期初</w:t>
            </w:r>
            <w:r w:rsidR="000D117D" w:rsidRPr="003C5007">
              <w:rPr>
                <w:rFonts w:eastAsiaTheme="minorEastAsia"/>
                <w:color w:val="000000" w:themeColor="text1"/>
                <w:kern w:val="0"/>
                <w:szCs w:val="21"/>
              </w:rPr>
              <w:t>至</w:t>
            </w:r>
            <w:r>
              <w:rPr>
                <w:rFonts w:eastAsiaTheme="minorEastAsia" w:hint="eastAsia"/>
                <w:color w:val="000000" w:themeColor="text1"/>
                <w:szCs w:val="21"/>
              </w:rPr>
              <w:t>分级运作终止</w:t>
            </w:r>
            <w:r>
              <w:rPr>
                <w:rFonts w:eastAsiaTheme="minorEastAsia"/>
                <w:color w:val="000000" w:themeColor="text1"/>
                <w:szCs w:val="21"/>
              </w:rPr>
              <w:t>日</w:t>
            </w:r>
            <w:r w:rsidR="000D117D" w:rsidRPr="003C5007">
              <w:rPr>
                <w:rFonts w:eastAsiaTheme="minorEastAsia"/>
                <w:color w:val="000000" w:themeColor="text1"/>
                <w:kern w:val="0"/>
                <w:szCs w:val="21"/>
              </w:rPr>
              <w:t>基金总申购份额</w:t>
            </w:r>
          </w:p>
        </w:tc>
        <w:tc>
          <w:tcPr>
            <w:tcW w:w="1559" w:type="dxa"/>
            <w:tcBorders>
              <w:top w:val="single" w:sz="8" w:space="0" w:color="000000"/>
              <w:left w:val="single" w:sz="8" w:space="0" w:color="000000"/>
              <w:bottom w:val="single" w:sz="8" w:space="0" w:color="000000"/>
              <w:right w:val="single" w:sz="8" w:space="0" w:color="000000"/>
            </w:tcBorders>
            <w:vAlign w:val="center"/>
          </w:tcPr>
          <w:p w:rsidR="000D117D" w:rsidRPr="003C5007" w:rsidRDefault="000D117D" w:rsidP="003C5007">
            <w:pPr>
              <w:autoSpaceDE w:val="0"/>
              <w:autoSpaceDN w:val="0"/>
              <w:adjustRightInd w:val="0"/>
              <w:spacing w:line="360" w:lineRule="auto"/>
              <w:ind w:left="17"/>
              <w:jc w:val="right"/>
              <w:rPr>
                <w:rFonts w:eastAsiaTheme="minorEastAsia"/>
                <w:color w:val="000000" w:themeColor="text1"/>
                <w:szCs w:val="21"/>
              </w:rPr>
            </w:pPr>
            <w:r w:rsidRPr="003C5007">
              <w:rPr>
                <w:rFonts w:eastAsiaTheme="minorEastAsia"/>
                <w:color w:val="000000" w:themeColor="text1"/>
                <w:szCs w:val="21"/>
              </w:rPr>
              <w:t>657,868.94</w:t>
            </w:r>
          </w:p>
        </w:tc>
        <w:tc>
          <w:tcPr>
            <w:tcW w:w="1559" w:type="dxa"/>
            <w:tcBorders>
              <w:top w:val="single" w:sz="8" w:space="0" w:color="000000"/>
              <w:left w:val="single" w:sz="8" w:space="0" w:color="000000"/>
              <w:bottom w:val="single" w:sz="8" w:space="0" w:color="000000"/>
              <w:right w:val="single" w:sz="8" w:space="0" w:color="000000"/>
            </w:tcBorders>
            <w:vAlign w:val="center"/>
          </w:tcPr>
          <w:p w:rsidR="000D117D" w:rsidRPr="003C5007" w:rsidRDefault="000D117D" w:rsidP="003C5007">
            <w:pPr>
              <w:autoSpaceDE w:val="0"/>
              <w:autoSpaceDN w:val="0"/>
              <w:adjustRightInd w:val="0"/>
              <w:spacing w:line="360" w:lineRule="auto"/>
              <w:ind w:left="17"/>
              <w:jc w:val="right"/>
              <w:rPr>
                <w:rFonts w:eastAsiaTheme="minorEastAsia"/>
                <w:color w:val="000000" w:themeColor="text1"/>
                <w:szCs w:val="21"/>
              </w:rPr>
            </w:pPr>
            <w:r w:rsidRPr="003C5007">
              <w:rPr>
                <w:rFonts w:eastAsiaTheme="minorEastAsia"/>
                <w:color w:val="000000" w:themeColor="text1"/>
                <w:szCs w:val="21"/>
              </w:rPr>
              <w:t>-</w:t>
            </w:r>
          </w:p>
        </w:tc>
        <w:tc>
          <w:tcPr>
            <w:tcW w:w="1616" w:type="dxa"/>
            <w:tcBorders>
              <w:top w:val="single" w:sz="8" w:space="0" w:color="000000"/>
              <w:left w:val="single" w:sz="8" w:space="0" w:color="000000"/>
              <w:bottom w:val="single" w:sz="8" w:space="0" w:color="000000"/>
              <w:right w:val="single" w:sz="8" w:space="0" w:color="000000"/>
            </w:tcBorders>
            <w:vAlign w:val="center"/>
          </w:tcPr>
          <w:p w:rsidR="000D117D" w:rsidRPr="003C5007" w:rsidRDefault="000D117D" w:rsidP="003C5007">
            <w:pPr>
              <w:autoSpaceDE w:val="0"/>
              <w:autoSpaceDN w:val="0"/>
              <w:adjustRightInd w:val="0"/>
              <w:spacing w:line="360" w:lineRule="auto"/>
              <w:ind w:left="17"/>
              <w:jc w:val="right"/>
              <w:rPr>
                <w:rFonts w:eastAsiaTheme="minorEastAsia"/>
                <w:color w:val="000000" w:themeColor="text1"/>
                <w:szCs w:val="21"/>
              </w:rPr>
            </w:pPr>
            <w:r w:rsidRPr="003C5007">
              <w:rPr>
                <w:rFonts w:eastAsiaTheme="minorEastAsia"/>
                <w:color w:val="000000" w:themeColor="text1"/>
                <w:szCs w:val="21"/>
              </w:rPr>
              <w:t>-</w:t>
            </w:r>
          </w:p>
        </w:tc>
      </w:tr>
      <w:tr w:rsidR="000D117D" w:rsidRPr="003C5007" w:rsidTr="00C733F6">
        <w:tc>
          <w:tcPr>
            <w:tcW w:w="3900" w:type="dxa"/>
            <w:tcBorders>
              <w:top w:val="single" w:sz="8" w:space="0" w:color="000000"/>
              <w:left w:val="single" w:sz="8" w:space="0" w:color="000000"/>
              <w:bottom w:val="single" w:sz="8" w:space="0" w:color="000000"/>
              <w:right w:val="single" w:sz="8" w:space="0" w:color="000000"/>
            </w:tcBorders>
            <w:vAlign w:val="center"/>
          </w:tcPr>
          <w:p w:rsidR="000D117D" w:rsidRPr="003C5007" w:rsidRDefault="000D117D" w:rsidP="003C5007">
            <w:pPr>
              <w:autoSpaceDE w:val="0"/>
              <w:autoSpaceDN w:val="0"/>
              <w:adjustRightInd w:val="0"/>
              <w:spacing w:line="360" w:lineRule="auto"/>
              <w:ind w:left="17"/>
              <w:jc w:val="left"/>
              <w:rPr>
                <w:rFonts w:eastAsiaTheme="minorEastAsia"/>
                <w:color w:val="000000" w:themeColor="text1"/>
                <w:kern w:val="0"/>
                <w:szCs w:val="21"/>
              </w:rPr>
            </w:pPr>
            <w:r w:rsidRPr="003C5007">
              <w:rPr>
                <w:rFonts w:eastAsiaTheme="minorEastAsia"/>
                <w:color w:val="000000" w:themeColor="text1"/>
                <w:kern w:val="0"/>
                <w:szCs w:val="21"/>
              </w:rPr>
              <w:t>减：</w:t>
            </w:r>
            <w:r w:rsidR="00C733F6" w:rsidRPr="003C5007">
              <w:rPr>
                <w:rFonts w:eastAsiaTheme="minorEastAsia"/>
                <w:color w:val="000000" w:themeColor="text1"/>
                <w:kern w:val="0"/>
                <w:szCs w:val="21"/>
              </w:rPr>
              <w:t>本报告期期初</w:t>
            </w:r>
            <w:r w:rsidRPr="003C5007">
              <w:rPr>
                <w:rFonts w:eastAsiaTheme="minorEastAsia"/>
                <w:color w:val="000000" w:themeColor="text1"/>
                <w:kern w:val="0"/>
                <w:szCs w:val="21"/>
              </w:rPr>
              <w:t>至</w:t>
            </w:r>
            <w:r w:rsidR="00C733F6">
              <w:rPr>
                <w:rFonts w:eastAsiaTheme="minorEastAsia" w:hint="eastAsia"/>
                <w:color w:val="000000" w:themeColor="text1"/>
                <w:szCs w:val="21"/>
              </w:rPr>
              <w:t>分级运作终止</w:t>
            </w:r>
            <w:r w:rsidR="00C733F6">
              <w:rPr>
                <w:rFonts w:eastAsiaTheme="minorEastAsia"/>
                <w:color w:val="000000" w:themeColor="text1"/>
                <w:szCs w:val="21"/>
              </w:rPr>
              <w:t>日</w:t>
            </w:r>
            <w:r w:rsidRPr="003C5007">
              <w:rPr>
                <w:rFonts w:eastAsiaTheme="minorEastAsia"/>
                <w:color w:val="000000" w:themeColor="text1"/>
                <w:kern w:val="0"/>
                <w:szCs w:val="21"/>
              </w:rPr>
              <w:t>基金总赎回份额</w:t>
            </w:r>
          </w:p>
        </w:tc>
        <w:tc>
          <w:tcPr>
            <w:tcW w:w="1559" w:type="dxa"/>
            <w:tcBorders>
              <w:top w:val="single" w:sz="8" w:space="0" w:color="000000"/>
              <w:left w:val="single" w:sz="8" w:space="0" w:color="000000"/>
              <w:bottom w:val="single" w:sz="8" w:space="0" w:color="000000"/>
              <w:right w:val="single" w:sz="8" w:space="0" w:color="000000"/>
            </w:tcBorders>
            <w:vAlign w:val="center"/>
          </w:tcPr>
          <w:p w:rsidR="000D117D" w:rsidRPr="003C5007" w:rsidRDefault="000D117D" w:rsidP="003C5007">
            <w:pPr>
              <w:autoSpaceDE w:val="0"/>
              <w:autoSpaceDN w:val="0"/>
              <w:adjustRightInd w:val="0"/>
              <w:spacing w:line="360" w:lineRule="auto"/>
              <w:ind w:left="17"/>
              <w:jc w:val="right"/>
              <w:rPr>
                <w:rFonts w:eastAsiaTheme="minorEastAsia"/>
                <w:color w:val="000000" w:themeColor="text1"/>
                <w:szCs w:val="21"/>
              </w:rPr>
            </w:pPr>
            <w:r w:rsidRPr="003C5007">
              <w:rPr>
                <w:rFonts w:eastAsiaTheme="minorEastAsia"/>
                <w:color w:val="000000" w:themeColor="text1"/>
                <w:szCs w:val="21"/>
              </w:rPr>
              <w:t>43,856,031.48</w:t>
            </w:r>
          </w:p>
        </w:tc>
        <w:tc>
          <w:tcPr>
            <w:tcW w:w="1559" w:type="dxa"/>
            <w:tcBorders>
              <w:top w:val="single" w:sz="8" w:space="0" w:color="000000"/>
              <w:left w:val="single" w:sz="8" w:space="0" w:color="000000"/>
              <w:bottom w:val="single" w:sz="8" w:space="0" w:color="000000"/>
              <w:right w:val="single" w:sz="8" w:space="0" w:color="000000"/>
            </w:tcBorders>
            <w:vAlign w:val="center"/>
          </w:tcPr>
          <w:p w:rsidR="000D117D" w:rsidRPr="003C5007" w:rsidRDefault="000D117D" w:rsidP="003C5007">
            <w:pPr>
              <w:autoSpaceDE w:val="0"/>
              <w:autoSpaceDN w:val="0"/>
              <w:adjustRightInd w:val="0"/>
              <w:spacing w:line="360" w:lineRule="auto"/>
              <w:ind w:left="17"/>
              <w:jc w:val="right"/>
              <w:rPr>
                <w:rFonts w:eastAsiaTheme="minorEastAsia"/>
                <w:color w:val="000000" w:themeColor="text1"/>
                <w:szCs w:val="21"/>
              </w:rPr>
            </w:pPr>
            <w:r w:rsidRPr="003C5007">
              <w:rPr>
                <w:rFonts w:eastAsiaTheme="minorEastAsia"/>
                <w:color w:val="000000" w:themeColor="text1"/>
                <w:szCs w:val="21"/>
              </w:rPr>
              <w:t>-</w:t>
            </w:r>
          </w:p>
        </w:tc>
        <w:tc>
          <w:tcPr>
            <w:tcW w:w="1616" w:type="dxa"/>
            <w:tcBorders>
              <w:top w:val="single" w:sz="8" w:space="0" w:color="000000"/>
              <w:left w:val="single" w:sz="8" w:space="0" w:color="000000"/>
              <w:bottom w:val="single" w:sz="8" w:space="0" w:color="000000"/>
              <w:right w:val="single" w:sz="8" w:space="0" w:color="000000"/>
            </w:tcBorders>
            <w:vAlign w:val="center"/>
          </w:tcPr>
          <w:p w:rsidR="000D117D" w:rsidRPr="003C5007" w:rsidRDefault="000D117D" w:rsidP="003C5007">
            <w:pPr>
              <w:autoSpaceDE w:val="0"/>
              <w:autoSpaceDN w:val="0"/>
              <w:adjustRightInd w:val="0"/>
              <w:spacing w:line="360" w:lineRule="auto"/>
              <w:ind w:left="17"/>
              <w:jc w:val="right"/>
              <w:rPr>
                <w:rFonts w:eastAsiaTheme="minorEastAsia"/>
                <w:color w:val="000000" w:themeColor="text1"/>
                <w:szCs w:val="21"/>
              </w:rPr>
            </w:pPr>
            <w:r w:rsidRPr="003C5007">
              <w:rPr>
                <w:rFonts w:eastAsiaTheme="minorEastAsia"/>
                <w:color w:val="000000" w:themeColor="text1"/>
                <w:szCs w:val="21"/>
              </w:rPr>
              <w:t>-</w:t>
            </w:r>
          </w:p>
        </w:tc>
      </w:tr>
      <w:tr w:rsidR="000D117D" w:rsidRPr="003C5007" w:rsidTr="00C733F6">
        <w:tc>
          <w:tcPr>
            <w:tcW w:w="3900" w:type="dxa"/>
            <w:tcBorders>
              <w:top w:val="single" w:sz="8" w:space="0" w:color="000000"/>
              <w:left w:val="single" w:sz="8" w:space="0" w:color="000000"/>
              <w:bottom w:val="single" w:sz="8" w:space="0" w:color="000000"/>
              <w:right w:val="single" w:sz="8" w:space="0" w:color="000000"/>
            </w:tcBorders>
            <w:vAlign w:val="center"/>
          </w:tcPr>
          <w:p w:rsidR="000D117D" w:rsidRPr="003C5007" w:rsidRDefault="00C733F6" w:rsidP="003C5007">
            <w:pPr>
              <w:autoSpaceDE w:val="0"/>
              <w:autoSpaceDN w:val="0"/>
              <w:adjustRightInd w:val="0"/>
              <w:spacing w:line="360" w:lineRule="auto"/>
              <w:ind w:left="17"/>
              <w:jc w:val="left"/>
              <w:rPr>
                <w:rFonts w:eastAsiaTheme="minorEastAsia"/>
                <w:color w:val="000000" w:themeColor="text1"/>
                <w:kern w:val="0"/>
                <w:szCs w:val="21"/>
              </w:rPr>
            </w:pPr>
            <w:r w:rsidRPr="003C5007">
              <w:rPr>
                <w:rFonts w:eastAsiaTheme="minorEastAsia"/>
                <w:color w:val="000000" w:themeColor="text1"/>
                <w:kern w:val="0"/>
                <w:szCs w:val="21"/>
              </w:rPr>
              <w:t>本报告期期初</w:t>
            </w:r>
            <w:r w:rsidR="000D117D" w:rsidRPr="003C5007">
              <w:rPr>
                <w:rFonts w:eastAsiaTheme="minorEastAsia"/>
                <w:color w:val="000000" w:themeColor="text1"/>
                <w:kern w:val="0"/>
                <w:szCs w:val="21"/>
              </w:rPr>
              <w:t>至</w:t>
            </w:r>
            <w:r>
              <w:rPr>
                <w:rFonts w:eastAsiaTheme="minorEastAsia" w:hint="eastAsia"/>
                <w:color w:val="000000" w:themeColor="text1"/>
                <w:szCs w:val="21"/>
              </w:rPr>
              <w:t>分级运作终止</w:t>
            </w:r>
            <w:r>
              <w:rPr>
                <w:rFonts w:eastAsiaTheme="minorEastAsia"/>
                <w:color w:val="000000" w:themeColor="text1"/>
                <w:szCs w:val="21"/>
              </w:rPr>
              <w:t>日</w:t>
            </w:r>
            <w:r w:rsidR="000D117D" w:rsidRPr="003C5007">
              <w:rPr>
                <w:rFonts w:eastAsiaTheme="minorEastAsia"/>
                <w:color w:val="000000" w:themeColor="text1"/>
                <w:kern w:val="0"/>
                <w:szCs w:val="21"/>
              </w:rPr>
              <w:t>基金拆分变动份额</w:t>
            </w:r>
          </w:p>
        </w:tc>
        <w:tc>
          <w:tcPr>
            <w:tcW w:w="1559" w:type="dxa"/>
            <w:tcBorders>
              <w:top w:val="single" w:sz="8" w:space="0" w:color="000000"/>
              <w:left w:val="single" w:sz="8" w:space="0" w:color="000000"/>
              <w:bottom w:val="single" w:sz="8" w:space="0" w:color="000000"/>
              <w:right w:val="single" w:sz="8" w:space="0" w:color="000000"/>
            </w:tcBorders>
            <w:vAlign w:val="center"/>
          </w:tcPr>
          <w:p w:rsidR="000D117D" w:rsidRPr="003C5007" w:rsidRDefault="000D117D" w:rsidP="003C5007">
            <w:pPr>
              <w:autoSpaceDE w:val="0"/>
              <w:autoSpaceDN w:val="0"/>
              <w:adjustRightInd w:val="0"/>
              <w:spacing w:line="360" w:lineRule="auto"/>
              <w:ind w:left="17"/>
              <w:jc w:val="right"/>
              <w:rPr>
                <w:rFonts w:eastAsiaTheme="minorEastAsia"/>
                <w:color w:val="000000" w:themeColor="text1"/>
                <w:szCs w:val="21"/>
              </w:rPr>
            </w:pPr>
            <w:r w:rsidRPr="003C5007">
              <w:rPr>
                <w:rFonts w:eastAsiaTheme="minorEastAsia"/>
                <w:color w:val="000000" w:themeColor="text1"/>
                <w:szCs w:val="21"/>
              </w:rPr>
              <w:t>40,864,268.00</w:t>
            </w:r>
          </w:p>
        </w:tc>
        <w:tc>
          <w:tcPr>
            <w:tcW w:w="1559" w:type="dxa"/>
            <w:tcBorders>
              <w:top w:val="single" w:sz="8" w:space="0" w:color="000000"/>
              <w:left w:val="single" w:sz="8" w:space="0" w:color="000000"/>
              <w:bottom w:val="single" w:sz="8" w:space="0" w:color="000000"/>
              <w:right w:val="single" w:sz="8" w:space="0" w:color="000000"/>
            </w:tcBorders>
            <w:vAlign w:val="center"/>
          </w:tcPr>
          <w:p w:rsidR="000D117D" w:rsidRPr="003C5007" w:rsidRDefault="000D117D" w:rsidP="003C5007">
            <w:pPr>
              <w:autoSpaceDE w:val="0"/>
              <w:autoSpaceDN w:val="0"/>
              <w:adjustRightInd w:val="0"/>
              <w:spacing w:line="360" w:lineRule="auto"/>
              <w:ind w:left="17"/>
              <w:jc w:val="right"/>
              <w:rPr>
                <w:rFonts w:eastAsiaTheme="minorEastAsia"/>
                <w:color w:val="000000" w:themeColor="text1"/>
                <w:szCs w:val="21"/>
              </w:rPr>
            </w:pPr>
            <w:r w:rsidRPr="003C5007">
              <w:rPr>
                <w:rFonts w:eastAsiaTheme="minorEastAsia"/>
                <w:color w:val="000000" w:themeColor="text1"/>
                <w:szCs w:val="21"/>
              </w:rPr>
              <w:t>-20,432,134.00</w:t>
            </w:r>
          </w:p>
        </w:tc>
        <w:tc>
          <w:tcPr>
            <w:tcW w:w="1616" w:type="dxa"/>
            <w:tcBorders>
              <w:top w:val="single" w:sz="8" w:space="0" w:color="000000"/>
              <w:left w:val="single" w:sz="8" w:space="0" w:color="000000"/>
              <w:bottom w:val="single" w:sz="8" w:space="0" w:color="000000"/>
              <w:right w:val="single" w:sz="8" w:space="0" w:color="000000"/>
            </w:tcBorders>
            <w:vAlign w:val="center"/>
          </w:tcPr>
          <w:p w:rsidR="000D117D" w:rsidRPr="003C5007" w:rsidRDefault="000D117D" w:rsidP="003C5007">
            <w:pPr>
              <w:autoSpaceDE w:val="0"/>
              <w:autoSpaceDN w:val="0"/>
              <w:adjustRightInd w:val="0"/>
              <w:spacing w:line="360" w:lineRule="auto"/>
              <w:ind w:left="17"/>
              <w:jc w:val="right"/>
              <w:rPr>
                <w:rFonts w:eastAsiaTheme="minorEastAsia"/>
                <w:color w:val="000000" w:themeColor="text1"/>
                <w:szCs w:val="21"/>
              </w:rPr>
            </w:pPr>
            <w:r w:rsidRPr="003C5007">
              <w:rPr>
                <w:rFonts w:eastAsiaTheme="minorEastAsia"/>
                <w:color w:val="000000" w:themeColor="text1"/>
                <w:szCs w:val="21"/>
              </w:rPr>
              <w:t>-20,432,134.00</w:t>
            </w:r>
          </w:p>
        </w:tc>
      </w:tr>
      <w:tr w:rsidR="000D117D" w:rsidRPr="003C5007" w:rsidTr="00C733F6">
        <w:tc>
          <w:tcPr>
            <w:tcW w:w="3900" w:type="dxa"/>
            <w:tcBorders>
              <w:top w:val="single" w:sz="8" w:space="0" w:color="000000"/>
              <w:left w:val="single" w:sz="8" w:space="0" w:color="000000"/>
              <w:bottom w:val="single" w:sz="8" w:space="0" w:color="000000"/>
              <w:right w:val="single" w:sz="8" w:space="0" w:color="000000"/>
            </w:tcBorders>
            <w:vAlign w:val="center"/>
          </w:tcPr>
          <w:p w:rsidR="000D117D" w:rsidRPr="003C5007" w:rsidRDefault="00C733F6" w:rsidP="003C5007">
            <w:pPr>
              <w:autoSpaceDE w:val="0"/>
              <w:autoSpaceDN w:val="0"/>
              <w:adjustRightInd w:val="0"/>
              <w:spacing w:line="360" w:lineRule="auto"/>
              <w:ind w:left="17"/>
              <w:jc w:val="left"/>
              <w:rPr>
                <w:rFonts w:eastAsiaTheme="minorEastAsia"/>
                <w:color w:val="000000" w:themeColor="text1"/>
                <w:kern w:val="0"/>
                <w:szCs w:val="21"/>
              </w:rPr>
            </w:pPr>
            <w:r>
              <w:rPr>
                <w:rFonts w:eastAsiaTheme="minorEastAsia" w:hint="eastAsia"/>
                <w:color w:val="000000" w:themeColor="text1"/>
                <w:szCs w:val="21"/>
              </w:rPr>
              <w:t>分级运作终止</w:t>
            </w:r>
            <w:r>
              <w:rPr>
                <w:rFonts w:eastAsiaTheme="minorEastAsia"/>
                <w:color w:val="000000" w:themeColor="text1"/>
                <w:szCs w:val="21"/>
              </w:rPr>
              <w:t>日</w:t>
            </w:r>
            <w:r w:rsidR="000D117D" w:rsidRPr="003C5007">
              <w:rPr>
                <w:rFonts w:eastAsiaTheme="minorEastAsia"/>
                <w:color w:val="000000" w:themeColor="text1"/>
                <w:kern w:val="0"/>
                <w:szCs w:val="21"/>
              </w:rPr>
              <w:t>基金份额总额</w:t>
            </w:r>
          </w:p>
        </w:tc>
        <w:tc>
          <w:tcPr>
            <w:tcW w:w="1559" w:type="dxa"/>
            <w:tcBorders>
              <w:top w:val="single" w:sz="8" w:space="0" w:color="000000"/>
              <w:left w:val="single" w:sz="8" w:space="0" w:color="000000"/>
              <w:bottom w:val="single" w:sz="8" w:space="0" w:color="000000"/>
              <w:right w:val="single" w:sz="8" w:space="0" w:color="000000"/>
            </w:tcBorders>
            <w:vAlign w:val="center"/>
          </w:tcPr>
          <w:p w:rsidR="000D117D" w:rsidRPr="003C5007" w:rsidRDefault="000D117D" w:rsidP="003C5007">
            <w:pPr>
              <w:autoSpaceDE w:val="0"/>
              <w:autoSpaceDN w:val="0"/>
              <w:adjustRightInd w:val="0"/>
              <w:spacing w:line="360" w:lineRule="auto"/>
              <w:ind w:left="17"/>
              <w:jc w:val="right"/>
              <w:rPr>
                <w:rFonts w:eastAsiaTheme="minorEastAsia"/>
                <w:color w:val="000000" w:themeColor="text1"/>
                <w:szCs w:val="21"/>
              </w:rPr>
            </w:pPr>
            <w:r w:rsidRPr="003C5007">
              <w:rPr>
                <w:rFonts w:eastAsiaTheme="minorEastAsia"/>
                <w:color w:val="000000" w:themeColor="text1"/>
                <w:szCs w:val="21"/>
              </w:rPr>
              <w:t>101,058,751.61</w:t>
            </w:r>
          </w:p>
        </w:tc>
        <w:tc>
          <w:tcPr>
            <w:tcW w:w="1559" w:type="dxa"/>
            <w:tcBorders>
              <w:top w:val="single" w:sz="8" w:space="0" w:color="000000"/>
              <w:left w:val="single" w:sz="8" w:space="0" w:color="000000"/>
              <w:bottom w:val="single" w:sz="8" w:space="0" w:color="000000"/>
              <w:right w:val="single" w:sz="8" w:space="0" w:color="000000"/>
            </w:tcBorders>
            <w:vAlign w:val="center"/>
          </w:tcPr>
          <w:p w:rsidR="000D117D" w:rsidRPr="003C5007" w:rsidRDefault="000D117D" w:rsidP="003C5007">
            <w:pPr>
              <w:autoSpaceDE w:val="0"/>
              <w:autoSpaceDN w:val="0"/>
              <w:adjustRightInd w:val="0"/>
              <w:spacing w:line="360" w:lineRule="auto"/>
              <w:ind w:left="17"/>
              <w:jc w:val="right"/>
              <w:rPr>
                <w:rFonts w:eastAsiaTheme="minorEastAsia"/>
                <w:color w:val="000000" w:themeColor="text1"/>
                <w:szCs w:val="21"/>
              </w:rPr>
            </w:pPr>
            <w:r w:rsidRPr="003C5007">
              <w:rPr>
                <w:rFonts w:eastAsiaTheme="minorEastAsia"/>
                <w:color w:val="000000" w:themeColor="text1"/>
                <w:szCs w:val="21"/>
              </w:rPr>
              <w:t>111,945,818.00</w:t>
            </w:r>
          </w:p>
        </w:tc>
        <w:tc>
          <w:tcPr>
            <w:tcW w:w="1616" w:type="dxa"/>
            <w:tcBorders>
              <w:top w:val="single" w:sz="8" w:space="0" w:color="000000"/>
              <w:left w:val="single" w:sz="8" w:space="0" w:color="000000"/>
              <w:bottom w:val="single" w:sz="8" w:space="0" w:color="000000"/>
              <w:right w:val="single" w:sz="8" w:space="0" w:color="000000"/>
            </w:tcBorders>
            <w:vAlign w:val="center"/>
          </w:tcPr>
          <w:p w:rsidR="000D117D" w:rsidRPr="003C5007" w:rsidRDefault="000D117D" w:rsidP="003C5007">
            <w:pPr>
              <w:autoSpaceDE w:val="0"/>
              <w:autoSpaceDN w:val="0"/>
              <w:adjustRightInd w:val="0"/>
              <w:spacing w:line="360" w:lineRule="auto"/>
              <w:ind w:left="17"/>
              <w:jc w:val="right"/>
              <w:rPr>
                <w:rFonts w:eastAsiaTheme="minorEastAsia"/>
                <w:color w:val="000000" w:themeColor="text1"/>
                <w:szCs w:val="21"/>
              </w:rPr>
            </w:pPr>
            <w:r w:rsidRPr="003C5007">
              <w:rPr>
                <w:rFonts w:eastAsiaTheme="minorEastAsia"/>
                <w:color w:val="000000" w:themeColor="text1"/>
                <w:szCs w:val="21"/>
              </w:rPr>
              <w:t>111,945,818.00</w:t>
            </w:r>
          </w:p>
        </w:tc>
      </w:tr>
    </w:tbl>
    <w:p w:rsidR="00413689" w:rsidRPr="003C5007" w:rsidRDefault="00413689" w:rsidP="00767A35">
      <w:pPr>
        <w:pStyle w:val="1"/>
        <w:tabs>
          <w:tab w:val="center" w:pos="4156"/>
          <w:tab w:val="right" w:pos="8312"/>
        </w:tabs>
        <w:spacing w:beforeLines="100" w:before="312" w:afterLines="100" w:after="312" w:line="360" w:lineRule="auto"/>
        <w:jc w:val="center"/>
        <w:rPr>
          <w:color w:val="000000" w:themeColor="text1"/>
          <w:sz w:val="21"/>
          <w:szCs w:val="21"/>
        </w:rPr>
      </w:pPr>
      <w:r w:rsidRPr="003C5007">
        <w:rPr>
          <w:rFonts w:eastAsiaTheme="minorEastAsia"/>
          <w:color w:val="000000" w:themeColor="text1"/>
          <w:kern w:val="0"/>
          <w:sz w:val="21"/>
          <w:szCs w:val="21"/>
        </w:rPr>
        <w:t xml:space="preserve">§7  </w:t>
      </w:r>
      <w:r w:rsidRPr="003C5007">
        <w:rPr>
          <w:color w:val="000000" w:themeColor="text1"/>
          <w:sz w:val="21"/>
          <w:szCs w:val="21"/>
        </w:rPr>
        <w:t>基金管理人运用固有资金投资本基金情况</w:t>
      </w:r>
    </w:p>
    <w:p w:rsidR="00803D48" w:rsidRPr="003C5007" w:rsidRDefault="00803D48" w:rsidP="003C5007">
      <w:pPr>
        <w:autoSpaceDE w:val="0"/>
        <w:autoSpaceDN w:val="0"/>
        <w:adjustRightInd w:val="0"/>
        <w:spacing w:line="360" w:lineRule="auto"/>
        <w:ind w:left="17"/>
        <w:jc w:val="left"/>
        <w:rPr>
          <w:b/>
          <w:color w:val="000000"/>
          <w:kern w:val="0"/>
          <w:szCs w:val="21"/>
        </w:rPr>
      </w:pPr>
      <w:r w:rsidRPr="003C5007">
        <w:rPr>
          <w:b/>
          <w:color w:val="000000"/>
          <w:kern w:val="0"/>
          <w:szCs w:val="21"/>
        </w:rPr>
        <w:t xml:space="preserve">7.1 </w:t>
      </w:r>
      <w:r w:rsidRPr="003C5007">
        <w:rPr>
          <w:b/>
          <w:color w:val="000000"/>
          <w:kern w:val="0"/>
          <w:szCs w:val="21"/>
        </w:rPr>
        <w:t>申万菱信中小板指数证券投资基金</w:t>
      </w:r>
      <w:r w:rsidRPr="003C5007">
        <w:rPr>
          <w:b/>
          <w:color w:val="000000"/>
          <w:kern w:val="0"/>
          <w:szCs w:val="21"/>
        </w:rPr>
        <w:t>(LOF)</w:t>
      </w:r>
    </w:p>
    <w:p w:rsidR="00803D48" w:rsidRPr="003C5007" w:rsidRDefault="00803D48" w:rsidP="003C5007">
      <w:pPr>
        <w:spacing w:line="360" w:lineRule="auto"/>
        <w:jc w:val="left"/>
        <w:rPr>
          <w:color w:val="000000" w:themeColor="text1"/>
          <w:szCs w:val="21"/>
        </w:rPr>
      </w:pPr>
      <w:r w:rsidRPr="003C5007">
        <w:rPr>
          <w:b/>
          <w:color w:val="000000" w:themeColor="text1"/>
          <w:szCs w:val="21"/>
        </w:rPr>
        <w:t xml:space="preserve">7.1.1 </w:t>
      </w:r>
      <w:r w:rsidRPr="003C5007">
        <w:rPr>
          <w:b/>
          <w:color w:val="000000" w:themeColor="text1"/>
          <w:szCs w:val="21"/>
        </w:rPr>
        <w:t>基金管理人运用固有资金投资本基金交易明细</w:t>
      </w:r>
    </w:p>
    <w:p w:rsidR="00803D48" w:rsidRPr="003C5007" w:rsidRDefault="00803D48" w:rsidP="003C5007">
      <w:pPr>
        <w:autoSpaceDE w:val="0"/>
        <w:autoSpaceDN w:val="0"/>
        <w:adjustRightInd w:val="0"/>
        <w:spacing w:line="360" w:lineRule="auto"/>
        <w:jc w:val="left"/>
        <w:rPr>
          <w:rFonts w:eastAsiaTheme="minorEastAsia"/>
          <w:color w:val="000000" w:themeColor="text1"/>
          <w:szCs w:val="21"/>
        </w:rPr>
      </w:pPr>
      <w:r w:rsidRPr="003C5007">
        <w:rPr>
          <w:rFonts w:eastAsiaTheme="minorEastAsia"/>
          <w:color w:val="000000" w:themeColor="text1"/>
          <w:szCs w:val="21"/>
        </w:rPr>
        <w:t>本报告期内，本基金管理人未发生运用固有资金投资本基金的情况。</w:t>
      </w:r>
    </w:p>
    <w:p w:rsidR="000824B7" w:rsidRPr="003C5007" w:rsidRDefault="00DF411A" w:rsidP="00767A35">
      <w:pPr>
        <w:autoSpaceDE w:val="0"/>
        <w:autoSpaceDN w:val="0"/>
        <w:adjustRightInd w:val="0"/>
        <w:spacing w:beforeLines="50" w:before="156" w:afterLines="50" w:after="156" w:line="360" w:lineRule="auto"/>
        <w:ind w:left="17"/>
        <w:jc w:val="left"/>
        <w:rPr>
          <w:b/>
          <w:color w:val="000000"/>
          <w:kern w:val="0"/>
          <w:szCs w:val="21"/>
        </w:rPr>
      </w:pPr>
      <w:r w:rsidRPr="003C5007">
        <w:rPr>
          <w:b/>
          <w:color w:val="000000"/>
          <w:kern w:val="0"/>
          <w:szCs w:val="21"/>
        </w:rPr>
        <w:t xml:space="preserve">7.2 </w:t>
      </w:r>
      <w:r w:rsidR="000824B7" w:rsidRPr="003C5007">
        <w:rPr>
          <w:b/>
          <w:color w:val="000000"/>
          <w:kern w:val="0"/>
          <w:szCs w:val="21"/>
        </w:rPr>
        <w:t>申万菱信中小板指数分级证券投资基金</w:t>
      </w:r>
    </w:p>
    <w:p w:rsidR="00DF411A" w:rsidRPr="003C5007" w:rsidRDefault="00DF411A" w:rsidP="003C5007">
      <w:pPr>
        <w:spacing w:line="360" w:lineRule="auto"/>
        <w:jc w:val="left"/>
        <w:rPr>
          <w:color w:val="000000" w:themeColor="text1"/>
          <w:szCs w:val="21"/>
        </w:rPr>
      </w:pPr>
      <w:r w:rsidRPr="003C5007">
        <w:rPr>
          <w:b/>
          <w:color w:val="000000" w:themeColor="text1"/>
          <w:szCs w:val="21"/>
        </w:rPr>
        <w:t xml:space="preserve">7.2.1 </w:t>
      </w:r>
      <w:r w:rsidRPr="003C5007">
        <w:rPr>
          <w:b/>
          <w:color w:val="000000" w:themeColor="text1"/>
          <w:szCs w:val="21"/>
        </w:rPr>
        <w:t>基金管理人运用固有资金投资本基金交易明细</w:t>
      </w:r>
    </w:p>
    <w:p w:rsidR="00DF411A" w:rsidRPr="003C5007" w:rsidRDefault="00DF411A" w:rsidP="003C5007">
      <w:pPr>
        <w:autoSpaceDE w:val="0"/>
        <w:autoSpaceDN w:val="0"/>
        <w:adjustRightInd w:val="0"/>
        <w:spacing w:line="360" w:lineRule="auto"/>
        <w:jc w:val="left"/>
        <w:rPr>
          <w:rFonts w:eastAsiaTheme="minorEastAsia"/>
          <w:color w:val="000000" w:themeColor="text1"/>
          <w:szCs w:val="21"/>
        </w:rPr>
      </w:pPr>
      <w:r w:rsidRPr="003C5007">
        <w:rPr>
          <w:rFonts w:eastAsiaTheme="minorEastAsia"/>
          <w:color w:val="000000" w:themeColor="text1"/>
          <w:szCs w:val="21"/>
        </w:rPr>
        <w:t>本报告期内，本基金管理人未发生运用固有资金投资本基金的情况。</w:t>
      </w:r>
    </w:p>
    <w:p w:rsidR="003A4060" w:rsidRPr="003C5007" w:rsidRDefault="003A4060" w:rsidP="00767A35">
      <w:pPr>
        <w:pStyle w:val="1"/>
        <w:spacing w:beforeLines="100" w:before="312" w:afterLines="100" w:after="312" w:line="360" w:lineRule="auto"/>
        <w:jc w:val="center"/>
        <w:rPr>
          <w:rFonts w:eastAsiaTheme="minorEastAsia"/>
          <w:color w:val="000000" w:themeColor="text1"/>
          <w:kern w:val="0"/>
          <w:sz w:val="21"/>
          <w:szCs w:val="21"/>
        </w:rPr>
      </w:pPr>
      <w:r w:rsidRPr="003C5007">
        <w:rPr>
          <w:rFonts w:eastAsiaTheme="minorEastAsia"/>
          <w:color w:val="000000" w:themeColor="text1"/>
          <w:kern w:val="0"/>
          <w:sz w:val="21"/>
          <w:szCs w:val="21"/>
        </w:rPr>
        <w:t>§8</w:t>
      </w:r>
      <w:r w:rsidRPr="003C5007">
        <w:rPr>
          <w:rFonts w:eastAsiaTheme="minorEastAsia"/>
          <w:color w:val="000000" w:themeColor="text1"/>
          <w:kern w:val="0"/>
          <w:sz w:val="21"/>
          <w:szCs w:val="21"/>
        </w:rPr>
        <w:t>影响投资者决策的其他重要信息</w:t>
      </w:r>
    </w:p>
    <w:p w:rsidR="00E44EC3" w:rsidRPr="003C5007" w:rsidRDefault="00E44EC3" w:rsidP="003C5007">
      <w:pPr>
        <w:autoSpaceDE w:val="0"/>
        <w:autoSpaceDN w:val="0"/>
        <w:adjustRightInd w:val="0"/>
        <w:spacing w:line="360" w:lineRule="auto"/>
        <w:jc w:val="left"/>
        <w:rPr>
          <w:rFonts w:eastAsiaTheme="minorEastAsia"/>
          <w:b/>
          <w:bCs/>
          <w:color w:val="000000" w:themeColor="text1"/>
          <w:kern w:val="0"/>
          <w:szCs w:val="21"/>
        </w:rPr>
      </w:pPr>
      <w:r w:rsidRPr="003C5007">
        <w:rPr>
          <w:b/>
          <w:color w:val="000000"/>
          <w:kern w:val="0"/>
          <w:szCs w:val="21"/>
        </w:rPr>
        <w:t>8.1</w:t>
      </w:r>
      <w:r w:rsidRPr="003C5007">
        <w:rPr>
          <w:b/>
          <w:color w:val="000000"/>
          <w:kern w:val="0"/>
          <w:szCs w:val="21"/>
        </w:rPr>
        <w:t>申万菱信中小板指数证券投资基金</w:t>
      </w:r>
      <w:r w:rsidRPr="003C5007">
        <w:rPr>
          <w:b/>
          <w:color w:val="000000"/>
          <w:kern w:val="0"/>
          <w:szCs w:val="21"/>
        </w:rPr>
        <w:t>(LOF)</w:t>
      </w:r>
    </w:p>
    <w:p w:rsidR="00E44EC3" w:rsidRPr="003C5007" w:rsidRDefault="00E44EC3" w:rsidP="003C5007">
      <w:pPr>
        <w:autoSpaceDE w:val="0"/>
        <w:autoSpaceDN w:val="0"/>
        <w:adjustRightInd w:val="0"/>
        <w:spacing w:line="360" w:lineRule="auto"/>
        <w:jc w:val="left"/>
        <w:rPr>
          <w:b/>
          <w:bCs/>
          <w:color w:val="000000" w:themeColor="text1"/>
          <w:kern w:val="0"/>
          <w:szCs w:val="21"/>
        </w:rPr>
      </w:pPr>
      <w:r w:rsidRPr="003C5007">
        <w:rPr>
          <w:b/>
          <w:color w:val="000000"/>
          <w:kern w:val="0"/>
          <w:szCs w:val="21"/>
        </w:rPr>
        <w:t>8.1.1</w:t>
      </w:r>
      <w:r w:rsidRPr="003C5007">
        <w:rPr>
          <w:rFonts w:eastAsiaTheme="minorEastAsia"/>
          <w:b/>
          <w:bCs/>
          <w:color w:val="000000" w:themeColor="text1"/>
          <w:kern w:val="0"/>
          <w:szCs w:val="21"/>
        </w:rPr>
        <w:t>报告期内单一投资者持有基金份额比例达到或超过</w:t>
      </w:r>
      <w:r w:rsidRPr="003C5007">
        <w:rPr>
          <w:rFonts w:eastAsiaTheme="minorEastAsia"/>
          <w:b/>
          <w:bCs/>
          <w:color w:val="000000" w:themeColor="text1"/>
          <w:kern w:val="0"/>
          <w:szCs w:val="21"/>
        </w:rPr>
        <w:t>20%</w:t>
      </w:r>
      <w:r w:rsidRPr="003C5007">
        <w:rPr>
          <w:rFonts w:eastAsiaTheme="minorEastAsia"/>
          <w:b/>
          <w:bCs/>
          <w:color w:val="000000" w:themeColor="text1"/>
          <w:kern w:val="0"/>
          <w:szCs w:val="21"/>
        </w:rPr>
        <w:t>的情况</w:t>
      </w:r>
    </w:p>
    <w:tbl>
      <w:tblPr>
        <w:tblStyle w:val="af7"/>
        <w:tblW w:w="10773" w:type="dxa"/>
        <w:jc w:val="center"/>
        <w:tblInd w:w="-176" w:type="dxa"/>
        <w:tblLayout w:type="fixed"/>
        <w:tblLook w:val="04A0" w:firstRow="1" w:lastRow="0" w:firstColumn="1" w:lastColumn="0" w:noHBand="0" w:noVBand="1"/>
      </w:tblPr>
      <w:tblGrid>
        <w:gridCol w:w="664"/>
        <w:gridCol w:w="567"/>
        <w:gridCol w:w="2410"/>
        <w:gridCol w:w="1276"/>
        <w:gridCol w:w="1417"/>
        <w:gridCol w:w="1459"/>
        <w:gridCol w:w="1659"/>
        <w:gridCol w:w="1321"/>
      </w:tblGrid>
      <w:tr w:rsidR="00E44EC3" w:rsidRPr="003C5007" w:rsidTr="00C733F6">
        <w:trPr>
          <w:jc w:val="center"/>
        </w:trPr>
        <w:tc>
          <w:tcPr>
            <w:tcW w:w="664" w:type="dxa"/>
            <w:vMerge w:val="restart"/>
            <w:tcBorders>
              <w:top w:val="single" w:sz="4" w:space="0" w:color="auto"/>
              <w:left w:val="single" w:sz="4" w:space="0" w:color="auto"/>
              <w:bottom w:val="single" w:sz="4" w:space="0" w:color="auto"/>
              <w:right w:val="single" w:sz="4" w:space="0" w:color="auto"/>
            </w:tcBorders>
            <w:vAlign w:val="center"/>
            <w:hideMark/>
          </w:tcPr>
          <w:p w:rsidR="00E44EC3" w:rsidRPr="003C5007" w:rsidRDefault="00E44EC3" w:rsidP="003C5007">
            <w:pPr>
              <w:autoSpaceDE w:val="0"/>
              <w:autoSpaceDN w:val="0"/>
              <w:adjustRightInd w:val="0"/>
              <w:spacing w:line="360" w:lineRule="auto"/>
              <w:jc w:val="center"/>
              <w:rPr>
                <w:b/>
                <w:bCs/>
                <w:color w:val="000000" w:themeColor="text1"/>
                <w:szCs w:val="21"/>
              </w:rPr>
            </w:pPr>
            <w:r w:rsidRPr="003C5007">
              <w:rPr>
                <w:color w:val="000000"/>
                <w:szCs w:val="21"/>
              </w:rPr>
              <w:t>投资者类别</w:t>
            </w:r>
            <w:r w:rsidRPr="003C5007">
              <w:rPr>
                <w:color w:val="000000" w:themeColor="text1"/>
                <w:szCs w:val="21"/>
              </w:rPr>
              <w:t xml:space="preserve">  </w:t>
            </w:r>
          </w:p>
        </w:tc>
        <w:tc>
          <w:tcPr>
            <w:tcW w:w="7129" w:type="dxa"/>
            <w:gridSpan w:val="5"/>
            <w:tcBorders>
              <w:top w:val="single" w:sz="4" w:space="0" w:color="auto"/>
              <w:left w:val="single" w:sz="4" w:space="0" w:color="auto"/>
              <w:bottom w:val="single" w:sz="4" w:space="0" w:color="auto"/>
              <w:right w:val="single" w:sz="4" w:space="0" w:color="auto"/>
            </w:tcBorders>
            <w:vAlign w:val="center"/>
            <w:hideMark/>
          </w:tcPr>
          <w:p w:rsidR="00E44EC3" w:rsidRPr="003C5007" w:rsidRDefault="00E44EC3" w:rsidP="003C5007">
            <w:pPr>
              <w:autoSpaceDE w:val="0"/>
              <w:autoSpaceDN w:val="0"/>
              <w:adjustRightInd w:val="0"/>
              <w:spacing w:line="360" w:lineRule="auto"/>
              <w:jc w:val="center"/>
              <w:rPr>
                <w:b/>
                <w:bCs/>
                <w:color w:val="000000" w:themeColor="text1"/>
                <w:szCs w:val="21"/>
              </w:rPr>
            </w:pPr>
            <w:r w:rsidRPr="003C5007">
              <w:rPr>
                <w:color w:val="000000"/>
                <w:szCs w:val="21"/>
              </w:rPr>
              <w:t>报告期内持有基金份额变化情况</w:t>
            </w:r>
          </w:p>
        </w:tc>
        <w:tc>
          <w:tcPr>
            <w:tcW w:w="2980" w:type="dxa"/>
            <w:gridSpan w:val="2"/>
            <w:tcBorders>
              <w:top w:val="single" w:sz="4" w:space="0" w:color="auto"/>
              <w:left w:val="single" w:sz="4" w:space="0" w:color="auto"/>
              <w:bottom w:val="single" w:sz="4" w:space="0" w:color="auto"/>
              <w:right w:val="single" w:sz="4" w:space="0" w:color="auto"/>
            </w:tcBorders>
            <w:vAlign w:val="center"/>
            <w:hideMark/>
          </w:tcPr>
          <w:p w:rsidR="00E44EC3" w:rsidRPr="003C5007" w:rsidRDefault="00E44EC3" w:rsidP="003C5007">
            <w:pPr>
              <w:autoSpaceDE w:val="0"/>
              <w:autoSpaceDN w:val="0"/>
              <w:adjustRightInd w:val="0"/>
              <w:spacing w:line="360" w:lineRule="auto"/>
              <w:jc w:val="center"/>
              <w:rPr>
                <w:b/>
                <w:bCs/>
                <w:color w:val="000000" w:themeColor="text1"/>
                <w:szCs w:val="21"/>
              </w:rPr>
            </w:pPr>
            <w:r w:rsidRPr="003C5007">
              <w:rPr>
                <w:color w:val="000000"/>
                <w:szCs w:val="21"/>
              </w:rPr>
              <w:t>报告期末持有基金情况</w:t>
            </w:r>
          </w:p>
        </w:tc>
      </w:tr>
      <w:tr w:rsidR="00E44EC3" w:rsidRPr="003C5007" w:rsidTr="00C733F6">
        <w:trPr>
          <w:jc w:val="center"/>
        </w:trPr>
        <w:tc>
          <w:tcPr>
            <w:tcW w:w="664" w:type="dxa"/>
            <w:vMerge/>
            <w:tcBorders>
              <w:top w:val="single" w:sz="4" w:space="0" w:color="auto"/>
              <w:left w:val="single" w:sz="4" w:space="0" w:color="auto"/>
              <w:bottom w:val="single" w:sz="4" w:space="0" w:color="auto"/>
              <w:right w:val="single" w:sz="4" w:space="0" w:color="auto"/>
            </w:tcBorders>
            <w:vAlign w:val="center"/>
            <w:hideMark/>
          </w:tcPr>
          <w:p w:rsidR="00E44EC3" w:rsidRPr="003C5007" w:rsidRDefault="00E44EC3" w:rsidP="003C5007">
            <w:pPr>
              <w:widowControl/>
              <w:spacing w:line="360" w:lineRule="auto"/>
              <w:jc w:val="left"/>
              <w:rPr>
                <w:b/>
                <w:bCs/>
                <w:color w:val="000000" w:themeColor="text1"/>
                <w:szCs w:val="21"/>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E44EC3" w:rsidRPr="003C5007" w:rsidRDefault="00E44EC3" w:rsidP="00C733F6">
            <w:pPr>
              <w:autoSpaceDE w:val="0"/>
              <w:autoSpaceDN w:val="0"/>
              <w:adjustRightInd w:val="0"/>
              <w:spacing w:line="360" w:lineRule="auto"/>
              <w:ind w:leftChars="-51" w:left="-107" w:rightChars="-51" w:right="-107"/>
              <w:jc w:val="center"/>
              <w:rPr>
                <w:b/>
                <w:bCs/>
                <w:color w:val="000000" w:themeColor="text1"/>
                <w:szCs w:val="21"/>
              </w:rPr>
            </w:pPr>
            <w:r w:rsidRPr="003C5007">
              <w:rPr>
                <w:color w:val="000000"/>
                <w:szCs w:val="21"/>
              </w:rPr>
              <w:t>序号</w:t>
            </w:r>
          </w:p>
        </w:tc>
        <w:tc>
          <w:tcPr>
            <w:tcW w:w="2410" w:type="dxa"/>
            <w:tcBorders>
              <w:top w:val="single" w:sz="4" w:space="0" w:color="auto"/>
              <w:left w:val="single" w:sz="4" w:space="0" w:color="auto"/>
              <w:bottom w:val="single" w:sz="4" w:space="0" w:color="auto"/>
              <w:right w:val="single" w:sz="4" w:space="0" w:color="auto"/>
            </w:tcBorders>
            <w:vAlign w:val="center"/>
            <w:hideMark/>
          </w:tcPr>
          <w:p w:rsidR="00E44EC3" w:rsidRPr="003C5007" w:rsidRDefault="00E44EC3" w:rsidP="00C733F6">
            <w:pPr>
              <w:autoSpaceDE w:val="0"/>
              <w:autoSpaceDN w:val="0"/>
              <w:adjustRightInd w:val="0"/>
              <w:spacing w:line="360" w:lineRule="auto"/>
              <w:ind w:leftChars="-51" w:left="-107" w:rightChars="-51" w:right="-107"/>
              <w:jc w:val="center"/>
              <w:rPr>
                <w:b/>
                <w:bCs/>
                <w:color w:val="000000" w:themeColor="text1"/>
                <w:szCs w:val="21"/>
              </w:rPr>
            </w:pPr>
            <w:r w:rsidRPr="003C5007">
              <w:rPr>
                <w:color w:val="000000"/>
                <w:szCs w:val="21"/>
              </w:rPr>
              <w:t>持有基金份额比例达到或者超过</w:t>
            </w:r>
            <w:r w:rsidRPr="003C5007">
              <w:rPr>
                <w:color w:val="000000"/>
                <w:szCs w:val="21"/>
              </w:rPr>
              <w:t>20%</w:t>
            </w:r>
            <w:r w:rsidRPr="003C5007">
              <w:rPr>
                <w:color w:val="000000"/>
                <w:szCs w:val="21"/>
              </w:rPr>
              <w:t>的时间区间</w:t>
            </w:r>
          </w:p>
        </w:tc>
        <w:tc>
          <w:tcPr>
            <w:tcW w:w="1276" w:type="dxa"/>
            <w:tcBorders>
              <w:top w:val="single" w:sz="4" w:space="0" w:color="auto"/>
              <w:left w:val="single" w:sz="4" w:space="0" w:color="auto"/>
              <w:bottom w:val="single" w:sz="4" w:space="0" w:color="auto"/>
              <w:right w:val="single" w:sz="4" w:space="0" w:color="auto"/>
            </w:tcBorders>
            <w:vAlign w:val="center"/>
            <w:hideMark/>
          </w:tcPr>
          <w:p w:rsidR="00E44EC3" w:rsidRPr="003C5007" w:rsidRDefault="00E44EC3" w:rsidP="00C733F6">
            <w:pPr>
              <w:widowControl/>
              <w:spacing w:line="360" w:lineRule="auto"/>
              <w:ind w:leftChars="-51" w:left="-107" w:rightChars="-51" w:right="-107"/>
              <w:jc w:val="center"/>
              <w:rPr>
                <w:b/>
                <w:bCs/>
                <w:color w:val="000000" w:themeColor="text1"/>
                <w:szCs w:val="21"/>
              </w:rPr>
            </w:pPr>
            <w:r w:rsidRPr="003C5007">
              <w:rPr>
                <w:color w:val="000000"/>
                <w:szCs w:val="21"/>
              </w:rPr>
              <w:t>期初份额</w:t>
            </w:r>
          </w:p>
        </w:tc>
        <w:tc>
          <w:tcPr>
            <w:tcW w:w="1417" w:type="dxa"/>
            <w:tcBorders>
              <w:top w:val="single" w:sz="4" w:space="0" w:color="auto"/>
              <w:left w:val="single" w:sz="4" w:space="0" w:color="auto"/>
              <w:bottom w:val="single" w:sz="4" w:space="0" w:color="auto"/>
              <w:right w:val="single" w:sz="4" w:space="0" w:color="auto"/>
            </w:tcBorders>
            <w:vAlign w:val="center"/>
            <w:hideMark/>
          </w:tcPr>
          <w:p w:rsidR="00E44EC3" w:rsidRPr="003C5007" w:rsidRDefault="00E44EC3" w:rsidP="003C5007">
            <w:pPr>
              <w:widowControl/>
              <w:spacing w:line="360" w:lineRule="auto"/>
              <w:jc w:val="center"/>
              <w:rPr>
                <w:b/>
                <w:bCs/>
                <w:color w:val="000000" w:themeColor="text1"/>
                <w:szCs w:val="21"/>
              </w:rPr>
            </w:pPr>
            <w:r w:rsidRPr="003C5007">
              <w:rPr>
                <w:color w:val="000000"/>
                <w:szCs w:val="21"/>
              </w:rPr>
              <w:t>申购份额</w:t>
            </w:r>
          </w:p>
        </w:tc>
        <w:tc>
          <w:tcPr>
            <w:tcW w:w="1459" w:type="dxa"/>
            <w:tcBorders>
              <w:top w:val="single" w:sz="4" w:space="0" w:color="auto"/>
              <w:left w:val="single" w:sz="4" w:space="0" w:color="auto"/>
              <w:bottom w:val="single" w:sz="4" w:space="0" w:color="auto"/>
              <w:right w:val="single" w:sz="4" w:space="0" w:color="auto"/>
            </w:tcBorders>
            <w:vAlign w:val="center"/>
            <w:hideMark/>
          </w:tcPr>
          <w:p w:rsidR="00E44EC3" w:rsidRPr="003C5007" w:rsidRDefault="00E44EC3" w:rsidP="003C5007">
            <w:pPr>
              <w:widowControl/>
              <w:spacing w:line="360" w:lineRule="auto"/>
              <w:jc w:val="center"/>
              <w:rPr>
                <w:b/>
                <w:bCs/>
                <w:color w:val="000000" w:themeColor="text1"/>
                <w:szCs w:val="21"/>
              </w:rPr>
            </w:pPr>
            <w:r w:rsidRPr="003C5007">
              <w:rPr>
                <w:color w:val="000000"/>
                <w:szCs w:val="21"/>
              </w:rPr>
              <w:t>赎回份额</w:t>
            </w:r>
          </w:p>
        </w:tc>
        <w:tc>
          <w:tcPr>
            <w:tcW w:w="1659" w:type="dxa"/>
            <w:tcBorders>
              <w:top w:val="single" w:sz="4" w:space="0" w:color="auto"/>
              <w:left w:val="single" w:sz="4" w:space="0" w:color="auto"/>
              <w:bottom w:val="single" w:sz="4" w:space="0" w:color="auto"/>
              <w:right w:val="single" w:sz="4" w:space="0" w:color="auto"/>
            </w:tcBorders>
            <w:vAlign w:val="center"/>
            <w:hideMark/>
          </w:tcPr>
          <w:p w:rsidR="00E44EC3" w:rsidRPr="003C5007" w:rsidRDefault="00E44EC3" w:rsidP="003C5007">
            <w:pPr>
              <w:autoSpaceDE w:val="0"/>
              <w:autoSpaceDN w:val="0"/>
              <w:adjustRightInd w:val="0"/>
              <w:spacing w:line="360" w:lineRule="auto"/>
              <w:jc w:val="center"/>
              <w:rPr>
                <w:b/>
                <w:bCs/>
                <w:color w:val="000000" w:themeColor="text1"/>
                <w:szCs w:val="21"/>
              </w:rPr>
            </w:pPr>
            <w:r w:rsidRPr="003C5007">
              <w:rPr>
                <w:color w:val="000000"/>
                <w:szCs w:val="21"/>
              </w:rPr>
              <w:t>持有份额</w:t>
            </w:r>
          </w:p>
        </w:tc>
        <w:tc>
          <w:tcPr>
            <w:tcW w:w="1321" w:type="dxa"/>
            <w:tcBorders>
              <w:top w:val="single" w:sz="4" w:space="0" w:color="auto"/>
              <w:left w:val="single" w:sz="4" w:space="0" w:color="auto"/>
              <w:bottom w:val="single" w:sz="4" w:space="0" w:color="auto"/>
              <w:right w:val="single" w:sz="4" w:space="0" w:color="auto"/>
            </w:tcBorders>
            <w:vAlign w:val="center"/>
            <w:hideMark/>
          </w:tcPr>
          <w:p w:rsidR="00E44EC3" w:rsidRPr="003C5007" w:rsidRDefault="00E44EC3" w:rsidP="003C5007">
            <w:pPr>
              <w:autoSpaceDE w:val="0"/>
              <w:autoSpaceDN w:val="0"/>
              <w:adjustRightInd w:val="0"/>
              <w:spacing w:line="360" w:lineRule="auto"/>
              <w:jc w:val="center"/>
              <w:rPr>
                <w:b/>
                <w:bCs/>
                <w:color w:val="000000" w:themeColor="text1"/>
                <w:szCs w:val="21"/>
              </w:rPr>
            </w:pPr>
            <w:r w:rsidRPr="003C5007">
              <w:rPr>
                <w:color w:val="000000"/>
                <w:szCs w:val="21"/>
              </w:rPr>
              <w:t>份额占比</w:t>
            </w:r>
          </w:p>
        </w:tc>
      </w:tr>
      <w:tr w:rsidR="008E3BA0" w:rsidTr="00C733F6">
        <w:trPr>
          <w:jc w:val="center"/>
        </w:trPr>
        <w:tc>
          <w:tcPr>
            <w:tcW w:w="664" w:type="dxa"/>
          </w:tcPr>
          <w:p w:rsidR="008E3BA0" w:rsidRDefault="008E5013">
            <w:r>
              <w:rPr>
                <w:bCs/>
                <w:color w:val="000000" w:themeColor="text1"/>
                <w:szCs w:val="21"/>
              </w:rPr>
              <w:t>机构</w:t>
            </w:r>
          </w:p>
        </w:tc>
        <w:tc>
          <w:tcPr>
            <w:tcW w:w="567" w:type="dxa"/>
            <w:vAlign w:val="center"/>
          </w:tcPr>
          <w:p w:rsidR="008E3BA0" w:rsidRDefault="008E5013">
            <w:pPr>
              <w:jc w:val="center"/>
            </w:pPr>
            <w:r>
              <w:rPr>
                <w:color w:val="000000"/>
                <w:szCs w:val="21"/>
              </w:rPr>
              <w:t>1</w:t>
            </w:r>
          </w:p>
        </w:tc>
        <w:tc>
          <w:tcPr>
            <w:tcW w:w="2410" w:type="dxa"/>
            <w:vAlign w:val="center"/>
          </w:tcPr>
          <w:p w:rsidR="008E3BA0" w:rsidRDefault="008E5013">
            <w:pPr>
              <w:jc w:val="center"/>
            </w:pPr>
            <w:r>
              <w:rPr>
                <w:color w:val="000000"/>
                <w:szCs w:val="21"/>
              </w:rPr>
              <w:t>20170606-20170611</w:t>
            </w:r>
          </w:p>
        </w:tc>
        <w:tc>
          <w:tcPr>
            <w:tcW w:w="1276" w:type="dxa"/>
            <w:vAlign w:val="center"/>
          </w:tcPr>
          <w:p w:rsidR="008E3BA0" w:rsidRDefault="008E5013" w:rsidP="00C733F6">
            <w:pPr>
              <w:ind w:leftChars="-51" w:left="-107" w:rightChars="-51" w:right="-107"/>
              <w:jc w:val="center"/>
            </w:pPr>
            <w:r>
              <w:rPr>
                <w:color w:val="000000"/>
                <w:szCs w:val="21"/>
              </w:rPr>
              <w:t>50,478,855.00</w:t>
            </w:r>
          </w:p>
        </w:tc>
        <w:tc>
          <w:tcPr>
            <w:tcW w:w="1417" w:type="dxa"/>
            <w:vAlign w:val="center"/>
          </w:tcPr>
          <w:p w:rsidR="008E3BA0" w:rsidRDefault="008E5013">
            <w:pPr>
              <w:jc w:val="center"/>
            </w:pPr>
            <w:r>
              <w:rPr>
                <w:color w:val="000000"/>
                <w:szCs w:val="21"/>
              </w:rPr>
              <w:t>3,962,774.00</w:t>
            </w:r>
          </w:p>
        </w:tc>
        <w:tc>
          <w:tcPr>
            <w:tcW w:w="1459" w:type="dxa"/>
            <w:vAlign w:val="center"/>
          </w:tcPr>
          <w:p w:rsidR="008E3BA0" w:rsidRDefault="008E5013">
            <w:pPr>
              <w:jc w:val="center"/>
            </w:pPr>
            <w:r>
              <w:rPr>
                <w:color w:val="000000"/>
                <w:szCs w:val="21"/>
              </w:rPr>
              <w:t>54,441,629.00</w:t>
            </w:r>
          </w:p>
        </w:tc>
        <w:tc>
          <w:tcPr>
            <w:tcW w:w="1659" w:type="dxa"/>
            <w:vAlign w:val="center"/>
          </w:tcPr>
          <w:p w:rsidR="008E3BA0" w:rsidRDefault="008E5013">
            <w:pPr>
              <w:jc w:val="center"/>
            </w:pPr>
            <w:r>
              <w:rPr>
                <w:color w:val="000000"/>
                <w:szCs w:val="21"/>
              </w:rPr>
              <w:t>0.00</w:t>
            </w:r>
          </w:p>
        </w:tc>
        <w:tc>
          <w:tcPr>
            <w:tcW w:w="1321" w:type="dxa"/>
            <w:vAlign w:val="center"/>
          </w:tcPr>
          <w:p w:rsidR="008E3BA0" w:rsidRDefault="008E5013">
            <w:pPr>
              <w:jc w:val="center"/>
            </w:pPr>
            <w:r>
              <w:rPr>
                <w:color w:val="000000"/>
                <w:szCs w:val="21"/>
              </w:rPr>
              <w:t>0.00%</w:t>
            </w:r>
          </w:p>
        </w:tc>
      </w:tr>
      <w:tr w:rsidR="00E44EC3" w:rsidRPr="003C5007" w:rsidTr="00C733F6">
        <w:trPr>
          <w:jc w:val="center"/>
        </w:trPr>
        <w:tc>
          <w:tcPr>
            <w:tcW w:w="10773" w:type="dxa"/>
            <w:gridSpan w:val="8"/>
            <w:tcBorders>
              <w:top w:val="single" w:sz="4" w:space="0" w:color="auto"/>
              <w:left w:val="single" w:sz="4" w:space="0" w:color="auto"/>
              <w:bottom w:val="single" w:sz="4" w:space="0" w:color="auto"/>
              <w:right w:val="single" w:sz="4" w:space="0" w:color="auto"/>
            </w:tcBorders>
            <w:vAlign w:val="center"/>
            <w:hideMark/>
          </w:tcPr>
          <w:p w:rsidR="00E44EC3" w:rsidRPr="003C5007" w:rsidRDefault="00E44EC3" w:rsidP="003C5007">
            <w:pPr>
              <w:autoSpaceDE w:val="0"/>
              <w:autoSpaceDN w:val="0"/>
              <w:adjustRightInd w:val="0"/>
              <w:spacing w:line="360" w:lineRule="auto"/>
              <w:jc w:val="center"/>
              <w:rPr>
                <w:szCs w:val="21"/>
              </w:rPr>
            </w:pPr>
            <w:r w:rsidRPr="003C5007">
              <w:rPr>
                <w:color w:val="000000"/>
                <w:szCs w:val="21"/>
              </w:rPr>
              <w:t>产品特有风险</w:t>
            </w:r>
          </w:p>
        </w:tc>
      </w:tr>
      <w:tr w:rsidR="00E44EC3" w:rsidRPr="003C5007" w:rsidTr="00C733F6">
        <w:trPr>
          <w:jc w:val="center"/>
        </w:trPr>
        <w:tc>
          <w:tcPr>
            <w:tcW w:w="10773" w:type="dxa"/>
            <w:gridSpan w:val="8"/>
            <w:tcBorders>
              <w:top w:val="single" w:sz="4" w:space="0" w:color="auto"/>
              <w:left w:val="single" w:sz="4" w:space="0" w:color="auto"/>
              <w:bottom w:val="single" w:sz="4" w:space="0" w:color="auto"/>
              <w:right w:val="single" w:sz="4" w:space="0" w:color="auto"/>
            </w:tcBorders>
            <w:vAlign w:val="center"/>
            <w:hideMark/>
          </w:tcPr>
          <w:p w:rsidR="00E44EC3" w:rsidRPr="003C5007" w:rsidRDefault="00E44EC3" w:rsidP="003C5007">
            <w:pPr>
              <w:autoSpaceDE w:val="0"/>
              <w:autoSpaceDN w:val="0"/>
              <w:adjustRightInd w:val="0"/>
              <w:spacing w:line="360" w:lineRule="auto"/>
              <w:jc w:val="left"/>
              <w:rPr>
                <w:szCs w:val="21"/>
              </w:rPr>
            </w:pPr>
            <w:r w:rsidRPr="003C5007">
              <w:rPr>
                <w:szCs w:val="21"/>
              </w:rPr>
              <w:t>本报告期，本基金转型后（</w:t>
            </w:r>
            <w:r w:rsidRPr="003C5007">
              <w:rPr>
                <w:szCs w:val="21"/>
              </w:rPr>
              <w:t>2017</w:t>
            </w:r>
            <w:r w:rsidRPr="003C5007">
              <w:rPr>
                <w:szCs w:val="21"/>
              </w:rPr>
              <w:t>年</w:t>
            </w:r>
            <w:r w:rsidRPr="003C5007">
              <w:rPr>
                <w:szCs w:val="21"/>
              </w:rPr>
              <w:t>5</w:t>
            </w:r>
            <w:r w:rsidRPr="003C5007">
              <w:rPr>
                <w:szCs w:val="21"/>
              </w:rPr>
              <w:t>月</w:t>
            </w:r>
            <w:r w:rsidRPr="003C5007">
              <w:rPr>
                <w:szCs w:val="21"/>
              </w:rPr>
              <w:t>9</w:t>
            </w:r>
            <w:r w:rsidRPr="003C5007">
              <w:rPr>
                <w:szCs w:val="21"/>
              </w:rPr>
              <w:t>日至</w:t>
            </w:r>
            <w:r w:rsidRPr="003C5007">
              <w:rPr>
                <w:szCs w:val="21"/>
              </w:rPr>
              <w:t>2017</w:t>
            </w:r>
            <w:r w:rsidRPr="003C5007">
              <w:rPr>
                <w:szCs w:val="21"/>
              </w:rPr>
              <w:t>年</w:t>
            </w:r>
            <w:r w:rsidRPr="003C5007">
              <w:rPr>
                <w:szCs w:val="21"/>
              </w:rPr>
              <w:t>6</w:t>
            </w:r>
            <w:r w:rsidRPr="003C5007">
              <w:rPr>
                <w:szCs w:val="21"/>
              </w:rPr>
              <w:t>月</w:t>
            </w:r>
            <w:r w:rsidRPr="003C5007">
              <w:rPr>
                <w:szCs w:val="21"/>
              </w:rPr>
              <w:t>30</w:t>
            </w:r>
            <w:r w:rsidRPr="003C5007">
              <w:rPr>
                <w:szCs w:val="21"/>
              </w:rPr>
              <w:t>日）存在单一投资者持有基金份额比例达到或者超过</w:t>
            </w:r>
            <w:r w:rsidRPr="003C5007">
              <w:rPr>
                <w:szCs w:val="21"/>
              </w:rPr>
              <w:t>20%</w:t>
            </w:r>
            <w:r w:rsidRPr="003C5007">
              <w:rPr>
                <w:szCs w:val="21"/>
              </w:rPr>
              <w:t>的情况。在单一投资者持有基金份额比例较高的情况下，如投资者集中赎回，可能会给基金带来流动性冲击。基金管理人将专业审慎、勤勉尽责地管控基金的流动性风险，保护持有人利益。</w:t>
            </w:r>
            <w:r w:rsidRPr="003C5007">
              <w:rPr>
                <w:szCs w:val="21"/>
              </w:rPr>
              <w:t xml:space="preserve"> </w:t>
            </w:r>
          </w:p>
        </w:tc>
      </w:tr>
    </w:tbl>
    <w:p w:rsidR="00E44EC3" w:rsidRPr="003C5007" w:rsidRDefault="00E44EC3" w:rsidP="003C5007">
      <w:pPr>
        <w:autoSpaceDE w:val="0"/>
        <w:autoSpaceDN w:val="0"/>
        <w:adjustRightInd w:val="0"/>
        <w:spacing w:line="360" w:lineRule="auto"/>
        <w:ind w:left="17"/>
        <w:jc w:val="left"/>
        <w:rPr>
          <w:rFonts w:eastAsiaTheme="minorEastAsia"/>
          <w:color w:val="000000" w:themeColor="text1"/>
          <w:szCs w:val="21"/>
        </w:rPr>
      </w:pPr>
      <w:r w:rsidRPr="003C5007">
        <w:rPr>
          <w:b/>
          <w:color w:val="000000"/>
          <w:kern w:val="0"/>
          <w:szCs w:val="21"/>
        </w:rPr>
        <w:t>8.2</w:t>
      </w:r>
      <w:r w:rsidRPr="003C5007">
        <w:rPr>
          <w:b/>
          <w:color w:val="000000"/>
          <w:kern w:val="0"/>
          <w:szCs w:val="21"/>
        </w:rPr>
        <w:t>申万菱信中小板指数分级证券投资基金</w:t>
      </w:r>
    </w:p>
    <w:p w:rsidR="00C733F6" w:rsidRPr="003C5007" w:rsidRDefault="00E44EC3" w:rsidP="003C5007">
      <w:pPr>
        <w:autoSpaceDE w:val="0"/>
        <w:autoSpaceDN w:val="0"/>
        <w:adjustRightInd w:val="0"/>
        <w:spacing w:line="360" w:lineRule="auto"/>
        <w:jc w:val="left"/>
        <w:rPr>
          <w:b/>
          <w:bCs/>
          <w:color w:val="000000" w:themeColor="text1"/>
          <w:kern w:val="0"/>
          <w:szCs w:val="21"/>
        </w:rPr>
      </w:pPr>
      <w:r w:rsidRPr="003C5007">
        <w:rPr>
          <w:b/>
          <w:color w:val="000000"/>
          <w:kern w:val="0"/>
          <w:szCs w:val="21"/>
        </w:rPr>
        <w:t>8.2.1</w:t>
      </w:r>
      <w:r w:rsidRPr="003C5007">
        <w:rPr>
          <w:rFonts w:eastAsiaTheme="minorEastAsia"/>
          <w:b/>
          <w:bCs/>
          <w:color w:val="000000" w:themeColor="text1"/>
          <w:kern w:val="0"/>
          <w:szCs w:val="21"/>
        </w:rPr>
        <w:t>报告期内单一投资者持有基金份额比例达到或超过</w:t>
      </w:r>
      <w:r w:rsidRPr="003C5007">
        <w:rPr>
          <w:rFonts w:eastAsiaTheme="minorEastAsia"/>
          <w:b/>
          <w:bCs/>
          <w:color w:val="000000" w:themeColor="text1"/>
          <w:kern w:val="0"/>
          <w:szCs w:val="21"/>
        </w:rPr>
        <w:t>20%</w:t>
      </w:r>
      <w:r w:rsidRPr="003C5007">
        <w:rPr>
          <w:rFonts w:eastAsiaTheme="minorEastAsia"/>
          <w:b/>
          <w:bCs/>
          <w:color w:val="000000" w:themeColor="text1"/>
          <w:kern w:val="0"/>
          <w:szCs w:val="21"/>
        </w:rPr>
        <w:t>的情况</w:t>
      </w:r>
    </w:p>
    <w:tbl>
      <w:tblPr>
        <w:tblStyle w:val="af7"/>
        <w:tblW w:w="8354" w:type="dxa"/>
        <w:jc w:val="center"/>
        <w:tblInd w:w="-144" w:type="dxa"/>
        <w:tblLayout w:type="fixed"/>
        <w:tblLook w:val="04A0" w:firstRow="1" w:lastRow="0" w:firstColumn="1" w:lastColumn="0" w:noHBand="0" w:noVBand="1"/>
      </w:tblPr>
      <w:tblGrid>
        <w:gridCol w:w="689"/>
        <w:gridCol w:w="475"/>
        <w:gridCol w:w="2592"/>
        <w:gridCol w:w="709"/>
        <w:gridCol w:w="992"/>
        <w:gridCol w:w="1134"/>
        <w:gridCol w:w="943"/>
        <w:gridCol w:w="820"/>
      </w:tblGrid>
      <w:tr w:rsidR="00C733F6" w:rsidRPr="003C5007" w:rsidTr="00C733F6">
        <w:trPr>
          <w:jc w:val="center"/>
        </w:trPr>
        <w:tc>
          <w:tcPr>
            <w:tcW w:w="689" w:type="dxa"/>
            <w:vMerge w:val="restart"/>
            <w:tcBorders>
              <w:top w:val="single" w:sz="4" w:space="0" w:color="auto"/>
              <w:left w:val="single" w:sz="4" w:space="0" w:color="auto"/>
              <w:bottom w:val="single" w:sz="4" w:space="0" w:color="auto"/>
              <w:right w:val="single" w:sz="4" w:space="0" w:color="auto"/>
            </w:tcBorders>
            <w:vAlign w:val="center"/>
            <w:hideMark/>
          </w:tcPr>
          <w:p w:rsidR="00C733F6" w:rsidRPr="003C5007" w:rsidRDefault="00C733F6" w:rsidP="00767A35">
            <w:pPr>
              <w:autoSpaceDE w:val="0"/>
              <w:autoSpaceDN w:val="0"/>
              <w:adjustRightInd w:val="0"/>
              <w:spacing w:line="360" w:lineRule="auto"/>
              <w:jc w:val="center"/>
              <w:rPr>
                <w:b/>
                <w:bCs/>
                <w:color w:val="000000" w:themeColor="text1"/>
                <w:szCs w:val="21"/>
              </w:rPr>
            </w:pPr>
            <w:r w:rsidRPr="003C5007">
              <w:rPr>
                <w:color w:val="000000"/>
                <w:szCs w:val="21"/>
              </w:rPr>
              <w:t>投资者类别</w:t>
            </w:r>
            <w:r w:rsidRPr="003C5007">
              <w:rPr>
                <w:color w:val="000000" w:themeColor="text1"/>
                <w:szCs w:val="21"/>
              </w:rPr>
              <w:t xml:space="preserve">  </w:t>
            </w:r>
          </w:p>
        </w:tc>
        <w:tc>
          <w:tcPr>
            <w:tcW w:w="5902" w:type="dxa"/>
            <w:gridSpan w:val="5"/>
            <w:tcBorders>
              <w:top w:val="single" w:sz="4" w:space="0" w:color="auto"/>
              <w:left w:val="single" w:sz="4" w:space="0" w:color="auto"/>
              <w:bottom w:val="single" w:sz="4" w:space="0" w:color="auto"/>
              <w:right w:val="single" w:sz="4" w:space="0" w:color="auto"/>
            </w:tcBorders>
            <w:vAlign w:val="center"/>
            <w:hideMark/>
          </w:tcPr>
          <w:p w:rsidR="00C733F6" w:rsidRPr="003C5007" w:rsidRDefault="00C733F6" w:rsidP="00767A35">
            <w:pPr>
              <w:autoSpaceDE w:val="0"/>
              <w:autoSpaceDN w:val="0"/>
              <w:adjustRightInd w:val="0"/>
              <w:spacing w:line="360" w:lineRule="auto"/>
              <w:jc w:val="center"/>
              <w:rPr>
                <w:b/>
                <w:bCs/>
                <w:color w:val="000000" w:themeColor="text1"/>
                <w:szCs w:val="21"/>
              </w:rPr>
            </w:pPr>
            <w:r w:rsidRPr="003C5007">
              <w:rPr>
                <w:color w:val="000000"/>
                <w:szCs w:val="21"/>
              </w:rPr>
              <w:t>报告期内持有基金份额变化情况</w:t>
            </w:r>
          </w:p>
        </w:tc>
        <w:tc>
          <w:tcPr>
            <w:tcW w:w="1763" w:type="dxa"/>
            <w:gridSpan w:val="2"/>
            <w:tcBorders>
              <w:top w:val="single" w:sz="4" w:space="0" w:color="auto"/>
              <w:left w:val="single" w:sz="4" w:space="0" w:color="auto"/>
              <w:bottom w:val="single" w:sz="4" w:space="0" w:color="auto"/>
              <w:right w:val="single" w:sz="4" w:space="0" w:color="auto"/>
            </w:tcBorders>
            <w:vAlign w:val="center"/>
            <w:hideMark/>
          </w:tcPr>
          <w:p w:rsidR="00C733F6" w:rsidRPr="003C5007" w:rsidRDefault="00C733F6" w:rsidP="00767A35">
            <w:pPr>
              <w:autoSpaceDE w:val="0"/>
              <w:autoSpaceDN w:val="0"/>
              <w:adjustRightInd w:val="0"/>
              <w:spacing w:line="360" w:lineRule="auto"/>
              <w:jc w:val="center"/>
              <w:rPr>
                <w:b/>
                <w:bCs/>
                <w:color w:val="000000" w:themeColor="text1"/>
                <w:szCs w:val="21"/>
              </w:rPr>
            </w:pPr>
            <w:r w:rsidRPr="003C5007">
              <w:rPr>
                <w:color w:val="000000"/>
                <w:szCs w:val="21"/>
              </w:rPr>
              <w:t>报告期末持有基金情况</w:t>
            </w:r>
          </w:p>
        </w:tc>
      </w:tr>
      <w:tr w:rsidR="00C733F6" w:rsidRPr="003C5007" w:rsidTr="00C733F6">
        <w:trPr>
          <w:jc w:val="center"/>
        </w:trPr>
        <w:tc>
          <w:tcPr>
            <w:tcW w:w="689" w:type="dxa"/>
            <w:vMerge/>
            <w:tcBorders>
              <w:top w:val="single" w:sz="4" w:space="0" w:color="auto"/>
              <w:left w:val="single" w:sz="4" w:space="0" w:color="auto"/>
              <w:bottom w:val="single" w:sz="4" w:space="0" w:color="auto"/>
              <w:right w:val="single" w:sz="4" w:space="0" w:color="auto"/>
            </w:tcBorders>
            <w:vAlign w:val="center"/>
            <w:hideMark/>
          </w:tcPr>
          <w:p w:rsidR="00C733F6" w:rsidRPr="003C5007" w:rsidRDefault="00C733F6" w:rsidP="00767A35">
            <w:pPr>
              <w:widowControl/>
              <w:spacing w:line="360" w:lineRule="auto"/>
              <w:jc w:val="left"/>
              <w:rPr>
                <w:b/>
                <w:bCs/>
                <w:color w:val="000000" w:themeColor="text1"/>
                <w:szCs w:val="21"/>
              </w:rPr>
            </w:pPr>
          </w:p>
        </w:tc>
        <w:tc>
          <w:tcPr>
            <w:tcW w:w="475" w:type="dxa"/>
            <w:tcBorders>
              <w:top w:val="single" w:sz="4" w:space="0" w:color="auto"/>
              <w:left w:val="single" w:sz="4" w:space="0" w:color="auto"/>
              <w:bottom w:val="single" w:sz="4" w:space="0" w:color="auto"/>
              <w:right w:val="single" w:sz="4" w:space="0" w:color="auto"/>
            </w:tcBorders>
            <w:vAlign w:val="center"/>
            <w:hideMark/>
          </w:tcPr>
          <w:p w:rsidR="00C733F6" w:rsidRPr="003C5007" w:rsidRDefault="00C733F6" w:rsidP="00767A35">
            <w:pPr>
              <w:autoSpaceDE w:val="0"/>
              <w:autoSpaceDN w:val="0"/>
              <w:adjustRightInd w:val="0"/>
              <w:spacing w:line="360" w:lineRule="auto"/>
              <w:ind w:leftChars="-51" w:left="-107" w:rightChars="-51" w:right="-107"/>
              <w:jc w:val="center"/>
              <w:rPr>
                <w:b/>
                <w:bCs/>
                <w:color w:val="000000" w:themeColor="text1"/>
                <w:szCs w:val="21"/>
              </w:rPr>
            </w:pPr>
            <w:r w:rsidRPr="003C5007">
              <w:rPr>
                <w:color w:val="000000"/>
                <w:szCs w:val="21"/>
              </w:rPr>
              <w:t>序号</w:t>
            </w:r>
          </w:p>
        </w:tc>
        <w:tc>
          <w:tcPr>
            <w:tcW w:w="2592" w:type="dxa"/>
            <w:tcBorders>
              <w:top w:val="single" w:sz="4" w:space="0" w:color="auto"/>
              <w:left w:val="single" w:sz="4" w:space="0" w:color="auto"/>
              <w:bottom w:val="single" w:sz="4" w:space="0" w:color="auto"/>
              <w:right w:val="single" w:sz="4" w:space="0" w:color="auto"/>
            </w:tcBorders>
            <w:vAlign w:val="center"/>
            <w:hideMark/>
          </w:tcPr>
          <w:p w:rsidR="00C733F6" w:rsidRPr="003C5007" w:rsidRDefault="00C733F6" w:rsidP="00767A35">
            <w:pPr>
              <w:autoSpaceDE w:val="0"/>
              <w:autoSpaceDN w:val="0"/>
              <w:adjustRightInd w:val="0"/>
              <w:spacing w:line="360" w:lineRule="auto"/>
              <w:ind w:leftChars="-51" w:left="-107" w:rightChars="-51" w:right="-107"/>
              <w:jc w:val="center"/>
              <w:rPr>
                <w:b/>
                <w:bCs/>
                <w:color w:val="000000" w:themeColor="text1"/>
                <w:szCs w:val="21"/>
              </w:rPr>
            </w:pPr>
            <w:r w:rsidRPr="003C5007">
              <w:rPr>
                <w:color w:val="000000"/>
                <w:szCs w:val="21"/>
              </w:rPr>
              <w:t>持有基金份额比例达到或者超过</w:t>
            </w:r>
            <w:r w:rsidRPr="003C5007">
              <w:rPr>
                <w:color w:val="000000"/>
                <w:szCs w:val="21"/>
              </w:rPr>
              <w:t>20%</w:t>
            </w:r>
            <w:r w:rsidRPr="003C5007">
              <w:rPr>
                <w:color w:val="000000"/>
                <w:szCs w:val="21"/>
              </w:rPr>
              <w:t>的时间区间</w:t>
            </w:r>
          </w:p>
        </w:tc>
        <w:tc>
          <w:tcPr>
            <w:tcW w:w="709" w:type="dxa"/>
            <w:tcBorders>
              <w:top w:val="single" w:sz="4" w:space="0" w:color="auto"/>
              <w:left w:val="single" w:sz="4" w:space="0" w:color="auto"/>
              <w:bottom w:val="single" w:sz="4" w:space="0" w:color="auto"/>
              <w:right w:val="single" w:sz="4" w:space="0" w:color="auto"/>
            </w:tcBorders>
            <w:vAlign w:val="center"/>
            <w:hideMark/>
          </w:tcPr>
          <w:p w:rsidR="00C733F6" w:rsidRPr="003C5007" w:rsidRDefault="00C733F6" w:rsidP="00767A35">
            <w:pPr>
              <w:widowControl/>
              <w:spacing w:line="360" w:lineRule="auto"/>
              <w:ind w:leftChars="-51" w:left="-107" w:rightChars="-51" w:right="-107"/>
              <w:jc w:val="center"/>
              <w:rPr>
                <w:b/>
                <w:bCs/>
                <w:color w:val="000000" w:themeColor="text1"/>
                <w:szCs w:val="21"/>
              </w:rPr>
            </w:pPr>
            <w:r w:rsidRPr="003C5007">
              <w:rPr>
                <w:color w:val="000000"/>
                <w:szCs w:val="21"/>
              </w:rPr>
              <w:t>期初份额</w:t>
            </w:r>
          </w:p>
        </w:tc>
        <w:tc>
          <w:tcPr>
            <w:tcW w:w="992" w:type="dxa"/>
            <w:tcBorders>
              <w:top w:val="single" w:sz="4" w:space="0" w:color="auto"/>
              <w:left w:val="single" w:sz="4" w:space="0" w:color="auto"/>
              <w:bottom w:val="single" w:sz="4" w:space="0" w:color="auto"/>
              <w:right w:val="single" w:sz="4" w:space="0" w:color="auto"/>
            </w:tcBorders>
            <w:vAlign w:val="center"/>
            <w:hideMark/>
          </w:tcPr>
          <w:p w:rsidR="00C733F6" w:rsidRPr="003C5007" w:rsidRDefault="00C733F6" w:rsidP="00767A35">
            <w:pPr>
              <w:widowControl/>
              <w:spacing w:line="360" w:lineRule="auto"/>
              <w:jc w:val="center"/>
              <w:rPr>
                <w:b/>
                <w:bCs/>
                <w:color w:val="000000" w:themeColor="text1"/>
                <w:szCs w:val="21"/>
              </w:rPr>
            </w:pPr>
            <w:r w:rsidRPr="003C5007">
              <w:rPr>
                <w:color w:val="00000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33F6" w:rsidRPr="003C5007" w:rsidRDefault="00C733F6" w:rsidP="00767A35">
            <w:pPr>
              <w:widowControl/>
              <w:spacing w:line="360" w:lineRule="auto"/>
              <w:jc w:val="center"/>
              <w:rPr>
                <w:b/>
                <w:bCs/>
                <w:color w:val="000000" w:themeColor="text1"/>
                <w:szCs w:val="21"/>
              </w:rPr>
            </w:pPr>
            <w:r w:rsidRPr="003C5007">
              <w:rPr>
                <w:color w:val="000000"/>
                <w:szCs w:val="21"/>
              </w:rPr>
              <w:t>赎回份额</w:t>
            </w:r>
          </w:p>
        </w:tc>
        <w:tc>
          <w:tcPr>
            <w:tcW w:w="943" w:type="dxa"/>
            <w:tcBorders>
              <w:top w:val="single" w:sz="4" w:space="0" w:color="auto"/>
              <w:left w:val="single" w:sz="4" w:space="0" w:color="auto"/>
              <w:bottom w:val="single" w:sz="4" w:space="0" w:color="auto"/>
              <w:right w:val="single" w:sz="4" w:space="0" w:color="auto"/>
            </w:tcBorders>
            <w:vAlign w:val="center"/>
            <w:hideMark/>
          </w:tcPr>
          <w:p w:rsidR="00C733F6" w:rsidRPr="003C5007" w:rsidRDefault="00C733F6" w:rsidP="00767A35">
            <w:pPr>
              <w:autoSpaceDE w:val="0"/>
              <w:autoSpaceDN w:val="0"/>
              <w:adjustRightInd w:val="0"/>
              <w:spacing w:line="360" w:lineRule="auto"/>
              <w:jc w:val="center"/>
              <w:rPr>
                <w:b/>
                <w:bCs/>
                <w:color w:val="000000" w:themeColor="text1"/>
                <w:szCs w:val="21"/>
              </w:rPr>
            </w:pPr>
            <w:r w:rsidRPr="003C5007">
              <w:rPr>
                <w:color w:val="000000"/>
                <w:szCs w:val="21"/>
              </w:rPr>
              <w:t>持有份额</w:t>
            </w:r>
          </w:p>
        </w:tc>
        <w:tc>
          <w:tcPr>
            <w:tcW w:w="820" w:type="dxa"/>
            <w:tcBorders>
              <w:top w:val="single" w:sz="4" w:space="0" w:color="auto"/>
              <w:left w:val="single" w:sz="4" w:space="0" w:color="auto"/>
              <w:bottom w:val="single" w:sz="4" w:space="0" w:color="auto"/>
              <w:right w:val="single" w:sz="4" w:space="0" w:color="auto"/>
            </w:tcBorders>
            <w:vAlign w:val="center"/>
            <w:hideMark/>
          </w:tcPr>
          <w:p w:rsidR="00C733F6" w:rsidRPr="003C5007" w:rsidRDefault="00C733F6" w:rsidP="00767A35">
            <w:pPr>
              <w:autoSpaceDE w:val="0"/>
              <w:autoSpaceDN w:val="0"/>
              <w:adjustRightInd w:val="0"/>
              <w:spacing w:line="360" w:lineRule="auto"/>
              <w:jc w:val="center"/>
              <w:rPr>
                <w:b/>
                <w:bCs/>
                <w:color w:val="000000" w:themeColor="text1"/>
                <w:szCs w:val="21"/>
              </w:rPr>
            </w:pPr>
            <w:r w:rsidRPr="003C5007">
              <w:rPr>
                <w:color w:val="000000"/>
                <w:szCs w:val="21"/>
              </w:rPr>
              <w:t>份额占比</w:t>
            </w:r>
          </w:p>
        </w:tc>
      </w:tr>
      <w:tr w:rsidR="00C733F6" w:rsidTr="00C733F6">
        <w:trPr>
          <w:jc w:val="center"/>
        </w:trPr>
        <w:tc>
          <w:tcPr>
            <w:tcW w:w="689" w:type="dxa"/>
          </w:tcPr>
          <w:p w:rsidR="00C733F6" w:rsidRDefault="00C733F6" w:rsidP="00767A35">
            <w:r>
              <w:rPr>
                <w:rFonts w:hint="eastAsia"/>
                <w:bCs/>
                <w:color w:val="000000" w:themeColor="text1"/>
                <w:szCs w:val="21"/>
              </w:rPr>
              <w:t>-</w:t>
            </w:r>
          </w:p>
        </w:tc>
        <w:tc>
          <w:tcPr>
            <w:tcW w:w="475" w:type="dxa"/>
            <w:vAlign w:val="center"/>
          </w:tcPr>
          <w:p w:rsidR="00C733F6" w:rsidRDefault="00C733F6" w:rsidP="00C733F6">
            <w:pPr>
              <w:jc w:val="center"/>
            </w:pPr>
            <w:r>
              <w:rPr>
                <w:rFonts w:hint="eastAsia"/>
                <w:color w:val="000000"/>
                <w:szCs w:val="21"/>
              </w:rPr>
              <w:t>-</w:t>
            </w:r>
          </w:p>
        </w:tc>
        <w:tc>
          <w:tcPr>
            <w:tcW w:w="2592" w:type="dxa"/>
            <w:vAlign w:val="center"/>
          </w:tcPr>
          <w:p w:rsidR="00C733F6" w:rsidRDefault="00C733F6" w:rsidP="00767A35">
            <w:pPr>
              <w:jc w:val="center"/>
            </w:pPr>
            <w:r>
              <w:rPr>
                <w:rFonts w:hint="eastAsia"/>
                <w:color w:val="000000"/>
                <w:szCs w:val="21"/>
              </w:rPr>
              <w:t>-</w:t>
            </w:r>
          </w:p>
        </w:tc>
        <w:tc>
          <w:tcPr>
            <w:tcW w:w="709" w:type="dxa"/>
            <w:vAlign w:val="center"/>
          </w:tcPr>
          <w:p w:rsidR="00C733F6" w:rsidRDefault="00C733F6" w:rsidP="00767A35">
            <w:pPr>
              <w:ind w:leftChars="-51" w:left="-107" w:rightChars="-51" w:right="-107"/>
              <w:jc w:val="center"/>
            </w:pPr>
            <w:r>
              <w:rPr>
                <w:rFonts w:hint="eastAsia"/>
                <w:color w:val="000000"/>
                <w:szCs w:val="21"/>
              </w:rPr>
              <w:t>-</w:t>
            </w:r>
          </w:p>
        </w:tc>
        <w:tc>
          <w:tcPr>
            <w:tcW w:w="992" w:type="dxa"/>
            <w:vAlign w:val="center"/>
          </w:tcPr>
          <w:p w:rsidR="00C733F6" w:rsidRDefault="00C733F6" w:rsidP="00767A35">
            <w:pPr>
              <w:jc w:val="center"/>
            </w:pPr>
            <w:r>
              <w:rPr>
                <w:rFonts w:hint="eastAsia"/>
                <w:color w:val="000000"/>
                <w:szCs w:val="21"/>
              </w:rPr>
              <w:t>-</w:t>
            </w:r>
          </w:p>
        </w:tc>
        <w:tc>
          <w:tcPr>
            <w:tcW w:w="1134" w:type="dxa"/>
            <w:vAlign w:val="center"/>
          </w:tcPr>
          <w:p w:rsidR="00C733F6" w:rsidRDefault="00C733F6" w:rsidP="00767A35">
            <w:pPr>
              <w:jc w:val="center"/>
            </w:pPr>
            <w:r>
              <w:rPr>
                <w:rFonts w:hint="eastAsia"/>
                <w:color w:val="000000"/>
                <w:szCs w:val="21"/>
              </w:rPr>
              <w:t>-</w:t>
            </w:r>
          </w:p>
        </w:tc>
        <w:tc>
          <w:tcPr>
            <w:tcW w:w="943" w:type="dxa"/>
            <w:vAlign w:val="center"/>
          </w:tcPr>
          <w:p w:rsidR="00C733F6" w:rsidRDefault="00C733F6" w:rsidP="00767A35">
            <w:pPr>
              <w:jc w:val="center"/>
            </w:pPr>
            <w:r>
              <w:rPr>
                <w:rFonts w:hint="eastAsia"/>
                <w:color w:val="000000"/>
                <w:szCs w:val="21"/>
              </w:rPr>
              <w:t>-</w:t>
            </w:r>
          </w:p>
        </w:tc>
        <w:tc>
          <w:tcPr>
            <w:tcW w:w="820" w:type="dxa"/>
            <w:vAlign w:val="center"/>
          </w:tcPr>
          <w:p w:rsidR="00C733F6" w:rsidRDefault="00C733F6" w:rsidP="00767A35">
            <w:pPr>
              <w:jc w:val="center"/>
            </w:pPr>
            <w:r>
              <w:rPr>
                <w:rFonts w:hint="eastAsia"/>
                <w:color w:val="000000"/>
                <w:szCs w:val="21"/>
              </w:rPr>
              <w:t>-</w:t>
            </w:r>
          </w:p>
        </w:tc>
      </w:tr>
      <w:tr w:rsidR="00C733F6" w:rsidRPr="003C5007" w:rsidTr="00C733F6">
        <w:trPr>
          <w:jc w:val="center"/>
        </w:trPr>
        <w:tc>
          <w:tcPr>
            <w:tcW w:w="8354" w:type="dxa"/>
            <w:gridSpan w:val="8"/>
            <w:tcBorders>
              <w:top w:val="single" w:sz="4" w:space="0" w:color="auto"/>
              <w:left w:val="single" w:sz="4" w:space="0" w:color="auto"/>
              <w:bottom w:val="single" w:sz="4" w:space="0" w:color="auto"/>
              <w:right w:val="single" w:sz="4" w:space="0" w:color="auto"/>
            </w:tcBorders>
            <w:vAlign w:val="center"/>
            <w:hideMark/>
          </w:tcPr>
          <w:p w:rsidR="00C733F6" w:rsidRPr="003C5007" w:rsidRDefault="00C733F6" w:rsidP="00767A35">
            <w:pPr>
              <w:autoSpaceDE w:val="0"/>
              <w:autoSpaceDN w:val="0"/>
              <w:adjustRightInd w:val="0"/>
              <w:spacing w:line="360" w:lineRule="auto"/>
              <w:jc w:val="center"/>
              <w:rPr>
                <w:szCs w:val="21"/>
              </w:rPr>
            </w:pPr>
            <w:r w:rsidRPr="003C5007">
              <w:rPr>
                <w:color w:val="000000"/>
                <w:szCs w:val="21"/>
              </w:rPr>
              <w:t>产品特有风险</w:t>
            </w:r>
          </w:p>
        </w:tc>
      </w:tr>
      <w:tr w:rsidR="00C733F6" w:rsidRPr="003C5007" w:rsidTr="00C733F6">
        <w:trPr>
          <w:jc w:val="center"/>
        </w:trPr>
        <w:tc>
          <w:tcPr>
            <w:tcW w:w="8354" w:type="dxa"/>
            <w:gridSpan w:val="8"/>
            <w:tcBorders>
              <w:top w:val="single" w:sz="4" w:space="0" w:color="auto"/>
              <w:left w:val="single" w:sz="4" w:space="0" w:color="auto"/>
              <w:bottom w:val="single" w:sz="4" w:space="0" w:color="auto"/>
              <w:right w:val="single" w:sz="4" w:space="0" w:color="auto"/>
            </w:tcBorders>
            <w:vAlign w:val="center"/>
            <w:hideMark/>
          </w:tcPr>
          <w:p w:rsidR="00C733F6" w:rsidRPr="003C5007" w:rsidRDefault="00C733F6" w:rsidP="00767A35">
            <w:pPr>
              <w:autoSpaceDE w:val="0"/>
              <w:autoSpaceDN w:val="0"/>
              <w:adjustRightInd w:val="0"/>
              <w:spacing w:line="360" w:lineRule="auto"/>
              <w:jc w:val="left"/>
              <w:rPr>
                <w:szCs w:val="21"/>
              </w:rPr>
            </w:pPr>
            <w:r w:rsidRPr="003C5007">
              <w:rPr>
                <w:szCs w:val="21"/>
              </w:rPr>
              <w:t>本报告期，本基金转型前（</w:t>
            </w:r>
            <w:r w:rsidRPr="003C5007">
              <w:rPr>
                <w:szCs w:val="21"/>
              </w:rPr>
              <w:t>2017</w:t>
            </w:r>
            <w:r w:rsidRPr="003C5007">
              <w:rPr>
                <w:szCs w:val="21"/>
              </w:rPr>
              <w:t>年</w:t>
            </w:r>
            <w:r w:rsidRPr="003C5007">
              <w:rPr>
                <w:szCs w:val="21"/>
              </w:rPr>
              <w:t>4</w:t>
            </w:r>
            <w:r w:rsidRPr="003C5007">
              <w:rPr>
                <w:szCs w:val="21"/>
              </w:rPr>
              <w:t>月</w:t>
            </w:r>
            <w:r w:rsidRPr="003C5007">
              <w:rPr>
                <w:szCs w:val="21"/>
              </w:rPr>
              <w:t>1</w:t>
            </w:r>
            <w:r w:rsidRPr="003C5007">
              <w:rPr>
                <w:szCs w:val="21"/>
              </w:rPr>
              <w:t>日至</w:t>
            </w:r>
            <w:r w:rsidRPr="003C5007">
              <w:rPr>
                <w:szCs w:val="21"/>
              </w:rPr>
              <w:t>2017</w:t>
            </w:r>
            <w:r w:rsidRPr="003C5007">
              <w:rPr>
                <w:szCs w:val="21"/>
              </w:rPr>
              <w:t>年</w:t>
            </w:r>
            <w:r w:rsidRPr="003C5007">
              <w:rPr>
                <w:szCs w:val="21"/>
              </w:rPr>
              <w:t>5</w:t>
            </w:r>
            <w:r w:rsidRPr="003C5007">
              <w:rPr>
                <w:szCs w:val="21"/>
              </w:rPr>
              <w:t>月</w:t>
            </w:r>
            <w:r w:rsidRPr="003C5007">
              <w:rPr>
                <w:szCs w:val="21"/>
              </w:rPr>
              <w:t>8</w:t>
            </w:r>
            <w:r w:rsidRPr="003C5007">
              <w:rPr>
                <w:szCs w:val="21"/>
              </w:rPr>
              <w:t>日）不存在单一投资者持有基金份额比例达到或者超过</w:t>
            </w:r>
            <w:r w:rsidRPr="003C5007">
              <w:rPr>
                <w:szCs w:val="21"/>
              </w:rPr>
              <w:t>20%</w:t>
            </w:r>
            <w:r w:rsidRPr="003C5007">
              <w:rPr>
                <w:szCs w:val="21"/>
              </w:rPr>
              <w:t>的情况。</w:t>
            </w:r>
          </w:p>
        </w:tc>
      </w:tr>
    </w:tbl>
    <w:p w:rsidR="00E44EC3" w:rsidRPr="003C5007" w:rsidRDefault="00E44EC3" w:rsidP="003C5007">
      <w:pPr>
        <w:autoSpaceDE w:val="0"/>
        <w:autoSpaceDN w:val="0"/>
        <w:adjustRightInd w:val="0"/>
        <w:spacing w:line="360" w:lineRule="auto"/>
        <w:jc w:val="left"/>
        <w:rPr>
          <w:rFonts w:eastAsiaTheme="minorEastAsia"/>
          <w:b/>
          <w:bCs/>
          <w:color w:val="000000" w:themeColor="text1"/>
          <w:kern w:val="0"/>
          <w:szCs w:val="21"/>
        </w:rPr>
      </w:pPr>
      <w:r w:rsidRPr="003C5007">
        <w:rPr>
          <w:b/>
          <w:color w:val="000000"/>
          <w:kern w:val="0"/>
          <w:szCs w:val="21"/>
        </w:rPr>
        <w:t>8.3</w:t>
      </w:r>
      <w:r w:rsidRPr="003C5007">
        <w:rPr>
          <w:rFonts w:eastAsiaTheme="minorEastAsia"/>
          <w:b/>
          <w:bCs/>
          <w:color w:val="000000" w:themeColor="text1"/>
          <w:kern w:val="0"/>
          <w:szCs w:val="21"/>
        </w:rPr>
        <w:t>影响投资者决策的其他重要信息</w:t>
      </w:r>
    </w:p>
    <w:p w:rsidR="00E44EC3" w:rsidRPr="003C5007" w:rsidRDefault="00E44EC3" w:rsidP="003C5007">
      <w:pPr>
        <w:adjustRightInd w:val="0"/>
        <w:spacing w:line="360" w:lineRule="auto"/>
        <w:ind w:firstLineChars="200" w:firstLine="420"/>
        <w:rPr>
          <w:color w:val="000000"/>
          <w:szCs w:val="21"/>
        </w:rPr>
      </w:pPr>
      <w:r w:rsidRPr="003C5007">
        <w:rPr>
          <w:color w:val="000000"/>
          <w:szCs w:val="21"/>
        </w:rPr>
        <w:t>根据《申万菱信中小板指数分级证券投资基金基金合同》的相关规定，原申万菱信中小板指数分级证券投资基金分级运作期共包含五个运作周年。分级运作期结束，无需召开基金份额持有人大会，自动转换为上市开放式基金（</w:t>
      </w:r>
      <w:r w:rsidRPr="003C5007">
        <w:rPr>
          <w:color w:val="000000"/>
          <w:szCs w:val="21"/>
        </w:rPr>
        <w:t>LOF</w:t>
      </w:r>
      <w:r w:rsidRPr="003C5007">
        <w:rPr>
          <w:color w:val="000000"/>
          <w:szCs w:val="21"/>
        </w:rPr>
        <w:t>）。</w:t>
      </w:r>
      <w:r w:rsidRPr="003C5007">
        <w:rPr>
          <w:color w:val="000000"/>
          <w:szCs w:val="21"/>
        </w:rPr>
        <w:t>2017</w:t>
      </w:r>
      <w:r w:rsidRPr="003C5007">
        <w:rPr>
          <w:color w:val="000000"/>
          <w:szCs w:val="21"/>
        </w:rPr>
        <w:t>年</w:t>
      </w:r>
      <w:r w:rsidRPr="003C5007">
        <w:rPr>
          <w:color w:val="000000"/>
          <w:szCs w:val="21"/>
        </w:rPr>
        <w:t>5</w:t>
      </w:r>
      <w:r w:rsidRPr="003C5007">
        <w:rPr>
          <w:color w:val="000000"/>
          <w:szCs w:val="21"/>
        </w:rPr>
        <w:t>月</w:t>
      </w:r>
      <w:r w:rsidRPr="003C5007">
        <w:rPr>
          <w:color w:val="000000"/>
          <w:szCs w:val="21"/>
        </w:rPr>
        <w:t>8</w:t>
      </w:r>
      <w:r w:rsidRPr="003C5007">
        <w:rPr>
          <w:color w:val="000000"/>
          <w:szCs w:val="21"/>
        </w:rPr>
        <w:t>日，申万菱信中小板指数分级证券投资基金分级运作期结束，申万菱信中小板指数分级证券投资基金之稳健收益类份额（简称</w:t>
      </w:r>
      <w:r w:rsidRPr="003C5007">
        <w:rPr>
          <w:color w:val="000000"/>
          <w:szCs w:val="21"/>
        </w:rPr>
        <w:t>“</w:t>
      </w:r>
      <w:r w:rsidRPr="003C5007">
        <w:rPr>
          <w:color w:val="000000"/>
          <w:szCs w:val="21"/>
        </w:rPr>
        <w:t>中小板</w:t>
      </w:r>
      <w:r w:rsidRPr="003C5007">
        <w:rPr>
          <w:color w:val="000000"/>
          <w:szCs w:val="21"/>
        </w:rPr>
        <w:t>A</w:t>
      </w:r>
      <w:r w:rsidRPr="003C5007">
        <w:rPr>
          <w:color w:val="000000"/>
          <w:szCs w:val="21"/>
        </w:rPr>
        <w:t>份额</w:t>
      </w:r>
      <w:r w:rsidRPr="003C5007">
        <w:rPr>
          <w:color w:val="000000"/>
          <w:szCs w:val="21"/>
        </w:rPr>
        <w:t>”</w:t>
      </w:r>
      <w:r w:rsidRPr="003C5007">
        <w:rPr>
          <w:color w:val="000000"/>
          <w:szCs w:val="21"/>
        </w:rPr>
        <w:t>）、申万菱信中小板指数分级证券投资基金之积极进取类份额（简称</w:t>
      </w:r>
      <w:r w:rsidRPr="003C5007">
        <w:rPr>
          <w:color w:val="000000"/>
          <w:szCs w:val="21"/>
        </w:rPr>
        <w:t>“</w:t>
      </w:r>
      <w:r w:rsidRPr="003C5007">
        <w:rPr>
          <w:color w:val="000000"/>
          <w:szCs w:val="21"/>
        </w:rPr>
        <w:t>中小板</w:t>
      </w:r>
      <w:r w:rsidRPr="003C5007">
        <w:rPr>
          <w:color w:val="000000"/>
          <w:szCs w:val="21"/>
        </w:rPr>
        <w:t>B</w:t>
      </w:r>
      <w:r w:rsidRPr="003C5007">
        <w:rPr>
          <w:color w:val="000000"/>
          <w:szCs w:val="21"/>
        </w:rPr>
        <w:t>份额</w:t>
      </w:r>
      <w:r w:rsidRPr="003C5007">
        <w:rPr>
          <w:color w:val="000000"/>
          <w:szCs w:val="21"/>
        </w:rPr>
        <w:t>”</w:t>
      </w:r>
      <w:r w:rsidRPr="003C5007">
        <w:rPr>
          <w:color w:val="000000"/>
          <w:szCs w:val="21"/>
        </w:rPr>
        <w:t>）按照《基金合同》约定折算成场内申万菱信中小板指数分级证券投资基金之申万中小板份额，基金名称变更为</w:t>
      </w:r>
      <w:r w:rsidRPr="003C5007">
        <w:rPr>
          <w:color w:val="000000"/>
          <w:szCs w:val="21"/>
        </w:rPr>
        <w:t>“</w:t>
      </w:r>
      <w:r w:rsidRPr="003C5007">
        <w:rPr>
          <w:color w:val="000000"/>
          <w:szCs w:val="21"/>
        </w:rPr>
        <w:t>申万菱信中小板指数证券投资基金（</w:t>
      </w:r>
      <w:r w:rsidRPr="003C5007">
        <w:rPr>
          <w:color w:val="000000"/>
          <w:szCs w:val="21"/>
        </w:rPr>
        <w:t>LOF</w:t>
      </w:r>
      <w:r w:rsidRPr="003C5007">
        <w:rPr>
          <w:color w:val="000000"/>
          <w:szCs w:val="21"/>
        </w:rPr>
        <w:t>）</w:t>
      </w:r>
      <w:r w:rsidRPr="003C5007">
        <w:rPr>
          <w:color w:val="000000"/>
          <w:szCs w:val="21"/>
        </w:rPr>
        <w:t>”</w:t>
      </w:r>
      <w:r w:rsidRPr="003C5007">
        <w:rPr>
          <w:color w:val="000000"/>
          <w:szCs w:val="21"/>
        </w:rPr>
        <w:t>。对于本次转换业务相关事宜，详见本基金管理人于</w:t>
      </w:r>
      <w:r w:rsidRPr="003C5007">
        <w:rPr>
          <w:color w:val="000000"/>
          <w:szCs w:val="21"/>
        </w:rPr>
        <w:t>2017</w:t>
      </w:r>
      <w:r w:rsidRPr="003C5007">
        <w:rPr>
          <w:color w:val="000000"/>
          <w:szCs w:val="21"/>
        </w:rPr>
        <w:t>年</w:t>
      </w:r>
      <w:r w:rsidRPr="003C5007">
        <w:rPr>
          <w:color w:val="000000"/>
          <w:szCs w:val="21"/>
        </w:rPr>
        <w:t>3</w:t>
      </w:r>
      <w:r w:rsidRPr="003C5007">
        <w:rPr>
          <w:color w:val="000000"/>
          <w:szCs w:val="21"/>
        </w:rPr>
        <w:t>月</w:t>
      </w:r>
      <w:r w:rsidRPr="003C5007">
        <w:rPr>
          <w:color w:val="000000"/>
          <w:szCs w:val="21"/>
        </w:rPr>
        <w:t>23</w:t>
      </w:r>
      <w:r w:rsidRPr="003C5007">
        <w:rPr>
          <w:color w:val="000000"/>
          <w:szCs w:val="21"/>
        </w:rPr>
        <w:t>日、</w:t>
      </w:r>
      <w:r w:rsidRPr="003C5007">
        <w:rPr>
          <w:color w:val="000000"/>
          <w:szCs w:val="21"/>
        </w:rPr>
        <w:t>4</w:t>
      </w:r>
      <w:r w:rsidRPr="003C5007">
        <w:rPr>
          <w:color w:val="000000"/>
          <w:szCs w:val="21"/>
        </w:rPr>
        <w:t>月</w:t>
      </w:r>
      <w:r w:rsidRPr="003C5007">
        <w:rPr>
          <w:color w:val="000000"/>
          <w:szCs w:val="21"/>
        </w:rPr>
        <w:t>7</w:t>
      </w:r>
      <w:r w:rsidRPr="003C5007">
        <w:rPr>
          <w:color w:val="000000"/>
          <w:szCs w:val="21"/>
        </w:rPr>
        <w:t>日、</w:t>
      </w:r>
      <w:r w:rsidRPr="003C5007">
        <w:rPr>
          <w:color w:val="000000"/>
          <w:szCs w:val="21"/>
        </w:rPr>
        <w:t>4</w:t>
      </w:r>
      <w:r w:rsidRPr="003C5007">
        <w:rPr>
          <w:color w:val="000000"/>
          <w:szCs w:val="21"/>
        </w:rPr>
        <w:t>月</w:t>
      </w:r>
      <w:r w:rsidRPr="003C5007">
        <w:rPr>
          <w:color w:val="000000"/>
          <w:szCs w:val="21"/>
        </w:rPr>
        <w:t>22</w:t>
      </w:r>
      <w:r w:rsidRPr="003C5007">
        <w:rPr>
          <w:color w:val="000000"/>
          <w:szCs w:val="21"/>
        </w:rPr>
        <w:t>日、</w:t>
      </w:r>
      <w:r w:rsidRPr="003C5007">
        <w:rPr>
          <w:color w:val="000000"/>
          <w:szCs w:val="21"/>
        </w:rPr>
        <w:t>4</w:t>
      </w:r>
      <w:r w:rsidRPr="003C5007">
        <w:rPr>
          <w:color w:val="000000"/>
          <w:szCs w:val="21"/>
        </w:rPr>
        <w:t>月</w:t>
      </w:r>
      <w:r w:rsidRPr="003C5007">
        <w:rPr>
          <w:color w:val="000000"/>
          <w:szCs w:val="21"/>
        </w:rPr>
        <w:t>28</w:t>
      </w:r>
      <w:r w:rsidRPr="003C5007">
        <w:rPr>
          <w:color w:val="000000"/>
          <w:szCs w:val="21"/>
        </w:rPr>
        <w:t>日、</w:t>
      </w:r>
      <w:r w:rsidRPr="003C5007">
        <w:rPr>
          <w:color w:val="000000"/>
          <w:szCs w:val="21"/>
        </w:rPr>
        <w:t>5</w:t>
      </w:r>
      <w:r w:rsidRPr="003C5007">
        <w:rPr>
          <w:color w:val="000000"/>
          <w:szCs w:val="21"/>
        </w:rPr>
        <w:t>月</w:t>
      </w:r>
      <w:r w:rsidRPr="003C5007">
        <w:rPr>
          <w:color w:val="000000"/>
          <w:szCs w:val="21"/>
        </w:rPr>
        <w:t>3</w:t>
      </w:r>
      <w:r w:rsidRPr="003C5007">
        <w:rPr>
          <w:color w:val="000000"/>
          <w:szCs w:val="21"/>
        </w:rPr>
        <w:t>日、</w:t>
      </w:r>
      <w:r w:rsidRPr="003C5007">
        <w:rPr>
          <w:color w:val="000000"/>
          <w:szCs w:val="21"/>
        </w:rPr>
        <w:t>5</w:t>
      </w:r>
      <w:r w:rsidRPr="003C5007">
        <w:rPr>
          <w:color w:val="000000"/>
          <w:szCs w:val="21"/>
        </w:rPr>
        <w:t>月</w:t>
      </w:r>
      <w:r w:rsidRPr="003C5007">
        <w:rPr>
          <w:color w:val="000000"/>
          <w:szCs w:val="21"/>
        </w:rPr>
        <w:t>5</w:t>
      </w:r>
      <w:r w:rsidRPr="003C5007">
        <w:rPr>
          <w:color w:val="000000"/>
          <w:szCs w:val="21"/>
        </w:rPr>
        <w:t>日、</w:t>
      </w:r>
      <w:r w:rsidRPr="003C5007">
        <w:rPr>
          <w:color w:val="000000"/>
          <w:szCs w:val="21"/>
        </w:rPr>
        <w:t>5</w:t>
      </w:r>
      <w:r w:rsidRPr="003C5007">
        <w:rPr>
          <w:color w:val="000000"/>
          <w:szCs w:val="21"/>
        </w:rPr>
        <w:t>月</w:t>
      </w:r>
      <w:r w:rsidRPr="003C5007">
        <w:rPr>
          <w:color w:val="000000"/>
          <w:szCs w:val="21"/>
        </w:rPr>
        <w:t>10</w:t>
      </w:r>
      <w:r w:rsidRPr="003C5007">
        <w:rPr>
          <w:color w:val="000000"/>
          <w:szCs w:val="21"/>
        </w:rPr>
        <w:t>日发布的公告。</w:t>
      </w:r>
    </w:p>
    <w:p w:rsidR="00220542" w:rsidRPr="003C5007" w:rsidRDefault="00220542" w:rsidP="00767A35">
      <w:pPr>
        <w:pStyle w:val="1"/>
        <w:spacing w:beforeLines="100" w:before="312" w:afterLines="100" w:after="312" w:line="360" w:lineRule="auto"/>
        <w:jc w:val="center"/>
        <w:rPr>
          <w:rFonts w:eastAsiaTheme="minorEastAsia"/>
          <w:color w:val="000000" w:themeColor="text1"/>
          <w:kern w:val="0"/>
          <w:sz w:val="21"/>
          <w:szCs w:val="21"/>
        </w:rPr>
      </w:pPr>
      <w:r w:rsidRPr="003C5007">
        <w:rPr>
          <w:rFonts w:eastAsiaTheme="minorEastAsia"/>
          <w:color w:val="000000" w:themeColor="text1"/>
          <w:kern w:val="0"/>
          <w:sz w:val="21"/>
          <w:szCs w:val="21"/>
        </w:rPr>
        <w:t>§</w:t>
      </w:r>
      <w:r w:rsidR="00122A26" w:rsidRPr="003C5007">
        <w:rPr>
          <w:rFonts w:eastAsiaTheme="minorEastAsia"/>
          <w:color w:val="000000" w:themeColor="text1"/>
          <w:kern w:val="0"/>
          <w:sz w:val="21"/>
          <w:szCs w:val="21"/>
        </w:rPr>
        <w:t>9</w:t>
      </w:r>
      <w:r w:rsidRPr="003C5007">
        <w:rPr>
          <w:rFonts w:eastAsiaTheme="minorEastAsia"/>
          <w:color w:val="000000" w:themeColor="text1"/>
          <w:kern w:val="0"/>
          <w:sz w:val="21"/>
          <w:szCs w:val="21"/>
        </w:rPr>
        <w:t>备查文件目录</w:t>
      </w:r>
    </w:p>
    <w:p w:rsidR="00220542" w:rsidRPr="003C5007" w:rsidRDefault="00122A26" w:rsidP="003C5007">
      <w:pPr>
        <w:spacing w:line="360" w:lineRule="auto"/>
        <w:rPr>
          <w:rFonts w:eastAsiaTheme="minorEastAsia"/>
          <w:b/>
          <w:color w:val="000000" w:themeColor="text1"/>
          <w:szCs w:val="21"/>
        </w:rPr>
      </w:pPr>
      <w:r w:rsidRPr="003C5007">
        <w:rPr>
          <w:rFonts w:eastAsiaTheme="minorEastAsia"/>
          <w:b/>
          <w:color w:val="000000" w:themeColor="text1"/>
          <w:szCs w:val="21"/>
        </w:rPr>
        <w:t>9</w:t>
      </w:r>
      <w:r w:rsidR="00220542" w:rsidRPr="003C5007">
        <w:rPr>
          <w:rFonts w:eastAsiaTheme="minorEastAsia"/>
          <w:b/>
          <w:color w:val="000000" w:themeColor="text1"/>
          <w:szCs w:val="21"/>
        </w:rPr>
        <w:t>.</w:t>
      </w:r>
      <w:r w:rsidR="00504432" w:rsidRPr="003C5007">
        <w:rPr>
          <w:rFonts w:eastAsiaTheme="minorEastAsia"/>
          <w:b/>
          <w:color w:val="000000" w:themeColor="text1"/>
          <w:szCs w:val="21"/>
        </w:rPr>
        <w:t>1</w:t>
      </w:r>
      <w:r w:rsidR="00220542" w:rsidRPr="003C5007">
        <w:rPr>
          <w:rFonts w:eastAsiaTheme="minorEastAsia"/>
          <w:b/>
          <w:color w:val="000000" w:themeColor="text1"/>
          <w:szCs w:val="21"/>
        </w:rPr>
        <w:t>备查文件目录</w:t>
      </w:r>
    </w:p>
    <w:p w:rsidR="008E3BA0" w:rsidRDefault="008E501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基金合同；</w:t>
      </w:r>
    </w:p>
    <w:p w:rsidR="008E3BA0" w:rsidRDefault="008E5013">
      <w:pPr>
        <w:spacing w:line="360" w:lineRule="auto"/>
        <w:ind w:firstLineChars="200" w:firstLine="420"/>
        <w:rPr>
          <w:rFonts w:eastAsiaTheme="minorEastAsia"/>
          <w:color w:val="000000" w:themeColor="text1"/>
          <w:szCs w:val="21"/>
        </w:rPr>
      </w:pPr>
      <w:r>
        <w:rPr>
          <w:rFonts w:eastAsiaTheme="minorEastAsia"/>
          <w:color w:val="000000" w:themeColor="text1"/>
          <w:szCs w:val="21"/>
        </w:rPr>
        <w:t>招募说明书及其定期更新；</w:t>
      </w:r>
    </w:p>
    <w:p w:rsidR="008E3BA0" w:rsidRDefault="008E5013">
      <w:pPr>
        <w:spacing w:line="360" w:lineRule="auto"/>
        <w:ind w:firstLineChars="200" w:firstLine="420"/>
        <w:rPr>
          <w:rFonts w:eastAsiaTheme="minorEastAsia"/>
          <w:color w:val="000000" w:themeColor="text1"/>
          <w:szCs w:val="21"/>
        </w:rPr>
      </w:pPr>
      <w:r>
        <w:rPr>
          <w:rFonts w:eastAsiaTheme="minorEastAsia"/>
          <w:color w:val="000000" w:themeColor="text1"/>
          <w:szCs w:val="21"/>
        </w:rPr>
        <w:t>发售公告；</w:t>
      </w:r>
    </w:p>
    <w:p w:rsidR="008E3BA0" w:rsidRDefault="008E5013">
      <w:pPr>
        <w:spacing w:line="360" w:lineRule="auto"/>
        <w:ind w:firstLineChars="200" w:firstLine="420"/>
        <w:rPr>
          <w:rFonts w:eastAsiaTheme="minorEastAsia"/>
          <w:color w:val="000000" w:themeColor="text1"/>
          <w:szCs w:val="21"/>
        </w:rPr>
      </w:pPr>
      <w:r>
        <w:rPr>
          <w:rFonts w:eastAsiaTheme="minorEastAsia"/>
          <w:color w:val="000000" w:themeColor="text1"/>
          <w:szCs w:val="21"/>
        </w:rPr>
        <w:t>成立公告；</w:t>
      </w:r>
    </w:p>
    <w:p w:rsidR="008E3BA0" w:rsidRDefault="008E5013">
      <w:pPr>
        <w:spacing w:line="360" w:lineRule="auto"/>
        <w:ind w:firstLineChars="200" w:firstLine="420"/>
        <w:rPr>
          <w:rFonts w:eastAsiaTheme="minorEastAsia"/>
          <w:color w:val="000000" w:themeColor="text1"/>
          <w:szCs w:val="21"/>
        </w:rPr>
      </w:pPr>
      <w:r>
        <w:rPr>
          <w:rFonts w:eastAsiaTheme="minorEastAsia"/>
          <w:color w:val="000000" w:themeColor="text1"/>
          <w:szCs w:val="21"/>
        </w:rPr>
        <w:t>开放日常交易业务公告；</w:t>
      </w:r>
    </w:p>
    <w:p w:rsidR="008E3BA0" w:rsidRDefault="008E5013">
      <w:pPr>
        <w:spacing w:line="360" w:lineRule="auto"/>
        <w:ind w:firstLineChars="200" w:firstLine="420"/>
        <w:rPr>
          <w:rFonts w:eastAsiaTheme="minorEastAsia"/>
          <w:color w:val="000000" w:themeColor="text1"/>
          <w:szCs w:val="21"/>
        </w:rPr>
      </w:pPr>
      <w:r>
        <w:rPr>
          <w:rFonts w:eastAsiaTheme="minorEastAsia"/>
          <w:color w:val="000000" w:themeColor="text1"/>
          <w:szCs w:val="21"/>
        </w:rPr>
        <w:t>定期报告；</w:t>
      </w:r>
    </w:p>
    <w:p w:rsidR="00220542" w:rsidRPr="003C5007" w:rsidRDefault="007C1A93" w:rsidP="003C5007">
      <w:pPr>
        <w:spacing w:line="360" w:lineRule="auto"/>
        <w:ind w:firstLineChars="200" w:firstLine="420"/>
        <w:rPr>
          <w:rFonts w:eastAsiaTheme="minorEastAsia"/>
          <w:color w:val="000000" w:themeColor="text1"/>
          <w:szCs w:val="21"/>
        </w:rPr>
      </w:pPr>
      <w:r w:rsidRPr="003C5007">
        <w:rPr>
          <w:rFonts w:eastAsiaTheme="minorEastAsia"/>
          <w:color w:val="000000" w:themeColor="text1"/>
          <w:szCs w:val="21"/>
        </w:rPr>
        <w:t>其他临时公告。</w:t>
      </w:r>
    </w:p>
    <w:p w:rsidR="00220542" w:rsidRPr="003C5007" w:rsidRDefault="00220542" w:rsidP="003C5007">
      <w:pPr>
        <w:spacing w:line="360" w:lineRule="auto"/>
        <w:ind w:firstLineChars="200" w:firstLine="420"/>
        <w:rPr>
          <w:rFonts w:eastAsiaTheme="minorEastAsia"/>
          <w:color w:val="000000" w:themeColor="text1"/>
          <w:szCs w:val="21"/>
        </w:rPr>
      </w:pPr>
    </w:p>
    <w:p w:rsidR="00220542" w:rsidRPr="003C5007" w:rsidRDefault="00122A26" w:rsidP="003C5007">
      <w:pPr>
        <w:spacing w:line="360" w:lineRule="auto"/>
        <w:rPr>
          <w:rFonts w:eastAsiaTheme="minorEastAsia"/>
          <w:b/>
          <w:color w:val="000000" w:themeColor="text1"/>
          <w:szCs w:val="21"/>
        </w:rPr>
      </w:pPr>
      <w:r w:rsidRPr="003C5007">
        <w:rPr>
          <w:rFonts w:eastAsiaTheme="minorEastAsia"/>
          <w:b/>
          <w:color w:val="000000" w:themeColor="text1"/>
          <w:szCs w:val="21"/>
        </w:rPr>
        <w:t>9</w:t>
      </w:r>
      <w:r w:rsidR="00220542" w:rsidRPr="003C5007">
        <w:rPr>
          <w:rFonts w:eastAsiaTheme="minorEastAsia"/>
          <w:b/>
          <w:color w:val="000000" w:themeColor="text1"/>
          <w:szCs w:val="21"/>
        </w:rPr>
        <w:t>.</w:t>
      </w:r>
      <w:r w:rsidR="00504432" w:rsidRPr="003C5007">
        <w:rPr>
          <w:rFonts w:eastAsiaTheme="minorEastAsia"/>
          <w:b/>
          <w:color w:val="000000" w:themeColor="text1"/>
          <w:szCs w:val="21"/>
        </w:rPr>
        <w:t>2</w:t>
      </w:r>
      <w:r w:rsidR="00220542" w:rsidRPr="003C5007">
        <w:rPr>
          <w:rFonts w:eastAsiaTheme="minorEastAsia"/>
          <w:b/>
          <w:color w:val="000000" w:themeColor="text1"/>
          <w:szCs w:val="21"/>
        </w:rPr>
        <w:t>存放地点</w:t>
      </w:r>
    </w:p>
    <w:p w:rsidR="00220542" w:rsidRPr="003C5007" w:rsidRDefault="007C1A93" w:rsidP="003C5007">
      <w:pPr>
        <w:spacing w:line="360" w:lineRule="auto"/>
        <w:ind w:firstLineChars="200" w:firstLine="420"/>
        <w:rPr>
          <w:rFonts w:eastAsiaTheme="minorEastAsia"/>
          <w:color w:val="000000" w:themeColor="text1"/>
          <w:szCs w:val="21"/>
        </w:rPr>
      </w:pPr>
      <w:r w:rsidRPr="003C5007">
        <w:rPr>
          <w:rFonts w:eastAsiaTheme="minorEastAsia"/>
          <w:color w:val="000000" w:themeColor="text1"/>
          <w:szCs w:val="21"/>
        </w:rPr>
        <w:t>上述备查文件中基金合同、招募说明书及其定期更新、基金发售公告和基金成立公告均放置于本基金管理人及基金托管人的住所；开放日常交易业务公告、定期报告和其他临时公告放置于本基金管理人的住所。本基金管理人住所地址为：中国上海市中山南路</w:t>
      </w:r>
      <w:r w:rsidRPr="003C5007">
        <w:rPr>
          <w:rFonts w:eastAsiaTheme="minorEastAsia"/>
          <w:color w:val="000000" w:themeColor="text1"/>
          <w:szCs w:val="21"/>
        </w:rPr>
        <w:t>100</w:t>
      </w:r>
      <w:r w:rsidRPr="003C5007">
        <w:rPr>
          <w:rFonts w:eastAsiaTheme="minorEastAsia"/>
          <w:color w:val="000000" w:themeColor="text1"/>
          <w:szCs w:val="21"/>
        </w:rPr>
        <w:t>号</w:t>
      </w:r>
      <w:r w:rsidRPr="003C5007">
        <w:rPr>
          <w:rFonts w:eastAsiaTheme="minorEastAsia"/>
          <w:color w:val="000000" w:themeColor="text1"/>
          <w:szCs w:val="21"/>
        </w:rPr>
        <w:t>11</w:t>
      </w:r>
      <w:r w:rsidRPr="003C5007">
        <w:rPr>
          <w:rFonts w:eastAsiaTheme="minorEastAsia"/>
          <w:color w:val="000000" w:themeColor="text1"/>
          <w:szCs w:val="21"/>
        </w:rPr>
        <w:t>层。</w:t>
      </w:r>
    </w:p>
    <w:p w:rsidR="00220542" w:rsidRPr="003C5007" w:rsidRDefault="00220542" w:rsidP="003C5007">
      <w:pPr>
        <w:spacing w:line="360" w:lineRule="auto"/>
        <w:ind w:firstLineChars="200" w:firstLine="420"/>
        <w:rPr>
          <w:rFonts w:eastAsiaTheme="minorEastAsia"/>
          <w:color w:val="000000" w:themeColor="text1"/>
          <w:szCs w:val="21"/>
        </w:rPr>
      </w:pPr>
    </w:p>
    <w:p w:rsidR="00220542" w:rsidRPr="003C5007" w:rsidRDefault="00122A26" w:rsidP="003C5007">
      <w:pPr>
        <w:spacing w:line="360" w:lineRule="auto"/>
        <w:rPr>
          <w:rFonts w:eastAsiaTheme="minorEastAsia"/>
          <w:b/>
          <w:color w:val="000000" w:themeColor="text1"/>
          <w:szCs w:val="21"/>
        </w:rPr>
      </w:pPr>
      <w:r w:rsidRPr="003C5007">
        <w:rPr>
          <w:rFonts w:eastAsiaTheme="minorEastAsia"/>
          <w:b/>
          <w:color w:val="000000" w:themeColor="text1"/>
          <w:szCs w:val="21"/>
        </w:rPr>
        <w:t>9</w:t>
      </w:r>
      <w:r w:rsidR="00220542" w:rsidRPr="003C5007">
        <w:rPr>
          <w:rFonts w:eastAsiaTheme="minorEastAsia"/>
          <w:b/>
          <w:color w:val="000000" w:themeColor="text1"/>
          <w:szCs w:val="21"/>
        </w:rPr>
        <w:t>.</w:t>
      </w:r>
      <w:r w:rsidR="00504432" w:rsidRPr="003C5007">
        <w:rPr>
          <w:rFonts w:eastAsiaTheme="minorEastAsia"/>
          <w:b/>
          <w:color w:val="000000" w:themeColor="text1"/>
          <w:szCs w:val="21"/>
        </w:rPr>
        <w:t>3</w:t>
      </w:r>
      <w:r w:rsidR="00220542" w:rsidRPr="003C5007">
        <w:rPr>
          <w:rFonts w:eastAsiaTheme="minorEastAsia"/>
          <w:b/>
          <w:color w:val="000000" w:themeColor="text1"/>
          <w:szCs w:val="21"/>
        </w:rPr>
        <w:t>查阅方式</w:t>
      </w:r>
    </w:p>
    <w:p w:rsidR="00220542" w:rsidRPr="003C5007" w:rsidRDefault="007C1A93" w:rsidP="003C5007">
      <w:pPr>
        <w:spacing w:line="360" w:lineRule="auto"/>
        <w:ind w:firstLineChars="200" w:firstLine="420"/>
        <w:rPr>
          <w:rFonts w:eastAsiaTheme="minorEastAsia"/>
          <w:color w:val="000000" w:themeColor="text1"/>
          <w:szCs w:val="21"/>
        </w:rPr>
      </w:pPr>
      <w:r w:rsidRPr="003C5007">
        <w:rPr>
          <w:rFonts w:eastAsiaTheme="minorEastAsia"/>
          <w:color w:val="000000" w:themeColor="text1"/>
          <w:szCs w:val="21"/>
        </w:rPr>
        <w:t>上述文件均可到本基金管理人的住所进行查阅，也可在本基金管理人的网站进行查阅，查询网址：</w:t>
      </w:r>
      <w:r w:rsidRPr="003C5007">
        <w:rPr>
          <w:rFonts w:eastAsiaTheme="minorEastAsia"/>
          <w:color w:val="000000" w:themeColor="text1"/>
          <w:szCs w:val="21"/>
        </w:rPr>
        <w:t>www.swsmu.com</w:t>
      </w:r>
      <w:r w:rsidRPr="003C5007">
        <w:rPr>
          <w:rFonts w:eastAsiaTheme="minorEastAsia"/>
          <w:color w:val="000000" w:themeColor="text1"/>
          <w:szCs w:val="21"/>
        </w:rPr>
        <w:t>。</w:t>
      </w:r>
    </w:p>
    <w:p w:rsidR="00220542" w:rsidRPr="003C5007" w:rsidRDefault="00220542" w:rsidP="003C5007">
      <w:pPr>
        <w:spacing w:line="360" w:lineRule="auto"/>
        <w:ind w:left="840"/>
        <w:jc w:val="right"/>
        <w:rPr>
          <w:rFonts w:eastAsiaTheme="minorEastAsia"/>
          <w:color w:val="000000" w:themeColor="text1"/>
          <w:szCs w:val="21"/>
        </w:rPr>
      </w:pPr>
    </w:p>
    <w:p w:rsidR="009A037F" w:rsidRPr="003C5007" w:rsidRDefault="009A037F" w:rsidP="003C5007">
      <w:pPr>
        <w:spacing w:line="360" w:lineRule="auto"/>
        <w:ind w:left="840"/>
        <w:jc w:val="right"/>
        <w:rPr>
          <w:rFonts w:eastAsiaTheme="minorEastAsia"/>
          <w:color w:val="000000" w:themeColor="text1"/>
          <w:szCs w:val="21"/>
        </w:rPr>
      </w:pPr>
    </w:p>
    <w:p w:rsidR="009A037F" w:rsidRPr="003C5007" w:rsidRDefault="009A037F" w:rsidP="003C5007">
      <w:pPr>
        <w:spacing w:line="360" w:lineRule="auto"/>
        <w:ind w:left="840"/>
        <w:jc w:val="right"/>
        <w:rPr>
          <w:rFonts w:eastAsiaTheme="minorEastAsia"/>
          <w:color w:val="000000" w:themeColor="text1"/>
          <w:szCs w:val="21"/>
        </w:rPr>
      </w:pPr>
    </w:p>
    <w:p w:rsidR="009A037F" w:rsidRPr="003C5007" w:rsidRDefault="009A037F" w:rsidP="003C5007">
      <w:pPr>
        <w:spacing w:line="360" w:lineRule="auto"/>
        <w:ind w:left="840"/>
        <w:jc w:val="right"/>
        <w:rPr>
          <w:rFonts w:eastAsiaTheme="minorEastAsia"/>
          <w:color w:val="000000" w:themeColor="text1"/>
          <w:szCs w:val="21"/>
        </w:rPr>
      </w:pPr>
    </w:p>
    <w:p w:rsidR="00220542" w:rsidRPr="003C5007" w:rsidRDefault="00220542" w:rsidP="003C5007">
      <w:pPr>
        <w:spacing w:line="360" w:lineRule="auto"/>
        <w:ind w:left="840"/>
        <w:jc w:val="right"/>
        <w:rPr>
          <w:rFonts w:eastAsiaTheme="minorEastAsia"/>
          <w:color w:val="000000" w:themeColor="text1"/>
          <w:szCs w:val="21"/>
        </w:rPr>
      </w:pPr>
    </w:p>
    <w:p w:rsidR="007C1A93" w:rsidRPr="003C5007" w:rsidRDefault="007C1A93" w:rsidP="003C5007">
      <w:pPr>
        <w:spacing w:line="360" w:lineRule="auto"/>
        <w:jc w:val="right"/>
        <w:rPr>
          <w:rFonts w:eastAsiaTheme="minorEastAsia"/>
          <w:b/>
          <w:bCs/>
          <w:color w:val="000000" w:themeColor="text1"/>
          <w:szCs w:val="21"/>
        </w:rPr>
      </w:pPr>
      <w:r w:rsidRPr="003C5007">
        <w:rPr>
          <w:rFonts w:eastAsiaTheme="minorEastAsia"/>
          <w:b/>
          <w:bCs/>
          <w:color w:val="000000" w:themeColor="text1"/>
          <w:szCs w:val="21"/>
        </w:rPr>
        <w:t>申万菱信基金管理有限公司</w:t>
      </w:r>
    </w:p>
    <w:p w:rsidR="00220542" w:rsidRPr="003C5007" w:rsidRDefault="005C0A04" w:rsidP="003C5007">
      <w:pPr>
        <w:spacing w:line="360" w:lineRule="auto"/>
        <w:jc w:val="right"/>
        <w:rPr>
          <w:rFonts w:eastAsiaTheme="minorEastAsia"/>
          <w:b/>
          <w:bCs/>
          <w:color w:val="000000" w:themeColor="text1"/>
          <w:szCs w:val="21"/>
        </w:rPr>
      </w:pPr>
      <w:r w:rsidRPr="003C5007">
        <w:rPr>
          <w:rFonts w:eastAsiaTheme="minorEastAsia"/>
          <w:b/>
          <w:bCs/>
          <w:color w:val="000000" w:themeColor="text1"/>
          <w:szCs w:val="21"/>
        </w:rPr>
        <w:t>二〇一七年七月二十一日</w:t>
      </w:r>
    </w:p>
    <w:p w:rsidR="009B1B32" w:rsidRPr="003C5007" w:rsidRDefault="009B1B32" w:rsidP="003C5007">
      <w:pPr>
        <w:spacing w:line="360" w:lineRule="auto"/>
        <w:ind w:firstLineChars="900" w:firstLine="1897"/>
        <w:rPr>
          <w:rFonts w:eastAsiaTheme="minorEastAsia"/>
          <w:b/>
          <w:color w:val="000000" w:themeColor="text1"/>
          <w:szCs w:val="21"/>
        </w:rPr>
      </w:pPr>
    </w:p>
    <w:sectPr w:rsidR="009B1B32" w:rsidRPr="003C5007" w:rsidSect="00DB4450">
      <w:footerReference w:type="even" r:id="rId13"/>
      <w:footerReference w:type="default" r:id="rId14"/>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A35" w:rsidRDefault="00767A35">
      <w:r>
        <w:separator/>
      </w:r>
    </w:p>
  </w:endnote>
  <w:endnote w:type="continuationSeparator" w:id="0">
    <w:p w:rsidR="00767A35" w:rsidRDefault="00767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A35" w:rsidRPr="001D0DB0" w:rsidRDefault="00767A35" w:rsidP="00230A66">
    <w:pPr>
      <w:pStyle w:val="a6"/>
      <w:jc w:val="center"/>
    </w:pPr>
    <w:r>
      <w:rPr>
        <w:kern w:val="0"/>
        <w:szCs w:val="21"/>
      </w:rPr>
      <w:fldChar w:fldCharType="begin"/>
    </w:r>
    <w:r>
      <w:rPr>
        <w:kern w:val="0"/>
        <w:szCs w:val="21"/>
      </w:rPr>
      <w:instrText xml:space="preserve"> PAGE </w:instrText>
    </w:r>
    <w:r>
      <w:rPr>
        <w:kern w:val="0"/>
        <w:szCs w:val="21"/>
      </w:rPr>
      <w:fldChar w:fldCharType="separate"/>
    </w:r>
    <w:r w:rsidR="00AE205A">
      <w:rPr>
        <w:noProof/>
        <w:kern w:val="0"/>
        <w:szCs w:val="21"/>
      </w:rPr>
      <w:t>1</w:t>
    </w:r>
    <w:r>
      <w:rPr>
        <w:kern w:val="0"/>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A35" w:rsidRDefault="00767A3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67A35" w:rsidRDefault="00767A35">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A35" w:rsidRDefault="00767A3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AE205A">
      <w:rPr>
        <w:rStyle w:val="a7"/>
        <w:noProof/>
      </w:rPr>
      <w:t>2</w:t>
    </w:r>
    <w:r>
      <w:rPr>
        <w:rStyle w:val="a7"/>
      </w:rPr>
      <w:fldChar w:fldCharType="end"/>
    </w:r>
  </w:p>
  <w:p w:rsidR="00767A35" w:rsidRDefault="00767A3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A35" w:rsidRDefault="00767A35">
      <w:r>
        <w:separator/>
      </w:r>
    </w:p>
  </w:footnote>
  <w:footnote w:type="continuationSeparator" w:id="0">
    <w:p w:rsidR="00767A35" w:rsidRDefault="00767A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A35" w:rsidRPr="00F10EAB" w:rsidRDefault="00767A35" w:rsidP="00F10EAB">
    <w:pPr>
      <w:pStyle w:val="a9"/>
      <w:jc w:val="right"/>
    </w:pPr>
    <w:r w:rsidRPr="00F10EAB">
      <w:rPr>
        <w:rFonts w:hint="eastAsia"/>
      </w:rPr>
      <w:t>申万菱信中小</w:t>
    </w:r>
    <w:proofErr w:type="gramStart"/>
    <w:r w:rsidRPr="00F10EAB">
      <w:rPr>
        <w:rFonts w:hint="eastAsia"/>
      </w:rPr>
      <w:t>板指数</w:t>
    </w:r>
    <w:proofErr w:type="gramEnd"/>
    <w:r w:rsidRPr="00F10EAB">
      <w:rPr>
        <w:rFonts w:hint="eastAsia"/>
      </w:rPr>
      <w:t>证券投资基金</w:t>
    </w:r>
    <w:r w:rsidRPr="00F10EAB">
      <w:rPr>
        <w:rFonts w:hint="eastAsia"/>
      </w:rPr>
      <w:t>(LOF)(</w:t>
    </w:r>
    <w:r w:rsidRPr="00F10EAB">
      <w:rPr>
        <w:rFonts w:hint="eastAsia"/>
      </w:rPr>
      <w:t>原申万菱信中小</w:t>
    </w:r>
    <w:proofErr w:type="gramStart"/>
    <w:r w:rsidRPr="00F10EAB">
      <w:rPr>
        <w:rFonts w:hint="eastAsia"/>
      </w:rPr>
      <w:t>板指数</w:t>
    </w:r>
    <w:proofErr w:type="gramEnd"/>
    <w:r w:rsidRPr="00F10EAB">
      <w:rPr>
        <w:rFonts w:hint="eastAsia"/>
      </w:rPr>
      <w:t>分级证券投资基金</w:t>
    </w:r>
    <w:r w:rsidRPr="00F10EAB">
      <w:rPr>
        <w:rFonts w:hint="eastAsia"/>
      </w:rPr>
      <w:t>)2017</w:t>
    </w:r>
    <w:r w:rsidRPr="00F10EAB">
      <w:rPr>
        <w:rFonts w:hint="eastAsia"/>
      </w:rPr>
      <w:t>年第</w:t>
    </w:r>
    <w:r w:rsidRPr="00F10EAB">
      <w:rPr>
        <w:rFonts w:hint="eastAsia"/>
      </w:rPr>
      <w:t>2</w:t>
    </w:r>
    <w:r w:rsidRPr="00F10EAB">
      <w:rPr>
        <w:rFonts w:hint="eastAsia"/>
      </w:rPr>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PostScriptOverText/>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09DA"/>
    <w:rsid w:val="000020BB"/>
    <w:rsid w:val="0000403B"/>
    <w:rsid w:val="00005911"/>
    <w:rsid w:val="00010A83"/>
    <w:rsid w:val="00010A8E"/>
    <w:rsid w:val="00010AC3"/>
    <w:rsid w:val="000115A7"/>
    <w:rsid w:val="00011EB5"/>
    <w:rsid w:val="0001280C"/>
    <w:rsid w:val="00017581"/>
    <w:rsid w:val="00020583"/>
    <w:rsid w:val="00021DD4"/>
    <w:rsid w:val="00023BE7"/>
    <w:rsid w:val="00037FCF"/>
    <w:rsid w:val="000421B8"/>
    <w:rsid w:val="000433E8"/>
    <w:rsid w:val="00043ABF"/>
    <w:rsid w:val="000445E4"/>
    <w:rsid w:val="00045BEC"/>
    <w:rsid w:val="000510AB"/>
    <w:rsid w:val="00055AF1"/>
    <w:rsid w:val="000625A6"/>
    <w:rsid w:val="00064AE3"/>
    <w:rsid w:val="00064BBD"/>
    <w:rsid w:val="00066524"/>
    <w:rsid w:val="00070CD1"/>
    <w:rsid w:val="0007171B"/>
    <w:rsid w:val="00072E4F"/>
    <w:rsid w:val="00074E9F"/>
    <w:rsid w:val="0007721B"/>
    <w:rsid w:val="00081D05"/>
    <w:rsid w:val="000820A8"/>
    <w:rsid w:val="000824B7"/>
    <w:rsid w:val="00084EE5"/>
    <w:rsid w:val="00087CF7"/>
    <w:rsid w:val="00091560"/>
    <w:rsid w:val="00093160"/>
    <w:rsid w:val="00094876"/>
    <w:rsid w:val="00095912"/>
    <w:rsid w:val="00095CE0"/>
    <w:rsid w:val="00096933"/>
    <w:rsid w:val="00097230"/>
    <w:rsid w:val="0009778D"/>
    <w:rsid w:val="000A457E"/>
    <w:rsid w:val="000A53FD"/>
    <w:rsid w:val="000A549A"/>
    <w:rsid w:val="000A5F96"/>
    <w:rsid w:val="000A72F2"/>
    <w:rsid w:val="000B0C56"/>
    <w:rsid w:val="000B3E43"/>
    <w:rsid w:val="000B5CC0"/>
    <w:rsid w:val="000C1723"/>
    <w:rsid w:val="000C1B20"/>
    <w:rsid w:val="000C4107"/>
    <w:rsid w:val="000C45E7"/>
    <w:rsid w:val="000D01F4"/>
    <w:rsid w:val="000D117D"/>
    <w:rsid w:val="000D1519"/>
    <w:rsid w:val="000D1C87"/>
    <w:rsid w:val="000E17F6"/>
    <w:rsid w:val="000E4456"/>
    <w:rsid w:val="000F175F"/>
    <w:rsid w:val="000F17D1"/>
    <w:rsid w:val="000F60FF"/>
    <w:rsid w:val="000F635F"/>
    <w:rsid w:val="000F6C61"/>
    <w:rsid w:val="00100C12"/>
    <w:rsid w:val="00101DBA"/>
    <w:rsid w:val="001049B6"/>
    <w:rsid w:val="001051C6"/>
    <w:rsid w:val="0011177A"/>
    <w:rsid w:val="00112E9B"/>
    <w:rsid w:val="00116E31"/>
    <w:rsid w:val="00117D3D"/>
    <w:rsid w:val="00122A26"/>
    <w:rsid w:val="0012304E"/>
    <w:rsid w:val="001248EF"/>
    <w:rsid w:val="001257C7"/>
    <w:rsid w:val="00126DDF"/>
    <w:rsid w:val="001270BF"/>
    <w:rsid w:val="00127BAC"/>
    <w:rsid w:val="00131D06"/>
    <w:rsid w:val="0013360F"/>
    <w:rsid w:val="00135DC0"/>
    <w:rsid w:val="00141121"/>
    <w:rsid w:val="00142A56"/>
    <w:rsid w:val="00144DF5"/>
    <w:rsid w:val="00145A97"/>
    <w:rsid w:val="00146485"/>
    <w:rsid w:val="00150AD6"/>
    <w:rsid w:val="00153B40"/>
    <w:rsid w:val="00154ADA"/>
    <w:rsid w:val="0015531A"/>
    <w:rsid w:val="001600E8"/>
    <w:rsid w:val="00163B27"/>
    <w:rsid w:val="00165317"/>
    <w:rsid w:val="0017188E"/>
    <w:rsid w:val="00171BAD"/>
    <w:rsid w:val="00172410"/>
    <w:rsid w:val="001744B4"/>
    <w:rsid w:val="001756A1"/>
    <w:rsid w:val="001761EE"/>
    <w:rsid w:val="00176EAA"/>
    <w:rsid w:val="0017725A"/>
    <w:rsid w:val="001779ED"/>
    <w:rsid w:val="00177C4B"/>
    <w:rsid w:val="00180E68"/>
    <w:rsid w:val="0018325A"/>
    <w:rsid w:val="00186199"/>
    <w:rsid w:val="001928F7"/>
    <w:rsid w:val="00194537"/>
    <w:rsid w:val="0019563C"/>
    <w:rsid w:val="00195F18"/>
    <w:rsid w:val="001A0F0C"/>
    <w:rsid w:val="001A21A9"/>
    <w:rsid w:val="001A59D8"/>
    <w:rsid w:val="001A5FA6"/>
    <w:rsid w:val="001A6A3B"/>
    <w:rsid w:val="001A6F8A"/>
    <w:rsid w:val="001A7FF1"/>
    <w:rsid w:val="001B2F0C"/>
    <w:rsid w:val="001C37F6"/>
    <w:rsid w:val="001C5D85"/>
    <w:rsid w:val="001C6288"/>
    <w:rsid w:val="001D0F6A"/>
    <w:rsid w:val="001D21BC"/>
    <w:rsid w:val="001D2FA5"/>
    <w:rsid w:val="001D35E0"/>
    <w:rsid w:val="001D3711"/>
    <w:rsid w:val="001D3CDF"/>
    <w:rsid w:val="001D5045"/>
    <w:rsid w:val="001D5A44"/>
    <w:rsid w:val="001D5A8E"/>
    <w:rsid w:val="001D724B"/>
    <w:rsid w:val="001D7B6C"/>
    <w:rsid w:val="001E11D3"/>
    <w:rsid w:val="001E2A6A"/>
    <w:rsid w:val="001E3DC2"/>
    <w:rsid w:val="001E56FF"/>
    <w:rsid w:val="001E5C6B"/>
    <w:rsid w:val="001E78F6"/>
    <w:rsid w:val="001F03E1"/>
    <w:rsid w:val="001F3CC6"/>
    <w:rsid w:val="001F4530"/>
    <w:rsid w:val="001F5265"/>
    <w:rsid w:val="001F6F13"/>
    <w:rsid w:val="002010DE"/>
    <w:rsid w:val="00202885"/>
    <w:rsid w:val="00202968"/>
    <w:rsid w:val="00202C32"/>
    <w:rsid w:val="00203AEF"/>
    <w:rsid w:val="00211A26"/>
    <w:rsid w:val="002125F7"/>
    <w:rsid w:val="002141B6"/>
    <w:rsid w:val="00214463"/>
    <w:rsid w:val="00214756"/>
    <w:rsid w:val="00215CF2"/>
    <w:rsid w:val="00217171"/>
    <w:rsid w:val="00220542"/>
    <w:rsid w:val="00221174"/>
    <w:rsid w:val="00225421"/>
    <w:rsid w:val="00225ADC"/>
    <w:rsid w:val="00227748"/>
    <w:rsid w:val="00230A66"/>
    <w:rsid w:val="00230EC2"/>
    <w:rsid w:val="002359EB"/>
    <w:rsid w:val="002363AB"/>
    <w:rsid w:val="00236807"/>
    <w:rsid w:val="00237F06"/>
    <w:rsid w:val="0024260D"/>
    <w:rsid w:val="00245012"/>
    <w:rsid w:val="0024504E"/>
    <w:rsid w:val="0024651F"/>
    <w:rsid w:val="00250062"/>
    <w:rsid w:val="00250BE3"/>
    <w:rsid w:val="0025158D"/>
    <w:rsid w:val="0025281A"/>
    <w:rsid w:val="00253CE8"/>
    <w:rsid w:val="00253D3C"/>
    <w:rsid w:val="00255292"/>
    <w:rsid w:val="0025606F"/>
    <w:rsid w:val="00260200"/>
    <w:rsid w:val="00263563"/>
    <w:rsid w:val="002648D8"/>
    <w:rsid w:val="00265BA7"/>
    <w:rsid w:val="00267B74"/>
    <w:rsid w:val="00270548"/>
    <w:rsid w:val="00273F86"/>
    <w:rsid w:val="002774F0"/>
    <w:rsid w:val="00283272"/>
    <w:rsid w:val="0028459B"/>
    <w:rsid w:val="00284C5F"/>
    <w:rsid w:val="002873F0"/>
    <w:rsid w:val="00287AC3"/>
    <w:rsid w:val="00295C5D"/>
    <w:rsid w:val="002964F9"/>
    <w:rsid w:val="002A1F14"/>
    <w:rsid w:val="002A2678"/>
    <w:rsid w:val="002A2E01"/>
    <w:rsid w:val="002A2F10"/>
    <w:rsid w:val="002A398F"/>
    <w:rsid w:val="002A3B4A"/>
    <w:rsid w:val="002A5C6B"/>
    <w:rsid w:val="002A5D31"/>
    <w:rsid w:val="002A714F"/>
    <w:rsid w:val="002B1851"/>
    <w:rsid w:val="002B27FF"/>
    <w:rsid w:val="002B6793"/>
    <w:rsid w:val="002B7C16"/>
    <w:rsid w:val="002C1726"/>
    <w:rsid w:val="002C21A6"/>
    <w:rsid w:val="002C2610"/>
    <w:rsid w:val="002C26D5"/>
    <w:rsid w:val="002C5777"/>
    <w:rsid w:val="002C6F40"/>
    <w:rsid w:val="002D011B"/>
    <w:rsid w:val="002D32E3"/>
    <w:rsid w:val="002E0FEB"/>
    <w:rsid w:val="002E300D"/>
    <w:rsid w:val="002F0F79"/>
    <w:rsid w:val="002F1CC8"/>
    <w:rsid w:val="002F280E"/>
    <w:rsid w:val="002F3709"/>
    <w:rsid w:val="002F3A6C"/>
    <w:rsid w:val="002F4296"/>
    <w:rsid w:val="00300951"/>
    <w:rsid w:val="003023C9"/>
    <w:rsid w:val="00302CA8"/>
    <w:rsid w:val="00302DE9"/>
    <w:rsid w:val="00305084"/>
    <w:rsid w:val="00310086"/>
    <w:rsid w:val="00312FE8"/>
    <w:rsid w:val="0031358C"/>
    <w:rsid w:val="00313AE2"/>
    <w:rsid w:val="0031630D"/>
    <w:rsid w:val="003204E9"/>
    <w:rsid w:val="00321E8C"/>
    <w:rsid w:val="00322A86"/>
    <w:rsid w:val="00323AE8"/>
    <w:rsid w:val="00324548"/>
    <w:rsid w:val="003251F4"/>
    <w:rsid w:val="003303E3"/>
    <w:rsid w:val="00331FA4"/>
    <w:rsid w:val="003329EA"/>
    <w:rsid w:val="003347EF"/>
    <w:rsid w:val="00337293"/>
    <w:rsid w:val="003407A5"/>
    <w:rsid w:val="00341188"/>
    <w:rsid w:val="0034147B"/>
    <w:rsid w:val="00343F87"/>
    <w:rsid w:val="00345AA8"/>
    <w:rsid w:val="00350238"/>
    <w:rsid w:val="0035109C"/>
    <w:rsid w:val="00351F0A"/>
    <w:rsid w:val="0035432B"/>
    <w:rsid w:val="00357172"/>
    <w:rsid w:val="003613A8"/>
    <w:rsid w:val="00361E7E"/>
    <w:rsid w:val="0036360E"/>
    <w:rsid w:val="00364504"/>
    <w:rsid w:val="00370AA4"/>
    <w:rsid w:val="00371FF4"/>
    <w:rsid w:val="00376C39"/>
    <w:rsid w:val="00377520"/>
    <w:rsid w:val="00380D36"/>
    <w:rsid w:val="003822D3"/>
    <w:rsid w:val="003834E0"/>
    <w:rsid w:val="00386630"/>
    <w:rsid w:val="00390B25"/>
    <w:rsid w:val="00397156"/>
    <w:rsid w:val="00397960"/>
    <w:rsid w:val="003A0A94"/>
    <w:rsid w:val="003A3BC4"/>
    <w:rsid w:val="003A4060"/>
    <w:rsid w:val="003A458A"/>
    <w:rsid w:val="003B2DA8"/>
    <w:rsid w:val="003B2F13"/>
    <w:rsid w:val="003B405E"/>
    <w:rsid w:val="003B57D3"/>
    <w:rsid w:val="003C1A49"/>
    <w:rsid w:val="003C1F58"/>
    <w:rsid w:val="003C5007"/>
    <w:rsid w:val="003C6C58"/>
    <w:rsid w:val="003C792F"/>
    <w:rsid w:val="003D124B"/>
    <w:rsid w:val="003D18F3"/>
    <w:rsid w:val="003D78B5"/>
    <w:rsid w:val="003D7922"/>
    <w:rsid w:val="003E244F"/>
    <w:rsid w:val="003E62A6"/>
    <w:rsid w:val="003E695F"/>
    <w:rsid w:val="003E6C9B"/>
    <w:rsid w:val="003E709C"/>
    <w:rsid w:val="003E712B"/>
    <w:rsid w:val="003E7B89"/>
    <w:rsid w:val="003F4241"/>
    <w:rsid w:val="003F7040"/>
    <w:rsid w:val="003F7C45"/>
    <w:rsid w:val="0040132C"/>
    <w:rsid w:val="00405085"/>
    <w:rsid w:val="004066FC"/>
    <w:rsid w:val="00407C10"/>
    <w:rsid w:val="004113B4"/>
    <w:rsid w:val="00413689"/>
    <w:rsid w:val="004143D6"/>
    <w:rsid w:val="00414827"/>
    <w:rsid w:val="00416C10"/>
    <w:rsid w:val="00420355"/>
    <w:rsid w:val="00421E1D"/>
    <w:rsid w:val="00424EF3"/>
    <w:rsid w:val="004268BB"/>
    <w:rsid w:val="00431047"/>
    <w:rsid w:val="004318F0"/>
    <w:rsid w:val="00431B86"/>
    <w:rsid w:val="00435368"/>
    <w:rsid w:val="004408EC"/>
    <w:rsid w:val="004419E2"/>
    <w:rsid w:val="00441E6A"/>
    <w:rsid w:val="0044398D"/>
    <w:rsid w:val="00443C8F"/>
    <w:rsid w:val="00452481"/>
    <w:rsid w:val="00455317"/>
    <w:rsid w:val="004575E9"/>
    <w:rsid w:val="004576F2"/>
    <w:rsid w:val="00457804"/>
    <w:rsid w:val="004646BF"/>
    <w:rsid w:val="00464744"/>
    <w:rsid w:val="004665E3"/>
    <w:rsid w:val="00467683"/>
    <w:rsid w:val="00471864"/>
    <w:rsid w:val="004731F1"/>
    <w:rsid w:val="00480B60"/>
    <w:rsid w:val="00480BC8"/>
    <w:rsid w:val="00481265"/>
    <w:rsid w:val="004814BF"/>
    <w:rsid w:val="004845B9"/>
    <w:rsid w:val="0048587E"/>
    <w:rsid w:val="00486CB7"/>
    <w:rsid w:val="00487C2B"/>
    <w:rsid w:val="0049297D"/>
    <w:rsid w:val="004929F2"/>
    <w:rsid w:val="00495A03"/>
    <w:rsid w:val="004967FC"/>
    <w:rsid w:val="00497079"/>
    <w:rsid w:val="004A00BD"/>
    <w:rsid w:val="004A1BBA"/>
    <w:rsid w:val="004A3E3C"/>
    <w:rsid w:val="004B0E6D"/>
    <w:rsid w:val="004B16E8"/>
    <w:rsid w:val="004B2DB9"/>
    <w:rsid w:val="004B5E54"/>
    <w:rsid w:val="004B6250"/>
    <w:rsid w:val="004B76B1"/>
    <w:rsid w:val="004C0057"/>
    <w:rsid w:val="004C03A7"/>
    <w:rsid w:val="004C0541"/>
    <w:rsid w:val="004C2C46"/>
    <w:rsid w:val="004C5189"/>
    <w:rsid w:val="004C5627"/>
    <w:rsid w:val="004C7235"/>
    <w:rsid w:val="004C7955"/>
    <w:rsid w:val="004D047F"/>
    <w:rsid w:val="004D1A45"/>
    <w:rsid w:val="004D3D96"/>
    <w:rsid w:val="004D417D"/>
    <w:rsid w:val="004D4985"/>
    <w:rsid w:val="004D650F"/>
    <w:rsid w:val="004E2133"/>
    <w:rsid w:val="004E5AB9"/>
    <w:rsid w:val="004E60FB"/>
    <w:rsid w:val="004F4EA9"/>
    <w:rsid w:val="004F759F"/>
    <w:rsid w:val="004F779C"/>
    <w:rsid w:val="004F7846"/>
    <w:rsid w:val="004F7A0E"/>
    <w:rsid w:val="004F7E91"/>
    <w:rsid w:val="005000D4"/>
    <w:rsid w:val="00500F1D"/>
    <w:rsid w:val="00504285"/>
    <w:rsid w:val="00504432"/>
    <w:rsid w:val="00505EE0"/>
    <w:rsid w:val="0050638D"/>
    <w:rsid w:val="00510CAF"/>
    <w:rsid w:val="00511B6A"/>
    <w:rsid w:val="005128C5"/>
    <w:rsid w:val="00514754"/>
    <w:rsid w:val="0051478B"/>
    <w:rsid w:val="0051566A"/>
    <w:rsid w:val="00515D7B"/>
    <w:rsid w:val="005166E9"/>
    <w:rsid w:val="0052009E"/>
    <w:rsid w:val="00521065"/>
    <w:rsid w:val="00525E59"/>
    <w:rsid w:val="005262F6"/>
    <w:rsid w:val="005318CC"/>
    <w:rsid w:val="00531D1B"/>
    <w:rsid w:val="005349B1"/>
    <w:rsid w:val="005374BC"/>
    <w:rsid w:val="00543188"/>
    <w:rsid w:val="00543367"/>
    <w:rsid w:val="00543BFA"/>
    <w:rsid w:val="00547D9C"/>
    <w:rsid w:val="00547DA1"/>
    <w:rsid w:val="00551CED"/>
    <w:rsid w:val="00554EAB"/>
    <w:rsid w:val="0055513C"/>
    <w:rsid w:val="00560ABC"/>
    <w:rsid w:val="00560C94"/>
    <w:rsid w:val="0056291C"/>
    <w:rsid w:val="00565A63"/>
    <w:rsid w:val="00566588"/>
    <w:rsid w:val="00570B1A"/>
    <w:rsid w:val="00572736"/>
    <w:rsid w:val="0057275D"/>
    <w:rsid w:val="00577214"/>
    <w:rsid w:val="005800A9"/>
    <w:rsid w:val="00580488"/>
    <w:rsid w:val="0058074D"/>
    <w:rsid w:val="00580FD1"/>
    <w:rsid w:val="00582FAD"/>
    <w:rsid w:val="00583489"/>
    <w:rsid w:val="00583A98"/>
    <w:rsid w:val="005858C4"/>
    <w:rsid w:val="00585A99"/>
    <w:rsid w:val="00590FE4"/>
    <w:rsid w:val="00591D9C"/>
    <w:rsid w:val="00597057"/>
    <w:rsid w:val="00597D8B"/>
    <w:rsid w:val="005A1C30"/>
    <w:rsid w:val="005A1C43"/>
    <w:rsid w:val="005A2DCB"/>
    <w:rsid w:val="005A3295"/>
    <w:rsid w:val="005A4027"/>
    <w:rsid w:val="005A46FF"/>
    <w:rsid w:val="005B011E"/>
    <w:rsid w:val="005B1C7D"/>
    <w:rsid w:val="005B1DEC"/>
    <w:rsid w:val="005B2E84"/>
    <w:rsid w:val="005B7B0E"/>
    <w:rsid w:val="005C0A04"/>
    <w:rsid w:val="005C5409"/>
    <w:rsid w:val="005C69AC"/>
    <w:rsid w:val="005C722E"/>
    <w:rsid w:val="005D01A4"/>
    <w:rsid w:val="005D14DE"/>
    <w:rsid w:val="005D3F12"/>
    <w:rsid w:val="005D44E4"/>
    <w:rsid w:val="005D45B3"/>
    <w:rsid w:val="005D4CEB"/>
    <w:rsid w:val="005D6215"/>
    <w:rsid w:val="005E491F"/>
    <w:rsid w:val="005E58CE"/>
    <w:rsid w:val="005E59E9"/>
    <w:rsid w:val="005F04E6"/>
    <w:rsid w:val="005F43B9"/>
    <w:rsid w:val="005F68CB"/>
    <w:rsid w:val="005F6A4A"/>
    <w:rsid w:val="00602154"/>
    <w:rsid w:val="006033E3"/>
    <w:rsid w:val="006054E4"/>
    <w:rsid w:val="00610543"/>
    <w:rsid w:val="0061321C"/>
    <w:rsid w:val="00614F27"/>
    <w:rsid w:val="00620DB0"/>
    <w:rsid w:val="0062386E"/>
    <w:rsid w:val="00623D9A"/>
    <w:rsid w:val="00623F01"/>
    <w:rsid w:val="006242FB"/>
    <w:rsid w:val="00624E5B"/>
    <w:rsid w:val="00626E2D"/>
    <w:rsid w:val="00627D94"/>
    <w:rsid w:val="00630B42"/>
    <w:rsid w:val="00636CDE"/>
    <w:rsid w:val="00637BA7"/>
    <w:rsid w:val="00642072"/>
    <w:rsid w:val="00643330"/>
    <w:rsid w:val="006440ED"/>
    <w:rsid w:val="00645293"/>
    <w:rsid w:val="00651B78"/>
    <w:rsid w:val="00652263"/>
    <w:rsid w:val="00652881"/>
    <w:rsid w:val="00652DDE"/>
    <w:rsid w:val="0065417D"/>
    <w:rsid w:val="00661974"/>
    <w:rsid w:val="00664551"/>
    <w:rsid w:val="00664E44"/>
    <w:rsid w:val="00665677"/>
    <w:rsid w:val="0066704D"/>
    <w:rsid w:val="006676A0"/>
    <w:rsid w:val="00670857"/>
    <w:rsid w:val="00671124"/>
    <w:rsid w:val="006727B0"/>
    <w:rsid w:val="0067307E"/>
    <w:rsid w:val="00675C50"/>
    <w:rsid w:val="00677AC6"/>
    <w:rsid w:val="00687AD5"/>
    <w:rsid w:val="00691AFA"/>
    <w:rsid w:val="0069335C"/>
    <w:rsid w:val="00695251"/>
    <w:rsid w:val="00695ADE"/>
    <w:rsid w:val="00695C0D"/>
    <w:rsid w:val="00696356"/>
    <w:rsid w:val="006A72C6"/>
    <w:rsid w:val="006B02DA"/>
    <w:rsid w:val="006B2065"/>
    <w:rsid w:val="006B3940"/>
    <w:rsid w:val="006C168D"/>
    <w:rsid w:val="006C1D5C"/>
    <w:rsid w:val="006C3C80"/>
    <w:rsid w:val="006C3F43"/>
    <w:rsid w:val="006C642C"/>
    <w:rsid w:val="006C6FC6"/>
    <w:rsid w:val="006D6A40"/>
    <w:rsid w:val="006D6D94"/>
    <w:rsid w:val="006D7693"/>
    <w:rsid w:val="006E231B"/>
    <w:rsid w:val="006E346E"/>
    <w:rsid w:val="006E34B7"/>
    <w:rsid w:val="006F0F87"/>
    <w:rsid w:val="006F2F3E"/>
    <w:rsid w:val="006F4CD8"/>
    <w:rsid w:val="006F53D9"/>
    <w:rsid w:val="006F5E8B"/>
    <w:rsid w:val="006F6A94"/>
    <w:rsid w:val="007004DC"/>
    <w:rsid w:val="00701575"/>
    <w:rsid w:val="00703E8A"/>
    <w:rsid w:val="00711522"/>
    <w:rsid w:val="007124FE"/>
    <w:rsid w:val="00713186"/>
    <w:rsid w:val="00713757"/>
    <w:rsid w:val="0071379B"/>
    <w:rsid w:val="0071497D"/>
    <w:rsid w:val="00717772"/>
    <w:rsid w:val="00721AF1"/>
    <w:rsid w:val="0072280F"/>
    <w:rsid w:val="00722B5E"/>
    <w:rsid w:val="00723845"/>
    <w:rsid w:val="0072708F"/>
    <w:rsid w:val="00732D1D"/>
    <w:rsid w:val="00736034"/>
    <w:rsid w:val="0073681C"/>
    <w:rsid w:val="00741EBE"/>
    <w:rsid w:val="00745DA2"/>
    <w:rsid w:val="00746130"/>
    <w:rsid w:val="00746A40"/>
    <w:rsid w:val="007479DC"/>
    <w:rsid w:val="00750358"/>
    <w:rsid w:val="00755CDF"/>
    <w:rsid w:val="00757A4C"/>
    <w:rsid w:val="00760FFC"/>
    <w:rsid w:val="0076110A"/>
    <w:rsid w:val="0076122D"/>
    <w:rsid w:val="00764A94"/>
    <w:rsid w:val="00764DC3"/>
    <w:rsid w:val="007651E5"/>
    <w:rsid w:val="007670DC"/>
    <w:rsid w:val="00767239"/>
    <w:rsid w:val="00767A35"/>
    <w:rsid w:val="00770601"/>
    <w:rsid w:val="0077111A"/>
    <w:rsid w:val="00772272"/>
    <w:rsid w:val="007756ED"/>
    <w:rsid w:val="00777CC9"/>
    <w:rsid w:val="007869A0"/>
    <w:rsid w:val="00786A23"/>
    <w:rsid w:val="007870FC"/>
    <w:rsid w:val="00787CD0"/>
    <w:rsid w:val="00790C57"/>
    <w:rsid w:val="00791053"/>
    <w:rsid w:val="00791A3A"/>
    <w:rsid w:val="00794196"/>
    <w:rsid w:val="00797637"/>
    <w:rsid w:val="007A2E54"/>
    <w:rsid w:val="007A3680"/>
    <w:rsid w:val="007A59B8"/>
    <w:rsid w:val="007B2862"/>
    <w:rsid w:val="007B4504"/>
    <w:rsid w:val="007B662A"/>
    <w:rsid w:val="007B72A9"/>
    <w:rsid w:val="007C1A93"/>
    <w:rsid w:val="007C751E"/>
    <w:rsid w:val="007C7F93"/>
    <w:rsid w:val="007D021A"/>
    <w:rsid w:val="007D28C9"/>
    <w:rsid w:val="007D3CC8"/>
    <w:rsid w:val="007D62F9"/>
    <w:rsid w:val="007D63A4"/>
    <w:rsid w:val="007E1AA2"/>
    <w:rsid w:val="007E4C1F"/>
    <w:rsid w:val="007F0746"/>
    <w:rsid w:val="007F0759"/>
    <w:rsid w:val="007F25C0"/>
    <w:rsid w:val="007F456A"/>
    <w:rsid w:val="007F4C9B"/>
    <w:rsid w:val="007F5F52"/>
    <w:rsid w:val="007F77C6"/>
    <w:rsid w:val="008003A1"/>
    <w:rsid w:val="008006B7"/>
    <w:rsid w:val="00800FDB"/>
    <w:rsid w:val="00802081"/>
    <w:rsid w:val="008020B5"/>
    <w:rsid w:val="008021E8"/>
    <w:rsid w:val="008034CF"/>
    <w:rsid w:val="00803D48"/>
    <w:rsid w:val="008063D8"/>
    <w:rsid w:val="00806461"/>
    <w:rsid w:val="00806722"/>
    <w:rsid w:val="0081096D"/>
    <w:rsid w:val="00810EAD"/>
    <w:rsid w:val="00811833"/>
    <w:rsid w:val="008174D4"/>
    <w:rsid w:val="00820D3E"/>
    <w:rsid w:val="00820FE6"/>
    <w:rsid w:val="00821A66"/>
    <w:rsid w:val="00822476"/>
    <w:rsid w:val="00822882"/>
    <w:rsid w:val="00824CB2"/>
    <w:rsid w:val="00825F68"/>
    <w:rsid w:val="00835408"/>
    <w:rsid w:val="008359DA"/>
    <w:rsid w:val="00837CEF"/>
    <w:rsid w:val="00840035"/>
    <w:rsid w:val="00840220"/>
    <w:rsid w:val="00841502"/>
    <w:rsid w:val="008428A9"/>
    <w:rsid w:val="00844112"/>
    <w:rsid w:val="008456C9"/>
    <w:rsid w:val="0084611D"/>
    <w:rsid w:val="00847BEF"/>
    <w:rsid w:val="00847D9E"/>
    <w:rsid w:val="00850C62"/>
    <w:rsid w:val="00863011"/>
    <w:rsid w:val="00865075"/>
    <w:rsid w:val="0086748F"/>
    <w:rsid w:val="00872CE4"/>
    <w:rsid w:val="00873267"/>
    <w:rsid w:val="00874F4B"/>
    <w:rsid w:val="0087539B"/>
    <w:rsid w:val="00877B62"/>
    <w:rsid w:val="00880199"/>
    <w:rsid w:val="00881015"/>
    <w:rsid w:val="008810B0"/>
    <w:rsid w:val="008813D6"/>
    <w:rsid w:val="008819B6"/>
    <w:rsid w:val="00881AAC"/>
    <w:rsid w:val="008824D3"/>
    <w:rsid w:val="008836B7"/>
    <w:rsid w:val="008841D3"/>
    <w:rsid w:val="0088709F"/>
    <w:rsid w:val="00887DE6"/>
    <w:rsid w:val="00891B81"/>
    <w:rsid w:val="00894C2A"/>
    <w:rsid w:val="00897708"/>
    <w:rsid w:val="00897D88"/>
    <w:rsid w:val="008A2F16"/>
    <w:rsid w:val="008A36C4"/>
    <w:rsid w:val="008B1823"/>
    <w:rsid w:val="008B203C"/>
    <w:rsid w:val="008B6E16"/>
    <w:rsid w:val="008B7110"/>
    <w:rsid w:val="008C2029"/>
    <w:rsid w:val="008C53EE"/>
    <w:rsid w:val="008C61D6"/>
    <w:rsid w:val="008C64F1"/>
    <w:rsid w:val="008D1531"/>
    <w:rsid w:val="008D1BB0"/>
    <w:rsid w:val="008D20FF"/>
    <w:rsid w:val="008D3DE6"/>
    <w:rsid w:val="008D4223"/>
    <w:rsid w:val="008D44CC"/>
    <w:rsid w:val="008D46E3"/>
    <w:rsid w:val="008D6709"/>
    <w:rsid w:val="008D7EF7"/>
    <w:rsid w:val="008E083A"/>
    <w:rsid w:val="008E1338"/>
    <w:rsid w:val="008E2450"/>
    <w:rsid w:val="008E3BA0"/>
    <w:rsid w:val="008E5013"/>
    <w:rsid w:val="008E7896"/>
    <w:rsid w:val="008F2477"/>
    <w:rsid w:val="008F2F2B"/>
    <w:rsid w:val="008F385C"/>
    <w:rsid w:val="008F3EF6"/>
    <w:rsid w:val="008F4AAB"/>
    <w:rsid w:val="008F5BF6"/>
    <w:rsid w:val="008F60C5"/>
    <w:rsid w:val="009010F0"/>
    <w:rsid w:val="00901162"/>
    <w:rsid w:val="0090223A"/>
    <w:rsid w:val="009028E2"/>
    <w:rsid w:val="00914EAB"/>
    <w:rsid w:val="00915981"/>
    <w:rsid w:val="00916597"/>
    <w:rsid w:val="00922D49"/>
    <w:rsid w:val="00925277"/>
    <w:rsid w:val="009259CF"/>
    <w:rsid w:val="00925E37"/>
    <w:rsid w:val="00925EDD"/>
    <w:rsid w:val="00927D0E"/>
    <w:rsid w:val="009309DA"/>
    <w:rsid w:val="00936688"/>
    <w:rsid w:val="00937CFA"/>
    <w:rsid w:val="009406B3"/>
    <w:rsid w:val="009407B8"/>
    <w:rsid w:val="00941FCD"/>
    <w:rsid w:val="00945CF5"/>
    <w:rsid w:val="009500A1"/>
    <w:rsid w:val="0095037E"/>
    <w:rsid w:val="00952AAD"/>
    <w:rsid w:val="009541B9"/>
    <w:rsid w:val="00954567"/>
    <w:rsid w:val="009547A9"/>
    <w:rsid w:val="009548FE"/>
    <w:rsid w:val="00956F0B"/>
    <w:rsid w:val="00957466"/>
    <w:rsid w:val="00957C7C"/>
    <w:rsid w:val="0096260B"/>
    <w:rsid w:val="009664D5"/>
    <w:rsid w:val="0096669A"/>
    <w:rsid w:val="00970C69"/>
    <w:rsid w:val="00971DF7"/>
    <w:rsid w:val="00971F1C"/>
    <w:rsid w:val="0097211D"/>
    <w:rsid w:val="00972E10"/>
    <w:rsid w:val="00973EDC"/>
    <w:rsid w:val="009746CA"/>
    <w:rsid w:val="00974975"/>
    <w:rsid w:val="00974EA8"/>
    <w:rsid w:val="00981963"/>
    <w:rsid w:val="00981A0F"/>
    <w:rsid w:val="00983C82"/>
    <w:rsid w:val="00984520"/>
    <w:rsid w:val="0098545C"/>
    <w:rsid w:val="00992BA2"/>
    <w:rsid w:val="00992F83"/>
    <w:rsid w:val="0099508A"/>
    <w:rsid w:val="009974EB"/>
    <w:rsid w:val="009A037F"/>
    <w:rsid w:val="009A1126"/>
    <w:rsid w:val="009A63AC"/>
    <w:rsid w:val="009B1584"/>
    <w:rsid w:val="009B1B32"/>
    <w:rsid w:val="009B21CA"/>
    <w:rsid w:val="009B2648"/>
    <w:rsid w:val="009C03E5"/>
    <w:rsid w:val="009C0C11"/>
    <w:rsid w:val="009C3730"/>
    <w:rsid w:val="009C37BD"/>
    <w:rsid w:val="009C3AAC"/>
    <w:rsid w:val="009C4D19"/>
    <w:rsid w:val="009C5FDB"/>
    <w:rsid w:val="009C6493"/>
    <w:rsid w:val="009C693E"/>
    <w:rsid w:val="009C70CB"/>
    <w:rsid w:val="009D1BDD"/>
    <w:rsid w:val="009D1EA4"/>
    <w:rsid w:val="009D27AA"/>
    <w:rsid w:val="009D38BA"/>
    <w:rsid w:val="009D4991"/>
    <w:rsid w:val="009D5BB5"/>
    <w:rsid w:val="009D696D"/>
    <w:rsid w:val="009D6ED2"/>
    <w:rsid w:val="009E0F1A"/>
    <w:rsid w:val="009E140D"/>
    <w:rsid w:val="009E348F"/>
    <w:rsid w:val="009E4465"/>
    <w:rsid w:val="009E6401"/>
    <w:rsid w:val="009E6C54"/>
    <w:rsid w:val="009F2261"/>
    <w:rsid w:val="009F2A25"/>
    <w:rsid w:val="009F4CB1"/>
    <w:rsid w:val="009F5235"/>
    <w:rsid w:val="009F531A"/>
    <w:rsid w:val="009F6550"/>
    <w:rsid w:val="009F786E"/>
    <w:rsid w:val="00A00902"/>
    <w:rsid w:val="00A039FF"/>
    <w:rsid w:val="00A05ACE"/>
    <w:rsid w:val="00A078CB"/>
    <w:rsid w:val="00A14AE3"/>
    <w:rsid w:val="00A16675"/>
    <w:rsid w:val="00A22CD6"/>
    <w:rsid w:val="00A234EC"/>
    <w:rsid w:val="00A2417A"/>
    <w:rsid w:val="00A26668"/>
    <w:rsid w:val="00A27804"/>
    <w:rsid w:val="00A348F0"/>
    <w:rsid w:val="00A36822"/>
    <w:rsid w:val="00A36AB5"/>
    <w:rsid w:val="00A40F97"/>
    <w:rsid w:val="00A411D1"/>
    <w:rsid w:val="00A428A4"/>
    <w:rsid w:val="00A42CE1"/>
    <w:rsid w:val="00A42FA1"/>
    <w:rsid w:val="00A43389"/>
    <w:rsid w:val="00A43E71"/>
    <w:rsid w:val="00A45753"/>
    <w:rsid w:val="00A47B15"/>
    <w:rsid w:val="00A52F84"/>
    <w:rsid w:val="00A56B05"/>
    <w:rsid w:val="00A57678"/>
    <w:rsid w:val="00A60E2F"/>
    <w:rsid w:val="00A618F3"/>
    <w:rsid w:val="00A63284"/>
    <w:rsid w:val="00A64CB8"/>
    <w:rsid w:val="00A67018"/>
    <w:rsid w:val="00A672F3"/>
    <w:rsid w:val="00A673DC"/>
    <w:rsid w:val="00A7076E"/>
    <w:rsid w:val="00A709BE"/>
    <w:rsid w:val="00A7162E"/>
    <w:rsid w:val="00A7195A"/>
    <w:rsid w:val="00A72D71"/>
    <w:rsid w:val="00A75705"/>
    <w:rsid w:val="00A77C69"/>
    <w:rsid w:val="00A829DE"/>
    <w:rsid w:val="00A83953"/>
    <w:rsid w:val="00A85AF5"/>
    <w:rsid w:val="00A903B6"/>
    <w:rsid w:val="00A90F4F"/>
    <w:rsid w:val="00A92C40"/>
    <w:rsid w:val="00A947AA"/>
    <w:rsid w:val="00A968D2"/>
    <w:rsid w:val="00AA0AC5"/>
    <w:rsid w:val="00AA19FE"/>
    <w:rsid w:val="00AA1B53"/>
    <w:rsid w:val="00AA3556"/>
    <w:rsid w:val="00AA35FD"/>
    <w:rsid w:val="00AA3DB7"/>
    <w:rsid w:val="00AB3012"/>
    <w:rsid w:val="00AB321C"/>
    <w:rsid w:val="00AB5B99"/>
    <w:rsid w:val="00AB688F"/>
    <w:rsid w:val="00AB75EA"/>
    <w:rsid w:val="00AB7AA2"/>
    <w:rsid w:val="00AC44D9"/>
    <w:rsid w:val="00AC4BC1"/>
    <w:rsid w:val="00AD04BD"/>
    <w:rsid w:val="00AD25F6"/>
    <w:rsid w:val="00AD67CB"/>
    <w:rsid w:val="00AD7214"/>
    <w:rsid w:val="00AE1066"/>
    <w:rsid w:val="00AE205A"/>
    <w:rsid w:val="00AE4518"/>
    <w:rsid w:val="00AE5D7F"/>
    <w:rsid w:val="00AE79F0"/>
    <w:rsid w:val="00AE7F2C"/>
    <w:rsid w:val="00AF2DAE"/>
    <w:rsid w:val="00AF5585"/>
    <w:rsid w:val="00AF6EC1"/>
    <w:rsid w:val="00AF7419"/>
    <w:rsid w:val="00B00331"/>
    <w:rsid w:val="00B01A80"/>
    <w:rsid w:val="00B07C27"/>
    <w:rsid w:val="00B10017"/>
    <w:rsid w:val="00B10DE1"/>
    <w:rsid w:val="00B10FF8"/>
    <w:rsid w:val="00B203C4"/>
    <w:rsid w:val="00B22E81"/>
    <w:rsid w:val="00B23996"/>
    <w:rsid w:val="00B23CB2"/>
    <w:rsid w:val="00B2561A"/>
    <w:rsid w:val="00B25A64"/>
    <w:rsid w:val="00B32AB3"/>
    <w:rsid w:val="00B34E7C"/>
    <w:rsid w:val="00B36196"/>
    <w:rsid w:val="00B368EA"/>
    <w:rsid w:val="00B37EEF"/>
    <w:rsid w:val="00B444A9"/>
    <w:rsid w:val="00B51D20"/>
    <w:rsid w:val="00B5298E"/>
    <w:rsid w:val="00B54370"/>
    <w:rsid w:val="00B54B5F"/>
    <w:rsid w:val="00B55185"/>
    <w:rsid w:val="00B55BB5"/>
    <w:rsid w:val="00B60D38"/>
    <w:rsid w:val="00B61923"/>
    <w:rsid w:val="00B621D6"/>
    <w:rsid w:val="00B63EF5"/>
    <w:rsid w:val="00B65D6F"/>
    <w:rsid w:val="00B67751"/>
    <w:rsid w:val="00B677E1"/>
    <w:rsid w:val="00B67C23"/>
    <w:rsid w:val="00B7090F"/>
    <w:rsid w:val="00B70DC7"/>
    <w:rsid w:val="00B73042"/>
    <w:rsid w:val="00B75283"/>
    <w:rsid w:val="00B75658"/>
    <w:rsid w:val="00B75735"/>
    <w:rsid w:val="00B77142"/>
    <w:rsid w:val="00B80A2C"/>
    <w:rsid w:val="00B81F60"/>
    <w:rsid w:val="00B841AC"/>
    <w:rsid w:val="00B865B0"/>
    <w:rsid w:val="00B90780"/>
    <w:rsid w:val="00B91F9C"/>
    <w:rsid w:val="00B9240D"/>
    <w:rsid w:val="00BA22A8"/>
    <w:rsid w:val="00BA285B"/>
    <w:rsid w:val="00BA3E48"/>
    <w:rsid w:val="00BA4BD3"/>
    <w:rsid w:val="00BA7473"/>
    <w:rsid w:val="00BB0187"/>
    <w:rsid w:val="00BB1EB3"/>
    <w:rsid w:val="00BB22CA"/>
    <w:rsid w:val="00BB2678"/>
    <w:rsid w:val="00BC013A"/>
    <w:rsid w:val="00BC2343"/>
    <w:rsid w:val="00BC23F8"/>
    <w:rsid w:val="00BC56FA"/>
    <w:rsid w:val="00BD30C8"/>
    <w:rsid w:val="00BD3EB4"/>
    <w:rsid w:val="00BD5C65"/>
    <w:rsid w:val="00BD7DB4"/>
    <w:rsid w:val="00BE1A80"/>
    <w:rsid w:val="00BE2F07"/>
    <w:rsid w:val="00BE5751"/>
    <w:rsid w:val="00BE5CAB"/>
    <w:rsid w:val="00BE6018"/>
    <w:rsid w:val="00BF0F8F"/>
    <w:rsid w:val="00BF1F57"/>
    <w:rsid w:val="00BF4086"/>
    <w:rsid w:val="00BF426C"/>
    <w:rsid w:val="00BF47C9"/>
    <w:rsid w:val="00BF58D0"/>
    <w:rsid w:val="00BF7D6A"/>
    <w:rsid w:val="00C013E1"/>
    <w:rsid w:val="00C01611"/>
    <w:rsid w:val="00C02D59"/>
    <w:rsid w:val="00C030B6"/>
    <w:rsid w:val="00C03284"/>
    <w:rsid w:val="00C050D7"/>
    <w:rsid w:val="00C05B5F"/>
    <w:rsid w:val="00C104CC"/>
    <w:rsid w:val="00C152FE"/>
    <w:rsid w:val="00C16739"/>
    <w:rsid w:val="00C21C43"/>
    <w:rsid w:val="00C22C7D"/>
    <w:rsid w:val="00C22CCE"/>
    <w:rsid w:val="00C231D6"/>
    <w:rsid w:val="00C23BA2"/>
    <w:rsid w:val="00C32AF2"/>
    <w:rsid w:val="00C33204"/>
    <w:rsid w:val="00C338EB"/>
    <w:rsid w:val="00C3465D"/>
    <w:rsid w:val="00C379E9"/>
    <w:rsid w:val="00C439FB"/>
    <w:rsid w:val="00C43F23"/>
    <w:rsid w:val="00C47790"/>
    <w:rsid w:val="00C50011"/>
    <w:rsid w:val="00C5274B"/>
    <w:rsid w:val="00C55A77"/>
    <w:rsid w:val="00C645E6"/>
    <w:rsid w:val="00C64D82"/>
    <w:rsid w:val="00C64FBC"/>
    <w:rsid w:val="00C65A83"/>
    <w:rsid w:val="00C721F2"/>
    <w:rsid w:val="00C72C6F"/>
    <w:rsid w:val="00C733F6"/>
    <w:rsid w:val="00C75BB1"/>
    <w:rsid w:val="00C76CF1"/>
    <w:rsid w:val="00C80385"/>
    <w:rsid w:val="00C80F23"/>
    <w:rsid w:val="00C81151"/>
    <w:rsid w:val="00C82CC6"/>
    <w:rsid w:val="00C8434E"/>
    <w:rsid w:val="00C850A3"/>
    <w:rsid w:val="00C8538F"/>
    <w:rsid w:val="00C85C32"/>
    <w:rsid w:val="00C87568"/>
    <w:rsid w:val="00C905A7"/>
    <w:rsid w:val="00C909E1"/>
    <w:rsid w:val="00C90DB6"/>
    <w:rsid w:val="00C9394F"/>
    <w:rsid w:val="00C93B1A"/>
    <w:rsid w:val="00C96A14"/>
    <w:rsid w:val="00C96F5F"/>
    <w:rsid w:val="00CA21B5"/>
    <w:rsid w:val="00CA5927"/>
    <w:rsid w:val="00CA79EC"/>
    <w:rsid w:val="00CB26A5"/>
    <w:rsid w:val="00CB39C2"/>
    <w:rsid w:val="00CB4664"/>
    <w:rsid w:val="00CB4C8C"/>
    <w:rsid w:val="00CB6782"/>
    <w:rsid w:val="00CC080A"/>
    <w:rsid w:val="00CC0C1C"/>
    <w:rsid w:val="00CC52E1"/>
    <w:rsid w:val="00CC7F95"/>
    <w:rsid w:val="00CD319D"/>
    <w:rsid w:val="00CD6BC3"/>
    <w:rsid w:val="00CD72D0"/>
    <w:rsid w:val="00CE3519"/>
    <w:rsid w:val="00CE5277"/>
    <w:rsid w:val="00CE6358"/>
    <w:rsid w:val="00CF2D54"/>
    <w:rsid w:val="00CF3CDE"/>
    <w:rsid w:val="00CF6570"/>
    <w:rsid w:val="00CF7D6C"/>
    <w:rsid w:val="00D03538"/>
    <w:rsid w:val="00D049B8"/>
    <w:rsid w:val="00D0516C"/>
    <w:rsid w:val="00D05EE7"/>
    <w:rsid w:val="00D068D0"/>
    <w:rsid w:val="00D078D1"/>
    <w:rsid w:val="00D129A8"/>
    <w:rsid w:val="00D12FB9"/>
    <w:rsid w:val="00D148B5"/>
    <w:rsid w:val="00D15F13"/>
    <w:rsid w:val="00D200BD"/>
    <w:rsid w:val="00D22399"/>
    <w:rsid w:val="00D26460"/>
    <w:rsid w:val="00D27C04"/>
    <w:rsid w:val="00D33751"/>
    <w:rsid w:val="00D33924"/>
    <w:rsid w:val="00D35EF7"/>
    <w:rsid w:val="00D36C45"/>
    <w:rsid w:val="00D36F6E"/>
    <w:rsid w:val="00D37343"/>
    <w:rsid w:val="00D40FB5"/>
    <w:rsid w:val="00D4205E"/>
    <w:rsid w:val="00D42507"/>
    <w:rsid w:val="00D42BEA"/>
    <w:rsid w:val="00D5574C"/>
    <w:rsid w:val="00D61982"/>
    <w:rsid w:val="00D6267A"/>
    <w:rsid w:val="00D67D12"/>
    <w:rsid w:val="00D7585A"/>
    <w:rsid w:val="00D77BA4"/>
    <w:rsid w:val="00D80618"/>
    <w:rsid w:val="00D81A17"/>
    <w:rsid w:val="00D82494"/>
    <w:rsid w:val="00D83C3A"/>
    <w:rsid w:val="00D84A4B"/>
    <w:rsid w:val="00D92168"/>
    <w:rsid w:val="00D940A9"/>
    <w:rsid w:val="00D940B5"/>
    <w:rsid w:val="00D95CB0"/>
    <w:rsid w:val="00D977C0"/>
    <w:rsid w:val="00DA00A3"/>
    <w:rsid w:val="00DA13F3"/>
    <w:rsid w:val="00DA2DE3"/>
    <w:rsid w:val="00DA7146"/>
    <w:rsid w:val="00DA716A"/>
    <w:rsid w:val="00DB1F4F"/>
    <w:rsid w:val="00DB37EE"/>
    <w:rsid w:val="00DB4450"/>
    <w:rsid w:val="00DB7B69"/>
    <w:rsid w:val="00DC02EC"/>
    <w:rsid w:val="00DC234A"/>
    <w:rsid w:val="00DC41E4"/>
    <w:rsid w:val="00DC5116"/>
    <w:rsid w:val="00DC6C7D"/>
    <w:rsid w:val="00DC7239"/>
    <w:rsid w:val="00DC77DD"/>
    <w:rsid w:val="00DC7C77"/>
    <w:rsid w:val="00DD2417"/>
    <w:rsid w:val="00DD7EA2"/>
    <w:rsid w:val="00DE00F2"/>
    <w:rsid w:val="00DE117F"/>
    <w:rsid w:val="00DE401C"/>
    <w:rsid w:val="00DE4CDE"/>
    <w:rsid w:val="00DF1ED6"/>
    <w:rsid w:val="00DF3B2B"/>
    <w:rsid w:val="00DF411A"/>
    <w:rsid w:val="00DF52B9"/>
    <w:rsid w:val="00DF63FA"/>
    <w:rsid w:val="00E00A1C"/>
    <w:rsid w:val="00E012CC"/>
    <w:rsid w:val="00E02B71"/>
    <w:rsid w:val="00E02DEB"/>
    <w:rsid w:val="00E042A1"/>
    <w:rsid w:val="00E04CE6"/>
    <w:rsid w:val="00E104FA"/>
    <w:rsid w:val="00E1082A"/>
    <w:rsid w:val="00E11166"/>
    <w:rsid w:val="00E13182"/>
    <w:rsid w:val="00E15383"/>
    <w:rsid w:val="00E1738C"/>
    <w:rsid w:val="00E22D28"/>
    <w:rsid w:val="00E230E3"/>
    <w:rsid w:val="00E23518"/>
    <w:rsid w:val="00E23611"/>
    <w:rsid w:val="00E25852"/>
    <w:rsid w:val="00E30EDF"/>
    <w:rsid w:val="00E31FBA"/>
    <w:rsid w:val="00E33EEC"/>
    <w:rsid w:val="00E36AAE"/>
    <w:rsid w:val="00E41773"/>
    <w:rsid w:val="00E427F2"/>
    <w:rsid w:val="00E44EC3"/>
    <w:rsid w:val="00E513F6"/>
    <w:rsid w:val="00E52F3B"/>
    <w:rsid w:val="00E53D94"/>
    <w:rsid w:val="00E53DEA"/>
    <w:rsid w:val="00E55A61"/>
    <w:rsid w:val="00E57F92"/>
    <w:rsid w:val="00E616DB"/>
    <w:rsid w:val="00E627A4"/>
    <w:rsid w:val="00E630ED"/>
    <w:rsid w:val="00E70C95"/>
    <w:rsid w:val="00E74EC5"/>
    <w:rsid w:val="00E75FDC"/>
    <w:rsid w:val="00E76B86"/>
    <w:rsid w:val="00E833B9"/>
    <w:rsid w:val="00E8342F"/>
    <w:rsid w:val="00E847A7"/>
    <w:rsid w:val="00E85F25"/>
    <w:rsid w:val="00E86E79"/>
    <w:rsid w:val="00E906B4"/>
    <w:rsid w:val="00E9095B"/>
    <w:rsid w:val="00E926B8"/>
    <w:rsid w:val="00E92E98"/>
    <w:rsid w:val="00E9399B"/>
    <w:rsid w:val="00E94008"/>
    <w:rsid w:val="00E94762"/>
    <w:rsid w:val="00E96B52"/>
    <w:rsid w:val="00E97795"/>
    <w:rsid w:val="00EA2244"/>
    <w:rsid w:val="00EA4C93"/>
    <w:rsid w:val="00EA6FA7"/>
    <w:rsid w:val="00EB067F"/>
    <w:rsid w:val="00EB0BF5"/>
    <w:rsid w:val="00EB1F02"/>
    <w:rsid w:val="00EB5BC5"/>
    <w:rsid w:val="00EC086C"/>
    <w:rsid w:val="00EC42D0"/>
    <w:rsid w:val="00EC5CE0"/>
    <w:rsid w:val="00EC638F"/>
    <w:rsid w:val="00ED48AC"/>
    <w:rsid w:val="00EE224C"/>
    <w:rsid w:val="00EE4874"/>
    <w:rsid w:val="00EE4A8C"/>
    <w:rsid w:val="00EE674E"/>
    <w:rsid w:val="00EE79A6"/>
    <w:rsid w:val="00EF0C36"/>
    <w:rsid w:val="00EF2689"/>
    <w:rsid w:val="00EF454D"/>
    <w:rsid w:val="00EF6111"/>
    <w:rsid w:val="00F005A0"/>
    <w:rsid w:val="00F0225B"/>
    <w:rsid w:val="00F06616"/>
    <w:rsid w:val="00F10EAB"/>
    <w:rsid w:val="00F11352"/>
    <w:rsid w:val="00F1498D"/>
    <w:rsid w:val="00F14DDF"/>
    <w:rsid w:val="00F152AD"/>
    <w:rsid w:val="00F157C8"/>
    <w:rsid w:val="00F20DFE"/>
    <w:rsid w:val="00F2285F"/>
    <w:rsid w:val="00F23155"/>
    <w:rsid w:val="00F24236"/>
    <w:rsid w:val="00F24E0E"/>
    <w:rsid w:val="00F26693"/>
    <w:rsid w:val="00F36130"/>
    <w:rsid w:val="00F40444"/>
    <w:rsid w:val="00F423BD"/>
    <w:rsid w:val="00F432FF"/>
    <w:rsid w:val="00F4715C"/>
    <w:rsid w:val="00F54869"/>
    <w:rsid w:val="00F556B2"/>
    <w:rsid w:val="00F5754B"/>
    <w:rsid w:val="00F576DE"/>
    <w:rsid w:val="00F57CE6"/>
    <w:rsid w:val="00F63BF7"/>
    <w:rsid w:val="00F65617"/>
    <w:rsid w:val="00F710BE"/>
    <w:rsid w:val="00F723CF"/>
    <w:rsid w:val="00F736D2"/>
    <w:rsid w:val="00F7564C"/>
    <w:rsid w:val="00F76220"/>
    <w:rsid w:val="00F769BE"/>
    <w:rsid w:val="00F81EC2"/>
    <w:rsid w:val="00F82E6B"/>
    <w:rsid w:val="00F8677B"/>
    <w:rsid w:val="00F9665D"/>
    <w:rsid w:val="00F97B71"/>
    <w:rsid w:val="00FA1EC5"/>
    <w:rsid w:val="00FA1FD0"/>
    <w:rsid w:val="00FA28F1"/>
    <w:rsid w:val="00FA2DDA"/>
    <w:rsid w:val="00FA34CA"/>
    <w:rsid w:val="00FA4A55"/>
    <w:rsid w:val="00FA4D4F"/>
    <w:rsid w:val="00FA54E8"/>
    <w:rsid w:val="00FA57F6"/>
    <w:rsid w:val="00FA7193"/>
    <w:rsid w:val="00FB0137"/>
    <w:rsid w:val="00FB2D17"/>
    <w:rsid w:val="00FB2F69"/>
    <w:rsid w:val="00FB368B"/>
    <w:rsid w:val="00FB45FF"/>
    <w:rsid w:val="00FB5D97"/>
    <w:rsid w:val="00FB6DE6"/>
    <w:rsid w:val="00FC023D"/>
    <w:rsid w:val="00FC1CA5"/>
    <w:rsid w:val="00FC2979"/>
    <w:rsid w:val="00FC348D"/>
    <w:rsid w:val="00FC66E5"/>
    <w:rsid w:val="00FD02FE"/>
    <w:rsid w:val="00FD1C3C"/>
    <w:rsid w:val="00FD38A8"/>
    <w:rsid w:val="00FD5477"/>
    <w:rsid w:val="00FD6AC8"/>
    <w:rsid w:val="00FE3EA1"/>
    <w:rsid w:val="00FE4818"/>
    <w:rsid w:val="00FE5D80"/>
    <w:rsid w:val="00FF157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Date" w:uiPriority="99"/>
    <w:lsdException w:name="Strong" w:uiPriority="22" w:qFormat="1"/>
    <w:lsdException w:name="Emphasis"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4F4EA9"/>
    <w:pPr>
      <w:keepNext/>
      <w:keepLines/>
      <w:spacing w:before="340" w:after="330" w:line="578" w:lineRule="auto"/>
      <w:outlineLvl w:val="0"/>
    </w:pPr>
    <w:rPr>
      <w:b/>
      <w:bCs/>
      <w:kern w:val="44"/>
      <w:sz w:val="44"/>
      <w:szCs w:val="44"/>
    </w:rPr>
  </w:style>
  <w:style w:type="paragraph" w:styleId="2">
    <w:name w:val="heading 2"/>
    <w:basedOn w:val="a"/>
    <w:next w:val="a0"/>
    <w:qFormat/>
    <w:rsid w:val="00337293"/>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337293"/>
    <w:pPr>
      <w:ind w:firstLineChars="200" w:firstLine="420"/>
    </w:pPr>
  </w:style>
  <w:style w:type="paragraph" w:styleId="a4">
    <w:name w:val="Body Text Indent"/>
    <w:basedOn w:val="a"/>
    <w:rsid w:val="00337293"/>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rsid w:val="00337293"/>
    <w:rPr>
      <w:rFonts w:ascii="宋体" w:hAnsi="Courier New"/>
      <w:szCs w:val="21"/>
    </w:rPr>
  </w:style>
  <w:style w:type="paragraph" w:styleId="20">
    <w:name w:val="Body Text Indent 2"/>
    <w:basedOn w:val="a"/>
    <w:rsid w:val="00337293"/>
    <w:pPr>
      <w:spacing w:line="560" w:lineRule="exact"/>
      <w:ind w:firstLineChars="200" w:firstLine="480"/>
    </w:pPr>
    <w:rPr>
      <w:rFonts w:ascii="宋体" w:hAnsi="宋体"/>
      <w:color w:val="FF0000"/>
      <w:sz w:val="24"/>
    </w:rPr>
  </w:style>
  <w:style w:type="paragraph" w:styleId="a6">
    <w:name w:val="footer"/>
    <w:basedOn w:val="a"/>
    <w:rsid w:val="00337293"/>
    <w:pPr>
      <w:tabs>
        <w:tab w:val="center" w:pos="4153"/>
        <w:tab w:val="right" w:pos="8306"/>
      </w:tabs>
      <w:snapToGrid w:val="0"/>
      <w:jc w:val="left"/>
    </w:pPr>
    <w:rPr>
      <w:sz w:val="18"/>
      <w:szCs w:val="18"/>
    </w:rPr>
  </w:style>
  <w:style w:type="character" w:styleId="a7">
    <w:name w:val="page number"/>
    <w:basedOn w:val="a1"/>
    <w:rsid w:val="00337293"/>
  </w:style>
  <w:style w:type="character" w:styleId="a8">
    <w:name w:val="Hyperlink"/>
    <w:basedOn w:val="a1"/>
    <w:rsid w:val="00337293"/>
    <w:rPr>
      <w:color w:val="0000FF"/>
      <w:u w:val="single"/>
    </w:rPr>
  </w:style>
  <w:style w:type="paragraph" w:styleId="3">
    <w:name w:val="Body Text Indent 3"/>
    <w:basedOn w:val="a"/>
    <w:rsid w:val="00337293"/>
    <w:pPr>
      <w:spacing w:line="560" w:lineRule="exact"/>
      <w:ind w:firstLineChars="200" w:firstLine="420"/>
    </w:pPr>
    <w:rPr>
      <w:rFonts w:ascii="Arial" w:hAnsi="Arial" w:cs="Arial"/>
      <w:color w:val="FF0000"/>
    </w:rPr>
  </w:style>
  <w:style w:type="paragraph" w:styleId="a9">
    <w:name w:val="header"/>
    <w:basedOn w:val="a"/>
    <w:link w:val="Char0"/>
    <w:uiPriority w:val="99"/>
    <w:rsid w:val="00337293"/>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337293"/>
    <w:rPr>
      <w:color w:val="800080"/>
      <w:u w:val="single"/>
    </w:rPr>
  </w:style>
  <w:style w:type="paragraph" w:styleId="ab">
    <w:name w:val="List"/>
    <w:basedOn w:val="ac"/>
    <w:rsid w:val="00337293"/>
    <w:pPr>
      <w:spacing w:after="220" w:line="220" w:lineRule="atLeast"/>
      <w:ind w:left="1440" w:hanging="360"/>
    </w:pPr>
    <w:rPr>
      <w:szCs w:val="20"/>
    </w:rPr>
  </w:style>
  <w:style w:type="paragraph" w:styleId="ac">
    <w:name w:val="Body Text"/>
    <w:basedOn w:val="a"/>
    <w:rsid w:val="00337293"/>
    <w:pPr>
      <w:spacing w:after="120"/>
    </w:pPr>
  </w:style>
  <w:style w:type="paragraph" w:styleId="ad">
    <w:name w:val="Date"/>
    <w:basedOn w:val="a"/>
    <w:next w:val="a"/>
    <w:link w:val="Char1"/>
    <w:uiPriority w:val="99"/>
    <w:rsid w:val="00337293"/>
    <w:rPr>
      <w:sz w:val="24"/>
      <w:szCs w:val="20"/>
    </w:rPr>
  </w:style>
  <w:style w:type="character" w:customStyle="1" w:styleId="c1">
    <w:name w:val="c1"/>
    <w:basedOn w:val="a1"/>
    <w:rsid w:val="00337293"/>
    <w:rPr>
      <w:color w:val="000000"/>
      <w:sz w:val="18"/>
      <w:szCs w:val="18"/>
    </w:rPr>
  </w:style>
  <w:style w:type="paragraph" w:styleId="10">
    <w:name w:val="index 1"/>
    <w:basedOn w:val="a"/>
    <w:next w:val="a"/>
    <w:autoRedefine/>
    <w:semiHidden/>
    <w:rsid w:val="00337293"/>
    <w:pPr>
      <w:jc w:val="right"/>
    </w:pPr>
    <w:rPr>
      <w:color w:val="008000"/>
    </w:rPr>
  </w:style>
  <w:style w:type="paragraph" w:customStyle="1" w:styleId="font5">
    <w:name w:val="font5"/>
    <w:basedOn w:val="a"/>
    <w:rsid w:val="00337293"/>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337293"/>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337293"/>
    <w:rPr>
      <w:sz w:val="18"/>
      <w:szCs w:val="18"/>
    </w:rPr>
  </w:style>
  <w:style w:type="character" w:styleId="af">
    <w:name w:val="annotation reference"/>
    <w:basedOn w:val="a1"/>
    <w:semiHidden/>
    <w:rsid w:val="00337293"/>
    <w:rPr>
      <w:sz w:val="21"/>
      <w:szCs w:val="21"/>
    </w:rPr>
  </w:style>
  <w:style w:type="paragraph" w:styleId="af0">
    <w:name w:val="annotation text"/>
    <w:basedOn w:val="a"/>
    <w:semiHidden/>
    <w:rsid w:val="00337293"/>
    <w:pPr>
      <w:jc w:val="left"/>
    </w:pPr>
  </w:style>
  <w:style w:type="paragraph" w:styleId="af1">
    <w:name w:val="annotation subject"/>
    <w:basedOn w:val="af0"/>
    <w:next w:val="af0"/>
    <w:semiHidden/>
    <w:rsid w:val="00337293"/>
    <w:rPr>
      <w:b/>
      <w:bCs/>
    </w:rPr>
  </w:style>
  <w:style w:type="paragraph" w:customStyle="1" w:styleId="Char2">
    <w:name w:val="Char"/>
    <w:basedOn w:val="a"/>
    <w:rsid w:val="00337293"/>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CE3519"/>
    <w:rPr>
      <w:rFonts w:ascii="宋体" w:hAnsi="Courier New"/>
      <w:kern w:val="2"/>
      <w:sz w:val="21"/>
      <w:szCs w:val="21"/>
    </w:rPr>
  </w:style>
  <w:style w:type="paragraph" w:customStyle="1" w:styleId="Default">
    <w:name w:val="Default"/>
    <w:rsid w:val="00295C5D"/>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5E491F"/>
    <w:rPr>
      <w:kern w:val="2"/>
      <w:sz w:val="18"/>
      <w:szCs w:val="18"/>
    </w:rPr>
  </w:style>
  <w:style w:type="character" w:customStyle="1" w:styleId="1Char">
    <w:name w:val="标题 1 Char"/>
    <w:basedOn w:val="a1"/>
    <w:link w:val="1"/>
    <w:rsid w:val="004F4EA9"/>
    <w:rPr>
      <w:b/>
      <w:bCs/>
      <w:kern w:val="44"/>
      <w:sz w:val="44"/>
      <w:szCs w:val="44"/>
    </w:rPr>
  </w:style>
  <w:style w:type="character" w:customStyle="1" w:styleId="Char1">
    <w:name w:val="日期 Char"/>
    <w:basedOn w:val="a1"/>
    <w:link w:val="ad"/>
    <w:uiPriority w:val="99"/>
    <w:rsid w:val="005B1DEC"/>
    <w:rPr>
      <w:kern w:val="2"/>
      <w:sz w:val="24"/>
    </w:rPr>
  </w:style>
  <w:style w:type="character" w:styleId="af8">
    <w:name w:val="Strong"/>
    <w:basedOn w:val="a1"/>
    <w:uiPriority w:val="22"/>
    <w:qFormat/>
    <w:rsid w:val="004F759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5D31"/>
    <w:pPr>
      <w:widowControl w:val="0"/>
      <w:jc w:val="both"/>
    </w:pPr>
    <w:rPr>
      <w:kern w:val="2"/>
      <w:sz w:val="21"/>
      <w:szCs w:val="2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a4">
    <w:name w:val="Body Text Indent"/>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rPr>
      <w:rFonts w:ascii="宋体" w:hAnsi="Courier New"/>
      <w:szCs w:val="21"/>
    </w:rPr>
  </w:style>
  <w:style w:type="paragraph" w:styleId="20">
    <w:name w:val="Body Text Indent 2"/>
    <w:basedOn w:val="a"/>
    <w:pPr>
      <w:spacing w:line="560" w:lineRule="exact"/>
      <w:ind w:firstLineChars="200" w:firstLine="480"/>
    </w:pPr>
    <w:rPr>
      <w:rFonts w:ascii="宋体" w:hAnsi="宋体"/>
      <w:color w:val="FF0000"/>
      <w:sz w:val="24"/>
    </w:rPr>
  </w:style>
  <w:style w:type="paragraph" w:styleId="a6">
    <w:name w:val="footer"/>
    <w:basedOn w:val="a"/>
    <w:pPr>
      <w:tabs>
        <w:tab w:val="center" w:pos="4153"/>
        <w:tab w:val="right" w:pos="8306"/>
      </w:tabs>
      <w:snapToGrid w:val="0"/>
      <w:jc w:val="left"/>
    </w:pPr>
    <w:rPr>
      <w:sz w:val="18"/>
      <w:szCs w:val="18"/>
    </w:rPr>
  </w:style>
  <w:style w:type="character" w:styleId="a7">
    <w:name w:val="page number"/>
    <w:basedOn w:val="a1"/>
  </w:style>
  <w:style w:type="character" w:styleId="a8">
    <w:name w:val="Hyperlink"/>
    <w:basedOn w:val="a1"/>
    <w:rPr>
      <w:color w:val="0000FF"/>
      <w:u w:val="single"/>
    </w:rPr>
  </w:style>
  <w:style w:type="paragraph" w:styleId="3">
    <w:name w:val="Body Text Indent 3"/>
    <w:basedOn w:val="a"/>
    <w:pPr>
      <w:spacing w:line="560" w:lineRule="exact"/>
      <w:ind w:firstLineChars="200" w:firstLine="420"/>
    </w:pPr>
    <w:rPr>
      <w:rFonts w:ascii="Arial" w:hAnsi="Arial" w:cs="Arial"/>
      <w:color w:val="FF0000"/>
    </w:rPr>
  </w:style>
  <w:style w:type="paragraph" w:styleId="a9">
    <w:name w:val="header"/>
    <w:basedOn w:val="a"/>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Pr>
      <w:color w:val="800080"/>
      <w:u w:val="single"/>
    </w:rPr>
  </w:style>
  <w:style w:type="paragraph" w:styleId="ab">
    <w:name w:val="List"/>
    <w:basedOn w:val="ac"/>
    <w:pPr>
      <w:spacing w:after="220" w:line="220" w:lineRule="atLeast"/>
      <w:ind w:left="1440" w:hanging="360"/>
    </w:pPr>
    <w:rPr>
      <w:szCs w:val="20"/>
    </w:rPr>
  </w:style>
  <w:style w:type="paragraph" w:styleId="ac">
    <w:name w:val="Body Text"/>
    <w:basedOn w:val="a"/>
    <w:pPr>
      <w:spacing w:after="120"/>
    </w:pPr>
  </w:style>
  <w:style w:type="paragraph" w:styleId="ad">
    <w:name w:val="Date"/>
    <w:basedOn w:val="a"/>
    <w:next w:val="a"/>
    <w:rPr>
      <w:sz w:val="24"/>
      <w:szCs w:val="20"/>
    </w:rPr>
  </w:style>
  <w:style w:type="character" w:customStyle="1" w:styleId="c1">
    <w:name w:val="c1"/>
    <w:basedOn w:val="a1"/>
    <w:rPr>
      <w:color w:val="000000"/>
      <w:sz w:val="18"/>
      <w:szCs w:val="18"/>
    </w:rPr>
  </w:style>
  <w:style w:type="paragraph" w:styleId="10">
    <w:name w:val="index 1"/>
    <w:basedOn w:val="a"/>
    <w:next w:val="a"/>
    <w:autoRedefine/>
    <w:semiHidden/>
    <w:pPr>
      <w:jc w:val="right"/>
    </w:pPr>
    <w:rPr>
      <w:color w:val="008000"/>
    </w:rPr>
  </w:style>
  <w:style w:type="paragraph" w:customStyle="1" w:styleId="font5">
    <w:name w:val="font5"/>
    <w:basedOn w:val="a"/>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Pr>
      <w:sz w:val="18"/>
      <w:szCs w:val="18"/>
    </w:rPr>
  </w:style>
  <w:style w:type="character" w:styleId="af">
    <w:name w:val="annotation reference"/>
    <w:basedOn w:val="a1"/>
    <w:semiHidden/>
    <w:rPr>
      <w:sz w:val="21"/>
      <w:szCs w:val="21"/>
    </w:rPr>
  </w:style>
  <w:style w:type="paragraph" w:styleId="af0">
    <w:name w:val="annotation text"/>
    <w:basedOn w:val="a"/>
    <w:semiHidden/>
    <w:pPr>
      <w:jc w:val="left"/>
    </w:pPr>
  </w:style>
  <w:style w:type="paragraph" w:styleId="af1">
    <w:name w:val="annotation subject"/>
    <w:basedOn w:val="af0"/>
    <w:next w:val="af0"/>
    <w:semiHidden/>
    <w:rPr>
      <w:b/>
      <w:bCs/>
    </w:rPr>
  </w:style>
  <w:style w:type="paragraph" w:customStyle="1" w:styleId="Char2">
    <w:name w:val="Char"/>
    <w:basedOn w:val="a"/>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43751943">
      <w:bodyDiv w:val="1"/>
      <w:marLeft w:val="0"/>
      <w:marRight w:val="0"/>
      <w:marTop w:val="0"/>
      <w:marBottom w:val="0"/>
      <w:divBdr>
        <w:top w:val="none" w:sz="0" w:space="0" w:color="auto"/>
        <w:left w:val="none" w:sz="0" w:space="0" w:color="auto"/>
        <w:bottom w:val="none" w:sz="0" w:space="0" w:color="auto"/>
        <w:right w:val="none" w:sz="0" w:space="0" w:color="auto"/>
      </w:divBdr>
    </w:div>
    <w:div w:id="433135220">
      <w:bodyDiv w:val="1"/>
      <w:marLeft w:val="0"/>
      <w:marRight w:val="0"/>
      <w:marTop w:val="0"/>
      <w:marBottom w:val="0"/>
      <w:divBdr>
        <w:top w:val="none" w:sz="0" w:space="0" w:color="auto"/>
        <w:left w:val="none" w:sz="0" w:space="0" w:color="auto"/>
        <w:bottom w:val="none" w:sz="0" w:space="0" w:color="auto"/>
        <w:right w:val="none" w:sz="0" w:space="0" w:color="auto"/>
      </w:divBdr>
    </w:div>
    <w:div w:id="476724291">
      <w:bodyDiv w:val="1"/>
      <w:marLeft w:val="0"/>
      <w:marRight w:val="0"/>
      <w:marTop w:val="0"/>
      <w:marBottom w:val="0"/>
      <w:divBdr>
        <w:top w:val="none" w:sz="0" w:space="0" w:color="auto"/>
        <w:left w:val="none" w:sz="0" w:space="0" w:color="auto"/>
        <w:bottom w:val="none" w:sz="0" w:space="0" w:color="auto"/>
        <w:right w:val="none" w:sz="0" w:space="0" w:color="auto"/>
      </w:divBdr>
    </w:div>
    <w:div w:id="57162004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57597937">
      <w:bodyDiv w:val="1"/>
      <w:marLeft w:val="0"/>
      <w:marRight w:val="0"/>
      <w:marTop w:val="0"/>
      <w:marBottom w:val="0"/>
      <w:divBdr>
        <w:top w:val="none" w:sz="0" w:space="0" w:color="auto"/>
        <w:left w:val="none" w:sz="0" w:space="0" w:color="auto"/>
        <w:bottom w:val="none" w:sz="0" w:space="0" w:color="auto"/>
        <w:right w:val="none" w:sz="0" w:space="0" w:color="auto"/>
      </w:divBdr>
    </w:div>
    <w:div w:id="1226531600">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67494021">
      <w:bodyDiv w:val="1"/>
      <w:marLeft w:val="0"/>
      <w:marRight w:val="0"/>
      <w:marTop w:val="0"/>
      <w:marBottom w:val="0"/>
      <w:divBdr>
        <w:top w:val="none" w:sz="0" w:space="0" w:color="auto"/>
        <w:left w:val="none" w:sz="0" w:space="0" w:color="auto"/>
        <w:bottom w:val="none" w:sz="0" w:space="0" w:color="auto"/>
        <w:right w:val="none" w:sz="0" w:space="0" w:color="auto"/>
      </w:divBdr>
    </w:div>
    <w:div w:id="161443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08133-A1CA-4332-B5CC-E4F6CA319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21</Pages>
  <Words>10677</Words>
  <Characters>3723</Characters>
  <Application>Microsoft Office Word</Application>
  <DocSecurity>0</DocSecurity>
  <Lines>31</Lines>
  <Paragraphs>28</Paragraphs>
  <ScaleCrop>false</ScaleCrop>
  <Company>TRT. Ltd. Co.</Company>
  <LinksUpToDate>false</LinksUpToDate>
  <CharactersWithSpaces>14372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严嘉惠</cp:lastModifiedBy>
  <cp:revision>237</cp:revision>
  <cp:lastPrinted>2007-07-19T00:46:00Z</cp:lastPrinted>
  <dcterms:created xsi:type="dcterms:W3CDTF">2012-11-21T04:46:00Z</dcterms:created>
  <dcterms:modified xsi:type="dcterms:W3CDTF">2017-07-19T09:00:00Z</dcterms:modified>
</cp:coreProperties>
</file>