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ED4" w:rsidRPr="00612B08" w:rsidRDefault="002C166D" w:rsidP="002C166D">
      <w:pPr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 w:rsidRPr="00612B08">
        <w:rPr>
          <w:rFonts w:ascii="Times New Roman" w:eastAsia="宋体" w:hAnsi="宋体" w:cs="Times New Roman"/>
          <w:b/>
          <w:sz w:val="28"/>
          <w:szCs w:val="28"/>
        </w:rPr>
        <w:t>农银汇理基金管理有限公司</w:t>
      </w:r>
      <w:r w:rsidR="003C1ED4" w:rsidRPr="00612B08">
        <w:rPr>
          <w:rFonts w:ascii="Times New Roman" w:eastAsia="宋体" w:hAnsi="宋体" w:cs="Times New Roman"/>
          <w:b/>
          <w:sz w:val="28"/>
          <w:szCs w:val="28"/>
        </w:rPr>
        <w:t>关于农银汇理深证</w:t>
      </w:r>
      <w:r w:rsidR="003C1ED4" w:rsidRPr="00612B08">
        <w:rPr>
          <w:rFonts w:ascii="Times New Roman" w:eastAsia="宋体" w:hAnsi="Times New Roman" w:cs="Times New Roman"/>
          <w:b/>
          <w:sz w:val="28"/>
          <w:szCs w:val="28"/>
        </w:rPr>
        <w:t>100</w:t>
      </w:r>
      <w:r w:rsidR="003C1ED4" w:rsidRPr="00612B08">
        <w:rPr>
          <w:rFonts w:ascii="Times New Roman" w:eastAsia="宋体" w:hAnsi="宋体" w:cs="Times New Roman"/>
          <w:b/>
          <w:sz w:val="28"/>
          <w:szCs w:val="28"/>
        </w:rPr>
        <w:t>指数增强型证券投资基金在公司直销中心</w:t>
      </w:r>
      <w:r w:rsidR="00612B08" w:rsidRPr="00612B08">
        <w:rPr>
          <w:rFonts w:ascii="Times New Roman" w:eastAsia="宋体" w:hAnsi="宋体" w:cs="Times New Roman"/>
          <w:b/>
          <w:sz w:val="28"/>
          <w:szCs w:val="28"/>
        </w:rPr>
        <w:t>和银河证券</w:t>
      </w:r>
      <w:r w:rsidR="003C1ED4" w:rsidRPr="00612B08">
        <w:rPr>
          <w:rFonts w:ascii="Times New Roman" w:eastAsia="宋体" w:hAnsi="宋体" w:cs="Times New Roman"/>
          <w:b/>
          <w:sz w:val="28"/>
          <w:szCs w:val="28"/>
        </w:rPr>
        <w:t>开展赎回费率优惠活动的公告</w:t>
      </w:r>
    </w:p>
    <w:p w:rsidR="005F4EFF" w:rsidRPr="00612B08" w:rsidRDefault="005F4EFF" w:rsidP="002C166D">
      <w:pPr>
        <w:jc w:val="center"/>
        <w:rPr>
          <w:rFonts w:ascii="Times New Roman" w:eastAsia="宋体" w:hAnsi="Times New Roman" w:cs="Times New Roman"/>
          <w:b/>
          <w:sz w:val="28"/>
          <w:szCs w:val="28"/>
        </w:rPr>
      </w:pPr>
    </w:p>
    <w:p w:rsidR="002C166D" w:rsidRPr="00612B08" w:rsidRDefault="00C6165D" w:rsidP="003C1ED4">
      <w:pPr>
        <w:spacing w:line="360" w:lineRule="auto"/>
        <w:ind w:firstLineChars="200" w:firstLine="420"/>
        <w:rPr>
          <w:rFonts w:ascii="Times New Roman" w:eastAsia="宋体" w:hAnsi="Times New Roman" w:cs="Times New Roman"/>
          <w:color w:val="000000"/>
          <w:szCs w:val="21"/>
        </w:rPr>
      </w:pPr>
      <w:r>
        <w:rPr>
          <w:rFonts w:ascii="Times New Roman" w:eastAsia="宋体" w:hAnsi="宋体" w:cs="Times New Roman"/>
        </w:rPr>
        <w:t>为更好的满足投资者的理财需求，进一步提升客户体验，农银汇理基金管理有限公司（以下简称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宋体" w:cs="Times New Roman"/>
        </w:rPr>
        <w:t>本公司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宋体" w:cs="Times New Roman"/>
        </w:rPr>
        <w:t>）自</w:t>
      </w:r>
      <w:r>
        <w:rPr>
          <w:rFonts w:ascii="Times New Roman" w:eastAsia="宋体" w:hAnsi="Times New Roman" w:cs="Times New Roman"/>
        </w:rPr>
        <w:t>2017</w:t>
      </w:r>
      <w:r>
        <w:rPr>
          <w:rFonts w:ascii="Times New Roman" w:eastAsia="宋体" w:hAnsi="宋体" w:cs="Times New Roman"/>
        </w:rPr>
        <w:t>年</w:t>
      </w:r>
      <w:r>
        <w:rPr>
          <w:rFonts w:ascii="Times New Roman" w:eastAsia="宋体" w:hAnsi="Times New Roman" w:cs="Times New Roman"/>
        </w:rPr>
        <w:t>7</w:t>
      </w:r>
      <w:r>
        <w:rPr>
          <w:rFonts w:ascii="Times New Roman" w:eastAsia="宋体" w:hAnsi="宋体" w:cs="Times New Roman"/>
        </w:rPr>
        <w:t>月</w:t>
      </w:r>
      <w:r w:rsidR="003C1ED4" w:rsidRPr="00612B08">
        <w:rPr>
          <w:rFonts w:ascii="Times New Roman" w:eastAsia="宋体" w:hAnsi="Times New Roman" w:cs="Times New Roman"/>
        </w:rPr>
        <w:t>20</w:t>
      </w:r>
      <w:r w:rsidR="002C166D" w:rsidRPr="00612B08">
        <w:rPr>
          <w:rFonts w:ascii="Times New Roman" w:eastAsia="宋体" w:hAnsi="宋体" w:cs="Times New Roman"/>
        </w:rPr>
        <w:t>日起</w:t>
      </w:r>
      <w:r w:rsidR="003C1ED4" w:rsidRPr="00612B08">
        <w:rPr>
          <w:rFonts w:ascii="Times New Roman" w:eastAsia="宋体" w:hAnsi="宋体" w:cs="Times New Roman"/>
        </w:rPr>
        <w:t>对通过本公司直销中心</w:t>
      </w:r>
      <w:r w:rsidR="007E35BF" w:rsidRPr="00612B08">
        <w:rPr>
          <w:rFonts w:ascii="Times New Roman" w:eastAsia="宋体" w:hAnsi="宋体" w:cs="Times New Roman"/>
        </w:rPr>
        <w:t>（包括本公司直销柜台及网上交易系统）</w:t>
      </w:r>
      <w:r w:rsidR="00DA3625" w:rsidRPr="00612B08">
        <w:rPr>
          <w:rFonts w:ascii="Times New Roman" w:eastAsia="宋体" w:hAnsi="宋体" w:cs="Times New Roman"/>
        </w:rPr>
        <w:t>和中国银河证券股份有限公司（以下简称</w:t>
      </w:r>
      <w:r w:rsidR="00DA3625" w:rsidRPr="00612B08">
        <w:rPr>
          <w:rFonts w:ascii="Times New Roman" w:eastAsia="宋体" w:hAnsi="Times New Roman" w:cs="Times New Roman"/>
        </w:rPr>
        <w:t>“</w:t>
      </w:r>
      <w:r w:rsidR="00DA3625" w:rsidRPr="00612B08">
        <w:rPr>
          <w:rFonts w:ascii="Times New Roman" w:eastAsia="宋体" w:hAnsi="宋体" w:cs="Times New Roman"/>
        </w:rPr>
        <w:t>银河证券</w:t>
      </w:r>
      <w:r w:rsidR="00DA3625" w:rsidRPr="00612B08">
        <w:rPr>
          <w:rFonts w:ascii="Times New Roman" w:eastAsia="宋体" w:hAnsi="Times New Roman" w:cs="Times New Roman"/>
        </w:rPr>
        <w:t>”</w:t>
      </w:r>
      <w:r w:rsidR="00DA3625" w:rsidRPr="00612B08">
        <w:rPr>
          <w:rFonts w:ascii="Times New Roman" w:eastAsia="宋体" w:hAnsi="宋体" w:cs="Times New Roman"/>
        </w:rPr>
        <w:t>）</w:t>
      </w:r>
      <w:r w:rsidR="003C1ED4" w:rsidRPr="00612B08">
        <w:rPr>
          <w:rFonts w:ascii="Times New Roman" w:eastAsia="宋体" w:hAnsi="宋体" w:cs="Times New Roman"/>
        </w:rPr>
        <w:t>赎回农银汇理深证</w:t>
      </w:r>
      <w:r w:rsidR="003C1ED4" w:rsidRPr="00612B08">
        <w:rPr>
          <w:rFonts w:ascii="Times New Roman" w:eastAsia="宋体" w:hAnsi="Times New Roman" w:cs="Times New Roman"/>
        </w:rPr>
        <w:t>100</w:t>
      </w:r>
      <w:r w:rsidR="003C1ED4" w:rsidRPr="00612B08">
        <w:rPr>
          <w:rFonts w:ascii="Times New Roman" w:eastAsia="宋体" w:hAnsi="宋体" w:cs="Times New Roman"/>
        </w:rPr>
        <w:t>指数增强型证券投资基金</w:t>
      </w:r>
      <w:r w:rsidR="003A6E76" w:rsidRPr="00612B08">
        <w:rPr>
          <w:rFonts w:ascii="Times New Roman" w:eastAsia="宋体" w:hAnsi="宋体" w:cs="Times New Roman"/>
        </w:rPr>
        <w:t>（以下简称</w:t>
      </w:r>
      <w:r w:rsidR="003A6E76" w:rsidRPr="00612B08">
        <w:rPr>
          <w:rFonts w:ascii="Times New Roman" w:eastAsia="宋体" w:hAnsi="Times New Roman" w:cs="Times New Roman"/>
        </w:rPr>
        <w:t>“</w:t>
      </w:r>
      <w:r w:rsidR="003A6E76" w:rsidRPr="00612B08">
        <w:rPr>
          <w:rFonts w:ascii="Times New Roman" w:eastAsia="宋体" w:hAnsi="宋体" w:cs="Times New Roman"/>
        </w:rPr>
        <w:t>本基金</w:t>
      </w:r>
      <w:r w:rsidR="003A6E76" w:rsidRPr="00612B08">
        <w:rPr>
          <w:rFonts w:ascii="Times New Roman" w:eastAsia="宋体" w:hAnsi="Times New Roman" w:cs="Times New Roman"/>
        </w:rPr>
        <w:t>”</w:t>
      </w:r>
      <w:r w:rsidR="003A6E76" w:rsidRPr="00612B08">
        <w:rPr>
          <w:rFonts w:ascii="Times New Roman" w:eastAsia="宋体" w:hAnsi="宋体" w:cs="Times New Roman"/>
        </w:rPr>
        <w:t>）</w:t>
      </w:r>
      <w:r w:rsidR="003C1ED4" w:rsidRPr="00612B08">
        <w:rPr>
          <w:rFonts w:ascii="Times New Roman" w:eastAsia="宋体" w:hAnsi="宋体" w:cs="Times New Roman"/>
        </w:rPr>
        <w:t>的投资者给予赎回费率优惠</w:t>
      </w:r>
      <w:r w:rsidR="002C166D" w:rsidRPr="00612B08">
        <w:rPr>
          <w:rFonts w:ascii="Times New Roman" w:eastAsia="宋体" w:hAnsi="宋体" w:cs="Times New Roman"/>
        </w:rPr>
        <w:t>。</w:t>
      </w:r>
      <w:r w:rsidR="00A30AA0" w:rsidRPr="00612B08">
        <w:rPr>
          <w:rFonts w:ascii="Times New Roman" w:eastAsia="宋体" w:hAnsi="宋体" w:cs="Times New Roman"/>
          <w:color w:val="000000"/>
          <w:szCs w:val="21"/>
        </w:rPr>
        <w:t>现将有关事项公告如下：</w:t>
      </w:r>
    </w:p>
    <w:p w:rsidR="00C70911" w:rsidRPr="00612B08" w:rsidRDefault="00C70911" w:rsidP="002C166D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</w:p>
    <w:p w:rsidR="00D44F8C" w:rsidRPr="00612B08" w:rsidRDefault="00D44F8C" w:rsidP="00D44F8C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eastAsia="宋体" w:hAnsi="Times New Roman" w:cs="Times New Roman"/>
          <w:b/>
        </w:rPr>
      </w:pPr>
      <w:r w:rsidRPr="00612B08">
        <w:rPr>
          <w:rFonts w:ascii="Times New Roman" w:eastAsia="宋体" w:hAnsi="宋体" w:cs="Times New Roman"/>
          <w:b/>
        </w:rPr>
        <w:t>适用基金</w:t>
      </w:r>
    </w:p>
    <w:p w:rsidR="006874F4" w:rsidRPr="00612B08" w:rsidRDefault="00F56AD2" w:rsidP="005B728D">
      <w:pPr>
        <w:spacing w:line="360" w:lineRule="auto"/>
        <w:ind w:left="420"/>
        <w:rPr>
          <w:rFonts w:ascii="Times New Roman" w:eastAsia="宋体" w:hAnsi="Times New Roman" w:cs="Times New Roman"/>
        </w:rPr>
      </w:pPr>
      <w:r w:rsidRPr="00612B08">
        <w:rPr>
          <w:rFonts w:ascii="Times New Roman" w:eastAsia="宋体" w:hAnsi="宋体" w:cs="Times New Roman"/>
        </w:rPr>
        <w:t>基金名称：</w:t>
      </w:r>
      <w:r w:rsidR="00FC194B" w:rsidRPr="00612B08">
        <w:rPr>
          <w:rFonts w:ascii="Times New Roman" w:eastAsia="宋体" w:hAnsi="宋体" w:cs="Times New Roman"/>
        </w:rPr>
        <w:t>农银汇理深证</w:t>
      </w:r>
      <w:r w:rsidR="00FC194B" w:rsidRPr="00612B08">
        <w:rPr>
          <w:rFonts w:ascii="Times New Roman" w:eastAsia="宋体" w:hAnsi="Times New Roman" w:cs="Times New Roman"/>
        </w:rPr>
        <w:t>100</w:t>
      </w:r>
      <w:r w:rsidR="00FC194B" w:rsidRPr="00612B08">
        <w:rPr>
          <w:rFonts w:ascii="Times New Roman" w:eastAsia="宋体" w:hAnsi="宋体" w:cs="Times New Roman"/>
        </w:rPr>
        <w:t>指数增强型证券投资基金</w:t>
      </w:r>
    </w:p>
    <w:p w:rsidR="00F56AD2" w:rsidRPr="00612B08" w:rsidRDefault="00F56AD2" w:rsidP="005B728D">
      <w:pPr>
        <w:spacing w:line="360" w:lineRule="auto"/>
        <w:ind w:left="420"/>
        <w:rPr>
          <w:rFonts w:ascii="Times New Roman" w:eastAsia="宋体" w:hAnsi="Times New Roman" w:cs="Times New Roman"/>
        </w:rPr>
      </w:pPr>
      <w:r w:rsidRPr="00612B08">
        <w:rPr>
          <w:rFonts w:ascii="Times New Roman" w:eastAsia="宋体" w:hAnsi="宋体" w:cs="Times New Roman"/>
        </w:rPr>
        <w:t>基金简称：</w:t>
      </w:r>
      <w:r w:rsidR="007E35BF" w:rsidRPr="00612B08">
        <w:rPr>
          <w:rFonts w:ascii="Times New Roman" w:eastAsia="宋体" w:hAnsi="宋体" w:cs="Times New Roman"/>
        </w:rPr>
        <w:t>农银汇理深证</w:t>
      </w:r>
      <w:r w:rsidR="007E35BF" w:rsidRPr="00612B08">
        <w:rPr>
          <w:rFonts w:ascii="Times New Roman" w:eastAsia="宋体" w:hAnsi="Times New Roman" w:cs="Times New Roman"/>
        </w:rPr>
        <w:t>100</w:t>
      </w:r>
    </w:p>
    <w:p w:rsidR="00F56AD2" w:rsidRPr="00612B08" w:rsidRDefault="00F56AD2" w:rsidP="005B728D">
      <w:pPr>
        <w:spacing w:line="360" w:lineRule="auto"/>
        <w:ind w:left="420"/>
        <w:rPr>
          <w:rFonts w:ascii="Times New Roman" w:eastAsia="宋体" w:hAnsi="Times New Roman" w:cs="Times New Roman"/>
        </w:rPr>
      </w:pPr>
      <w:r w:rsidRPr="00612B08">
        <w:rPr>
          <w:rFonts w:ascii="Times New Roman" w:eastAsia="宋体" w:hAnsi="宋体" w:cs="Times New Roman"/>
        </w:rPr>
        <w:t>基金代码：</w:t>
      </w:r>
      <w:r w:rsidR="007E35BF" w:rsidRPr="00612B08">
        <w:rPr>
          <w:rFonts w:ascii="Times New Roman" w:eastAsia="宋体" w:hAnsi="Times New Roman" w:cs="Times New Roman"/>
        </w:rPr>
        <w:t>660014</w:t>
      </w:r>
    </w:p>
    <w:p w:rsidR="00626D64" w:rsidRPr="00612B08" w:rsidRDefault="00626D64" w:rsidP="005B728D">
      <w:pPr>
        <w:spacing w:line="360" w:lineRule="auto"/>
        <w:ind w:left="420"/>
        <w:rPr>
          <w:rFonts w:ascii="Times New Roman" w:eastAsia="宋体" w:hAnsi="Times New Roman" w:cs="Times New Roman"/>
        </w:rPr>
      </w:pPr>
    </w:p>
    <w:p w:rsidR="00940983" w:rsidRPr="00612B08" w:rsidRDefault="00940983" w:rsidP="00940983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eastAsia="宋体" w:hAnsi="Times New Roman" w:cs="Times New Roman"/>
          <w:b/>
        </w:rPr>
      </w:pPr>
      <w:r w:rsidRPr="00612B08">
        <w:rPr>
          <w:rFonts w:ascii="Times New Roman" w:eastAsia="宋体" w:hAnsi="宋体" w:cs="Times New Roman"/>
          <w:b/>
        </w:rPr>
        <w:t>适用渠道</w:t>
      </w:r>
    </w:p>
    <w:p w:rsidR="00940983" w:rsidRPr="00612B08" w:rsidRDefault="00DA3625" w:rsidP="00940983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r w:rsidRPr="00612B08">
        <w:rPr>
          <w:rFonts w:ascii="Times New Roman" w:eastAsia="宋体" w:hAnsi="Times New Roman" w:cs="Times New Roman"/>
        </w:rPr>
        <w:t>1</w:t>
      </w:r>
      <w:r w:rsidRPr="00612B08">
        <w:rPr>
          <w:rFonts w:ascii="Times New Roman" w:eastAsia="宋体" w:hAnsi="宋体" w:cs="Times New Roman"/>
        </w:rPr>
        <w:t>、</w:t>
      </w:r>
      <w:r w:rsidR="00626D64" w:rsidRPr="00612B08">
        <w:rPr>
          <w:rFonts w:ascii="Times New Roman" w:eastAsia="宋体" w:hAnsi="宋体" w:cs="Times New Roman"/>
        </w:rPr>
        <w:t>农银汇理基金管理有限公司</w:t>
      </w:r>
      <w:r w:rsidR="000909A1" w:rsidRPr="00612B08">
        <w:rPr>
          <w:rFonts w:ascii="Times New Roman" w:eastAsia="宋体" w:hAnsi="宋体" w:cs="Times New Roman"/>
        </w:rPr>
        <w:t>直销中心（包括直销柜台及网上交易系统）</w:t>
      </w:r>
      <w:r w:rsidR="00626D64" w:rsidRPr="00612B08">
        <w:rPr>
          <w:rFonts w:ascii="Times New Roman" w:eastAsia="宋体" w:hAnsi="宋体" w:cs="Times New Roman"/>
        </w:rPr>
        <w:t>：</w:t>
      </w:r>
    </w:p>
    <w:p w:rsidR="00626D64" w:rsidRPr="00612B08" w:rsidRDefault="00626D64" w:rsidP="00626D64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r w:rsidRPr="00612B08">
        <w:rPr>
          <w:rFonts w:ascii="Times New Roman" w:eastAsia="宋体" w:hAnsi="宋体" w:cs="Times New Roman"/>
        </w:rPr>
        <w:t>地址：中国（上海）自由贸易试验区银城路</w:t>
      </w:r>
      <w:r w:rsidRPr="00612B08">
        <w:rPr>
          <w:rFonts w:ascii="Times New Roman" w:eastAsia="宋体" w:hAnsi="Times New Roman" w:cs="Times New Roman"/>
        </w:rPr>
        <w:t>9</w:t>
      </w:r>
      <w:r w:rsidRPr="00612B08">
        <w:rPr>
          <w:rFonts w:ascii="Times New Roman" w:eastAsia="宋体" w:hAnsi="宋体" w:cs="Times New Roman"/>
        </w:rPr>
        <w:t>号</w:t>
      </w:r>
      <w:r w:rsidRPr="00612B08">
        <w:rPr>
          <w:rFonts w:ascii="Times New Roman" w:eastAsia="宋体" w:hAnsi="Times New Roman" w:cs="Times New Roman"/>
        </w:rPr>
        <w:t>50</w:t>
      </w:r>
      <w:r w:rsidRPr="00612B08">
        <w:rPr>
          <w:rFonts w:ascii="Times New Roman" w:eastAsia="宋体" w:hAnsi="宋体" w:cs="Times New Roman"/>
        </w:rPr>
        <w:t>层</w:t>
      </w:r>
    </w:p>
    <w:p w:rsidR="00626D64" w:rsidRPr="00612B08" w:rsidRDefault="00626D64" w:rsidP="00626D64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r w:rsidRPr="00612B08">
        <w:rPr>
          <w:rFonts w:ascii="Times New Roman" w:eastAsia="宋体" w:hAnsi="宋体" w:cs="Times New Roman"/>
        </w:rPr>
        <w:t>联系人：叶冰沁</w:t>
      </w:r>
    </w:p>
    <w:p w:rsidR="00626D64" w:rsidRPr="00612B08" w:rsidRDefault="00626D64" w:rsidP="00626D64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r w:rsidRPr="00612B08">
        <w:rPr>
          <w:rFonts w:ascii="Times New Roman" w:eastAsia="宋体" w:hAnsi="宋体" w:cs="Times New Roman"/>
        </w:rPr>
        <w:t>客户服务电话：</w:t>
      </w:r>
      <w:r w:rsidRPr="00612B08">
        <w:rPr>
          <w:rFonts w:ascii="Times New Roman" w:eastAsia="宋体" w:hAnsi="Times New Roman" w:cs="Times New Roman"/>
        </w:rPr>
        <w:t>4006895599</w:t>
      </w:r>
      <w:r w:rsidRPr="00612B08">
        <w:rPr>
          <w:rFonts w:ascii="Times New Roman" w:eastAsia="宋体" w:hAnsi="宋体" w:cs="Times New Roman"/>
        </w:rPr>
        <w:t>、</w:t>
      </w:r>
      <w:r w:rsidRPr="00612B08">
        <w:rPr>
          <w:rFonts w:ascii="Times New Roman" w:eastAsia="宋体" w:hAnsi="Times New Roman" w:cs="Times New Roman"/>
        </w:rPr>
        <w:t>021-61095599</w:t>
      </w:r>
    </w:p>
    <w:p w:rsidR="00626D64" w:rsidRPr="00612B08" w:rsidRDefault="00626D64" w:rsidP="00626D64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r w:rsidRPr="00612B08">
        <w:rPr>
          <w:rFonts w:ascii="Times New Roman" w:eastAsia="宋体" w:hAnsi="宋体" w:cs="Times New Roman"/>
        </w:rPr>
        <w:t>联系电话：</w:t>
      </w:r>
      <w:r w:rsidRPr="00612B08">
        <w:rPr>
          <w:rFonts w:ascii="Times New Roman" w:eastAsia="宋体" w:hAnsi="Times New Roman" w:cs="Times New Roman"/>
        </w:rPr>
        <w:t xml:space="preserve">021-61095610 </w:t>
      </w:r>
    </w:p>
    <w:p w:rsidR="00626D64" w:rsidRDefault="00626D64" w:rsidP="00626D64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r w:rsidRPr="00612B08">
        <w:rPr>
          <w:rFonts w:ascii="Times New Roman" w:eastAsia="宋体" w:hAnsi="宋体" w:cs="Times New Roman"/>
        </w:rPr>
        <w:t>网址：</w:t>
      </w:r>
      <w:hyperlink r:id="rId7" w:history="1">
        <w:r w:rsidR="00DA3625" w:rsidRPr="00612B08">
          <w:rPr>
            <w:rFonts w:ascii="Times New Roman" w:eastAsia="宋体" w:hAnsi="Times New Roman" w:cs="Times New Roman"/>
          </w:rPr>
          <w:t>www.abc-ca.com</w:t>
        </w:r>
      </w:hyperlink>
    </w:p>
    <w:p w:rsidR="00612B08" w:rsidRPr="00612B08" w:rsidRDefault="00612B08" w:rsidP="00612B08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r w:rsidRPr="00612B08">
        <w:rPr>
          <w:rFonts w:ascii="Times New Roman" w:eastAsia="宋体" w:hAnsi="Times New Roman" w:cs="Times New Roman"/>
        </w:rPr>
        <w:t>2</w:t>
      </w:r>
      <w:r w:rsidRPr="00612B08">
        <w:rPr>
          <w:rFonts w:ascii="Times New Roman" w:eastAsia="宋体" w:hAnsi="宋体" w:cs="Times New Roman"/>
        </w:rPr>
        <w:t>、中国银河证券股份有限公司</w:t>
      </w:r>
    </w:p>
    <w:p w:rsidR="00612B08" w:rsidRPr="00612B08" w:rsidRDefault="00612B08" w:rsidP="00612B08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r w:rsidRPr="00612B08">
        <w:rPr>
          <w:rFonts w:ascii="Times New Roman" w:eastAsia="宋体" w:hAnsi="宋体" w:cs="Times New Roman"/>
        </w:rPr>
        <w:t>地址：北京市西城区金融大街</w:t>
      </w:r>
      <w:r w:rsidRPr="00612B08">
        <w:rPr>
          <w:rFonts w:ascii="Times New Roman" w:eastAsia="宋体" w:hAnsi="Times New Roman" w:cs="Times New Roman"/>
        </w:rPr>
        <w:t>35</w:t>
      </w:r>
      <w:r w:rsidRPr="00612B08">
        <w:rPr>
          <w:rFonts w:ascii="Times New Roman" w:eastAsia="宋体" w:hAnsi="宋体" w:cs="Times New Roman"/>
        </w:rPr>
        <w:t>号国际企业大厦</w:t>
      </w:r>
      <w:r w:rsidRPr="00612B08">
        <w:rPr>
          <w:rFonts w:ascii="Times New Roman" w:eastAsia="宋体" w:hAnsi="Times New Roman" w:cs="Times New Roman"/>
        </w:rPr>
        <w:t>C</w:t>
      </w:r>
      <w:r w:rsidRPr="00612B08">
        <w:rPr>
          <w:rFonts w:ascii="Times New Roman" w:eastAsia="宋体" w:hAnsi="宋体" w:cs="Times New Roman"/>
        </w:rPr>
        <w:t>座</w:t>
      </w:r>
    </w:p>
    <w:p w:rsidR="00612B08" w:rsidRPr="00612B08" w:rsidRDefault="00612B08" w:rsidP="00612B08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r w:rsidRPr="00612B08">
        <w:rPr>
          <w:rFonts w:ascii="Times New Roman" w:eastAsia="宋体" w:hAnsi="宋体" w:cs="Times New Roman"/>
        </w:rPr>
        <w:t>联系人：田薇</w:t>
      </w:r>
    </w:p>
    <w:p w:rsidR="00612B08" w:rsidRPr="00612B08" w:rsidRDefault="00612B08" w:rsidP="00612B08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r w:rsidRPr="00612B08">
        <w:rPr>
          <w:rFonts w:ascii="Times New Roman" w:eastAsia="宋体" w:hAnsi="宋体" w:cs="Times New Roman"/>
        </w:rPr>
        <w:t>客服电话：</w:t>
      </w:r>
      <w:r w:rsidRPr="00612B08">
        <w:rPr>
          <w:rFonts w:ascii="Times New Roman" w:eastAsia="宋体" w:hAnsi="Times New Roman" w:cs="Times New Roman"/>
        </w:rPr>
        <w:t>400-8888-888</w:t>
      </w:r>
    </w:p>
    <w:p w:rsidR="00612B08" w:rsidRPr="00612B08" w:rsidRDefault="00612B08" w:rsidP="00612B08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r w:rsidRPr="00612B08">
        <w:rPr>
          <w:rFonts w:ascii="Times New Roman" w:eastAsia="宋体" w:hAnsi="宋体" w:cs="Times New Roman"/>
        </w:rPr>
        <w:t>网址：</w:t>
      </w:r>
      <w:r w:rsidRPr="00612B08">
        <w:rPr>
          <w:rFonts w:ascii="Times New Roman" w:eastAsia="宋体" w:hAnsi="Times New Roman" w:cs="Times New Roman"/>
        </w:rPr>
        <w:t>www.chinastock.com.cn</w:t>
      </w:r>
    </w:p>
    <w:p w:rsidR="00940983" w:rsidRPr="00612B08" w:rsidRDefault="00940983" w:rsidP="00940983">
      <w:pPr>
        <w:spacing w:line="360" w:lineRule="auto"/>
        <w:rPr>
          <w:rFonts w:ascii="Times New Roman" w:eastAsia="宋体" w:hAnsi="Times New Roman" w:cs="Times New Roman"/>
        </w:rPr>
      </w:pPr>
    </w:p>
    <w:p w:rsidR="006874F4" w:rsidRPr="00612B08" w:rsidRDefault="00940983" w:rsidP="006874F4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eastAsia="宋体" w:hAnsi="Times New Roman" w:cs="Times New Roman"/>
          <w:b/>
        </w:rPr>
      </w:pPr>
      <w:r w:rsidRPr="00612B08">
        <w:rPr>
          <w:rFonts w:ascii="Times New Roman" w:eastAsia="宋体" w:hAnsi="宋体" w:cs="Times New Roman"/>
          <w:b/>
        </w:rPr>
        <w:t>优惠活动期限</w:t>
      </w:r>
    </w:p>
    <w:p w:rsidR="00626D64" w:rsidRPr="00612B08" w:rsidRDefault="00940983" w:rsidP="006874F4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r w:rsidRPr="00612B08">
        <w:rPr>
          <w:rFonts w:ascii="Times New Roman" w:eastAsia="宋体" w:hAnsi="宋体" w:cs="Times New Roman"/>
        </w:rPr>
        <w:t>本次优惠活动自</w:t>
      </w:r>
      <w:r w:rsidRPr="00612B08">
        <w:rPr>
          <w:rFonts w:ascii="Times New Roman" w:eastAsia="宋体" w:hAnsi="Times New Roman" w:cs="Times New Roman"/>
        </w:rPr>
        <w:t>2017</w:t>
      </w:r>
      <w:r w:rsidRPr="00612B08">
        <w:rPr>
          <w:rFonts w:ascii="Times New Roman" w:eastAsia="宋体" w:hAnsi="宋体" w:cs="Times New Roman"/>
        </w:rPr>
        <w:t>年</w:t>
      </w:r>
      <w:r w:rsidRPr="00612B08">
        <w:rPr>
          <w:rFonts w:ascii="Times New Roman" w:eastAsia="宋体" w:hAnsi="Times New Roman" w:cs="Times New Roman"/>
        </w:rPr>
        <w:t>7</w:t>
      </w:r>
      <w:r w:rsidRPr="00612B08">
        <w:rPr>
          <w:rFonts w:ascii="Times New Roman" w:eastAsia="宋体" w:hAnsi="宋体" w:cs="Times New Roman"/>
        </w:rPr>
        <w:t>月</w:t>
      </w:r>
      <w:r w:rsidRPr="00612B08">
        <w:rPr>
          <w:rFonts w:ascii="Times New Roman" w:eastAsia="宋体" w:hAnsi="Times New Roman" w:cs="Times New Roman"/>
        </w:rPr>
        <w:t>20</w:t>
      </w:r>
      <w:r w:rsidRPr="00612B08">
        <w:rPr>
          <w:rFonts w:ascii="Times New Roman" w:eastAsia="宋体" w:hAnsi="宋体" w:cs="Times New Roman"/>
        </w:rPr>
        <w:t>日开始，结束时间以本公司公告为准。</w:t>
      </w:r>
    </w:p>
    <w:p w:rsidR="00172BE8" w:rsidRPr="00612B08" w:rsidRDefault="00172BE8" w:rsidP="00626D64">
      <w:pPr>
        <w:spacing w:line="360" w:lineRule="auto"/>
        <w:rPr>
          <w:rFonts w:ascii="Times New Roman" w:eastAsia="宋体" w:hAnsi="Times New Roman" w:cs="Times New Roman"/>
        </w:rPr>
      </w:pPr>
    </w:p>
    <w:p w:rsidR="00172BE8" w:rsidRPr="00612B08" w:rsidRDefault="00172BE8" w:rsidP="00172BE8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eastAsia="宋体" w:hAnsi="Times New Roman" w:cs="Times New Roman"/>
          <w:b/>
        </w:rPr>
      </w:pPr>
      <w:r w:rsidRPr="00612B08">
        <w:rPr>
          <w:rFonts w:ascii="Times New Roman" w:eastAsia="宋体" w:hAnsi="宋体" w:cs="Times New Roman"/>
          <w:b/>
        </w:rPr>
        <w:t>费率优惠情况</w:t>
      </w:r>
    </w:p>
    <w:p w:rsidR="0046198C" w:rsidRPr="00612B08" w:rsidRDefault="0046198C" w:rsidP="0046198C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r w:rsidRPr="00612B08">
        <w:rPr>
          <w:rFonts w:ascii="Times New Roman" w:eastAsia="宋体" w:hAnsi="宋体" w:cs="Times New Roman"/>
        </w:rPr>
        <w:t>优惠活动期间，凡通过本公司</w:t>
      </w:r>
      <w:r w:rsidR="000909A1" w:rsidRPr="00612B08">
        <w:rPr>
          <w:rFonts w:ascii="Times New Roman" w:eastAsia="宋体" w:hAnsi="宋体" w:cs="Times New Roman"/>
        </w:rPr>
        <w:t>直销中心（包括本公司直销柜台及网上交易系统）</w:t>
      </w:r>
      <w:r w:rsidR="00DA3625" w:rsidRPr="00612B08">
        <w:rPr>
          <w:rFonts w:ascii="Times New Roman" w:eastAsia="宋体" w:hAnsi="宋体" w:cs="Times New Roman"/>
        </w:rPr>
        <w:t>及银河证券</w:t>
      </w:r>
      <w:r w:rsidRPr="00612B08">
        <w:rPr>
          <w:rFonts w:ascii="Times New Roman" w:eastAsia="宋体" w:hAnsi="宋体" w:cs="Times New Roman"/>
        </w:rPr>
        <w:t>申请赎回的投资者，在赎回时，赎回费享有如下优惠：</w:t>
      </w:r>
    </w:p>
    <w:tbl>
      <w:tblPr>
        <w:tblW w:w="0" w:type="auto"/>
        <w:jc w:val="center"/>
        <w:tblInd w:w="-1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50"/>
        <w:gridCol w:w="1276"/>
        <w:gridCol w:w="1866"/>
      </w:tblGrid>
      <w:tr w:rsidR="0046198C" w:rsidRPr="00612B08" w:rsidTr="0046198C">
        <w:trPr>
          <w:jc w:val="center"/>
        </w:trPr>
        <w:tc>
          <w:tcPr>
            <w:tcW w:w="1850" w:type="dxa"/>
            <w:vAlign w:val="center"/>
          </w:tcPr>
          <w:p w:rsidR="0046198C" w:rsidRPr="00612B08" w:rsidRDefault="0046198C" w:rsidP="0046198C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 w:rsidRPr="00612B08">
              <w:rPr>
                <w:rFonts w:ascii="Times New Roman" w:eastAsia="宋体" w:hAnsi="宋体" w:cs="Times New Roman"/>
              </w:rPr>
              <w:t>持有时间</w:t>
            </w:r>
          </w:p>
        </w:tc>
        <w:tc>
          <w:tcPr>
            <w:tcW w:w="1276" w:type="dxa"/>
            <w:vAlign w:val="center"/>
          </w:tcPr>
          <w:p w:rsidR="0046198C" w:rsidRPr="00612B08" w:rsidRDefault="0046198C" w:rsidP="0046198C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 w:rsidRPr="00612B08">
              <w:rPr>
                <w:rFonts w:ascii="Times New Roman" w:eastAsia="宋体" w:hAnsi="宋体" w:cs="Times New Roman"/>
              </w:rPr>
              <w:t>原赎回费率</w:t>
            </w:r>
          </w:p>
        </w:tc>
        <w:tc>
          <w:tcPr>
            <w:tcW w:w="1866" w:type="dxa"/>
          </w:tcPr>
          <w:p w:rsidR="0046198C" w:rsidRPr="00612B08" w:rsidRDefault="0046198C" w:rsidP="0046198C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 w:rsidRPr="00612B08">
              <w:rPr>
                <w:rFonts w:ascii="Times New Roman" w:eastAsia="宋体" w:hAnsi="宋体" w:cs="Times New Roman"/>
              </w:rPr>
              <w:t>优惠后赎回费率</w:t>
            </w:r>
          </w:p>
        </w:tc>
      </w:tr>
      <w:tr w:rsidR="0046198C" w:rsidRPr="00612B08" w:rsidTr="00185EBC">
        <w:trPr>
          <w:trHeight w:val="169"/>
          <w:jc w:val="center"/>
        </w:trPr>
        <w:tc>
          <w:tcPr>
            <w:tcW w:w="1850" w:type="dxa"/>
          </w:tcPr>
          <w:p w:rsidR="0046198C" w:rsidRPr="00612B08" w:rsidRDefault="0046198C" w:rsidP="0046198C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 w:rsidRPr="00612B08">
              <w:rPr>
                <w:rFonts w:ascii="Times New Roman" w:eastAsia="宋体" w:hAnsi="Times New Roman" w:cs="Times New Roman"/>
              </w:rPr>
              <w:t>T&lt;1</w:t>
            </w:r>
            <w:r w:rsidRPr="00612B08">
              <w:rPr>
                <w:rFonts w:ascii="Times New Roman" w:eastAsia="宋体" w:hAnsi="宋体" w:cs="Times New Roman"/>
              </w:rPr>
              <w:t>年</w:t>
            </w:r>
          </w:p>
        </w:tc>
        <w:tc>
          <w:tcPr>
            <w:tcW w:w="1276" w:type="dxa"/>
            <w:vAlign w:val="center"/>
          </w:tcPr>
          <w:p w:rsidR="0046198C" w:rsidRPr="00612B08" w:rsidRDefault="0046198C" w:rsidP="0046198C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 w:rsidRPr="00612B08">
              <w:rPr>
                <w:rFonts w:ascii="Times New Roman" w:eastAsia="宋体" w:hAnsi="Times New Roman" w:cs="Times New Roman"/>
              </w:rPr>
              <w:t>0.5%</w:t>
            </w:r>
          </w:p>
        </w:tc>
        <w:tc>
          <w:tcPr>
            <w:tcW w:w="1866" w:type="dxa"/>
            <w:vAlign w:val="center"/>
          </w:tcPr>
          <w:p w:rsidR="0046198C" w:rsidRPr="00612B08" w:rsidRDefault="0046198C" w:rsidP="0046198C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 w:rsidRPr="00612B08">
              <w:rPr>
                <w:rFonts w:ascii="Times New Roman" w:eastAsia="宋体" w:hAnsi="Times New Roman" w:cs="Times New Roman"/>
              </w:rPr>
              <w:t>0.125%</w:t>
            </w:r>
          </w:p>
        </w:tc>
      </w:tr>
      <w:tr w:rsidR="0046198C" w:rsidRPr="00612B08" w:rsidTr="00185EBC">
        <w:trPr>
          <w:trHeight w:val="145"/>
          <w:jc w:val="center"/>
        </w:trPr>
        <w:tc>
          <w:tcPr>
            <w:tcW w:w="1850" w:type="dxa"/>
          </w:tcPr>
          <w:p w:rsidR="0046198C" w:rsidRPr="00612B08" w:rsidRDefault="0046198C" w:rsidP="0046198C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 w:rsidRPr="00612B08">
              <w:rPr>
                <w:rFonts w:ascii="Times New Roman" w:eastAsia="宋体" w:hAnsi="Times New Roman" w:cs="Times New Roman"/>
              </w:rPr>
              <w:t>1</w:t>
            </w:r>
            <w:r w:rsidRPr="00612B08">
              <w:rPr>
                <w:rFonts w:ascii="Times New Roman" w:eastAsia="宋体" w:hAnsi="宋体" w:cs="Times New Roman"/>
              </w:rPr>
              <w:t>年</w:t>
            </w:r>
            <w:r w:rsidRPr="00612B08">
              <w:rPr>
                <w:rFonts w:ascii="Times New Roman" w:eastAsia="宋体" w:hAnsi="Times New Roman" w:cs="Times New Roman"/>
              </w:rPr>
              <w:t>=&lt;T&lt;2</w:t>
            </w:r>
            <w:r w:rsidRPr="00612B08">
              <w:rPr>
                <w:rFonts w:ascii="Times New Roman" w:eastAsia="宋体" w:hAnsi="宋体" w:cs="Times New Roman"/>
              </w:rPr>
              <w:t>年</w:t>
            </w:r>
          </w:p>
        </w:tc>
        <w:tc>
          <w:tcPr>
            <w:tcW w:w="1276" w:type="dxa"/>
            <w:vAlign w:val="center"/>
          </w:tcPr>
          <w:p w:rsidR="0046198C" w:rsidRPr="00612B08" w:rsidRDefault="0046198C" w:rsidP="0046198C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 w:rsidRPr="00612B08">
              <w:rPr>
                <w:rFonts w:ascii="Times New Roman" w:eastAsia="宋体" w:hAnsi="Times New Roman" w:cs="Times New Roman"/>
              </w:rPr>
              <w:t>0.25%</w:t>
            </w:r>
          </w:p>
        </w:tc>
        <w:tc>
          <w:tcPr>
            <w:tcW w:w="1866" w:type="dxa"/>
            <w:vAlign w:val="center"/>
          </w:tcPr>
          <w:p w:rsidR="0046198C" w:rsidRPr="00612B08" w:rsidRDefault="0046198C" w:rsidP="0046198C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 w:rsidRPr="00612B08">
              <w:rPr>
                <w:rFonts w:ascii="Times New Roman" w:eastAsia="宋体" w:hAnsi="Times New Roman" w:cs="Times New Roman"/>
              </w:rPr>
              <w:t>0.0625%</w:t>
            </w:r>
          </w:p>
        </w:tc>
      </w:tr>
      <w:tr w:rsidR="0046198C" w:rsidRPr="00612B08" w:rsidTr="00185EBC">
        <w:trPr>
          <w:cantSplit/>
          <w:trHeight w:val="111"/>
          <w:jc w:val="center"/>
        </w:trPr>
        <w:tc>
          <w:tcPr>
            <w:tcW w:w="1850" w:type="dxa"/>
          </w:tcPr>
          <w:p w:rsidR="0046198C" w:rsidRPr="00612B08" w:rsidRDefault="0046198C" w:rsidP="0046198C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 w:rsidRPr="00612B08">
              <w:rPr>
                <w:rFonts w:ascii="Times New Roman" w:eastAsia="宋体" w:hAnsi="Times New Roman" w:cs="Times New Roman"/>
              </w:rPr>
              <w:t>T&gt;=2</w:t>
            </w:r>
            <w:r w:rsidRPr="00612B08">
              <w:rPr>
                <w:rFonts w:ascii="Times New Roman" w:eastAsia="宋体" w:hAnsi="宋体" w:cs="Times New Roman"/>
              </w:rPr>
              <w:t>年</w:t>
            </w:r>
          </w:p>
        </w:tc>
        <w:tc>
          <w:tcPr>
            <w:tcW w:w="1276" w:type="dxa"/>
            <w:vAlign w:val="center"/>
          </w:tcPr>
          <w:p w:rsidR="0046198C" w:rsidRPr="00612B08" w:rsidRDefault="0046198C" w:rsidP="0046198C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 w:rsidRPr="00612B08">
              <w:rPr>
                <w:rFonts w:ascii="Times New Roman" w:eastAsia="宋体" w:hAnsi="Times New Roman" w:cs="Times New Roman"/>
              </w:rPr>
              <w:t>0</w:t>
            </w:r>
          </w:p>
        </w:tc>
        <w:tc>
          <w:tcPr>
            <w:tcW w:w="1866" w:type="dxa"/>
            <w:vAlign w:val="center"/>
          </w:tcPr>
          <w:p w:rsidR="0046198C" w:rsidRPr="00612B08" w:rsidRDefault="0046198C" w:rsidP="0046198C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 w:rsidRPr="00612B08">
              <w:rPr>
                <w:rFonts w:ascii="Times New Roman" w:eastAsia="宋体" w:hAnsi="Times New Roman" w:cs="Times New Roman"/>
              </w:rPr>
              <w:t>0</w:t>
            </w:r>
          </w:p>
        </w:tc>
      </w:tr>
    </w:tbl>
    <w:p w:rsidR="006874F4" w:rsidRPr="00612B08" w:rsidRDefault="0046198C" w:rsidP="0046198C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r w:rsidRPr="00612B08">
        <w:rPr>
          <w:rFonts w:ascii="Times New Roman" w:eastAsia="宋体" w:hAnsi="宋体" w:cs="Times New Roman"/>
        </w:rPr>
        <w:t>优惠后的赎回费将</w:t>
      </w:r>
      <w:r w:rsidRPr="00612B08">
        <w:rPr>
          <w:rFonts w:ascii="Times New Roman" w:eastAsia="宋体" w:hAnsi="Times New Roman" w:cs="Times New Roman"/>
        </w:rPr>
        <w:t>100%</w:t>
      </w:r>
      <w:r w:rsidRPr="00612B08">
        <w:rPr>
          <w:rFonts w:ascii="Times New Roman" w:eastAsia="宋体" w:hAnsi="宋体" w:cs="Times New Roman"/>
        </w:rPr>
        <w:t>归入基金资产，此次费率优惠不会对基金份额持有人利益造成不利影响。本次活动仅适用于在规定期限内，通过本公司</w:t>
      </w:r>
      <w:r w:rsidR="000909A1" w:rsidRPr="00612B08">
        <w:rPr>
          <w:rFonts w:ascii="Times New Roman" w:eastAsia="宋体" w:hAnsi="宋体" w:cs="Times New Roman"/>
        </w:rPr>
        <w:t>直销中心（包括本公司直销柜台及网上交易系统）</w:t>
      </w:r>
      <w:r w:rsidR="00DA3625" w:rsidRPr="00612B08">
        <w:rPr>
          <w:rFonts w:ascii="Times New Roman" w:eastAsia="宋体" w:hAnsi="宋体" w:cs="Times New Roman"/>
        </w:rPr>
        <w:t>和银河证券</w:t>
      </w:r>
      <w:r w:rsidRPr="00612B08">
        <w:rPr>
          <w:rFonts w:ascii="Times New Roman" w:eastAsia="宋体" w:hAnsi="宋体" w:cs="Times New Roman"/>
        </w:rPr>
        <w:t>申请赎回的投资者。基金转换业务转出基金为本基金的，转出费率参与此次费率优惠。</w:t>
      </w:r>
      <w:r w:rsidR="00940983" w:rsidRPr="00612B08">
        <w:rPr>
          <w:rFonts w:ascii="Times New Roman" w:eastAsia="宋体" w:hAnsi="Times New Roman" w:cs="Times New Roman"/>
        </w:rPr>
        <w:cr/>
      </w:r>
    </w:p>
    <w:p w:rsidR="006874F4" w:rsidRPr="00612B08" w:rsidRDefault="000909A1" w:rsidP="006874F4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eastAsia="宋体" w:hAnsi="Times New Roman" w:cs="Times New Roman"/>
          <w:b/>
        </w:rPr>
      </w:pPr>
      <w:r w:rsidRPr="00612B08">
        <w:rPr>
          <w:rFonts w:ascii="Times New Roman" w:eastAsia="宋体" w:hAnsi="宋体" w:cs="Times New Roman"/>
          <w:b/>
        </w:rPr>
        <w:t>重要提示</w:t>
      </w:r>
    </w:p>
    <w:p w:rsidR="00CC76DD" w:rsidRPr="00612B08" w:rsidRDefault="00CC76DD" w:rsidP="00CC76DD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r w:rsidRPr="00612B08">
        <w:rPr>
          <w:rFonts w:ascii="Times New Roman" w:eastAsia="宋体" w:hAnsi="Times New Roman" w:cs="Times New Roman"/>
        </w:rPr>
        <w:t>1</w:t>
      </w:r>
      <w:r w:rsidRPr="00612B08">
        <w:rPr>
          <w:rFonts w:ascii="Times New Roman" w:eastAsia="宋体" w:hAnsi="宋体" w:cs="Times New Roman"/>
        </w:rPr>
        <w:t>、本公告的最终解释权归农银汇理基金管理有限公司所有。</w:t>
      </w:r>
    </w:p>
    <w:p w:rsidR="00CC76DD" w:rsidRPr="00612B08" w:rsidRDefault="00CC76DD" w:rsidP="00CC76DD">
      <w:pPr>
        <w:spacing w:line="360" w:lineRule="auto"/>
        <w:ind w:firstLineChars="200" w:firstLine="420"/>
        <w:rPr>
          <w:rFonts w:ascii="Times New Roman" w:eastAsia="宋体" w:hAnsi="Times New Roman" w:cs="Times New Roman"/>
          <w:b/>
        </w:rPr>
      </w:pPr>
      <w:r w:rsidRPr="00612B08">
        <w:rPr>
          <w:rFonts w:ascii="Times New Roman" w:eastAsia="宋体" w:hAnsi="Times New Roman" w:cs="Times New Roman"/>
        </w:rPr>
        <w:t>2</w:t>
      </w:r>
      <w:r w:rsidRPr="00612B08">
        <w:rPr>
          <w:rFonts w:ascii="Times New Roman" w:eastAsia="宋体" w:hAnsi="宋体" w:cs="Times New Roman"/>
        </w:rPr>
        <w:t>、投资者可通过以下途径了解或咨询相关情况</w:t>
      </w:r>
    </w:p>
    <w:p w:rsidR="00680682" w:rsidRPr="00612B08" w:rsidRDefault="00612B08" w:rsidP="00680682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r w:rsidRPr="00612B08">
        <w:rPr>
          <w:rFonts w:ascii="Times New Roman" w:eastAsia="宋体" w:hAnsi="宋体" w:cs="Times New Roman"/>
        </w:rPr>
        <w:t>（</w:t>
      </w:r>
      <w:r w:rsidRPr="00612B08">
        <w:rPr>
          <w:rFonts w:ascii="Times New Roman" w:eastAsia="宋体" w:hAnsi="Times New Roman" w:cs="Times New Roman"/>
        </w:rPr>
        <w:t>1</w:t>
      </w:r>
      <w:r w:rsidRPr="00612B08">
        <w:rPr>
          <w:rFonts w:ascii="Times New Roman" w:eastAsia="宋体" w:hAnsi="宋体" w:cs="Times New Roman"/>
        </w:rPr>
        <w:t>）</w:t>
      </w:r>
      <w:r w:rsidR="00680682" w:rsidRPr="00612B08">
        <w:rPr>
          <w:rFonts w:ascii="Times New Roman" w:eastAsia="宋体" w:hAnsi="宋体" w:cs="Times New Roman"/>
        </w:rPr>
        <w:t>农银汇理基金管理有限公司</w:t>
      </w:r>
    </w:p>
    <w:p w:rsidR="00680682" w:rsidRPr="00612B08" w:rsidRDefault="00680682" w:rsidP="00680682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r w:rsidRPr="00612B08">
        <w:rPr>
          <w:rFonts w:ascii="Times New Roman" w:eastAsia="宋体" w:hAnsi="宋体" w:cs="Times New Roman"/>
        </w:rPr>
        <w:t>客户服务中心电话：</w:t>
      </w:r>
      <w:r w:rsidRPr="00612B08">
        <w:rPr>
          <w:rFonts w:ascii="Times New Roman" w:eastAsia="宋体" w:hAnsi="Times New Roman" w:cs="Times New Roman"/>
        </w:rPr>
        <w:t>4006895599</w:t>
      </w:r>
    </w:p>
    <w:p w:rsidR="006874F4" w:rsidRDefault="00680682" w:rsidP="00680682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r w:rsidRPr="00612B08">
        <w:rPr>
          <w:rFonts w:ascii="Times New Roman" w:eastAsia="宋体" w:hAnsi="宋体" w:cs="Times New Roman"/>
        </w:rPr>
        <w:t>网址：</w:t>
      </w:r>
      <w:hyperlink r:id="rId8" w:history="1">
        <w:r w:rsidR="00612B08" w:rsidRPr="009B2673">
          <w:rPr>
            <w:rStyle w:val="a4"/>
            <w:rFonts w:ascii="Times New Roman" w:eastAsia="宋体" w:hAnsi="Times New Roman" w:cs="Times New Roman"/>
          </w:rPr>
          <w:t>www.abc-ca.com</w:t>
        </w:r>
      </w:hyperlink>
    </w:p>
    <w:p w:rsidR="00612B08" w:rsidRPr="00612B08" w:rsidRDefault="00612B08" w:rsidP="00612B08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r w:rsidRPr="00612B08">
        <w:rPr>
          <w:rFonts w:ascii="Times New Roman" w:eastAsia="宋体" w:hAnsi="宋体" w:cs="Times New Roman"/>
        </w:rPr>
        <w:t>（</w:t>
      </w:r>
      <w:r w:rsidRPr="00612B08">
        <w:rPr>
          <w:rFonts w:ascii="Times New Roman" w:eastAsia="宋体" w:hAnsi="Times New Roman" w:cs="Times New Roman"/>
        </w:rPr>
        <w:t>2</w:t>
      </w:r>
      <w:r w:rsidRPr="00612B08">
        <w:rPr>
          <w:rFonts w:ascii="Times New Roman" w:eastAsia="宋体" w:hAnsi="宋体" w:cs="Times New Roman"/>
        </w:rPr>
        <w:t>）中国银河证券股份有限公司</w:t>
      </w:r>
    </w:p>
    <w:p w:rsidR="00612B08" w:rsidRPr="00612B08" w:rsidRDefault="00612B08" w:rsidP="00612B08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r w:rsidRPr="00612B08">
        <w:rPr>
          <w:rFonts w:ascii="Times New Roman" w:eastAsia="宋体" w:hAnsi="宋体" w:cs="Times New Roman"/>
        </w:rPr>
        <w:t>客服电话：</w:t>
      </w:r>
      <w:r w:rsidRPr="00612B08">
        <w:rPr>
          <w:rFonts w:ascii="Times New Roman" w:eastAsia="宋体" w:hAnsi="Times New Roman" w:cs="Times New Roman"/>
        </w:rPr>
        <w:t>400-8888-888</w:t>
      </w:r>
    </w:p>
    <w:p w:rsidR="00612B08" w:rsidRPr="00612B08" w:rsidRDefault="00612B08" w:rsidP="00612B08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r w:rsidRPr="00612B08">
        <w:rPr>
          <w:rFonts w:ascii="Times New Roman" w:eastAsia="宋体" w:hAnsi="宋体" w:cs="Times New Roman"/>
        </w:rPr>
        <w:t>网址：</w:t>
      </w:r>
      <w:r w:rsidRPr="00612B08">
        <w:rPr>
          <w:rFonts w:ascii="Times New Roman" w:eastAsia="宋体" w:hAnsi="Times New Roman" w:cs="Times New Roman"/>
        </w:rPr>
        <w:t>www.chinastock.com.cn</w:t>
      </w:r>
    </w:p>
    <w:p w:rsidR="00612B08" w:rsidRPr="00612B08" w:rsidRDefault="00612B08" w:rsidP="00680682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</w:p>
    <w:p w:rsidR="006874F4" w:rsidRPr="00612B08" w:rsidRDefault="006874F4" w:rsidP="004B193B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bookmarkStart w:id="0" w:name="_GoBack"/>
      <w:bookmarkEnd w:id="0"/>
      <w:r w:rsidRPr="00612B08">
        <w:rPr>
          <w:rFonts w:ascii="Times New Roman" w:eastAsia="宋体" w:hAnsi="宋体" w:cs="Times New Roman"/>
          <w:szCs w:val="21"/>
        </w:rPr>
        <w:t>风险提示：本公司承诺以诚实信用、勤勉尽责的原则管理和运用基金资产，但不保证基金一定盈利，也不保证最低收益。敬请投资人注意投资风险。投资者投资于上述基金前应认真阅读基金的基金合同、更新的招募说明书。</w:t>
      </w:r>
    </w:p>
    <w:p w:rsidR="006874F4" w:rsidRPr="00612B08" w:rsidRDefault="006874F4" w:rsidP="006874F4">
      <w:pPr>
        <w:spacing w:line="360" w:lineRule="auto"/>
        <w:ind w:firstLineChars="236" w:firstLine="496"/>
        <w:rPr>
          <w:rFonts w:ascii="Times New Roman" w:eastAsia="宋体" w:hAnsi="Times New Roman" w:cs="Times New Roman"/>
          <w:szCs w:val="21"/>
        </w:rPr>
      </w:pPr>
      <w:r w:rsidRPr="00612B08">
        <w:rPr>
          <w:rFonts w:ascii="Times New Roman" w:eastAsia="宋体" w:hAnsi="宋体" w:cs="Times New Roman"/>
          <w:szCs w:val="21"/>
        </w:rPr>
        <w:t>特此公告。</w:t>
      </w:r>
      <w:r w:rsidRPr="00612B08">
        <w:rPr>
          <w:rFonts w:ascii="Times New Roman" w:eastAsia="宋体" w:hAnsi="Times New Roman" w:cs="Times New Roman"/>
          <w:szCs w:val="21"/>
        </w:rPr>
        <w:t xml:space="preserve"> </w:t>
      </w:r>
    </w:p>
    <w:p w:rsidR="00A30AA0" w:rsidRPr="00612B08" w:rsidRDefault="00A30AA0" w:rsidP="006874F4">
      <w:pPr>
        <w:spacing w:line="360" w:lineRule="auto"/>
        <w:ind w:firstLineChars="236" w:firstLine="496"/>
        <w:rPr>
          <w:rFonts w:ascii="Times New Roman" w:eastAsia="宋体" w:hAnsi="Times New Roman" w:cs="Times New Roman"/>
          <w:szCs w:val="21"/>
        </w:rPr>
      </w:pPr>
    </w:p>
    <w:p w:rsidR="00A30AA0" w:rsidRPr="00612B08" w:rsidRDefault="00A30AA0" w:rsidP="00A30AA0">
      <w:pPr>
        <w:spacing w:line="360" w:lineRule="auto"/>
        <w:ind w:firstLine="420"/>
        <w:jc w:val="right"/>
        <w:rPr>
          <w:rFonts w:ascii="Times New Roman" w:eastAsia="宋体" w:hAnsi="Times New Roman" w:cs="Times New Roman"/>
          <w:szCs w:val="21"/>
        </w:rPr>
      </w:pPr>
      <w:r w:rsidRPr="00612B08">
        <w:rPr>
          <w:rFonts w:ascii="Times New Roman" w:eastAsia="宋体" w:hAnsi="宋体" w:cs="Times New Roman"/>
          <w:szCs w:val="21"/>
        </w:rPr>
        <w:t>农银汇理基金管理有限公司</w:t>
      </w:r>
    </w:p>
    <w:p w:rsidR="00A30AA0" w:rsidRPr="00612B08" w:rsidRDefault="008A4E8A" w:rsidP="00A30AA0">
      <w:pPr>
        <w:wordWrap w:val="0"/>
        <w:spacing w:line="360" w:lineRule="auto"/>
        <w:ind w:right="120" w:firstLine="420"/>
        <w:jc w:val="right"/>
        <w:rPr>
          <w:rFonts w:ascii="Times New Roman" w:eastAsia="宋体" w:hAnsi="Times New Roman" w:cs="Times New Roman"/>
        </w:rPr>
      </w:pPr>
      <w:r w:rsidRPr="00612B08">
        <w:rPr>
          <w:rFonts w:ascii="Times New Roman" w:eastAsia="宋体" w:hAnsi="Times New Roman" w:cs="Times New Roman"/>
          <w:szCs w:val="21"/>
        </w:rPr>
        <w:lastRenderedPageBreak/>
        <w:t>2017</w:t>
      </w:r>
      <w:r w:rsidRPr="00612B08">
        <w:rPr>
          <w:rFonts w:ascii="Times New Roman" w:eastAsia="宋体" w:hAnsi="宋体" w:cs="Times New Roman"/>
          <w:szCs w:val="21"/>
        </w:rPr>
        <w:t>年</w:t>
      </w:r>
      <w:r w:rsidRPr="00612B08">
        <w:rPr>
          <w:rFonts w:ascii="Times New Roman" w:eastAsia="宋体" w:hAnsi="Times New Roman" w:cs="Times New Roman"/>
          <w:szCs w:val="21"/>
        </w:rPr>
        <w:t>7</w:t>
      </w:r>
      <w:r w:rsidRPr="00612B08">
        <w:rPr>
          <w:rFonts w:ascii="Times New Roman" w:eastAsia="宋体" w:hAnsi="宋体" w:cs="Times New Roman"/>
          <w:szCs w:val="21"/>
        </w:rPr>
        <w:t>月</w:t>
      </w:r>
      <w:r w:rsidR="00CC76DD" w:rsidRPr="00612B08">
        <w:rPr>
          <w:rFonts w:ascii="Times New Roman" w:eastAsia="宋体" w:hAnsi="Times New Roman" w:cs="Times New Roman"/>
          <w:szCs w:val="21"/>
        </w:rPr>
        <w:t>20</w:t>
      </w:r>
      <w:r w:rsidR="00A30AA0" w:rsidRPr="00612B08">
        <w:rPr>
          <w:rFonts w:ascii="Times New Roman" w:eastAsia="宋体" w:hAnsi="宋体" w:cs="Times New Roman"/>
          <w:szCs w:val="21"/>
        </w:rPr>
        <w:t>日</w:t>
      </w:r>
    </w:p>
    <w:p w:rsidR="00F236A9" w:rsidRPr="00612B08" w:rsidRDefault="00F236A9">
      <w:pPr>
        <w:rPr>
          <w:rFonts w:ascii="Times New Roman" w:eastAsia="宋体" w:hAnsi="Times New Roman" w:cs="Times New Roman"/>
        </w:rPr>
      </w:pPr>
    </w:p>
    <w:sectPr w:rsidR="00F236A9" w:rsidRPr="00612B08" w:rsidSect="009A4A49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F09" w:rsidRDefault="00AC2F09" w:rsidP="004B193B">
      <w:r>
        <w:separator/>
      </w:r>
    </w:p>
  </w:endnote>
  <w:endnote w:type="continuationSeparator" w:id="1">
    <w:p w:rsidR="00AC2F09" w:rsidRDefault="00AC2F09" w:rsidP="004B19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468074"/>
      <w:docPartObj>
        <w:docPartGallery w:val="Page Numbers (Bottom of Page)"/>
        <w:docPartUnique/>
      </w:docPartObj>
    </w:sdtPr>
    <w:sdtContent>
      <w:p w:rsidR="009F5D5D" w:rsidRDefault="00C50AED">
        <w:pPr>
          <w:pStyle w:val="a6"/>
          <w:jc w:val="center"/>
        </w:pPr>
        <w:r w:rsidRPr="000909A1">
          <w:rPr>
            <w:rFonts w:ascii="Times New Roman" w:hAnsi="Times New Roman" w:cs="Times New Roman"/>
          </w:rPr>
          <w:fldChar w:fldCharType="begin"/>
        </w:r>
        <w:r w:rsidR="009F5D5D" w:rsidRPr="000909A1">
          <w:rPr>
            <w:rFonts w:ascii="Times New Roman" w:hAnsi="Times New Roman" w:cs="Times New Roman"/>
          </w:rPr>
          <w:instrText xml:space="preserve"> PAGE   \* MERGEFORMAT </w:instrText>
        </w:r>
        <w:r w:rsidRPr="000909A1">
          <w:rPr>
            <w:rFonts w:ascii="Times New Roman" w:hAnsi="Times New Roman" w:cs="Times New Roman"/>
          </w:rPr>
          <w:fldChar w:fldCharType="separate"/>
        </w:r>
        <w:r w:rsidR="005B1844" w:rsidRPr="005B1844">
          <w:rPr>
            <w:rFonts w:ascii="Times New Roman" w:hAnsi="Times New Roman" w:cs="Times New Roman"/>
            <w:noProof/>
            <w:lang w:val="zh-CN"/>
          </w:rPr>
          <w:t>1</w:t>
        </w:r>
        <w:r w:rsidRPr="000909A1">
          <w:rPr>
            <w:rFonts w:ascii="Times New Roman" w:hAnsi="Times New Roman" w:cs="Times New Roman"/>
          </w:rPr>
          <w:fldChar w:fldCharType="end"/>
        </w:r>
      </w:p>
    </w:sdtContent>
  </w:sdt>
  <w:p w:rsidR="009F5D5D" w:rsidRDefault="009F5D5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F09" w:rsidRDefault="00AC2F09" w:rsidP="004B193B">
      <w:r>
        <w:separator/>
      </w:r>
    </w:p>
  </w:footnote>
  <w:footnote w:type="continuationSeparator" w:id="1">
    <w:p w:rsidR="00AC2F09" w:rsidRDefault="00AC2F09" w:rsidP="004B19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06567"/>
    <w:multiLevelType w:val="hybridMultilevel"/>
    <w:tmpl w:val="A28E9470"/>
    <w:lvl w:ilvl="0" w:tplc="9606D72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300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66D"/>
    <w:rsid w:val="00002A9B"/>
    <w:rsid w:val="00023632"/>
    <w:rsid w:val="0005141F"/>
    <w:rsid w:val="000909A1"/>
    <w:rsid w:val="000C7628"/>
    <w:rsid w:val="000D73E7"/>
    <w:rsid w:val="000E2BA5"/>
    <w:rsid w:val="000F144E"/>
    <w:rsid w:val="00172BE8"/>
    <w:rsid w:val="00261C57"/>
    <w:rsid w:val="002C166D"/>
    <w:rsid w:val="002D5010"/>
    <w:rsid w:val="003172D4"/>
    <w:rsid w:val="00347DC2"/>
    <w:rsid w:val="00397E77"/>
    <w:rsid w:val="003A6E76"/>
    <w:rsid w:val="003C1DFA"/>
    <w:rsid w:val="003C1ED4"/>
    <w:rsid w:val="004260EF"/>
    <w:rsid w:val="0046198C"/>
    <w:rsid w:val="00477CA2"/>
    <w:rsid w:val="004807B0"/>
    <w:rsid w:val="00495AE9"/>
    <w:rsid w:val="004B193B"/>
    <w:rsid w:val="004C7ACF"/>
    <w:rsid w:val="00550110"/>
    <w:rsid w:val="0056722F"/>
    <w:rsid w:val="00596EB7"/>
    <w:rsid w:val="005B1844"/>
    <w:rsid w:val="005B728D"/>
    <w:rsid w:val="005C10AD"/>
    <w:rsid w:val="005D0CB5"/>
    <w:rsid w:val="005F4EFF"/>
    <w:rsid w:val="0060298C"/>
    <w:rsid w:val="00611DEB"/>
    <w:rsid w:val="00612B08"/>
    <w:rsid w:val="00626D64"/>
    <w:rsid w:val="00662646"/>
    <w:rsid w:val="00680682"/>
    <w:rsid w:val="006874F4"/>
    <w:rsid w:val="00751256"/>
    <w:rsid w:val="00751FF4"/>
    <w:rsid w:val="007E35BF"/>
    <w:rsid w:val="007E6F17"/>
    <w:rsid w:val="007E738D"/>
    <w:rsid w:val="00850E31"/>
    <w:rsid w:val="00856B70"/>
    <w:rsid w:val="008A4E8A"/>
    <w:rsid w:val="008A7D61"/>
    <w:rsid w:val="008C0E47"/>
    <w:rsid w:val="008E2918"/>
    <w:rsid w:val="008F4134"/>
    <w:rsid w:val="00904B12"/>
    <w:rsid w:val="00933EE4"/>
    <w:rsid w:val="00940983"/>
    <w:rsid w:val="009A2D5F"/>
    <w:rsid w:val="009A4A49"/>
    <w:rsid w:val="009C00A2"/>
    <w:rsid w:val="009F5D5D"/>
    <w:rsid w:val="00A30AA0"/>
    <w:rsid w:val="00A524A3"/>
    <w:rsid w:val="00A7006C"/>
    <w:rsid w:val="00AC2F09"/>
    <w:rsid w:val="00AE7054"/>
    <w:rsid w:val="00B241D8"/>
    <w:rsid w:val="00B74601"/>
    <w:rsid w:val="00C50AED"/>
    <w:rsid w:val="00C6165D"/>
    <w:rsid w:val="00C70911"/>
    <w:rsid w:val="00C72E71"/>
    <w:rsid w:val="00CB18C0"/>
    <w:rsid w:val="00CC0DF8"/>
    <w:rsid w:val="00CC76DD"/>
    <w:rsid w:val="00D128A5"/>
    <w:rsid w:val="00D44F8C"/>
    <w:rsid w:val="00D6244A"/>
    <w:rsid w:val="00DA3625"/>
    <w:rsid w:val="00E02830"/>
    <w:rsid w:val="00EE6E2E"/>
    <w:rsid w:val="00F15AB7"/>
    <w:rsid w:val="00F236A9"/>
    <w:rsid w:val="00F2490A"/>
    <w:rsid w:val="00F24F48"/>
    <w:rsid w:val="00F56AD2"/>
    <w:rsid w:val="00FA11F3"/>
    <w:rsid w:val="00FC1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6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F8C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680682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4B19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4B193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B19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B193B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FA11F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A11F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c-c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bc-c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181</Words>
  <Characters>1034</Characters>
  <Application>Microsoft Office Word</Application>
  <DocSecurity>4</DocSecurity>
  <Lines>8</Lines>
  <Paragraphs>2</Paragraphs>
  <ScaleCrop>false</ScaleCrop>
  <Company>Microsoft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麦嘉胤</dc:creator>
  <cp:keywords/>
  <dc:description/>
  <cp:lastModifiedBy>ZHONGM</cp:lastModifiedBy>
  <cp:revision>2</cp:revision>
  <cp:lastPrinted>2017-07-18T05:36:00Z</cp:lastPrinted>
  <dcterms:created xsi:type="dcterms:W3CDTF">2017-07-19T16:34:00Z</dcterms:created>
  <dcterms:modified xsi:type="dcterms:W3CDTF">2017-07-19T16:34:00Z</dcterms:modified>
</cp:coreProperties>
</file>