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F84" w:rsidRDefault="00AD5F84">
      <w:pPr>
        <w:spacing w:line="360" w:lineRule="auto"/>
        <w:jc w:val="center"/>
        <w:rPr>
          <w:rFonts w:ascii="宋体" w:hAnsi="宋体"/>
          <w:sz w:val="28"/>
        </w:rPr>
      </w:pPr>
    </w:p>
    <w:p w:rsidR="00AD5F84" w:rsidRDefault="00AD5F84">
      <w:pPr>
        <w:spacing w:line="360" w:lineRule="auto"/>
        <w:rPr>
          <w:rFonts w:ascii="宋体" w:hAnsi="宋体"/>
          <w:b/>
        </w:rPr>
      </w:pPr>
    </w:p>
    <w:p w:rsidR="00AD5F84" w:rsidRDefault="00AD5F84">
      <w:pPr>
        <w:spacing w:line="360" w:lineRule="auto"/>
        <w:jc w:val="center"/>
        <w:rPr>
          <w:rFonts w:ascii="宋体" w:hAnsi="宋体"/>
          <w:b/>
          <w:sz w:val="52"/>
        </w:rPr>
      </w:pPr>
    </w:p>
    <w:p w:rsidR="00AD5F84" w:rsidRDefault="00730839">
      <w:pPr>
        <w:spacing w:line="360" w:lineRule="auto"/>
        <w:jc w:val="center"/>
        <w:rPr>
          <w:rFonts w:ascii="宋体" w:hAnsi="宋体"/>
          <w:b/>
          <w:sz w:val="36"/>
        </w:rPr>
      </w:pPr>
      <w:r w:rsidRPr="00730839">
        <w:rPr>
          <w:rFonts w:ascii="宋体" w:hAnsi="宋体" w:hint="eastAsia"/>
          <w:b/>
          <w:sz w:val="36"/>
        </w:rPr>
        <w:t>天弘鑫安宝保本混合型证券投资基金</w:t>
      </w:r>
    </w:p>
    <w:p w:rsidR="00AD5F84" w:rsidRDefault="001F08C4">
      <w:pPr>
        <w:spacing w:line="360" w:lineRule="auto"/>
        <w:jc w:val="center"/>
        <w:rPr>
          <w:rFonts w:ascii="宋体" w:hAnsi="宋体"/>
          <w:b/>
          <w:sz w:val="36"/>
        </w:rPr>
      </w:pPr>
      <w:r>
        <w:rPr>
          <w:rFonts w:ascii="宋体" w:hAnsi="宋体" w:hint="eastAsia"/>
          <w:b/>
          <w:sz w:val="36"/>
        </w:rPr>
        <w:t>清算报告</w:t>
      </w:r>
    </w:p>
    <w:p w:rsidR="00AD5F84" w:rsidRDefault="00AD5F84">
      <w:pPr>
        <w:spacing w:line="360" w:lineRule="auto"/>
        <w:jc w:val="center"/>
        <w:rPr>
          <w:rFonts w:ascii="宋体" w:hAnsi="宋体"/>
          <w:b/>
          <w:sz w:val="52"/>
        </w:rPr>
      </w:pPr>
    </w:p>
    <w:p w:rsidR="00AD5F84" w:rsidRDefault="00AD5F84">
      <w:pPr>
        <w:spacing w:line="360" w:lineRule="auto"/>
        <w:jc w:val="center"/>
        <w:rPr>
          <w:rFonts w:ascii="宋体" w:hAnsi="宋体"/>
          <w:b/>
          <w:sz w:val="52"/>
        </w:rPr>
      </w:pPr>
    </w:p>
    <w:p w:rsidR="00AD5F84" w:rsidRDefault="00AD5F84">
      <w:pPr>
        <w:spacing w:line="360" w:lineRule="auto"/>
        <w:jc w:val="center"/>
        <w:rPr>
          <w:rFonts w:ascii="宋体" w:hAnsi="宋体"/>
          <w:b/>
          <w:sz w:val="52"/>
        </w:rPr>
      </w:pPr>
    </w:p>
    <w:p w:rsidR="00AD5F84" w:rsidRDefault="00AD5F84">
      <w:pPr>
        <w:spacing w:line="360" w:lineRule="auto"/>
        <w:jc w:val="center"/>
        <w:rPr>
          <w:rFonts w:ascii="宋体" w:hAnsi="宋体"/>
          <w:b/>
          <w:sz w:val="52"/>
        </w:rPr>
      </w:pPr>
    </w:p>
    <w:p w:rsidR="00AD5F84" w:rsidRDefault="00AD5F84">
      <w:pPr>
        <w:spacing w:line="360" w:lineRule="auto"/>
        <w:jc w:val="center"/>
        <w:rPr>
          <w:rFonts w:ascii="宋体" w:hAnsi="宋体"/>
          <w:b/>
          <w:sz w:val="52"/>
        </w:rPr>
      </w:pPr>
    </w:p>
    <w:p w:rsidR="00AD5F84" w:rsidRDefault="00AD5F84">
      <w:pPr>
        <w:spacing w:line="360" w:lineRule="auto"/>
        <w:jc w:val="center"/>
        <w:rPr>
          <w:rFonts w:ascii="宋体" w:hAnsi="宋体"/>
          <w:b/>
          <w:sz w:val="52"/>
        </w:rPr>
      </w:pPr>
    </w:p>
    <w:p w:rsidR="00AD5F84" w:rsidRDefault="00AD5F84">
      <w:pPr>
        <w:spacing w:line="360" w:lineRule="auto"/>
        <w:jc w:val="center"/>
        <w:rPr>
          <w:rFonts w:ascii="宋体" w:hAnsi="宋体"/>
          <w:b/>
          <w:sz w:val="52"/>
        </w:rPr>
      </w:pPr>
    </w:p>
    <w:p w:rsidR="00AD5F84" w:rsidRDefault="00AD5F84">
      <w:pPr>
        <w:spacing w:line="360" w:lineRule="auto"/>
        <w:jc w:val="center"/>
        <w:rPr>
          <w:rFonts w:ascii="宋体" w:hAnsi="宋体"/>
          <w:b/>
          <w:sz w:val="52"/>
        </w:rPr>
      </w:pPr>
    </w:p>
    <w:p w:rsidR="00AD5F84" w:rsidRDefault="00AD5F84">
      <w:pPr>
        <w:spacing w:line="360" w:lineRule="auto"/>
        <w:rPr>
          <w:rFonts w:ascii="宋体" w:hAnsi="宋体"/>
          <w:b/>
        </w:rPr>
      </w:pPr>
    </w:p>
    <w:p w:rsidR="00AD5F84" w:rsidRDefault="001F08C4">
      <w:pPr>
        <w:jc w:val="center"/>
        <w:rPr>
          <w:rFonts w:ascii="宋体" w:hAnsi="宋体"/>
          <w:b/>
          <w:sz w:val="28"/>
        </w:rPr>
      </w:pPr>
      <w:r>
        <w:rPr>
          <w:rFonts w:ascii="宋体" w:hAnsi="宋体"/>
          <w:b/>
          <w:sz w:val="28"/>
        </w:rPr>
        <w:t>基金管理人：</w:t>
      </w:r>
      <w:r>
        <w:rPr>
          <w:rFonts w:ascii="宋体" w:hAnsi="宋体" w:hint="eastAsia"/>
          <w:b/>
          <w:sz w:val="28"/>
        </w:rPr>
        <w:t>天弘基金管理有限公司</w:t>
      </w:r>
    </w:p>
    <w:p w:rsidR="00AD5F84" w:rsidRDefault="001F08C4">
      <w:pPr>
        <w:jc w:val="center"/>
        <w:rPr>
          <w:rFonts w:ascii="宋体" w:hAnsi="宋体"/>
          <w:b/>
          <w:sz w:val="28"/>
        </w:rPr>
      </w:pPr>
      <w:r>
        <w:rPr>
          <w:rFonts w:ascii="宋体" w:hAnsi="宋体"/>
          <w:b/>
          <w:sz w:val="28"/>
        </w:rPr>
        <w:t>基金托管人：</w:t>
      </w:r>
      <w:r w:rsidR="00730839" w:rsidRPr="00730839">
        <w:rPr>
          <w:rFonts w:ascii="宋体" w:hAnsi="宋体" w:hint="eastAsia"/>
          <w:b/>
          <w:sz w:val="28"/>
        </w:rPr>
        <w:t>兴业银行股份有限公司</w:t>
      </w:r>
    </w:p>
    <w:p w:rsidR="00AD5F84" w:rsidRDefault="00AD5F84"/>
    <w:p w:rsidR="00AD5F84" w:rsidRDefault="00AD5F84"/>
    <w:p w:rsidR="00AD5F84" w:rsidRDefault="00AD5F84"/>
    <w:p w:rsidR="00AD5F84" w:rsidRDefault="001F08C4">
      <w:pPr>
        <w:pStyle w:val="1"/>
        <w:spacing w:before="0" w:after="0"/>
        <w:jc w:val="center"/>
        <w:rPr>
          <w:rFonts w:ascii="Times New Roman"/>
          <w:color w:val="auto"/>
          <w:sz w:val="30"/>
        </w:rPr>
      </w:pPr>
      <w:r>
        <w:rPr>
          <w:rFonts w:ascii="Times New Roman" w:hint="eastAsia"/>
          <w:color w:val="auto"/>
          <w:sz w:val="30"/>
        </w:rPr>
        <w:lastRenderedPageBreak/>
        <w:t>一、重要提示</w:t>
      </w:r>
    </w:p>
    <w:p w:rsidR="00AD5F84" w:rsidRDefault="00321F49" w:rsidP="00730839">
      <w:r w:rsidRPr="00321F49">
        <w:rPr>
          <w:rFonts w:hint="eastAsia"/>
        </w:rPr>
        <w:t>天弘鑫安宝保本混合型证券投资基金</w:t>
      </w:r>
      <w:r w:rsidRPr="00321F49">
        <w:rPr>
          <w:rFonts w:hint="eastAsia"/>
        </w:rPr>
        <w:t>(</w:t>
      </w:r>
      <w:r w:rsidRPr="00321F49">
        <w:rPr>
          <w:rFonts w:hint="eastAsia"/>
        </w:rPr>
        <w:t>以下简称</w:t>
      </w:r>
      <w:r w:rsidRPr="00321F49">
        <w:rPr>
          <w:rFonts w:hint="eastAsia"/>
        </w:rPr>
        <w:t>"</w:t>
      </w:r>
      <w:r w:rsidRPr="00321F49">
        <w:rPr>
          <w:rFonts w:hint="eastAsia"/>
        </w:rPr>
        <w:t>本基金</w:t>
      </w:r>
      <w:r w:rsidRPr="00321F49">
        <w:rPr>
          <w:rFonts w:hint="eastAsia"/>
        </w:rPr>
        <w:t>")</w:t>
      </w:r>
      <w:r w:rsidRPr="00321F49">
        <w:rPr>
          <w:rFonts w:hint="eastAsia"/>
        </w:rPr>
        <w:t>经中国证券监督管理委员会</w:t>
      </w:r>
      <w:r w:rsidRPr="00321F49">
        <w:rPr>
          <w:rFonts w:hint="eastAsia"/>
        </w:rPr>
        <w:t>(</w:t>
      </w:r>
      <w:r w:rsidRPr="00321F49">
        <w:rPr>
          <w:rFonts w:hint="eastAsia"/>
        </w:rPr>
        <w:t>以下简称</w:t>
      </w:r>
      <w:r w:rsidRPr="00321F49">
        <w:rPr>
          <w:rFonts w:hint="eastAsia"/>
        </w:rPr>
        <w:t>"</w:t>
      </w:r>
      <w:r w:rsidRPr="00321F49">
        <w:rPr>
          <w:rFonts w:hint="eastAsia"/>
        </w:rPr>
        <w:t>中国证监会</w:t>
      </w:r>
      <w:r w:rsidRPr="00321F49">
        <w:rPr>
          <w:rFonts w:hint="eastAsia"/>
        </w:rPr>
        <w:t>")</w:t>
      </w:r>
      <w:r w:rsidRPr="00321F49">
        <w:rPr>
          <w:rFonts w:hint="eastAsia"/>
        </w:rPr>
        <w:t>证监许可</w:t>
      </w:r>
      <w:r w:rsidRPr="00321F49">
        <w:rPr>
          <w:rFonts w:hint="eastAsia"/>
        </w:rPr>
        <w:t>[2015]1102</w:t>
      </w:r>
      <w:r w:rsidRPr="00321F49">
        <w:rPr>
          <w:rFonts w:hint="eastAsia"/>
        </w:rPr>
        <w:t>号《关于准予天弘鑫安宝保本混合型证券投资基金注册的批复》准予注册，由天弘基金管理有限公司依照《中华人民共和国证券投资基金法》和《天弘鑫安宝保本混合型证券投资基金基金合同》（以下简称“《基金合同》”）负责公开募集。经向中国证监会备案，本基金《基金合同》于</w:t>
      </w:r>
      <w:r w:rsidRPr="00321F49">
        <w:rPr>
          <w:rFonts w:hint="eastAsia"/>
        </w:rPr>
        <w:t>2015</w:t>
      </w:r>
      <w:r w:rsidRPr="00321F49">
        <w:rPr>
          <w:rFonts w:hint="eastAsia"/>
        </w:rPr>
        <w:t>年</w:t>
      </w:r>
      <w:r w:rsidRPr="00321F49">
        <w:rPr>
          <w:rFonts w:hint="eastAsia"/>
        </w:rPr>
        <w:t>10</w:t>
      </w:r>
      <w:r w:rsidRPr="00321F49">
        <w:rPr>
          <w:rFonts w:hint="eastAsia"/>
        </w:rPr>
        <w:t>月</w:t>
      </w:r>
      <w:r w:rsidRPr="00321F49">
        <w:rPr>
          <w:rFonts w:hint="eastAsia"/>
        </w:rPr>
        <w:t>23</w:t>
      </w:r>
      <w:r w:rsidRPr="00321F49">
        <w:rPr>
          <w:rFonts w:hint="eastAsia"/>
        </w:rPr>
        <w:t>日正式生效。本基金的基金管理人为天弘基金管理有限公司，基金托管人为兴业银行股份有限公司。</w:t>
      </w:r>
    </w:p>
    <w:p w:rsidR="00AD5F84" w:rsidRDefault="00AD5F84"/>
    <w:p w:rsidR="00AD5F84" w:rsidRDefault="00321F49">
      <w:r w:rsidRPr="00321F49">
        <w:rPr>
          <w:rFonts w:hint="eastAsia"/>
        </w:rPr>
        <w:t>根据《关于避险策略基金的指导意见》（以下简称“《指导意见》”）的规定，对于《指导意见》施行前已经成立的保本基金，如不符合《指导意见》的有关规定，应在保本周期到期后对法律文件予以修订并变更注册为避险策略基金，未按照《指导意见》的要求进行修订的</w:t>
      </w:r>
      <w:r w:rsidRPr="00321F49">
        <w:rPr>
          <w:rFonts w:hint="eastAsia"/>
        </w:rPr>
        <w:t xml:space="preserve">, </w:t>
      </w:r>
      <w:r w:rsidRPr="00321F49">
        <w:rPr>
          <w:rFonts w:hint="eastAsia"/>
        </w:rPr>
        <w:t>应当转为其他类型的基金或予以清算。本基金第一个保本周期到期时，结合市场情况，本基金无法根据《指导意见》关于避险策略基金的运作机制进行调整，故根据本基金《基金合同》对于本基金保本周期到期后基金存续形式的约定，如本基金不再满足保本基金存续的要求，本基金将根据《基金合同》的规定终止并进入清算程序。基金管理人依据《中华人民共和国证券投资基金法》、《公开募集证券投资基金运作管理办法》和《基金合同》的有关规定，提议终止《基金合同》。本基金基金合同终止及基金财产清算的公告详见</w:t>
      </w:r>
      <w:r w:rsidRPr="00321F49">
        <w:rPr>
          <w:rFonts w:hint="eastAsia"/>
        </w:rPr>
        <w:t>2017</w:t>
      </w:r>
      <w:r w:rsidRPr="00321F49">
        <w:rPr>
          <w:rFonts w:hint="eastAsia"/>
        </w:rPr>
        <w:t>年</w:t>
      </w:r>
      <w:r w:rsidRPr="00321F49">
        <w:rPr>
          <w:rFonts w:hint="eastAsia"/>
        </w:rPr>
        <w:t>4</w:t>
      </w:r>
      <w:r w:rsidRPr="00321F49">
        <w:rPr>
          <w:rFonts w:hint="eastAsia"/>
        </w:rPr>
        <w:t>月</w:t>
      </w:r>
      <w:r w:rsidRPr="00321F49">
        <w:rPr>
          <w:rFonts w:hint="eastAsia"/>
        </w:rPr>
        <w:t>18</w:t>
      </w:r>
      <w:r w:rsidRPr="00321F49">
        <w:rPr>
          <w:rFonts w:hint="eastAsia"/>
        </w:rPr>
        <w:t>日刊登在指定媒介的《天弘基金管理有限公司关于天弘鑫安宝保本混合型证券投资基金基金合同终止及基金财产清算的公告》。</w:t>
      </w:r>
    </w:p>
    <w:p w:rsidR="00AD5F84" w:rsidRDefault="00AD5F84"/>
    <w:p w:rsidR="00AD5F84" w:rsidRDefault="001F08C4">
      <w:r>
        <w:rPr>
          <w:rFonts w:hint="eastAsia"/>
        </w:rPr>
        <w:t>本基金从</w:t>
      </w:r>
      <w:r>
        <w:rPr>
          <w:rFonts w:hint="eastAsia"/>
        </w:rPr>
        <w:t>201</w:t>
      </w:r>
      <w:r w:rsidR="0001462A">
        <w:t>7</w:t>
      </w:r>
      <w:r>
        <w:rPr>
          <w:rFonts w:hint="eastAsia"/>
        </w:rPr>
        <w:t>年</w:t>
      </w:r>
      <w:r w:rsidR="0001462A">
        <w:t>4</w:t>
      </w:r>
      <w:r>
        <w:rPr>
          <w:rFonts w:hint="eastAsia"/>
        </w:rPr>
        <w:t>月</w:t>
      </w:r>
      <w:r w:rsidR="0001462A">
        <w:t>25</w:t>
      </w:r>
      <w:r>
        <w:rPr>
          <w:rFonts w:hint="eastAsia"/>
        </w:rPr>
        <w:t>日起进入清算期，由</w:t>
      </w:r>
      <w:r w:rsidR="0001462A" w:rsidRPr="0001462A">
        <w:rPr>
          <w:rFonts w:hint="eastAsia"/>
        </w:rPr>
        <w:t>基金管理人天弘基金管理有限公司、基金托管人兴业银行股份有限公司</w:t>
      </w:r>
      <w:r w:rsidR="0001462A">
        <w:rPr>
          <w:rFonts w:hint="eastAsia"/>
        </w:rPr>
        <w:t>、</w:t>
      </w:r>
      <w:r w:rsidR="00A0506B" w:rsidRPr="00A0506B">
        <w:rPr>
          <w:rFonts w:hint="eastAsia"/>
        </w:rPr>
        <w:t>普华永道中天会计师事务所（特殊普通合伙）</w:t>
      </w:r>
      <w:r w:rsidR="0001462A">
        <w:rPr>
          <w:rFonts w:hint="eastAsia"/>
        </w:rPr>
        <w:t>、上海市通力律师事务所</w:t>
      </w:r>
      <w:r>
        <w:rPr>
          <w:rFonts w:hint="eastAsia"/>
        </w:rPr>
        <w:t>于</w:t>
      </w:r>
      <w:r w:rsidR="0001462A">
        <w:rPr>
          <w:rFonts w:hint="eastAsia"/>
        </w:rPr>
        <w:t>201</w:t>
      </w:r>
      <w:r w:rsidR="0001462A">
        <w:t>7</w:t>
      </w:r>
      <w:r w:rsidR="0001462A">
        <w:rPr>
          <w:rFonts w:hint="eastAsia"/>
        </w:rPr>
        <w:t>年</w:t>
      </w:r>
      <w:r w:rsidR="0001462A">
        <w:t>4</w:t>
      </w:r>
      <w:r w:rsidR="0001462A">
        <w:rPr>
          <w:rFonts w:hint="eastAsia"/>
        </w:rPr>
        <w:t>月</w:t>
      </w:r>
      <w:r w:rsidR="0001462A">
        <w:t>25</w:t>
      </w:r>
      <w:r w:rsidR="0001462A">
        <w:rPr>
          <w:rFonts w:hint="eastAsia"/>
        </w:rPr>
        <w:t>日</w:t>
      </w:r>
      <w:r>
        <w:rPr>
          <w:rFonts w:hint="eastAsia"/>
        </w:rPr>
        <w:t>组成基金财产清算小组履行基金财产清算程序，并由</w:t>
      </w:r>
      <w:r w:rsidR="00A0506B" w:rsidRPr="00A0506B">
        <w:rPr>
          <w:rFonts w:hint="eastAsia"/>
        </w:rPr>
        <w:t>普华永道中天会计师事务所（特殊普通合伙）</w:t>
      </w:r>
      <w:r>
        <w:rPr>
          <w:rFonts w:hint="eastAsia"/>
        </w:rPr>
        <w:t>对清算报告进行审计，</w:t>
      </w:r>
      <w:r w:rsidR="0001462A" w:rsidRPr="0001462A">
        <w:rPr>
          <w:rFonts w:hint="eastAsia"/>
        </w:rPr>
        <w:t>上海市通力律师事务所</w:t>
      </w:r>
      <w:r>
        <w:rPr>
          <w:rFonts w:hint="eastAsia"/>
        </w:rPr>
        <w:t>对清算报告出具法律意见。</w:t>
      </w:r>
    </w:p>
    <w:p w:rsidR="00AD5F84" w:rsidRPr="00A0506B" w:rsidRDefault="00AD5F84"/>
    <w:p w:rsidR="00AD5F84" w:rsidRDefault="001F08C4">
      <w:pPr>
        <w:pStyle w:val="1"/>
        <w:spacing w:before="0" w:after="0"/>
        <w:jc w:val="center"/>
        <w:rPr>
          <w:rFonts w:ascii="Times New Roman"/>
          <w:color w:val="auto"/>
          <w:sz w:val="30"/>
        </w:rPr>
      </w:pPr>
      <w:r>
        <w:rPr>
          <w:rFonts w:ascii="Times New Roman" w:hint="eastAsia"/>
          <w:color w:val="auto"/>
          <w:sz w:val="30"/>
        </w:rPr>
        <w:t>二、基金概况</w:t>
      </w:r>
    </w:p>
    <w:p w:rsidR="00AD5F84" w:rsidRDefault="00AD5F84"/>
    <w:p w:rsidR="00AD5F84" w:rsidRDefault="001F08C4">
      <w:r>
        <w:rPr>
          <w:rFonts w:hint="eastAsia"/>
        </w:rPr>
        <w:t>1</w:t>
      </w:r>
      <w:r>
        <w:rPr>
          <w:rFonts w:hint="eastAsia"/>
        </w:rPr>
        <w:t>、基金名称：</w:t>
      </w:r>
      <w:r w:rsidR="003E27B2">
        <w:t>天弘鑫安宝保本混合型证券投资基金</w:t>
      </w:r>
    </w:p>
    <w:p w:rsidR="00AD5F84" w:rsidRDefault="001F08C4">
      <w:r>
        <w:rPr>
          <w:rFonts w:hint="eastAsia"/>
        </w:rPr>
        <w:t>（基金简称：</w:t>
      </w:r>
      <w:r w:rsidR="003E27B2" w:rsidRPr="003E27B2">
        <w:rPr>
          <w:rFonts w:hint="eastAsia"/>
        </w:rPr>
        <w:t>天弘鑫安宝保本</w:t>
      </w:r>
      <w:r w:rsidR="003E27B2">
        <w:rPr>
          <w:rFonts w:hint="eastAsia"/>
        </w:rPr>
        <w:t>，</w:t>
      </w:r>
      <w:r>
        <w:rPr>
          <w:rFonts w:hint="eastAsia"/>
        </w:rPr>
        <w:t>基金代码：</w:t>
      </w:r>
      <w:r w:rsidR="003E27B2">
        <w:t>001486</w:t>
      </w:r>
      <w:r>
        <w:rPr>
          <w:rFonts w:hint="eastAsia"/>
        </w:rPr>
        <w:t>）</w:t>
      </w:r>
    </w:p>
    <w:p w:rsidR="00AD5F84" w:rsidRPr="003E27B2" w:rsidRDefault="00AD5F84"/>
    <w:p w:rsidR="00AD5F84" w:rsidRDefault="001F08C4">
      <w:r>
        <w:rPr>
          <w:rFonts w:hint="eastAsia"/>
        </w:rPr>
        <w:t>2</w:t>
      </w:r>
      <w:r>
        <w:rPr>
          <w:rFonts w:hint="eastAsia"/>
        </w:rPr>
        <w:t>、基金运作方式：契约型开放式，以定期开放</w:t>
      </w:r>
      <w:r w:rsidR="003E27B2">
        <w:t>的</w:t>
      </w:r>
      <w:r>
        <w:rPr>
          <w:rFonts w:hint="eastAsia"/>
        </w:rPr>
        <w:t>方式运作</w:t>
      </w:r>
    </w:p>
    <w:p w:rsidR="00AD5F84" w:rsidRDefault="00AD5F84"/>
    <w:p w:rsidR="00AD5F84" w:rsidRDefault="001F08C4" w:rsidP="003E27B2">
      <w:pPr>
        <w:numPr>
          <w:ilvl w:val="0"/>
          <w:numId w:val="1"/>
        </w:numPr>
      </w:pPr>
      <w:r>
        <w:rPr>
          <w:rFonts w:hint="eastAsia"/>
        </w:rPr>
        <w:t>基金合同生效日：</w:t>
      </w:r>
      <w:r w:rsidR="003E27B2" w:rsidRPr="003E27B2">
        <w:rPr>
          <w:rFonts w:hint="eastAsia"/>
        </w:rPr>
        <w:t>2015</w:t>
      </w:r>
      <w:r w:rsidR="003E27B2" w:rsidRPr="003E27B2">
        <w:rPr>
          <w:rFonts w:hint="eastAsia"/>
        </w:rPr>
        <w:t>年</w:t>
      </w:r>
      <w:r w:rsidR="003E27B2" w:rsidRPr="003E27B2">
        <w:rPr>
          <w:rFonts w:hint="eastAsia"/>
        </w:rPr>
        <w:t>10</w:t>
      </w:r>
      <w:r w:rsidR="003E27B2" w:rsidRPr="003E27B2">
        <w:rPr>
          <w:rFonts w:hint="eastAsia"/>
        </w:rPr>
        <w:t>月</w:t>
      </w:r>
      <w:r w:rsidR="003E27B2" w:rsidRPr="003E27B2">
        <w:rPr>
          <w:rFonts w:hint="eastAsia"/>
        </w:rPr>
        <w:t>23</w:t>
      </w:r>
      <w:r w:rsidR="003E27B2" w:rsidRPr="003E27B2">
        <w:rPr>
          <w:rFonts w:hint="eastAsia"/>
        </w:rPr>
        <w:t>日</w:t>
      </w:r>
    </w:p>
    <w:p w:rsidR="00AD5F84" w:rsidRDefault="00AD5F84"/>
    <w:p w:rsidR="00AD5F84" w:rsidRDefault="001F08C4">
      <w:r w:rsidRPr="005251D0">
        <w:rPr>
          <w:rFonts w:hint="eastAsia"/>
        </w:rPr>
        <w:t>4</w:t>
      </w:r>
      <w:r w:rsidRPr="005251D0">
        <w:rPr>
          <w:rFonts w:hint="eastAsia"/>
        </w:rPr>
        <w:t>、最后运作日</w:t>
      </w:r>
      <w:r w:rsidR="005251D0" w:rsidRPr="005251D0">
        <w:rPr>
          <w:rFonts w:hint="eastAsia"/>
        </w:rPr>
        <w:t>2017</w:t>
      </w:r>
      <w:r w:rsidR="005251D0" w:rsidRPr="005251D0">
        <w:rPr>
          <w:rFonts w:hint="eastAsia"/>
        </w:rPr>
        <w:t>年</w:t>
      </w:r>
      <w:r w:rsidR="005251D0" w:rsidRPr="005251D0">
        <w:rPr>
          <w:rFonts w:hint="eastAsia"/>
        </w:rPr>
        <w:t>4</w:t>
      </w:r>
      <w:r w:rsidR="005251D0" w:rsidRPr="005251D0">
        <w:rPr>
          <w:rFonts w:hint="eastAsia"/>
        </w:rPr>
        <w:t>月</w:t>
      </w:r>
      <w:r w:rsidR="005251D0" w:rsidRPr="005251D0">
        <w:rPr>
          <w:rFonts w:hint="eastAsia"/>
        </w:rPr>
        <w:t>24</w:t>
      </w:r>
      <w:r w:rsidR="005251D0" w:rsidRPr="005251D0">
        <w:rPr>
          <w:rFonts w:hint="eastAsia"/>
        </w:rPr>
        <w:t>日</w:t>
      </w:r>
      <w:r w:rsidRPr="005251D0">
        <w:rPr>
          <w:rFonts w:hint="eastAsia"/>
        </w:rPr>
        <w:t>，基金份额总额：</w:t>
      </w:r>
      <w:r w:rsidR="005251D0" w:rsidRPr="005251D0">
        <w:t>739,354,674.96</w:t>
      </w:r>
      <w:r w:rsidRPr="005251D0">
        <w:rPr>
          <w:rFonts w:hint="eastAsia"/>
        </w:rPr>
        <w:t>份。</w:t>
      </w:r>
    </w:p>
    <w:p w:rsidR="00AD5F84" w:rsidRDefault="00AD5F84"/>
    <w:p w:rsidR="003E27B2" w:rsidRDefault="001F08C4" w:rsidP="003E27B2">
      <w:r>
        <w:rPr>
          <w:rFonts w:hint="eastAsia"/>
        </w:rPr>
        <w:t>5</w:t>
      </w:r>
      <w:r>
        <w:rPr>
          <w:rFonts w:hint="eastAsia"/>
        </w:rPr>
        <w:t>、投资目标：</w:t>
      </w:r>
      <w:r w:rsidR="003E27B2">
        <w:rPr>
          <w:rFonts w:hint="eastAsia"/>
        </w:rPr>
        <w:t>综合运用投资组合保险策略，严格控制风险，在为投资人提供投资金额安全</w:t>
      </w:r>
    </w:p>
    <w:p w:rsidR="00AD5F84" w:rsidRDefault="003E27B2">
      <w:r>
        <w:rPr>
          <w:rFonts w:hint="eastAsia"/>
        </w:rPr>
        <w:t>保证的基础上力争实现基金资产的稳定增值。</w:t>
      </w:r>
      <w:r>
        <w:cr/>
      </w:r>
    </w:p>
    <w:p w:rsidR="00AD5F84" w:rsidRDefault="001F08C4" w:rsidP="003E27B2">
      <w:r>
        <w:rPr>
          <w:rFonts w:hint="eastAsia"/>
        </w:rPr>
        <w:t>6</w:t>
      </w:r>
      <w:r>
        <w:rPr>
          <w:rFonts w:hint="eastAsia"/>
        </w:rPr>
        <w:t>、投资策略：</w:t>
      </w:r>
      <w:r w:rsidR="003E27B2">
        <w:rPr>
          <w:rFonts w:hint="eastAsia"/>
        </w:rPr>
        <w:t>本基金将主要采用恒定比例组合保本策略（</w:t>
      </w:r>
      <w:r w:rsidR="003E27B2">
        <w:rPr>
          <w:rFonts w:hint="eastAsia"/>
        </w:rPr>
        <w:t>CPPI, Constant Proportion Portfolio Insurance</w:t>
      </w:r>
      <w:r w:rsidR="003E27B2">
        <w:rPr>
          <w:rFonts w:hint="eastAsia"/>
        </w:rPr>
        <w:t>），以数量化的分析模型为基础，通过动态地监控和调整基金在安全资产与风险资</w:t>
      </w:r>
      <w:r w:rsidR="003E27B2">
        <w:rPr>
          <w:rFonts w:hint="eastAsia"/>
        </w:rPr>
        <w:lastRenderedPageBreak/>
        <w:t>产上的投资比例，确保基金投资组合的风险暴露水平不超过基金可承担的损失限额（又称安全垫），以实现确保保本周期到期时本金安全的目标。同时，本基金通过积极稳健的股票投资策略，为基金实现资本增值。具体而言，本基金的投资策略包括大类资产配置策略、安全资产投资策略和风险资产投资策略。</w:t>
      </w:r>
    </w:p>
    <w:p w:rsidR="00AD5F84" w:rsidRDefault="00AD5F84"/>
    <w:p w:rsidR="00AD5F84" w:rsidRDefault="001F08C4">
      <w:pPr>
        <w:numPr>
          <w:ilvl w:val="0"/>
          <w:numId w:val="2"/>
        </w:numPr>
      </w:pPr>
      <w:r>
        <w:rPr>
          <w:rFonts w:hint="eastAsia"/>
        </w:rPr>
        <w:t>业绩比较基准：</w:t>
      </w:r>
      <w:r>
        <w:rPr>
          <w:rFonts w:hint="eastAsia"/>
        </w:rPr>
        <w:t>(</w:t>
      </w:r>
      <w:r>
        <w:rPr>
          <w:rFonts w:hint="eastAsia"/>
        </w:rPr>
        <w:t>一年期银行定期存款利率（税后）</w:t>
      </w:r>
      <w:r>
        <w:rPr>
          <w:rFonts w:hint="eastAsia"/>
        </w:rPr>
        <w:t>+0.50%)</w:t>
      </w:r>
      <w:r>
        <w:rPr>
          <w:rFonts w:hint="eastAsia"/>
        </w:rPr>
        <w:t>×</w:t>
      </w:r>
      <w:r>
        <w:rPr>
          <w:rFonts w:hint="eastAsia"/>
        </w:rPr>
        <w:t>2</w:t>
      </w:r>
    </w:p>
    <w:p w:rsidR="00AD5F84" w:rsidRDefault="00AD5F84"/>
    <w:p w:rsidR="00AD5F84" w:rsidRDefault="001F08C4" w:rsidP="003E27B2">
      <w:r>
        <w:rPr>
          <w:rFonts w:hint="eastAsia"/>
        </w:rPr>
        <w:t>8</w:t>
      </w:r>
      <w:r>
        <w:rPr>
          <w:rFonts w:hint="eastAsia"/>
        </w:rPr>
        <w:t>、风险收益特征：</w:t>
      </w:r>
      <w:r w:rsidR="003E27B2">
        <w:rPr>
          <w:rFonts w:hint="eastAsia"/>
        </w:rPr>
        <w:t>本基金为保本混合型基金产品，属证券投资基金中的低风险品种，其预期风险与预期收益率低于股票型基金、非保本的混合型基金，高于货币市场基金和债券型基金</w:t>
      </w:r>
      <w:r>
        <w:rPr>
          <w:rFonts w:hint="eastAsia"/>
        </w:rPr>
        <w:t>。</w:t>
      </w:r>
    </w:p>
    <w:p w:rsidR="00AD5F84" w:rsidRPr="003E27B2" w:rsidRDefault="00AD5F84"/>
    <w:p w:rsidR="00AD5F84" w:rsidRDefault="001F08C4">
      <w:r>
        <w:rPr>
          <w:rFonts w:hint="eastAsia"/>
        </w:rPr>
        <w:t>9</w:t>
      </w:r>
      <w:r>
        <w:rPr>
          <w:rFonts w:hint="eastAsia"/>
        </w:rPr>
        <w:t>、基金管理人：天弘基金管理有限公司</w:t>
      </w:r>
    </w:p>
    <w:p w:rsidR="00AD5F84" w:rsidRDefault="00AD5F84"/>
    <w:p w:rsidR="00AD5F84" w:rsidRDefault="001F08C4">
      <w:r>
        <w:rPr>
          <w:rFonts w:hint="eastAsia"/>
        </w:rPr>
        <w:t>10</w:t>
      </w:r>
      <w:r>
        <w:rPr>
          <w:rFonts w:hint="eastAsia"/>
        </w:rPr>
        <w:t>、基金托管人：</w:t>
      </w:r>
      <w:r w:rsidR="003E27B2" w:rsidRPr="003E27B2">
        <w:rPr>
          <w:rFonts w:hint="eastAsia"/>
        </w:rPr>
        <w:t>兴业银行股份有限公司</w:t>
      </w:r>
    </w:p>
    <w:p w:rsidR="00AD5F84" w:rsidRDefault="00AD5F84">
      <w:pPr>
        <w:rPr>
          <w:rFonts w:ascii="宋体"/>
          <w:color w:val="000000"/>
          <w:sz w:val="24"/>
        </w:rPr>
      </w:pPr>
    </w:p>
    <w:p w:rsidR="00AD5F84" w:rsidRDefault="001F08C4">
      <w:pPr>
        <w:pStyle w:val="1"/>
        <w:spacing w:before="0" w:after="0"/>
        <w:jc w:val="center"/>
        <w:rPr>
          <w:rFonts w:ascii="Times New Roman"/>
          <w:color w:val="auto"/>
          <w:sz w:val="30"/>
        </w:rPr>
      </w:pPr>
      <w:r>
        <w:rPr>
          <w:rFonts w:ascii="Times New Roman" w:hint="eastAsia"/>
          <w:color w:val="auto"/>
          <w:sz w:val="30"/>
        </w:rPr>
        <w:t>三、基金运作情况概述</w:t>
      </w:r>
    </w:p>
    <w:p w:rsidR="00AD5F84" w:rsidRDefault="00AD5F84"/>
    <w:p w:rsidR="00AD5F84" w:rsidRDefault="00321F49" w:rsidP="00AB04CA">
      <w:r w:rsidRPr="00321F49">
        <w:rPr>
          <w:rFonts w:hint="eastAsia"/>
        </w:rPr>
        <w:t>天弘鑫安宝保本混合型证券投资基金</w:t>
      </w:r>
      <w:r w:rsidRPr="00321F49">
        <w:rPr>
          <w:rFonts w:hint="eastAsia"/>
        </w:rPr>
        <w:t>(</w:t>
      </w:r>
      <w:r w:rsidRPr="00321F49">
        <w:rPr>
          <w:rFonts w:hint="eastAsia"/>
        </w:rPr>
        <w:t>以下简称</w:t>
      </w:r>
      <w:r w:rsidRPr="00321F49">
        <w:rPr>
          <w:rFonts w:hint="eastAsia"/>
        </w:rPr>
        <w:t>"</w:t>
      </w:r>
      <w:r w:rsidRPr="00321F49">
        <w:rPr>
          <w:rFonts w:hint="eastAsia"/>
        </w:rPr>
        <w:t>本基金</w:t>
      </w:r>
      <w:r w:rsidRPr="00321F49">
        <w:rPr>
          <w:rFonts w:hint="eastAsia"/>
        </w:rPr>
        <w:t>")</w:t>
      </w:r>
      <w:r w:rsidRPr="00321F49">
        <w:rPr>
          <w:rFonts w:hint="eastAsia"/>
        </w:rPr>
        <w:t>经中国证券监督管理委员会</w:t>
      </w:r>
      <w:r w:rsidRPr="00321F49">
        <w:rPr>
          <w:rFonts w:hint="eastAsia"/>
        </w:rPr>
        <w:t>(</w:t>
      </w:r>
      <w:r w:rsidRPr="00321F49">
        <w:rPr>
          <w:rFonts w:hint="eastAsia"/>
        </w:rPr>
        <w:t>以下简称</w:t>
      </w:r>
      <w:r w:rsidRPr="00321F49">
        <w:rPr>
          <w:rFonts w:hint="eastAsia"/>
        </w:rPr>
        <w:t>"</w:t>
      </w:r>
      <w:r w:rsidRPr="00321F49">
        <w:rPr>
          <w:rFonts w:hint="eastAsia"/>
        </w:rPr>
        <w:t>中国证监会</w:t>
      </w:r>
      <w:r w:rsidRPr="00321F49">
        <w:rPr>
          <w:rFonts w:hint="eastAsia"/>
        </w:rPr>
        <w:t>")</w:t>
      </w:r>
      <w:r w:rsidRPr="00321F49">
        <w:rPr>
          <w:rFonts w:hint="eastAsia"/>
        </w:rPr>
        <w:t>证监许可</w:t>
      </w:r>
      <w:r w:rsidRPr="00321F49">
        <w:rPr>
          <w:rFonts w:hint="eastAsia"/>
        </w:rPr>
        <w:t>[2015]1102</w:t>
      </w:r>
      <w:r w:rsidRPr="00321F49">
        <w:rPr>
          <w:rFonts w:hint="eastAsia"/>
        </w:rPr>
        <w:t>号《关于准予天弘鑫安宝保本混合型证券投资基金注册的批复》准予注册，由天弘基金管理有限公司依照《中华人民共和国证券投资基金法》和《天弘鑫安宝保本混合型证券投资基金基金合同》（以下简称“《基金合同》”）负责公开募集。本基金以定期开放方式运作，存续期限不定，首次募集期间为自</w:t>
      </w:r>
      <w:r w:rsidRPr="00321F49">
        <w:rPr>
          <w:rFonts w:hint="eastAsia"/>
        </w:rPr>
        <w:t>2015</w:t>
      </w:r>
      <w:r w:rsidRPr="00321F49">
        <w:rPr>
          <w:rFonts w:hint="eastAsia"/>
        </w:rPr>
        <w:t>年</w:t>
      </w:r>
      <w:r w:rsidRPr="00321F49">
        <w:rPr>
          <w:rFonts w:hint="eastAsia"/>
        </w:rPr>
        <w:t>10</w:t>
      </w:r>
      <w:r w:rsidRPr="00321F49">
        <w:rPr>
          <w:rFonts w:hint="eastAsia"/>
        </w:rPr>
        <w:t>月</w:t>
      </w:r>
      <w:r w:rsidRPr="00321F49">
        <w:rPr>
          <w:rFonts w:hint="eastAsia"/>
        </w:rPr>
        <w:t>15</w:t>
      </w:r>
      <w:r w:rsidRPr="00321F49">
        <w:rPr>
          <w:rFonts w:hint="eastAsia"/>
        </w:rPr>
        <w:t>日至</w:t>
      </w:r>
      <w:r w:rsidRPr="00321F49">
        <w:rPr>
          <w:rFonts w:hint="eastAsia"/>
        </w:rPr>
        <w:t>2015</w:t>
      </w:r>
      <w:r w:rsidRPr="00321F49">
        <w:rPr>
          <w:rFonts w:hint="eastAsia"/>
        </w:rPr>
        <w:t>年</w:t>
      </w:r>
      <w:r w:rsidRPr="00321F49">
        <w:rPr>
          <w:rFonts w:hint="eastAsia"/>
        </w:rPr>
        <w:t>10</w:t>
      </w:r>
      <w:r w:rsidRPr="00321F49">
        <w:rPr>
          <w:rFonts w:hint="eastAsia"/>
        </w:rPr>
        <w:t>月</w:t>
      </w:r>
      <w:r w:rsidRPr="00321F49">
        <w:rPr>
          <w:rFonts w:hint="eastAsia"/>
        </w:rPr>
        <w:t>21</w:t>
      </w:r>
      <w:r w:rsidRPr="00321F49">
        <w:rPr>
          <w:rFonts w:hint="eastAsia"/>
        </w:rPr>
        <w:t>日，首次设立募集不包括认购资金利息共募集</w:t>
      </w:r>
      <w:r w:rsidRPr="00321F49">
        <w:rPr>
          <w:rFonts w:hint="eastAsia"/>
        </w:rPr>
        <w:t>739,321,900.00</w:t>
      </w:r>
      <w:r w:rsidRPr="00321F49">
        <w:rPr>
          <w:rFonts w:hint="eastAsia"/>
        </w:rPr>
        <w:t>元，业经普华永道中天会计师事务所</w:t>
      </w:r>
      <w:r w:rsidRPr="00321F49">
        <w:rPr>
          <w:rFonts w:hint="eastAsia"/>
        </w:rPr>
        <w:t>(</w:t>
      </w:r>
      <w:r w:rsidRPr="00321F49">
        <w:rPr>
          <w:rFonts w:hint="eastAsia"/>
        </w:rPr>
        <w:t>特殊普通合伙</w:t>
      </w:r>
      <w:r w:rsidRPr="00321F49">
        <w:rPr>
          <w:rFonts w:hint="eastAsia"/>
        </w:rPr>
        <w:t>)</w:t>
      </w:r>
      <w:r w:rsidRPr="00321F49">
        <w:rPr>
          <w:rFonts w:hint="eastAsia"/>
        </w:rPr>
        <w:t>普华永道中天验字</w:t>
      </w:r>
      <w:r w:rsidRPr="00321F49">
        <w:rPr>
          <w:rFonts w:hint="eastAsia"/>
        </w:rPr>
        <w:t>(2015)</w:t>
      </w:r>
      <w:r w:rsidRPr="00321F49">
        <w:rPr>
          <w:rFonts w:hint="eastAsia"/>
        </w:rPr>
        <w:t>第</w:t>
      </w:r>
      <w:r w:rsidRPr="00321F49">
        <w:rPr>
          <w:rFonts w:hint="eastAsia"/>
        </w:rPr>
        <w:t>988</w:t>
      </w:r>
      <w:r w:rsidRPr="00321F49">
        <w:rPr>
          <w:rFonts w:hint="eastAsia"/>
        </w:rPr>
        <w:t>号验资报告予以验证。经向中国证监会备案，本基金《基金合同》于</w:t>
      </w:r>
      <w:r w:rsidRPr="00321F49">
        <w:rPr>
          <w:rFonts w:hint="eastAsia"/>
        </w:rPr>
        <w:t>2015</w:t>
      </w:r>
      <w:r w:rsidRPr="00321F49">
        <w:rPr>
          <w:rFonts w:hint="eastAsia"/>
        </w:rPr>
        <w:t>年</w:t>
      </w:r>
      <w:r w:rsidRPr="00321F49">
        <w:rPr>
          <w:rFonts w:hint="eastAsia"/>
        </w:rPr>
        <w:t>10</w:t>
      </w:r>
      <w:r w:rsidRPr="00321F49">
        <w:rPr>
          <w:rFonts w:hint="eastAsia"/>
        </w:rPr>
        <w:t>月</w:t>
      </w:r>
      <w:r w:rsidRPr="00321F49">
        <w:rPr>
          <w:rFonts w:hint="eastAsia"/>
        </w:rPr>
        <w:t>23</w:t>
      </w:r>
      <w:r w:rsidRPr="00321F49">
        <w:rPr>
          <w:rFonts w:hint="eastAsia"/>
        </w:rPr>
        <w:t>日正式生效，基金合同生效日的基金份额总额为</w:t>
      </w:r>
      <w:r w:rsidRPr="00321F49">
        <w:rPr>
          <w:rFonts w:hint="eastAsia"/>
        </w:rPr>
        <w:t>739,354,674.96</w:t>
      </w:r>
      <w:r w:rsidRPr="00321F49">
        <w:rPr>
          <w:rFonts w:hint="eastAsia"/>
        </w:rPr>
        <w:t>份基金份额，其中利息折份额为</w:t>
      </w:r>
      <w:r w:rsidRPr="00321F49">
        <w:rPr>
          <w:rFonts w:hint="eastAsia"/>
        </w:rPr>
        <w:t>32,774.96</w:t>
      </w:r>
      <w:r w:rsidRPr="00321F49">
        <w:rPr>
          <w:rFonts w:hint="eastAsia"/>
        </w:rPr>
        <w:t>份，归入基金资产。</w:t>
      </w:r>
    </w:p>
    <w:p w:rsidR="00AD5F84" w:rsidRDefault="00AD5F84"/>
    <w:p w:rsidR="00AD5F84" w:rsidRDefault="00321F49" w:rsidP="00E36CD5">
      <w:r w:rsidRPr="00321F49">
        <w:rPr>
          <w:rFonts w:hint="eastAsia"/>
        </w:rPr>
        <w:t>根据《关于避险策略基金的指导意见》（以下简称“《指导意见》”）的规定，对于《指导意见》施行前已经成立的保本基金，如不符合《指导意见》的有关规定，应在保本周期到期后对法律文件予以修订并变更注册为避险策略基金，未按照《指导意见》的要求进行修订的</w:t>
      </w:r>
      <w:r w:rsidRPr="00321F49">
        <w:rPr>
          <w:rFonts w:hint="eastAsia"/>
        </w:rPr>
        <w:t xml:space="preserve">, </w:t>
      </w:r>
      <w:r w:rsidRPr="00321F49">
        <w:rPr>
          <w:rFonts w:hint="eastAsia"/>
        </w:rPr>
        <w:t>应当转为其他类型的基金或予以清算。本基金第一个保本周期到期时，结合市场情况，本基金无法根据《指导意见》关于避险策略基金的运作机制进行调整，故根据本基金《基金合同》对于本基金保本周期到期后基金存续形式的约定，如本基金不再满足保本基金存续的要求，本基金将根据《基金合同》的规定终止并进入清算程序。基金管理人依据《中华人民共和国证券投资基金法》、《公开募集证券投资基金运作管理办法》和《基金合同》的有关规定，提议终止《基金合同》。本基金从</w:t>
      </w:r>
      <w:r w:rsidRPr="00321F49">
        <w:rPr>
          <w:rFonts w:hint="eastAsia"/>
        </w:rPr>
        <w:t>2017</w:t>
      </w:r>
      <w:r w:rsidRPr="00321F49">
        <w:rPr>
          <w:rFonts w:hint="eastAsia"/>
        </w:rPr>
        <w:t>年</w:t>
      </w:r>
      <w:r w:rsidRPr="00321F49">
        <w:rPr>
          <w:rFonts w:hint="eastAsia"/>
        </w:rPr>
        <w:t>4</w:t>
      </w:r>
      <w:r w:rsidRPr="00321F49">
        <w:rPr>
          <w:rFonts w:hint="eastAsia"/>
        </w:rPr>
        <w:t>月</w:t>
      </w:r>
      <w:r w:rsidRPr="00321F49">
        <w:rPr>
          <w:rFonts w:hint="eastAsia"/>
        </w:rPr>
        <w:t>25</w:t>
      </w:r>
      <w:r w:rsidRPr="00321F49">
        <w:rPr>
          <w:rFonts w:hint="eastAsia"/>
        </w:rPr>
        <w:t>日起进入清算期，由基金管理人天弘基金管理有限公司、基金托管人兴业银行股份有限公司、普华永道中天会计师事务所（特殊普通合伙）、上海市通力律师事务所于</w:t>
      </w:r>
      <w:r w:rsidRPr="00321F49">
        <w:rPr>
          <w:rFonts w:hint="eastAsia"/>
        </w:rPr>
        <w:t>2017</w:t>
      </w:r>
      <w:r w:rsidRPr="00321F49">
        <w:rPr>
          <w:rFonts w:hint="eastAsia"/>
        </w:rPr>
        <w:t>年</w:t>
      </w:r>
      <w:r w:rsidRPr="00321F49">
        <w:rPr>
          <w:rFonts w:hint="eastAsia"/>
        </w:rPr>
        <w:t>4</w:t>
      </w:r>
      <w:r w:rsidRPr="00321F49">
        <w:rPr>
          <w:rFonts w:hint="eastAsia"/>
        </w:rPr>
        <w:t>月</w:t>
      </w:r>
      <w:r w:rsidRPr="00321F49">
        <w:rPr>
          <w:rFonts w:hint="eastAsia"/>
        </w:rPr>
        <w:t>25</w:t>
      </w:r>
      <w:r w:rsidRPr="00321F49">
        <w:rPr>
          <w:rFonts w:hint="eastAsia"/>
        </w:rPr>
        <w:t>日组成基金财产清算小组履行基金财产清算程序，并由普华永道中天会计师事务所（特殊普通合伙）对清算报告进行审计，上海市通力律师事务所对清算报告出具法律意见。</w:t>
      </w:r>
    </w:p>
    <w:p w:rsidR="00AD5F84" w:rsidRDefault="00AD5F84"/>
    <w:p w:rsidR="00AD5F84" w:rsidRDefault="001F08C4">
      <w:pPr>
        <w:pStyle w:val="1"/>
        <w:spacing w:before="0" w:after="0"/>
        <w:jc w:val="center"/>
        <w:rPr>
          <w:rFonts w:ascii="Times New Roman"/>
          <w:color w:val="auto"/>
          <w:sz w:val="30"/>
        </w:rPr>
      </w:pPr>
      <w:r>
        <w:rPr>
          <w:rFonts w:ascii="Times New Roman" w:hint="eastAsia"/>
          <w:color w:val="auto"/>
          <w:sz w:val="30"/>
        </w:rPr>
        <w:t>四、财务会计报告</w:t>
      </w:r>
    </w:p>
    <w:p w:rsidR="00AD5F84" w:rsidRDefault="00AD5F84"/>
    <w:p w:rsidR="00AD5F84" w:rsidRDefault="001F08C4">
      <w:r>
        <w:rPr>
          <w:rFonts w:hint="eastAsia"/>
        </w:rPr>
        <w:t>资产负债表（已经审计）</w:t>
      </w:r>
    </w:p>
    <w:p w:rsidR="00AD5F84" w:rsidRDefault="00AD5F84"/>
    <w:p w:rsidR="00AD5F84" w:rsidRDefault="001F08C4">
      <w:r>
        <w:rPr>
          <w:rFonts w:hint="eastAsia"/>
        </w:rPr>
        <w:t>会计主体：</w:t>
      </w:r>
      <w:r w:rsidR="00E36CD5" w:rsidRPr="00E36CD5">
        <w:rPr>
          <w:rFonts w:hint="eastAsia"/>
        </w:rPr>
        <w:t>天弘鑫安宝保本混合型证券投资基金</w:t>
      </w:r>
    </w:p>
    <w:p w:rsidR="00AD5F84" w:rsidRDefault="00AD5F84"/>
    <w:p w:rsidR="00AD5F84" w:rsidRDefault="00AD5F84"/>
    <w:p w:rsidR="00AD5F84" w:rsidRDefault="001F08C4">
      <w:r>
        <w:rPr>
          <w:rFonts w:hint="eastAsia"/>
        </w:rPr>
        <w:t>报告截止日：</w:t>
      </w:r>
      <w:r>
        <w:rPr>
          <w:rFonts w:hint="eastAsia"/>
        </w:rPr>
        <w:t>201</w:t>
      </w:r>
      <w:r w:rsidR="00E36CD5">
        <w:t>7</w:t>
      </w:r>
      <w:r>
        <w:rPr>
          <w:rFonts w:hint="eastAsia"/>
        </w:rPr>
        <w:t>年</w:t>
      </w:r>
      <w:r w:rsidR="00E36CD5">
        <w:t>4</w:t>
      </w:r>
      <w:r>
        <w:rPr>
          <w:rFonts w:hint="eastAsia"/>
        </w:rPr>
        <w:t>月</w:t>
      </w:r>
      <w:r>
        <w:rPr>
          <w:rFonts w:hint="eastAsia"/>
        </w:rPr>
        <w:t>2</w:t>
      </w:r>
      <w:r w:rsidR="00E36CD5">
        <w:t>4</w:t>
      </w:r>
      <w:r>
        <w:rPr>
          <w:rFonts w:hint="eastAsia"/>
        </w:rPr>
        <w:t>日</w:t>
      </w:r>
    </w:p>
    <w:p w:rsidR="00AD5F84" w:rsidRDefault="001F08C4">
      <w:pPr>
        <w:jc w:val="right"/>
      </w:pPr>
      <w:r>
        <w:rPr>
          <w:rFonts w:hint="eastAsia"/>
        </w:rPr>
        <w:t>单位：人民币元</w:t>
      </w:r>
    </w:p>
    <w:p w:rsidR="00AD5F84" w:rsidRDefault="00AD5F84">
      <w:pPr>
        <w:jc w:val="right"/>
      </w:pPr>
    </w:p>
    <w:tbl>
      <w:tblPr>
        <w:tblW w:w="8356" w:type="dxa"/>
        <w:tblLayout w:type="fixed"/>
        <w:tblLook w:val="04A0"/>
      </w:tblPr>
      <w:tblGrid>
        <w:gridCol w:w="3421"/>
        <w:gridCol w:w="4935"/>
      </w:tblGrid>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center"/>
              <w:rPr>
                <w:rFonts w:ascii="宋体" w:eastAsia="宋体" w:hAnsi="宋体" w:cs="宋体"/>
                <w:b/>
                <w:kern w:val="0"/>
                <w:sz w:val="24"/>
                <w:szCs w:val="24"/>
              </w:rPr>
            </w:pPr>
            <w:r>
              <w:rPr>
                <w:rFonts w:ascii="宋体" w:eastAsia="宋体" w:hAnsi="宋体" w:cs="宋体" w:hint="eastAsia"/>
                <w:b/>
                <w:kern w:val="0"/>
                <w:sz w:val="24"/>
                <w:szCs w:val="24"/>
              </w:rPr>
              <w:t>资产</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pStyle w:val="a8"/>
              <w:spacing w:line="270" w:lineRule="atLeast"/>
              <w:jc w:val="center"/>
              <w:rPr>
                <w:b/>
              </w:rPr>
            </w:pPr>
            <w:r>
              <w:rPr>
                <w:rFonts w:hint="eastAsia"/>
                <w:b/>
              </w:rPr>
              <w:t>最后运作日</w:t>
            </w:r>
            <w:r w:rsidR="00E36CD5" w:rsidRPr="00E36CD5">
              <w:rPr>
                <w:rFonts w:hint="eastAsia"/>
                <w:b/>
              </w:rPr>
              <w:t>2017年4月24日</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rPr>
                <w:rFonts w:ascii="宋体" w:eastAsia="宋体"/>
                <w:b/>
                <w:color w:val="000000"/>
                <w:kern w:val="0"/>
                <w:sz w:val="24"/>
                <w:szCs w:val="24"/>
              </w:rPr>
            </w:pPr>
            <w:r>
              <w:rPr>
                <w:rFonts w:ascii="宋体" w:eastAsia="宋体" w:hint="eastAsia"/>
                <w:b/>
                <w:color w:val="000000"/>
                <w:kern w:val="0"/>
                <w:sz w:val="24"/>
                <w:szCs w:val="24"/>
              </w:rPr>
              <w:t>资产：</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AD5F84">
            <w:pPr>
              <w:autoSpaceDE w:val="0"/>
              <w:autoSpaceDN w:val="0"/>
              <w:adjustRightInd w:val="0"/>
              <w:spacing w:line="288" w:lineRule="auto"/>
              <w:jc w:val="center"/>
              <w:rPr>
                <w:rFonts w:ascii="Times New Roman" w:eastAsia="宋体" w:hAnsi="Times New Roman"/>
                <w:color w:val="000000"/>
                <w:kern w:val="0"/>
                <w:sz w:val="23"/>
                <w:szCs w:val="24"/>
              </w:rPr>
            </w:pP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银行存款</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5251D0">
            <w:pPr>
              <w:jc w:val="right"/>
            </w:pPr>
            <w:r w:rsidRPr="005251D0">
              <w:t>777,566,082.76</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结算备付金</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5251D0">
            <w:pPr>
              <w:autoSpaceDE w:val="0"/>
              <w:autoSpaceDN w:val="0"/>
              <w:adjustRightInd w:val="0"/>
              <w:spacing w:before="29" w:line="288" w:lineRule="auto"/>
              <w:ind w:left="15"/>
              <w:jc w:val="right"/>
            </w:pPr>
            <w:r w:rsidRPr="005251D0">
              <w:t>33,047.52</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存出保证金</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5251D0">
            <w:pPr>
              <w:autoSpaceDE w:val="0"/>
              <w:autoSpaceDN w:val="0"/>
              <w:adjustRightInd w:val="0"/>
              <w:spacing w:before="29" w:line="288" w:lineRule="auto"/>
              <w:ind w:left="15"/>
              <w:jc w:val="right"/>
            </w:pPr>
            <w:r w:rsidRPr="005251D0">
              <w:t>45,646.86</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交易性金融资产</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5251D0">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其中：股票投资</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基金投资</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债券投资</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5251D0">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pPr>
            <w:r>
              <w:rPr>
                <w:rFonts w:hint="eastAsia"/>
              </w:rPr>
              <w:t>资产支持证券投资</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贵金属投资</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衍生金融资产</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买入返售金融资产</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应收证券清算款</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应收利息</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5251D0">
            <w:pPr>
              <w:jc w:val="right"/>
            </w:pPr>
            <w:r w:rsidRPr="005251D0">
              <w:t>170,903.37</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应收股利</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应收申购款</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递延所得税资产</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其他资产</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资产总计</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5251D0">
            <w:pPr>
              <w:jc w:val="right"/>
            </w:pPr>
            <w:r w:rsidRPr="005251D0">
              <w:t>777,815,680.51</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center"/>
              <w:rPr>
                <w:rFonts w:ascii="宋体" w:eastAsia="宋体" w:hAnsi="宋体" w:cs="宋体"/>
                <w:b/>
                <w:kern w:val="0"/>
                <w:sz w:val="24"/>
                <w:szCs w:val="24"/>
              </w:rPr>
            </w:pPr>
            <w:r>
              <w:rPr>
                <w:rFonts w:ascii="宋体" w:eastAsia="宋体" w:hAnsi="宋体" w:cs="宋体" w:hint="eastAsia"/>
                <w:b/>
                <w:kern w:val="0"/>
                <w:sz w:val="24"/>
                <w:szCs w:val="24"/>
              </w:rPr>
              <w:t>负债和所有者权益</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center"/>
              <w:rPr>
                <w:rFonts w:ascii="宋体" w:eastAsia="宋体" w:hAnsi="宋体" w:cs="宋体"/>
                <w:b/>
                <w:kern w:val="0"/>
                <w:sz w:val="24"/>
                <w:szCs w:val="24"/>
              </w:rPr>
            </w:pPr>
            <w:r w:rsidRPr="00E36CD5">
              <w:rPr>
                <w:rFonts w:ascii="宋体" w:eastAsia="宋体" w:hAnsi="宋体" w:cs="宋体" w:hint="eastAsia"/>
                <w:b/>
                <w:kern w:val="0"/>
                <w:sz w:val="24"/>
                <w:szCs w:val="24"/>
              </w:rPr>
              <w:t>最后运作日</w:t>
            </w:r>
            <w:r w:rsidR="00E36CD5" w:rsidRPr="00E36CD5">
              <w:rPr>
                <w:rFonts w:ascii="宋体" w:eastAsia="宋体" w:hAnsi="宋体" w:cs="宋体" w:hint="eastAsia"/>
                <w:b/>
                <w:kern w:val="0"/>
                <w:sz w:val="24"/>
                <w:szCs w:val="24"/>
              </w:rPr>
              <w:t>2017年4月24日</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center"/>
              <w:rPr>
                <w:rFonts w:ascii="宋体" w:eastAsia="宋体" w:hAnsi="宋体" w:cs="宋体"/>
                <w:b/>
                <w:kern w:val="0"/>
                <w:sz w:val="24"/>
                <w:szCs w:val="24"/>
              </w:rPr>
            </w:pPr>
            <w:r>
              <w:rPr>
                <w:rFonts w:ascii="宋体" w:eastAsia="宋体" w:hAnsi="宋体" w:cs="宋体" w:hint="eastAsia"/>
                <w:b/>
                <w:kern w:val="0"/>
                <w:sz w:val="24"/>
                <w:szCs w:val="24"/>
              </w:rPr>
              <w:t>负债：</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AD5F84">
            <w:pPr>
              <w:autoSpaceDE w:val="0"/>
              <w:autoSpaceDN w:val="0"/>
              <w:adjustRightInd w:val="0"/>
              <w:spacing w:line="288" w:lineRule="auto"/>
              <w:jc w:val="center"/>
              <w:rPr>
                <w:rFonts w:ascii="宋体" w:eastAsia="宋体" w:hAnsi="宋体" w:cs="宋体"/>
                <w:b/>
                <w:kern w:val="0"/>
                <w:sz w:val="24"/>
                <w:szCs w:val="24"/>
              </w:rPr>
            </w:pP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短期借款</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交易性金融负债</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衍生金融负债</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卖出回购金融资产款</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应付证券清算款</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应付赎回款</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应付管理人报酬</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5251D0">
            <w:pPr>
              <w:jc w:val="right"/>
            </w:pPr>
            <w:r w:rsidRPr="005251D0">
              <w:t>255,208.96</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应付托管费</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5251D0">
            <w:pPr>
              <w:jc w:val="right"/>
            </w:pPr>
            <w:r w:rsidRPr="005251D0">
              <w:t>51,041.81</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应付销售服务费</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5251D0">
            <w:pPr>
              <w:jc w:val="right"/>
            </w:pPr>
            <w:r w:rsidRPr="005251D0">
              <w:t>102,083.57</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应付交易费用</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5251D0">
            <w:pPr>
              <w:jc w:val="right"/>
            </w:pPr>
            <w:r w:rsidRPr="005251D0">
              <w:t>58,998.99</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应交税费</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应付利息</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应付利润</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递延所得税负债</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1F08C4">
            <w:pPr>
              <w:jc w:val="right"/>
            </w:pPr>
            <w:r>
              <w:rPr>
                <w:rFonts w:hint="eastAsia"/>
              </w:rPr>
              <w:t>－</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其他负债</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5251D0">
            <w:pPr>
              <w:jc w:val="right"/>
            </w:pPr>
            <w:r w:rsidRPr="005251D0">
              <w:t>317,373.60</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负债合计</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5251D0">
            <w:pPr>
              <w:jc w:val="right"/>
            </w:pPr>
            <w:r w:rsidRPr="005251D0">
              <w:t>784,706.93</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rPr>
                <w:rFonts w:ascii="宋体" w:eastAsia="宋体"/>
                <w:b/>
                <w:color w:val="000000"/>
                <w:kern w:val="0"/>
                <w:sz w:val="24"/>
                <w:szCs w:val="24"/>
              </w:rPr>
            </w:pPr>
            <w:r>
              <w:rPr>
                <w:rFonts w:ascii="宋体" w:eastAsia="宋体" w:hint="eastAsia"/>
                <w:b/>
                <w:color w:val="000000"/>
                <w:kern w:val="0"/>
                <w:sz w:val="24"/>
                <w:szCs w:val="24"/>
              </w:rPr>
              <w:t>所有者权益：</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AD5F84">
            <w:pPr>
              <w:jc w:val="right"/>
              <w:rPr>
                <w:rFonts w:ascii="宋体" w:eastAsia="宋体"/>
                <w:color w:val="000000"/>
                <w:kern w:val="0"/>
                <w:sz w:val="24"/>
                <w:szCs w:val="24"/>
              </w:rPr>
            </w:pP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实收基金</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F4034B">
            <w:pPr>
              <w:jc w:val="right"/>
            </w:pPr>
            <w:r w:rsidRPr="00F4034B">
              <w:t>739,354,674.96</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未分配利润</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F4034B">
            <w:pPr>
              <w:autoSpaceDE w:val="0"/>
              <w:autoSpaceDN w:val="0"/>
              <w:adjustRightInd w:val="0"/>
              <w:spacing w:before="29" w:line="288" w:lineRule="auto"/>
              <w:ind w:left="15"/>
              <w:jc w:val="right"/>
            </w:pPr>
            <w:r w:rsidRPr="00F4034B">
              <w:t>37</w:t>
            </w:r>
            <w:r>
              <w:t>,</w:t>
            </w:r>
            <w:r w:rsidRPr="00F4034B">
              <w:t>676</w:t>
            </w:r>
            <w:r>
              <w:t>,</w:t>
            </w:r>
            <w:r w:rsidRPr="00F4034B">
              <w:t>298.62</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所有者权益合计</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F4034B">
            <w:pPr>
              <w:jc w:val="right"/>
            </w:pPr>
            <w:r w:rsidRPr="00F4034B">
              <w:t>777</w:t>
            </w:r>
            <w:r>
              <w:t>,</w:t>
            </w:r>
            <w:r w:rsidRPr="00F4034B">
              <w:t>030</w:t>
            </w:r>
            <w:r>
              <w:t>,</w:t>
            </w:r>
            <w:r w:rsidRPr="00F4034B">
              <w:t>973.58</w:t>
            </w:r>
          </w:p>
        </w:tc>
      </w:tr>
      <w:tr w:rsidR="00AD5F84">
        <w:tc>
          <w:tcPr>
            <w:tcW w:w="3421"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负债和所有者权益总计</w:t>
            </w:r>
          </w:p>
        </w:tc>
        <w:tc>
          <w:tcPr>
            <w:tcW w:w="4935" w:type="dxa"/>
            <w:tcBorders>
              <w:top w:val="single" w:sz="8" w:space="0" w:color="000000"/>
              <w:left w:val="single" w:sz="8" w:space="0" w:color="000000"/>
              <w:bottom w:val="single" w:sz="8" w:space="0" w:color="000000"/>
              <w:right w:val="single" w:sz="8" w:space="0" w:color="000000"/>
            </w:tcBorders>
            <w:vAlign w:val="center"/>
          </w:tcPr>
          <w:p w:rsidR="00AD5F84" w:rsidRDefault="00F4034B">
            <w:pPr>
              <w:jc w:val="right"/>
            </w:pPr>
            <w:r w:rsidRPr="00F4034B">
              <w:t>777</w:t>
            </w:r>
            <w:r>
              <w:t>,</w:t>
            </w:r>
            <w:r w:rsidRPr="00F4034B">
              <w:t>815</w:t>
            </w:r>
            <w:r>
              <w:t>,</w:t>
            </w:r>
            <w:r w:rsidRPr="00F4034B">
              <w:t>680.51</w:t>
            </w:r>
          </w:p>
        </w:tc>
      </w:tr>
    </w:tbl>
    <w:p w:rsidR="00AD5F84" w:rsidRDefault="00AD5F84"/>
    <w:p w:rsidR="00AD5F84" w:rsidRDefault="001F08C4">
      <w:r>
        <w:rPr>
          <w:rFonts w:hint="eastAsia"/>
        </w:rPr>
        <w:t>注：</w:t>
      </w:r>
      <w:r>
        <w:rPr>
          <w:rFonts w:hint="eastAsia"/>
        </w:rPr>
        <w:t xml:space="preserve"> 1</w:t>
      </w:r>
      <w:r>
        <w:rPr>
          <w:rFonts w:hint="eastAsia"/>
        </w:rPr>
        <w:t>、报告截止日</w:t>
      </w:r>
      <w:r w:rsidR="00E36CD5" w:rsidRPr="00E36CD5">
        <w:rPr>
          <w:rFonts w:hint="eastAsia"/>
        </w:rPr>
        <w:t>2017</w:t>
      </w:r>
      <w:r w:rsidR="00E36CD5" w:rsidRPr="00E36CD5">
        <w:rPr>
          <w:rFonts w:hint="eastAsia"/>
        </w:rPr>
        <w:t>年</w:t>
      </w:r>
      <w:r w:rsidR="00E36CD5" w:rsidRPr="00E36CD5">
        <w:rPr>
          <w:rFonts w:hint="eastAsia"/>
        </w:rPr>
        <w:t>4</w:t>
      </w:r>
      <w:r w:rsidR="00E36CD5" w:rsidRPr="00E36CD5">
        <w:rPr>
          <w:rFonts w:hint="eastAsia"/>
        </w:rPr>
        <w:t>月</w:t>
      </w:r>
      <w:r w:rsidR="00E36CD5" w:rsidRPr="00E36CD5">
        <w:rPr>
          <w:rFonts w:hint="eastAsia"/>
        </w:rPr>
        <w:t>24</w:t>
      </w:r>
      <w:r w:rsidR="00E36CD5" w:rsidRPr="00E36CD5">
        <w:rPr>
          <w:rFonts w:hint="eastAsia"/>
        </w:rPr>
        <w:t>日</w:t>
      </w:r>
      <w:r>
        <w:rPr>
          <w:rFonts w:hint="eastAsia"/>
        </w:rPr>
        <w:t>(</w:t>
      </w:r>
      <w:r>
        <w:rPr>
          <w:rFonts w:hint="eastAsia"/>
        </w:rPr>
        <w:t>基金最后运作日</w:t>
      </w:r>
      <w:r>
        <w:rPr>
          <w:rFonts w:hint="eastAsia"/>
        </w:rPr>
        <w:t>)</w:t>
      </w:r>
      <w:r>
        <w:rPr>
          <w:rFonts w:hint="eastAsia"/>
        </w:rPr>
        <w:t>，基金份额净值</w:t>
      </w:r>
      <w:r w:rsidR="00F4034B" w:rsidRPr="00F4034B">
        <w:t>1.0510</w:t>
      </w:r>
      <w:r>
        <w:rPr>
          <w:rFonts w:hint="eastAsia"/>
        </w:rPr>
        <w:t>元，基金份额总额</w:t>
      </w:r>
      <w:r w:rsidR="00F4034B" w:rsidRPr="00F4034B">
        <w:t>739,354,674.96</w:t>
      </w:r>
      <w:r>
        <w:rPr>
          <w:rFonts w:hint="eastAsia"/>
        </w:rPr>
        <w:t>份。</w:t>
      </w:r>
    </w:p>
    <w:p w:rsidR="00AD5F84" w:rsidRDefault="00AD5F84"/>
    <w:p w:rsidR="00AD5F84" w:rsidRDefault="001F08C4">
      <w:pPr>
        <w:ind w:firstLine="420"/>
        <w:rPr>
          <w:highlight w:val="green"/>
        </w:rPr>
      </w:pPr>
      <w:r>
        <w:rPr>
          <w:rFonts w:hint="eastAsia"/>
        </w:rPr>
        <w:t xml:space="preserve"> 2</w:t>
      </w:r>
      <w:r>
        <w:rPr>
          <w:rFonts w:hint="eastAsia"/>
        </w:rPr>
        <w:t>、本财务报告已经普华永道中天会计师事务所</w:t>
      </w:r>
      <w:r>
        <w:rPr>
          <w:rFonts w:hint="eastAsia"/>
        </w:rPr>
        <w:t>(</w:t>
      </w:r>
      <w:r>
        <w:rPr>
          <w:rFonts w:hint="eastAsia"/>
        </w:rPr>
        <w:t>特殊普通合伙</w:t>
      </w:r>
      <w:r>
        <w:rPr>
          <w:rFonts w:hint="eastAsia"/>
        </w:rPr>
        <w:t>)</w:t>
      </w:r>
      <w:r>
        <w:rPr>
          <w:rFonts w:hint="eastAsia"/>
        </w:rPr>
        <w:t>审计，注册会计师</w:t>
      </w:r>
      <w:r w:rsidRPr="00A473EB">
        <w:rPr>
          <w:rFonts w:hint="eastAsia"/>
        </w:rPr>
        <w:t>薛竞、周祎</w:t>
      </w:r>
      <w:r>
        <w:rPr>
          <w:rFonts w:hint="eastAsia"/>
        </w:rPr>
        <w:t>签字出具了普华永道中天</w:t>
      </w:r>
      <w:r w:rsidRPr="004318E3">
        <w:rPr>
          <w:rFonts w:hint="eastAsia"/>
        </w:rPr>
        <w:t>特审字（</w:t>
      </w:r>
      <w:r w:rsidRPr="004318E3">
        <w:rPr>
          <w:rFonts w:hint="eastAsia"/>
        </w:rPr>
        <w:t>201</w:t>
      </w:r>
      <w:r w:rsidR="00F4034B" w:rsidRPr="004318E3">
        <w:t>7</w:t>
      </w:r>
      <w:r w:rsidRPr="004318E3">
        <w:rPr>
          <w:rFonts w:hint="eastAsia"/>
        </w:rPr>
        <w:t>）第</w:t>
      </w:r>
      <w:r w:rsidR="00A473EB" w:rsidRPr="004318E3">
        <w:t>1897</w:t>
      </w:r>
      <w:r w:rsidRPr="004318E3">
        <w:rPr>
          <w:rFonts w:hint="eastAsia"/>
        </w:rPr>
        <w:t>号</w:t>
      </w:r>
      <w:r>
        <w:rPr>
          <w:rFonts w:hint="eastAsia"/>
        </w:rPr>
        <w:t>标准无保留意见的审计报告。</w:t>
      </w:r>
    </w:p>
    <w:p w:rsidR="00AD5F84" w:rsidRDefault="00AD5F84"/>
    <w:p w:rsidR="00AD5F84" w:rsidRDefault="001F08C4">
      <w:pPr>
        <w:pStyle w:val="1"/>
        <w:spacing w:before="0" w:after="0"/>
        <w:jc w:val="center"/>
        <w:rPr>
          <w:rFonts w:ascii="Times New Roman"/>
          <w:color w:val="auto"/>
          <w:sz w:val="30"/>
        </w:rPr>
      </w:pPr>
      <w:r>
        <w:rPr>
          <w:rFonts w:ascii="Times New Roman" w:hint="eastAsia"/>
          <w:color w:val="auto"/>
          <w:sz w:val="30"/>
        </w:rPr>
        <w:t>五、基金财产分配</w:t>
      </w:r>
    </w:p>
    <w:p w:rsidR="00AD5F84" w:rsidRDefault="00AD5F84"/>
    <w:p w:rsidR="00AD5F84" w:rsidRDefault="001F08C4">
      <w:r>
        <w:rPr>
          <w:rFonts w:hint="eastAsia"/>
        </w:rPr>
        <w:t>1</w:t>
      </w:r>
      <w:r>
        <w:rPr>
          <w:rFonts w:hint="eastAsia"/>
        </w:rPr>
        <w:t>、清算费用</w:t>
      </w:r>
    </w:p>
    <w:p w:rsidR="00AD5F84" w:rsidRPr="00A473EB" w:rsidRDefault="00AD5F84"/>
    <w:p w:rsidR="00AD5F84" w:rsidRDefault="001F08C4" w:rsidP="00E36CD5">
      <w:r>
        <w:rPr>
          <w:rFonts w:hint="eastAsia"/>
        </w:rPr>
        <w:t>按照《</w:t>
      </w:r>
      <w:r w:rsidR="00E36CD5" w:rsidRPr="00E36CD5">
        <w:rPr>
          <w:rFonts w:hint="eastAsia"/>
        </w:rPr>
        <w:t>天弘鑫安宝保本混合型证券投资基金</w:t>
      </w:r>
      <w:r>
        <w:rPr>
          <w:rFonts w:hint="eastAsia"/>
        </w:rPr>
        <w:t>基金合同》第二十部分“基金合同的变更、终止与基金财产的清算”的规定，</w:t>
      </w:r>
      <w:r w:rsidR="00E36CD5">
        <w:rPr>
          <w:rFonts w:hint="eastAsia"/>
        </w:rPr>
        <w:t>清算费用是指基金财产清算小组在进行基金清算过程中发生的所有合理费用，清算费用由基金财产清算小组优先从基金财产中支付。</w:t>
      </w:r>
      <w:r w:rsidR="00E36CD5">
        <w:cr/>
      </w:r>
    </w:p>
    <w:p w:rsidR="00AD5F84" w:rsidRPr="00E36CD5" w:rsidRDefault="00AD5F84"/>
    <w:p w:rsidR="00AD5F84" w:rsidRDefault="00AD5F84"/>
    <w:p w:rsidR="00AD5F84" w:rsidRDefault="001F08C4">
      <w:r>
        <w:rPr>
          <w:rFonts w:hint="eastAsia"/>
        </w:rPr>
        <w:t>2</w:t>
      </w:r>
      <w:r>
        <w:rPr>
          <w:rFonts w:hint="eastAsia"/>
        </w:rPr>
        <w:t>、本基金第一个保本周期的到期日（即最后开放日）为</w:t>
      </w:r>
      <w:r w:rsidR="00E36CD5" w:rsidRPr="00E36CD5">
        <w:rPr>
          <w:rFonts w:hint="eastAsia"/>
        </w:rPr>
        <w:t>2017</w:t>
      </w:r>
      <w:r w:rsidR="00E36CD5" w:rsidRPr="00E36CD5">
        <w:rPr>
          <w:rFonts w:hint="eastAsia"/>
        </w:rPr>
        <w:t>年</w:t>
      </w:r>
      <w:r w:rsidR="00E36CD5" w:rsidRPr="00E36CD5">
        <w:rPr>
          <w:rFonts w:hint="eastAsia"/>
        </w:rPr>
        <w:t>4</w:t>
      </w:r>
      <w:r w:rsidR="00E36CD5" w:rsidRPr="00E36CD5">
        <w:rPr>
          <w:rFonts w:hint="eastAsia"/>
        </w:rPr>
        <w:t>月</w:t>
      </w:r>
      <w:r w:rsidR="00E36CD5" w:rsidRPr="00E36CD5">
        <w:rPr>
          <w:rFonts w:hint="eastAsia"/>
        </w:rPr>
        <w:t>24</w:t>
      </w:r>
      <w:r w:rsidR="00E36CD5" w:rsidRPr="00E36CD5">
        <w:rPr>
          <w:rFonts w:hint="eastAsia"/>
        </w:rPr>
        <w:t>日</w:t>
      </w:r>
      <w:r>
        <w:rPr>
          <w:rFonts w:hint="eastAsia"/>
        </w:rPr>
        <w:t>，基金份额持有人可在此日将第一个保本周期内持有到期的基金份额进行赎回（含转换转出），在</w:t>
      </w:r>
      <w:r w:rsidR="00C967F9" w:rsidRPr="00E36CD5">
        <w:rPr>
          <w:rFonts w:hint="eastAsia"/>
        </w:rPr>
        <w:t>2017</w:t>
      </w:r>
      <w:r w:rsidR="00C967F9" w:rsidRPr="00E36CD5">
        <w:rPr>
          <w:rFonts w:hint="eastAsia"/>
        </w:rPr>
        <w:t>年</w:t>
      </w:r>
      <w:r w:rsidR="00C967F9" w:rsidRPr="00E36CD5">
        <w:rPr>
          <w:rFonts w:hint="eastAsia"/>
        </w:rPr>
        <w:t>4</w:t>
      </w:r>
      <w:r w:rsidR="00C967F9" w:rsidRPr="00E36CD5">
        <w:rPr>
          <w:rFonts w:hint="eastAsia"/>
        </w:rPr>
        <w:t>月</w:t>
      </w:r>
      <w:r w:rsidR="00C967F9" w:rsidRPr="00E36CD5">
        <w:rPr>
          <w:rFonts w:hint="eastAsia"/>
        </w:rPr>
        <w:t>2</w:t>
      </w:r>
      <w:r w:rsidR="00C967F9">
        <w:t>5</w:t>
      </w:r>
      <w:r w:rsidR="00C967F9" w:rsidRPr="00E36CD5">
        <w:rPr>
          <w:rFonts w:hint="eastAsia"/>
        </w:rPr>
        <w:t>日</w:t>
      </w:r>
      <w:r>
        <w:rPr>
          <w:rFonts w:hint="eastAsia"/>
        </w:rPr>
        <w:t>对其所申请的赎回份额进行确认并支付，具体支付金额如下：</w:t>
      </w:r>
    </w:p>
    <w:p w:rsidR="00AD5F84" w:rsidRDefault="001F08C4">
      <w:pPr>
        <w:jc w:val="right"/>
      </w:pPr>
      <w:r>
        <w:rPr>
          <w:rFonts w:hint="eastAsia"/>
        </w:rPr>
        <w:t>单位：人民币元</w:t>
      </w:r>
    </w:p>
    <w:tbl>
      <w:tblPr>
        <w:tblW w:w="8329" w:type="dxa"/>
        <w:tblLayout w:type="fixed"/>
        <w:tblLook w:val="04A0"/>
      </w:tblPr>
      <w:tblGrid>
        <w:gridCol w:w="3570"/>
        <w:gridCol w:w="2207"/>
        <w:gridCol w:w="2552"/>
      </w:tblGrid>
      <w:tr w:rsidR="00AD5F84">
        <w:tc>
          <w:tcPr>
            <w:tcW w:w="3570"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center"/>
            </w:pPr>
            <w:r>
              <w:rPr>
                <w:rFonts w:hint="eastAsia"/>
              </w:rPr>
              <w:t>项目</w:t>
            </w:r>
          </w:p>
        </w:tc>
        <w:tc>
          <w:tcPr>
            <w:tcW w:w="2207" w:type="dxa"/>
            <w:tcBorders>
              <w:top w:val="single" w:sz="8" w:space="0" w:color="000000"/>
              <w:left w:val="single" w:sz="8" w:space="0" w:color="000000"/>
              <w:bottom w:val="single" w:sz="8" w:space="0" w:color="000000"/>
              <w:right w:val="single" w:sz="8" w:space="0" w:color="000000"/>
            </w:tcBorders>
            <w:vAlign w:val="center"/>
          </w:tcPr>
          <w:p w:rsidR="00AD5F84" w:rsidRDefault="001F08C4">
            <w:pPr>
              <w:jc w:val="center"/>
            </w:pPr>
            <w:r>
              <w:rPr>
                <w:rFonts w:hint="eastAsia"/>
              </w:rPr>
              <w:t>金额</w:t>
            </w:r>
          </w:p>
        </w:tc>
        <w:tc>
          <w:tcPr>
            <w:tcW w:w="2552" w:type="dxa"/>
            <w:tcBorders>
              <w:top w:val="single" w:sz="8" w:space="0" w:color="000000"/>
              <w:left w:val="single" w:sz="8" w:space="0" w:color="000000"/>
              <w:bottom w:val="single" w:sz="8" w:space="0" w:color="000000"/>
              <w:right w:val="single" w:sz="8" w:space="0" w:color="000000"/>
            </w:tcBorders>
          </w:tcPr>
          <w:p w:rsidR="00AD5F84" w:rsidRDefault="001F08C4">
            <w:pPr>
              <w:jc w:val="center"/>
            </w:pPr>
            <w:r>
              <w:rPr>
                <w:rFonts w:hint="eastAsia"/>
              </w:rPr>
              <w:t>时间备注</w:t>
            </w:r>
          </w:p>
        </w:tc>
      </w:tr>
      <w:tr w:rsidR="00AD5F84">
        <w:tc>
          <w:tcPr>
            <w:tcW w:w="3570"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center"/>
            </w:pPr>
            <w:r>
              <w:rPr>
                <w:rFonts w:hint="eastAsia"/>
              </w:rPr>
              <w:t>一、最后运作日</w:t>
            </w:r>
            <w:r w:rsidR="00E36CD5" w:rsidRPr="00E36CD5">
              <w:rPr>
                <w:rFonts w:hint="eastAsia"/>
              </w:rPr>
              <w:t>2017</w:t>
            </w:r>
            <w:r w:rsidR="00E36CD5" w:rsidRPr="00E36CD5">
              <w:rPr>
                <w:rFonts w:hint="eastAsia"/>
              </w:rPr>
              <w:t>年</w:t>
            </w:r>
            <w:r w:rsidR="00E36CD5" w:rsidRPr="00E36CD5">
              <w:rPr>
                <w:rFonts w:hint="eastAsia"/>
              </w:rPr>
              <w:t>4</w:t>
            </w:r>
            <w:r w:rsidR="00E36CD5" w:rsidRPr="00E36CD5">
              <w:rPr>
                <w:rFonts w:hint="eastAsia"/>
              </w:rPr>
              <w:t>月</w:t>
            </w:r>
            <w:r w:rsidR="00E36CD5" w:rsidRPr="00E36CD5">
              <w:rPr>
                <w:rFonts w:hint="eastAsia"/>
              </w:rPr>
              <w:t>24</w:t>
            </w:r>
            <w:r w:rsidR="00E36CD5" w:rsidRPr="00E36CD5">
              <w:rPr>
                <w:rFonts w:hint="eastAsia"/>
              </w:rPr>
              <w:t>日</w:t>
            </w:r>
            <w:r>
              <w:rPr>
                <w:rFonts w:hint="eastAsia"/>
              </w:rPr>
              <w:t>基金净资产</w:t>
            </w:r>
          </w:p>
        </w:tc>
        <w:tc>
          <w:tcPr>
            <w:tcW w:w="2207" w:type="dxa"/>
            <w:tcBorders>
              <w:top w:val="single" w:sz="8" w:space="0" w:color="000000"/>
              <w:left w:val="single" w:sz="8" w:space="0" w:color="000000"/>
              <w:bottom w:val="single" w:sz="8" w:space="0" w:color="000000"/>
              <w:right w:val="single" w:sz="8" w:space="0" w:color="000000"/>
            </w:tcBorders>
            <w:vAlign w:val="center"/>
          </w:tcPr>
          <w:p w:rsidR="00AD5F84" w:rsidRDefault="001C3527">
            <w:pPr>
              <w:jc w:val="center"/>
            </w:pPr>
            <w:r w:rsidRPr="001C3527">
              <w:t>777,030,973.58</w:t>
            </w:r>
          </w:p>
          <w:p w:rsidR="00AD5F84" w:rsidRDefault="00AD5F84">
            <w:pPr>
              <w:jc w:val="center"/>
            </w:pPr>
          </w:p>
        </w:tc>
        <w:tc>
          <w:tcPr>
            <w:tcW w:w="2552" w:type="dxa"/>
            <w:tcBorders>
              <w:top w:val="single" w:sz="8" w:space="0" w:color="000000"/>
              <w:left w:val="single" w:sz="8" w:space="0" w:color="000000"/>
              <w:bottom w:val="single" w:sz="8" w:space="0" w:color="000000"/>
              <w:right w:val="single" w:sz="8" w:space="0" w:color="000000"/>
            </w:tcBorders>
          </w:tcPr>
          <w:p w:rsidR="00AD5F84" w:rsidRDefault="00AD5F84">
            <w:pPr>
              <w:jc w:val="center"/>
            </w:pPr>
          </w:p>
        </w:tc>
      </w:tr>
      <w:tr w:rsidR="00AD5F84">
        <w:tc>
          <w:tcPr>
            <w:tcW w:w="3570" w:type="dxa"/>
            <w:tcBorders>
              <w:top w:val="single" w:sz="8" w:space="0" w:color="000000"/>
              <w:left w:val="single" w:sz="8" w:space="0" w:color="000000"/>
              <w:bottom w:val="single" w:sz="8" w:space="0" w:color="000000"/>
              <w:right w:val="single" w:sz="8" w:space="0" w:color="000000"/>
            </w:tcBorders>
            <w:vAlign w:val="center"/>
          </w:tcPr>
          <w:p w:rsidR="00AD5F84" w:rsidRDefault="00AD5F84">
            <w:pPr>
              <w:autoSpaceDE w:val="0"/>
              <w:autoSpaceDN w:val="0"/>
              <w:adjustRightInd w:val="0"/>
              <w:spacing w:before="29" w:line="288" w:lineRule="auto"/>
              <w:ind w:left="15"/>
              <w:jc w:val="left"/>
            </w:pPr>
          </w:p>
        </w:tc>
        <w:tc>
          <w:tcPr>
            <w:tcW w:w="2207" w:type="dxa"/>
            <w:tcBorders>
              <w:top w:val="single" w:sz="8" w:space="0" w:color="000000"/>
              <w:left w:val="single" w:sz="8" w:space="0" w:color="000000"/>
              <w:bottom w:val="single" w:sz="8" w:space="0" w:color="000000"/>
              <w:right w:val="single" w:sz="8" w:space="0" w:color="000000"/>
            </w:tcBorders>
            <w:vAlign w:val="center"/>
          </w:tcPr>
          <w:p w:rsidR="00AD5F84" w:rsidRDefault="00AD5F84">
            <w:pPr>
              <w:jc w:val="center"/>
            </w:pPr>
          </w:p>
        </w:tc>
        <w:tc>
          <w:tcPr>
            <w:tcW w:w="2552" w:type="dxa"/>
            <w:tcBorders>
              <w:top w:val="single" w:sz="8" w:space="0" w:color="000000"/>
              <w:left w:val="single" w:sz="8" w:space="0" w:color="000000"/>
              <w:bottom w:val="single" w:sz="8" w:space="0" w:color="000000"/>
              <w:right w:val="single" w:sz="8" w:space="0" w:color="000000"/>
            </w:tcBorders>
          </w:tcPr>
          <w:p w:rsidR="00AD5F84" w:rsidRDefault="00AD5F84">
            <w:pPr>
              <w:jc w:val="center"/>
            </w:pPr>
          </w:p>
        </w:tc>
      </w:tr>
      <w:tr w:rsidR="00AD5F84">
        <w:tc>
          <w:tcPr>
            <w:tcW w:w="3570" w:type="dxa"/>
            <w:tcBorders>
              <w:top w:val="single" w:sz="8" w:space="0" w:color="000000"/>
              <w:left w:val="single" w:sz="8" w:space="0" w:color="000000"/>
              <w:bottom w:val="single" w:sz="8" w:space="0" w:color="000000"/>
              <w:right w:val="single" w:sz="8" w:space="0" w:color="000000"/>
            </w:tcBorders>
            <w:vAlign w:val="center"/>
          </w:tcPr>
          <w:p w:rsidR="00AD5F84" w:rsidRDefault="001F08C4">
            <w:pPr>
              <w:autoSpaceDE w:val="0"/>
              <w:autoSpaceDN w:val="0"/>
              <w:adjustRightInd w:val="0"/>
              <w:spacing w:before="29" w:line="288" w:lineRule="auto"/>
              <w:ind w:left="15"/>
              <w:jc w:val="left"/>
            </w:pPr>
            <w:r>
              <w:rPr>
                <w:rFonts w:hint="eastAsia"/>
              </w:rPr>
              <w:t>减：基金净赎回金额</w:t>
            </w:r>
          </w:p>
        </w:tc>
        <w:tc>
          <w:tcPr>
            <w:tcW w:w="2207" w:type="dxa"/>
            <w:tcBorders>
              <w:top w:val="single" w:sz="8" w:space="0" w:color="000000"/>
              <w:left w:val="single" w:sz="8" w:space="0" w:color="000000"/>
              <w:bottom w:val="single" w:sz="8" w:space="0" w:color="000000"/>
              <w:right w:val="single" w:sz="8" w:space="0" w:color="000000"/>
            </w:tcBorders>
            <w:vAlign w:val="center"/>
          </w:tcPr>
          <w:p w:rsidR="00AD5F84" w:rsidRDefault="001C3527">
            <w:pPr>
              <w:autoSpaceDE w:val="0"/>
              <w:autoSpaceDN w:val="0"/>
              <w:adjustRightInd w:val="0"/>
              <w:spacing w:before="29" w:line="288" w:lineRule="auto"/>
              <w:ind w:left="15"/>
              <w:jc w:val="center"/>
            </w:pPr>
            <w:r w:rsidRPr="001C3527">
              <w:t>756</w:t>
            </w:r>
            <w:r>
              <w:t>,</w:t>
            </w:r>
            <w:r w:rsidRPr="001C3527">
              <w:t>342</w:t>
            </w:r>
            <w:r>
              <w:t>,</w:t>
            </w:r>
            <w:r w:rsidRPr="001C3527">
              <w:t>410.9</w:t>
            </w:r>
            <w:r>
              <w:t>0</w:t>
            </w:r>
          </w:p>
        </w:tc>
        <w:tc>
          <w:tcPr>
            <w:tcW w:w="2552" w:type="dxa"/>
            <w:tcBorders>
              <w:top w:val="single" w:sz="8" w:space="0" w:color="000000"/>
              <w:left w:val="single" w:sz="8" w:space="0" w:color="000000"/>
              <w:bottom w:val="single" w:sz="8" w:space="0" w:color="000000"/>
              <w:right w:val="single" w:sz="8" w:space="0" w:color="000000"/>
            </w:tcBorders>
          </w:tcPr>
          <w:p w:rsidR="00AD5F84" w:rsidRDefault="001C3527">
            <w:pPr>
              <w:autoSpaceDE w:val="0"/>
              <w:autoSpaceDN w:val="0"/>
              <w:adjustRightInd w:val="0"/>
              <w:spacing w:before="29" w:line="288" w:lineRule="auto"/>
              <w:ind w:left="15"/>
              <w:jc w:val="center"/>
            </w:pPr>
            <w:r w:rsidRPr="001C3527">
              <w:rPr>
                <w:rFonts w:hint="eastAsia"/>
              </w:rPr>
              <w:t>2017</w:t>
            </w:r>
            <w:r w:rsidRPr="001C3527">
              <w:rPr>
                <w:rFonts w:hint="eastAsia"/>
              </w:rPr>
              <w:t>年</w:t>
            </w:r>
            <w:r w:rsidRPr="001C3527">
              <w:rPr>
                <w:rFonts w:hint="eastAsia"/>
              </w:rPr>
              <w:t>4</w:t>
            </w:r>
            <w:r w:rsidRPr="001C3527">
              <w:rPr>
                <w:rFonts w:hint="eastAsia"/>
              </w:rPr>
              <w:t>月</w:t>
            </w:r>
            <w:r w:rsidRPr="001C3527">
              <w:rPr>
                <w:rFonts w:hint="eastAsia"/>
              </w:rPr>
              <w:t>25</w:t>
            </w:r>
            <w:r w:rsidRPr="001C3527">
              <w:rPr>
                <w:rFonts w:hint="eastAsia"/>
              </w:rPr>
              <w:t>日</w:t>
            </w:r>
            <w:r w:rsidR="001F08C4">
              <w:rPr>
                <w:rFonts w:hint="eastAsia"/>
              </w:rPr>
              <w:t>支付</w:t>
            </w:r>
          </w:p>
        </w:tc>
      </w:tr>
      <w:tr w:rsidR="00AD5F84" w:rsidTr="000200B1">
        <w:tc>
          <w:tcPr>
            <w:tcW w:w="3570" w:type="dxa"/>
            <w:tcBorders>
              <w:top w:val="single" w:sz="8" w:space="0" w:color="000000"/>
              <w:left w:val="single" w:sz="8" w:space="0" w:color="000000"/>
              <w:bottom w:val="single" w:sz="8" w:space="0" w:color="000000"/>
              <w:right w:val="single" w:sz="8" w:space="0" w:color="000000"/>
            </w:tcBorders>
            <w:vAlign w:val="center"/>
          </w:tcPr>
          <w:p w:rsidR="00AD5F84" w:rsidRDefault="001F08C4" w:rsidP="00E36CD5">
            <w:pPr>
              <w:autoSpaceDE w:val="0"/>
              <w:autoSpaceDN w:val="0"/>
              <w:adjustRightInd w:val="0"/>
              <w:spacing w:before="29" w:line="288" w:lineRule="auto"/>
              <w:ind w:left="15"/>
              <w:jc w:val="left"/>
            </w:pPr>
            <w:r>
              <w:rPr>
                <w:rFonts w:hint="eastAsia"/>
              </w:rPr>
              <w:t>二、</w:t>
            </w:r>
            <w:r w:rsidR="00E36CD5" w:rsidRPr="00E36CD5">
              <w:rPr>
                <w:rFonts w:hint="eastAsia"/>
              </w:rPr>
              <w:t>2017</w:t>
            </w:r>
            <w:r w:rsidR="00E36CD5" w:rsidRPr="00E36CD5">
              <w:rPr>
                <w:rFonts w:hint="eastAsia"/>
              </w:rPr>
              <w:t>年</w:t>
            </w:r>
            <w:r w:rsidR="00E36CD5" w:rsidRPr="00E36CD5">
              <w:rPr>
                <w:rFonts w:hint="eastAsia"/>
              </w:rPr>
              <w:t>4</w:t>
            </w:r>
            <w:r w:rsidR="00E36CD5" w:rsidRPr="00E36CD5">
              <w:rPr>
                <w:rFonts w:hint="eastAsia"/>
              </w:rPr>
              <w:t>月</w:t>
            </w:r>
            <w:r w:rsidR="00E36CD5" w:rsidRPr="00E36CD5">
              <w:rPr>
                <w:rFonts w:hint="eastAsia"/>
              </w:rPr>
              <w:t>2</w:t>
            </w:r>
            <w:r w:rsidR="00E36CD5">
              <w:t>5</w:t>
            </w:r>
            <w:r w:rsidR="00E36CD5" w:rsidRPr="00E36CD5">
              <w:rPr>
                <w:rFonts w:hint="eastAsia"/>
              </w:rPr>
              <w:t>日</w:t>
            </w:r>
            <w:r>
              <w:rPr>
                <w:rFonts w:hint="eastAsia"/>
              </w:rPr>
              <w:t>基金净资产</w:t>
            </w:r>
          </w:p>
        </w:tc>
        <w:tc>
          <w:tcPr>
            <w:tcW w:w="2207" w:type="dxa"/>
            <w:tcBorders>
              <w:top w:val="single" w:sz="8" w:space="0" w:color="000000"/>
              <w:left w:val="single" w:sz="8" w:space="0" w:color="000000"/>
              <w:bottom w:val="single" w:sz="8" w:space="0" w:color="000000"/>
              <w:right w:val="single" w:sz="8" w:space="0" w:color="000000"/>
            </w:tcBorders>
            <w:vAlign w:val="center"/>
          </w:tcPr>
          <w:p w:rsidR="00AD5F84" w:rsidRPr="001C3527" w:rsidRDefault="00661400">
            <w:pPr>
              <w:autoSpaceDE w:val="0"/>
              <w:autoSpaceDN w:val="0"/>
              <w:adjustRightInd w:val="0"/>
              <w:spacing w:before="29" w:line="288" w:lineRule="auto"/>
              <w:ind w:left="15"/>
              <w:jc w:val="center"/>
              <w:rPr>
                <w:highlight w:val="yellow"/>
              </w:rPr>
            </w:pPr>
            <w:r w:rsidRPr="00661400">
              <w:t>20,689,422.39</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AD5F84" w:rsidRPr="001C3527" w:rsidRDefault="001F08C4" w:rsidP="00661400">
            <w:pPr>
              <w:autoSpaceDE w:val="0"/>
              <w:autoSpaceDN w:val="0"/>
              <w:adjustRightInd w:val="0"/>
              <w:spacing w:before="29" w:line="288" w:lineRule="auto"/>
              <w:ind w:left="15"/>
              <w:jc w:val="center"/>
              <w:rPr>
                <w:highlight w:val="yellow"/>
              </w:rPr>
            </w:pPr>
            <w:r w:rsidRPr="000200B1">
              <w:rPr>
                <w:rFonts w:hint="eastAsia"/>
              </w:rPr>
              <w:t>其中当日计提银行存款利息</w:t>
            </w:r>
            <w:r w:rsidR="00661400" w:rsidRPr="000200B1">
              <w:t>955.07</w:t>
            </w:r>
            <w:r w:rsidRPr="000200B1">
              <w:rPr>
                <w:rFonts w:hint="eastAsia"/>
              </w:rPr>
              <w:t>元，计提备付金利息</w:t>
            </w:r>
            <w:r w:rsidR="00661400" w:rsidRPr="000200B1">
              <w:t>1.49</w:t>
            </w:r>
            <w:r w:rsidR="00803241">
              <w:rPr>
                <w:rFonts w:hint="eastAsia"/>
              </w:rPr>
              <w:t>元，计提</w:t>
            </w:r>
            <w:bookmarkStart w:id="0" w:name="_GoBack"/>
            <w:bookmarkEnd w:id="0"/>
            <w:r w:rsidRPr="000200B1">
              <w:rPr>
                <w:rFonts w:hint="eastAsia"/>
              </w:rPr>
              <w:t>保证金利息</w:t>
            </w:r>
            <w:r w:rsidR="00661400" w:rsidRPr="000200B1">
              <w:t>2.05</w:t>
            </w:r>
            <w:r w:rsidRPr="000200B1">
              <w:rPr>
                <w:rFonts w:hint="eastAsia"/>
              </w:rPr>
              <w:t>元，即应收利息科目当日产生计提金额</w:t>
            </w:r>
            <w:r w:rsidR="00661400" w:rsidRPr="000200B1">
              <w:t>958.61</w:t>
            </w:r>
            <w:r w:rsidRPr="000200B1">
              <w:rPr>
                <w:rFonts w:hint="eastAsia"/>
              </w:rPr>
              <w:t>元</w:t>
            </w:r>
            <w:r w:rsidR="00661400" w:rsidRPr="000200B1">
              <w:rPr>
                <w:rFonts w:hint="eastAsia"/>
              </w:rPr>
              <w:t>；</w:t>
            </w:r>
            <w:r w:rsidR="00661400" w:rsidRPr="000200B1">
              <w:t>当日预提</w:t>
            </w:r>
            <w:r w:rsidR="00661400" w:rsidRPr="000200B1">
              <w:rPr>
                <w:rFonts w:hint="eastAsia"/>
              </w:rPr>
              <w:t>银行间</w:t>
            </w:r>
            <w:r w:rsidR="00661400" w:rsidRPr="000200B1">
              <w:t>账户维护费</w:t>
            </w:r>
            <w:r w:rsidR="00661400" w:rsidRPr="000200B1">
              <w:rPr>
                <w:rFonts w:hint="eastAsia"/>
              </w:rPr>
              <w:t>98.90</w:t>
            </w:r>
            <w:r w:rsidR="00661400" w:rsidRPr="000200B1">
              <w:rPr>
                <w:rFonts w:hint="eastAsia"/>
              </w:rPr>
              <w:t>元</w:t>
            </w:r>
            <w:r w:rsidRPr="000200B1">
              <w:rPr>
                <w:rFonts w:hint="eastAsia"/>
              </w:rPr>
              <w:t>。</w:t>
            </w:r>
          </w:p>
        </w:tc>
      </w:tr>
    </w:tbl>
    <w:p w:rsidR="00AD5F84" w:rsidRDefault="00AD5F84">
      <w:pPr>
        <w:rPr>
          <w:rFonts w:asciiTheme="minorEastAsia" w:hAnsiTheme="minorEastAsia" w:cs="宋体"/>
          <w:color w:val="000000"/>
          <w:kern w:val="0"/>
          <w:sz w:val="24"/>
          <w:szCs w:val="24"/>
        </w:rPr>
      </w:pPr>
    </w:p>
    <w:p w:rsidR="00AD5F84" w:rsidRDefault="00AD5F84"/>
    <w:p w:rsidR="00AD5F84" w:rsidRDefault="001F08C4">
      <w:r>
        <w:rPr>
          <w:rFonts w:hint="eastAsia"/>
        </w:rPr>
        <w:t>3</w:t>
      </w:r>
      <w:r>
        <w:rPr>
          <w:rFonts w:hint="eastAsia"/>
        </w:rPr>
        <w:t>、停止运作后的清算损益情况说明</w:t>
      </w:r>
    </w:p>
    <w:p w:rsidR="00AD5F84" w:rsidRDefault="00AD5F84"/>
    <w:p w:rsidR="00AD5F84" w:rsidRDefault="001F08C4">
      <w:r w:rsidRPr="000200B1">
        <w:rPr>
          <w:rFonts w:hint="eastAsia"/>
        </w:rPr>
        <w:t>截至停止运作日（</w:t>
      </w:r>
      <w:r w:rsidRPr="000200B1">
        <w:rPr>
          <w:rFonts w:hint="eastAsia"/>
        </w:rPr>
        <w:t>2017</w:t>
      </w:r>
      <w:r w:rsidRPr="000200B1">
        <w:rPr>
          <w:rFonts w:hint="eastAsia"/>
        </w:rPr>
        <w:t>年</w:t>
      </w:r>
      <w:r w:rsidRPr="000200B1">
        <w:rPr>
          <w:rFonts w:hint="eastAsia"/>
        </w:rPr>
        <w:t>4</w:t>
      </w:r>
      <w:r w:rsidRPr="000200B1">
        <w:rPr>
          <w:rFonts w:hint="eastAsia"/>
        </w:rPr>
        <w:t>月</w:t>
      </w:r>
      <w:r w:rsidRPr="000200B1">
        <w:rPr>
          <w:rFonts w:hint="eastAsia"/>
        </w:rPr>
        <w:t>25</w:t>
      </w:r>
      <w:r w:rsidRPr="000200B1">
        <w:rPr>
          <w:rFonts w:hint="eastAsia"/>
        </w:rPr>
        <w:t>日）止，经基金管理人以及基金托管人确认，本基金托管账户银行存款余额共人民币</w:t>
      </w:r>
      <w:r w:rsidR="000200B1" w:rsidRPr="000200B1">
        <w:t>21,223,671.86</w:t>
      </w:r>
      <w:r w:rsidRPr="000200B1">
        <w:rPr>
          <w:rFonts w:hint="eastAsia"/>
        </w:rPr>
        <w:t>元，备付金</w:t>
      </w:r>
      <w:r w:rsidR="000200B1" w:rsidRPr="000200B1">
        <w:t>33,047.52</w:t>
      </w:r>
      <w:r w:rsidRPr="000200B1">
        <w:rPr>
          <w:rFonts w:hint="eastAsia"/>
        </w:rPr>
        <w:t>元，保证金</w:t>
      </w:r>
      <w:r w:rsidR="000200B1" w:rsidRPr="000200B1">
        <w:t>45,646.86</w:t>
      </w:r>
      <w:r w:rsidRPr="000200B1">
        <w:rPr>
          <w:rFonts w:hint="eastAsia"/>
        </w:rPr>
        <w:t>应收利息</w:t>
      </w:r>
      <w:r w:rsidR="000200B1" w:rsidRPr="000200B1">
        <w:t>171,861.98</w:t>
      </w:r>
      <w:r w:rsidRPr="000200B1">
        <w:rPr>
          <w:rFonts w:hint="eastAsia"/>
        </w:rPr>
        <w:t>元，管理费、托管费、销售服务费、交易费用、预提费用（上清中债账户维护费、信息披露费用、审计费用）等负债</w:t>
      </w:r>
      <w:r w:rsidR="000200B1" w:rsidRPr="000200B1">
        <w:t>784,805.83</w:t>
      </w:r>
      <w:r w:rsidRPr="000200B1">
        <w:rPr>
          <w:rFonts w:hint="eastAsia"/>
        </w:rPr>
        <w:t>元，基金净资产</w:t>
      </w:r>
      <w:r w:rsidR="000200B1" w:rsidRPr="000200B1">
        <w:t>20,689,422.39</w:t>
      </w:r>
      <w:r w:rsidRPr="000200B1">
        <w:rPr>
          <w:rFonts w:hint="eastAsia"/>
        </w:rPr>
        <w:t>元。其中备付金</w:t>
      </w:r>
      <w:r w:rsidR="000200B1" w:rsidRPr="000200B1">
        <w:t>33,047.52</w:t>
      </w:r>
      <w:r w:rsidRPr="000200B1">
        <w:rPr>
          <w:rFonts w:hint="eastAsia"/>
        </w:rPr>
        <w:t>元，保证金</w:t>
      </w:r>
      <w:r w:rsidR="000200B1" w:rsidRPr="000200B1">
        <w:t>45,646.86</w:t>
      </w:r>
      <w:r w:rsidRPr="000200B1">
        <w:rPr>
          <w:rFonts w:hint="eastAsia"/>
        </w:rPr>
        <w:t>于</w:t>
      </w:r>
      <w:r w:rsidRPr="000200B1">
        <w:rPr>
          <w:rFonts w:hint="eastAsia"/>
        </w:rPr>
        <w:t>201</w:t>
      </w:r>
      <w:r w:rsidR="000200B1" w:rsidRPr="000200B1">
        <w:t>7</w:t>
      </w:r>
      <w:r w:rsidRPr="000200B1">
        <w:rPr>
          <w:rFonts w:hint="eastAsia"/>
        </w:rPr>
        <w:t>年</w:t>
      </w:r>
      <w:r w:rsidR="000200B1" w:rsidRPr="000200B1">
        <w:t>5</w:t>
      </w:r>
      <w:r w:rsidRPr="000200B1">
        <w:rPr>
          <w:rFonts w:hint="eastAsia"/>
        </w:rPr>
        <w:t>月份变现；应收利息将于</w:t>
      </w:r>
      <w:r w:rsidR="000200B1" w:rsidRPr="000200B1">
        <w:t>6</w:t>
      </w:r>
      <w:r w:rsidRPr="000200B1">
        <w:rPr>
          <w:rFonts w:hint="eastAsia"/>
        </w:rPr>
        <w:t>月末结息变现，此后新产生的利息将在销户结息时变现。</w:t>
      </w:r>
    </w:p>
    <w:p w:rsidR="00AD5F84" w:rsidRDefault="00AD5F84"/>
    <w:p w:rsidR="00AD5F84" w:rsidRDefault="00321F49">
      <w:pPr>
        <w:ind w:firstLine="420"/>
      </w:pPr>
      <w:r w:rsidRPr="00321F49">
        <w:rPr>
          <w:rFonts w:hint="eastAsia"/>
        </w:rPr>
        <w:t>考虑到本基金清算的实际情况，在清算期间产生的银行间账户维护费、律师事务所律师费等其他清算费用，均由基金管理人承担，具体金额以缴费通知为准。</w:t>
      </w:r>
    </w:p>
    <w:p w:rsidR="00AD5F84" w:rsidRDefault="00AD5F84">
      <w:pPr>
        <w:ind w:firstLine="420"/>
      </w:pPr>
    </w:p>
    <w:p w:rsidR="00AD5F84" w:rsidRDefault="001F08C4">
      <w:r>
        <w:rPr>
          <w:rFonts w:hint="eastAsia"/>
        </w:rPr>
        <w:t>本基金的银行存款应收利息均为预计金额，可能与实际发生或支付金额存在差异，支付时以银行实际结算金额为准。清算过程中各项利息及费用与实际结算金额的尾差由管理人承担。</w:t>
      </w:r>
    </w:p>
    <w:p w:rsidR="00AD5F84" w:rsidRDefault="00AD5F84"/>
    <w:p w:rsidR="00AD5F84" w:rsidRDefault="001F08C4">
      <w:r>
        <w:rPr>
          <w:rFonts w:hint="eastAsia"/>
        </w:rPr>
        <w:t>若本基金后续清算，出现账面剩余资产不足以支付相关负债的，基金管理人有义务于收到基金托管人通知后当日内将款项补足。</w:t>
      </w:r>
    </w:p>
    <w:p w:rsidR="00AD5F84" w:rsidRDefault="00AD5F84"/>
    <w:p w:rsidR="00AD5F84" w:rsidRDefault="001F08C4">
      <w:r>
        <w:rPr>
          <w:rFonts w:hint="eastAsia"/>
        </w:rPr>
        <w:t>4</w:t>
      </w:r>
      <w:r>
        <w:rPr>
          <w:rFonts w:hint="eastAsia"/>
        </w:rPr>
        <w:t>、基金财产清算报告的告知安排</w:t>
      </w:r>
    </w:p>
    <w:p w:rsidR="00AD5F84" w:rsidRDefault="00AD5F84"/>
    <w:p w:rsidR="00AD5F84" w:rsidRDefault="001F08C4">
      <w:r>
        <w:rPr>
          <w:rFonts w:hint="eastAsia"/>
        </w:rPr>
        <w:t>本清算报告已经基金托管人复核，在经会计师事务所审计、律师事务所出具法律意见书后，报中国证监会备案并向基金份额持有人公告。</w:t>
      </w:r>
    </w:p>
    <w:p w:rsidR="00AD5F84" w:rsidRDefault="00AD5F84"/>
    <w:p w:rsidR="00AD5F84" w:rsidRDefault="001F08C4">
      <w:pPr>
        <w:pStyle w:val="1"/>
        <w:spacing w:before="0" w:after="0"/>
        <w:jc w:val="center"/>
        <w:rPr>
          <w:rFonts w:ascii="Times New Roman"/>
          <w:color w:val="auto"/>
          <w:sz w:val="30"/>
        </w:rPr>
      </w:pPr>
      <w:r>
        <w:rPr>
          <w:rFonts w:ascii="Times New Roman" w:hint="eastAsia"/>
          <w:color w:val="auto"/>
          <w:sz w:val="30"/>
        </w:rPr>
        <w:t>六、备查文件</w:t>
      </w:r>
    </w:p>
    <w:p w:rsidR="00AD5F84" w:rsidRDefault="00AD5F84">
      <w:pPr>
        <w:pStyle w:val="1"/>
        <w:spacing w:before="0" w:after="0"/>
        <w:jc w:val="center"/>
        <w:rPr>
          <w:rFonts w:ascii="Times New Roman"/>
          <w:color w:val="auto"/>
          <w:sz w:val="30"/>
          <w:highlight w:val="yellow"/>
        </w:rPr>
      </w:pPr>
    </w:p>
    <w:p w:rsidR="00AD5F84" w:rsidRDefault="001F08C4">
      <w:r>
        <w:rPr>
          <w:rFonts w:hint="eastAsia"/>
        </w:rPr>
        <w:t>1</w:t>
      </w:r>
      <w:r>
        <w:rPr>
          <w:rFonts w:hint="eastAsia"/>
        </w:rPr>
        <w:t>、备查文件目录</w:t>
      </w:r>
    </w:p>
    <w:p w:rsidR="00AD5F84" w:rsidRDefault="00AD5F84"/>
    <w:p w:rsidR="00AD5F84" w:rsidRDefault="001F08C4">
      <w:r>
        <w:rPr>
          <w:rFonts w:hint="eastAsia"/>
        </w:rPr>
        <w:t>（</w:t>
      </w:r>
      <w:r>
        <w:rPr>
          <w:rFonts w:hint="eastAsia"/>
        </w:rPr>
        <w:t>1</w:t>
      </w:r>
      <w:r>
        <w:rPr>
          <w:rFonts w:hint="eastAsia"/>
        </w:rPr>
        <w:t>）</w:t>
      </w:r>
      <w:r w:rsidR="00E36CD5" w:rsidRPr="00E36CD5">
        <w:rPr>
          <w:rFonts w:hint="eastAsia"/>
        </w:rPr>
        <w:t>天弘鑫安宝保本混合型证券投资基金</w:t>
      </w:r>
      <w:r w:rsidR="00E36CD5" w:rsidRPr="00E36CD5">
        <w:rPr>
          <w:rFonts w:hint="eastAsia"/>
        </w:rPr>
        <w:t>2017</w:t>
      </w:r>
      <w:r w:rsidR="00E36CD5" w:rsidRPr="00E36CD5">
        <w:rPr>
          <w:rFonts w:hint="eastAsia"/>
        </w:rPr>
        <w:t>年</w:t>
      </w:r>
      <w:r w:rsidR="00E36CD5" w:rsidRPr="00E36CD5">
        <w:rPr>
          <w:rFonts w:hint="eastAsia"/>
        </w:rPr>
        <w:t>4</w:t>
      </w:r>
      <w:r w:rsidR="00E36CD5" w:rsidRPr="00E36CD5">
        <w:rPr>
          <w:rFonts w:hint="eastAsia"/>
        </w:rPr>
        <w:t>月</w:t>
      </w:r>
      <w:r w:rsidR="00E36CD5" w:rsidRPr="00E36CD5">
        <w:rPr>
          <w:rFonts w:hint="eastAsia"/>
        </w:rPr>
        <w:t>24</w:t>
      </w:r>
      <w:r w:rsidR="00E36CD5" w:rsidRPr="00E36CD5">
        <w:rPr>
          <w:rFonts w:hint="eastAsia"/>
        </w:rPr>
        <w:t>日</w:t>
      </w:r>
      <w:r>
        <w:rPr>
          <w:rFonts w:hint="eastAsia"/>
        </w:rPr>
        <w:t>资产负债表及审计报告</w:t>
      </w:r>
    </w:p>
    <w:p w:rsidR="00AD5F84" w:rsidRDefault="00AD5F84"/>
    <w:p w:rsidR="00321F49" w:rsidRDefault="00321F49" w:rsidP="00321F49">
      <w:r>
        <w:rPr>
          <w:rFonts w:hint="eastAsia"/>
        </w:rPr>
        <w:t>（</w:t>
      </w:r>
      <w:r>
        <w:rPr>
          <w:rFonts w:hint="eastAsia"/>
        </w:rPr>
        <w:t>2</w:t>
      </w:r>
      <w:r>
        <w:rPr>
          <w:rFonts w:hint="eastAsia"/>
        </w:rPr>
        <w:t>）通力</w:t>
      </w:r>
      <w:r>
        <w:t>律师事务所关于</w:t>
      </w:r>
      <w:r>
        <w:rPr>
          <w:rFonts w:hint="eastAsia"/>
        </w:rPr>
        <w:t>《</w:t>
      </w:r>
      <w:r w:rsidRPr="00E36CD5">
        <w:rPr>
          <w:rFonts w:hint="eastAsia"/>
        </w:rPr>
        <w:t>天弘鑫安宝保本混合型证券投资基金</w:t>
      </w:r>
      <w:r>
        <w:rPr>
          <w:rFonts w:hint="eastAsia"/>
        </w:rPr>
        <w:t>清算报告》的法律意见</w:t>
      </w:r>
    </w:p>
    <w:p w:rsidR="00AD5F84" w:rsidRPr="00321F49" w:rsidRDefault="00AD5F84">
      <w:pPr>
        <w:rPr>
          <w:rFonts w:ascii="宋体" w:eastAsia="宋体" w:hAnsi="宋体" w:cs="宋体"/>
          <w:sz w:val="24"/>
          <w:szCs w:val="24"/>
        </w:rPr>
      </w:pPr>
    </w:p>
    <w:p w:rsidR="00AD5F84" w:rsidRDefault="001F08C4">
      <w:r>
        <w:rPr>
          <w:rFonts w:hint="eastAsia"/>
        </w:rPr>
        <w:t>2</w:t>
      </w:r>
      <w:r>
        <w:rPr>
          <w:rFonts w:hint="eastAsia"/>
        </w:rPr>
        <w:t>、存放地点</w:t>
      </w:r>
    </w:p>
    <w:p w:rsidR="00AD5F84" w:rsidRDefault="00AD5F84">
      <w:pPr>
        <w:rPr>
          <w:rFonts w:ascii="宋体" w:eastAsia="宋体" w:hAnsi="宋体" w:cs="宋体"/>
          <w:sz w:val="24"/>
          <w:szCs w:val="24"/>
        </w:rPr>
      </w:pPr>
    </w:p>
    <w:p w:rsidR="00AD5F84" w:rsidRDefault="001F08C4">
      <w:r>
        <w:rPr>
          <w:rFonts w:hint="eastAsia"/>
        </w:rPr>
        <w:t>基金管理人的办公场所。</w:t>
      </w:r>
    </w:p>
    <w:p w:rsidR="00AD5F84" w:rsidRDefault="00AD5F84">
      <w:pPr>
        <w:rPr>
          <w:rFonts w:ascii="宋体" w:eastAsia="宋体" w:hAnsi="宋体" w:cs="宋体"/>
          <w:sz w:val="24"/>
          <w:szCs w:val="24"/>
        </w:rPr>
      </w:pPr>
    </w:p>
    <w:p w:rsidR="00AD5F84" w:rsidRDefault="001F08C4">
      <w:r>
        <w:rPr>
          <w:rFonts w:hint="eastAsia"/>
        </w:rPr>
        <w:t>3</w:t>
      </w:r>
      <w:r>
        <w:rPr>
          <w:rFonts w:hint="eastAsia"/>
        </w:rPr>
        <w:t>、查阅方式</w:t>
      </w:r>
    </w:p>
    <w:p w:rsidR="00AD5F84" w:rsidRDefault="00AD5F84">
      <w:pPr>
        <w:rPr>
          <w:rFonts w:ascii="宋体" w:eastAsia="宋体" w:hAnsi="宋体" w:cs="宋体"/>
          <w:sz w:val="24"/>
          <w:szCs w:val="24"/>
        </w:rPr>
      </w:pPr>
    </w:p>
    <w:p w:rsidR="00AD5F84" w:rsidRDefault="001F08C4">
      <w:r>
        <w:rPr>
          <w:rFonts w:hint="eastAsia"/>
        </w:rPr>
        <w:t>投资者可在营业时间内至基金管理人的办公场所免费查阅。</w:t>
      </w:r>
    </w:p>
    <w:p w:rsidR="00AD5F84" w:rsidRDefault="00AD5F84"/>
    <w:p w:rsidR="00AD5F84" w:rsidRDefault="00AD5F84"/>
    <w:p w:rsidR="00AD5F84" w:rsidRDefault="00AD5F84"/>
    <w:p w:rsidR="00AD5F84" w:rsidRDefault="00E36CD5">
      <w:pPr>
        <w:jc w:val="right"/>
        <w:rPr>
          <w:rFonts w:ascii="宋体" w:eastAsia="宋体" w:hAnsi="宋体" w:cs="宋体"/>
          <w:sz w:val="24"/>
          <w:szCs w:val="24"/>
        </w:rPr>
      </w:pPr>
      <w:r w:rsidRPr="00E36CD5">
        <w:rPr>
          <w:rFonts w:ascii="宋体" w:eastAsia="宋体" w:hAnsi="宋体" w:cs="宋体" w:hint="eastAsia"/>
          <w:sz w:val="24"/>
          <w:szCs w:val="24"/>
        </w:rPr>
        <w:t>天弘鑫安宝保本混合型证券投资基金</w:t>
      </w:r>
      <w:r w:rsidR="001F08C4">
        <w:rPr>
          <w:rFonts w:ascii="宋体" w:eastAsia="宋体" w:hAnsi="宋体" w:cs="宋体" w:hint="eastAsia"/>
          <w:sz w:val="24"/>
          <w:szCs w:val="24"/>
        </w:rPr>
        <w:t>财产清算小组</w:t>
      </w:r>
    </w:p>
    <w:p w:rsidR="00AD5F84" w:rsidRDefault="001F08C4">
      <w:pPr>
        <w:jc w:val="right"/>
      </w:pPr>
      <w:r w:rsidRPr="000200B1">
        <w:t>201</w:t>
      </w:r>
      <w:r w:rsidR="000200B1" w:rsidRPr="000200B1">
        <w:t>7</w:t>
      </w:r>
      <w:r w:rsidRPr="000200B1">
        <w:rPr>
          <w:rFonts w:hint="eastAsia"/>
        </w:rPr>
        <w:t>年</w:t>
      </w:r>
      <w:r w:rsidR="000200B1" w:rsidRPr="000200B1">
        <w:t>4</w:t>
      </w:r>
      <w:r w:rsidRPr="000200B1">
        <w:rPr>
          <w:rFonts w:hint="eastAsia"/>
        </w:rPr>
        <w:t>月</w:t>
      </w:r>
      <w:r w:rsidR="000200B1" w:rsidRPr="000200B1">
        <w:t>28</w:t>
      </w:r>
      <w:r w:rsidRPr="000200B1">
        <w:rPr>
          <w:rFonts w:hint="eastAsia"/>
        </w:rPr>
        <w:t>日</w:t>
      </w:r>
    </w:p>
    <w:sectPr w:rsidR="00AD5F84" w:rsidSect="007E36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949" w:rsidRDefault="00F14949" w:rsidP="004318E3">
      <w:r>
        <w:separator/>
      </w:r>
    </w:p>
  </w:endnote>
  <w:endnote w:type="continuationSeparator" w:id="1">
    <w:p w:rsidR="00F14949" w:rsidRDefault="00F14949" w:rsidP="004318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949" w:rsidRDefault="00F14949" w:rsidP="004318E3">
      <w:r>
        <w:separator/>
      </w:r>
    </w:p>
  </w:footnote>
  <w:footnote w:type="continuationSeparator" w:id="1">
    <w:p w:rsidR="00F14949" w:rsidRDefault="00F14949" w:rsidP="004318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E7B8B"/>
    <w:multiLevelType w:val="singleLevel"/>
    <w:tmpl w:val="583E7B8B"/>
    <w:lvl w:ilvl="0">
      <w:start w:val="7"/>
      <w:numFmt w:val="decimal"/>
      <w:suff w:val="nothing"/>
      <w:lvlText w:val="%1、"/>
      <w:lvlJc w:val="left"/>
    </w:lvl>
  </w:abstractNum>
  <w:abstractNum w:abstractNumId="1">
    <w:nsid w:val="583E7BA0"/>
    <w:multiLevelType w:val="singleLevel"/>
    <w:tmpl w:val="583E7BA0"/>
    <w:lvl w:ilvl="0">
      <w:start w:val="3"/>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5B5A9E"/>
    <w:rsid w:val="000043E9"/>
    <w:rsid w:val="0001462A"/>
    <w:rsid w:val="000200B1"/>
    <w:rsid w:val="00035522"/>
    <w:rsid w:val="00040C52"/>
    <w:rsid w:val="0004410C"/>
    <w:rsid w:val="00076B79"/>
    <w:rsid w:val="00090987"/>
    <w:rsid w:val="00092612"/>
    <w:rsid w:val="000B4AA2"/>
    <w:rsid w:val="000C4F4D"/>
    <w:rsid w:val="000F4C35"/>
    <w:rsid w:val="00113FB2"/>
    <w:rsid w:val="001754A3"/>
    <w:rsid w:val="001C3527"/>
    <w:rsid w:val="001F08C4"/>
    <w:rsid w:val="002122DA"/>
    <w:rsid w:val="00212510"/>
    <w:rsid w:val="002175F9"/>
    <w:rsid w:val="0022786B"/>
    <w:rsid w:val="002520B4"/>
    <w:rsid w:val="00260ED5"/>
    <w:rsid w:val="00282937"/>
    <w:rsid w:val="002E6264"/>
    <w:rsid w:val="002F2EA2"/>
    <w:rsid w:val="00305DD6"/>
    <w:rsid w:val="0030614D"/>
    <w:rsid w:val="00311067"/>
    <w:rsid w:val="00315D66"/>
    <w:rsid w:val="00321F49"/>
    <w:rsid w:val="003228F0"/>
    <w:rsid w:val="003412F5"/>
    <w:rsid w:val="00355CC3"/>
    <w:rsid w:val="00366EEB"/>
    <w:rsid w:val="003740FE"/>
    <w:rsid w:val="00376167"/>
    <w:rsid w:val="00394764"/>
    <w:rsid w:val="003A11DE"/>
    <w:rsid w:val="003B072B"/>
    <w:rsid w:val="003C2299"/>
    <w:rsid w:val="003E27B2"/>
    <w:rsid w:val="003E4BA8"/>
    <w:rsid w:val="003E69C8"/>
    <w:rsid w:val="003F0E5D"/>
    <w:rsid w:val="004208A1"/>
    <w:rsid w:val="004318E3"/>
    <w:rsid w:val="004404F5"/>
    <w:rsid w:val="004425CE"/>
    <w:rsid w:val="00445D3A"/>
    <w:rsid w:val="00484F10"/>
    <w:rsid w:val="00486CA0"/>
    <w:rsid w:val="004A418C"/>
    <w:rsid w:val="004F282A"/>
    <w:rsid w:val="004F629A"/>
    <w:rsid w:val="0051217C"/>
    <w:rsid w:val="00521CA2"/>
    <w:rsid w:val="005251D0"/>
    <w:rsid w:val="00535B25"/>
    <w:rsid w:val="00545252"/>
    <w:rsid w:val="00547E49"/>
    <w:rsid w:val="005505B9"/>
    <w:rsid w:val="00555ADE"/>
    <w:rsid w:val="005A14B4"/>
    <w:rsid w:val="005B5A9E"/>
    <w:rsid w:val="005C6949"/>
    <w:rsid w:val="005F1966"/>
    <w:rsid w:val="00606FD4"/>
    <w:rsid w:val="00661400"/>
    <w:rsid w:val="00670AE3"/>
    <w:rsid w:val="00671902"/>
    <w:rsid w:val="006904BD"/>
    <w:rsid w:val="006B13F4"/>
    <w:rsid w:val="006C1C12"/>
    <w:rsid w:val="006F48DC"/>
    <w:rsid w:val="0071021A"/>
    <w:rsid w:val="00727E1B"/>
    <w:rsid w:val="00730839"/>
    <w:rsid w:val="00751463"/>
    <w:rsid w:val="00753AFA"/>
    <w:rsid w:val="0077626B"/>
    <w:rsid w:val="00785F00"/>
    <w:rsid w:val="007D78DD"/>
    <w:rsid w:val="007E362B"/>
    <w:rsid w:val="007F4983"/>
    <w:rsid w:val="00803241"/>
    <w:rsid w:val="00827B79"/>
    <w:rsid w:val="00833AC1"/>
    <w:rsid w:val="008502BB"/>
    <w:rsid w:val="00850E51"/>
    <w:rsid w:val="00851B12"/>
    <w:rsid w:val="008549B8"/>
    <w:rsid w:val="00860887"/>
    <w:rsid w:val="0089439B"/>
    <w:rsid w:val="008E21EC"/>
    <w:rsid w:val="008E34C0"/>
    <w:rsid w:val="0091325E"/>
    <w:rsid w:val="00915EE5"/>
    <w:rsid w:val="009679CD"/>
    <w:rsid w:val="009A17DF"/>
    <w:rsid w:val="009C7AAC"/>
    <w:rsid w:val="009D7247"/>
    <w:rsid w:val="009E139B"/>
    <w:rsid w:val="00A02DDF"/>
    <w:rsid w:val="00A0506B"/>
    <w:rsid w:val="00A07547"/>
    <w:rsid w:val="00A135E9"/>
    <w:rsid w:val="00A1427A"/>
    <w:rsid w:val="00A201C7"/>
    <w:rsid w:val="00A217F6"/>
    <w:rsid w:val="00A272ED"/>
    <w:rsid w:val="00A33594"/>
    <w:rsid w:val="00A44855"/>
    <w:rsid w:val="00A473EB"/>
    <w:rsid w:val="00A50F06"/>
    <w:rsid w:val="00A61D4C"/>
    <w:rsid w:val="00A86A5E"/>
    <w:rsid w:val="00AA0236"/>
    <w:rsid w:val="00AB04CA"/>
    <w:rsid w:val="00AB6361"/>
    <w:rsid w:val="00AD5F84"/>
    <w:rsid w:val="00AF325D"/>
    <w:rsid w:val="00AF508D"/>
    <w:rsid w:val="00AF6380"/>
    <w:rsid w:val="00B30F41"/>
    <w:rsid w:val="00B33101"/>
    <w:rsid w:val="00B411FA"/>
    <w:rsid w:val="00B41695"/>
    <w:rsid w:val="00B44CD1"/>
    <w:rsid w:val="00B468EB"/>
    <w:rsid w:val="00B5779D"/>
    <w:rsid w:val="00B83495"/>
    <w:rsid w:val="00BA4FE3"/>
    <w:rsid w:val="00BC09FE"/>
    <w:rsid w:val="00BD5064"/>
    <w:rsid w:val="00C04A0B"/>
    <w:rsid w:val="00C241A7"/>
    <w:rsid w:val="00C6540E"/>
    <w:rsid w:val="00C65F26"/>
    <w:rsid w:val="00C7022C"/>
    <w:rsid w:val="00C7266C"/>
    <w:rsid w:val="00C8002D"/>
    <w:rsid w:val="00C967F9"/>
    <w:rsid w:val="00CA1445"/>
    <w:rsid w:val="00CB6F2B"/>
    <w:rsid w:val="00CC7FE4"/>
    <w:rsid w:val="00CD47C5"/>
    <w:rsid w:val="00D1598F"/>
    <w:rsid w:val="00D20E51"/>
    <w:rsid w:val="00D46449"/>
    <w:rsid w:val="00D61C0C"/>
    <w:rsid w:val="00DB1D05"/>
    <w:rsid w:val="00DC0EB8"/>
    <w:rsid w:val="00DC3C57"/>
    <w:rsid w:val="00DC68B1"/>
    <w:rsid w:val="00DC7F8D"/>
    <w:rsid w:val="00E36CD5"/>
    <w:rsid w:val="00E37015"/>
    <w:rsid w:val="00E54D8F"/>
    <w:rsid w:val="00EB71E5"/>
    <w:rsid w:val="00F14949"/>
    <w:rsid w:val="00F237C7"/>
    <w:rsid w:val="00F4034B"/>
    <w:rsid w:val="00F46FF6"/>
    <w:rsid w:val="00F53C27"/>
    <w:rsid w:val="00F57506"/>
    <w:rsid w:val="00F74C8A"/>
    <w:rsid w:val="00F76EC3"/>
    <w:rsid w:val="00F97913"/>
    <w:rsid w:val="00FA58D8"/>
    <w:rsid w:val="00FC4282"/>
    <w:rsid w:val="00FC68F8"/>
    <w:rsid w:val="07C37A87"/>
    <w:rsid w:val="09F86AD0"/>
    <w:rsid w:val="121C3415"/>
    <w:rsid w:val="15D67C95"/>
    <w:rsid w:val="19DA466C"/>
    <w:rsid w:val="202530AB"/>
    <w:rsid w:val="209A1770"/>
    <w:rsid w:val="22DB5B2F"/>
    <w:rsid w:val="258D2A41"/>
    <w:rsid w:val="26F56D05"/>
    <w:rsid w:val="28A42D4F"/>
    <w:rsid w:val="314303E4"/>
    <w:rsid w:val="3BFA1B6F"/>
    <w:rsid w:val="48F30BD7"/>
    <w:rsid w:val="4C435667"/>
    <w:rsid w:val="4EBC1F2A"/>
    <w:rsid w:val="60D27471"/>
    <w:rsid w:val="63F8584A"/>
    <w:rsid w:val="650A7195"/>
    <w:rsid w:val="65153D8D"/>
    <w:rsid w:val="6E87396E"/>
    <w:rsid w:val="6F0859BF"/>
    <w:rsid w:val="70D00E2F"/>
    <w:rsid w:val="733D16EC"/>
    <w:rsid w:val="73555085"/>
    <w:rsid w:val="7B1A40B2"/>
    <w:rsid w:val="7B676B6B"/>
    <w:rsid w:val="7B7553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62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7E362B"/>
    <w:pPr>
      <w:keepNext/>
      <w:keepLines/>
      <w:spacing w:before="120" w:after="120" w:line="360" w:lineRule="auto"/>
      <w:outlineLvl w:val="0"/>
    </w:pPr>
    <w:rPr>
      <w:rFonts w:ascii="宋体" w:eastAsia="宋体" w:hAnsi="Times New Roman" w:cs="Times New Roman"/>
      <w:b/>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7E362B"/>
    <w:rPr>
      <w:b/>
      <w:bCs/>
    </w:rPr>
  </w:style>
  <w:style w:type="paragraph" w:styleId="a4">
    <w:name w:val="annotation text"/>
    <w:basedOn w:val="a"/>
    <w:link w:val="Char0"/>
    <w:uiPriority w:val="99"/>
    <w:unhideWhenUsed/>
    <w:qFormat/>
    <w:rsid w:val="007E362B"/>
    <w:pPr>
      <w:jc w:val="left"/>
    </w:pPr>
  </w:style>
  <w:style w:type="paragraph" w:styleId="a5">
    <w:name w:val="Balloon Text"/>
    <w:basedOn w:val="a"/>
    <w:link w:val="Char1"/>
    <w:uiPriority w:val="99"/>
    <w:unhideWhenUsed/>
    <w:qFormat/>
    <w:rsid w:val="007E362B"/>
    <w:rPr>
      <w:sz w:val="18"/>
      <w:szCs w:val="18"/>
    </w:rPr>
  </w:style>
  <w:style w:type="paragraph" w:styleId="a6">
    <w:name w:val="footer"/>
    <w:basedOn w:val="a"/>
    <w:link w:val="Char2"/>
    <w:uiPriority w:val="99"/>
    <w:unhideWhenUsed/>
    <w:qFormat/>
    <w:rsid w:val="007E362B"/>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7E362B"/>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7E362B"/>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unhideWhenUsed/>
    <w:qFormat/>
    <w:rsid w:val="007E362B"/>
    <w:rPr>
      <w:sz w:val="21"/>
      <w:szCs w:val="21"/>
    </w:rPr>
  </w:style>
  <w:style w:type="character" w:customStyle="1" w:styleId="Char3">
    <w:name w:val="页眉 Char"/>
    <w:basedOn w:val="a0"/>
    <w:link w:val="a7"/>
    <w:uiPriority w:val="99"/>
    <w:qFormat/>
    <w:rsid w:val="007E362B"/>
    <w:rPr>
      <w:sz w:val="18"/>
      <w:szCs w:val="18"/>
    </w:rPr>
  </w:style>
  <w:style w:type="character" w:customStyle="1" w:styleId="Char2">
    <w:name w:val="页脚 Char"/>
    <w:basedOn w:val="a0"/>
    <w:link w:val="a6"/>
    <w:uiPriority w:val="99"/>
    <w:qFormat/>
    <w:rsid w:val="007E362B"/>
    <w:rPr>
      <w:sz w:val="18"/>
      <w:szCs w:val="18"/>
    </w:rPr>
  </w:style>
  <w:style w:type="character" w:customStyle="1" w:styleId="1Char">
    <w:name w:val="标题 1 Char"/>
    <w:basedOn w:val="a0"/>
    <w:link w:val="1"/>
    <w:qFormat/>
    <w:rsid w:val="007E362B"/>
    <w:rPr>
      <w:rFonts w:ascii="宋体" w:eastAsia="宋体" w:hAnsi="Times New Roman" w:cs="Times New Roman"/>
      <w:b/>
      <w:color w:val="000000"/>
      <w:kern w:val="0"/>
      <w:sz w:val="24"/>
      <w:szCs w:val="20"/>
    </w:rPr>
  </w:style>
  <w:style w:type="character" w:customStyle="1" w:styleId="Char0">
    <w:name w:val="批注文字 Char"/>
    <w:basedOn w:val="a0"/>
    <w:link w:val="a4"/>
    <w:uiPriority w:val="99"/>
    <w:semiHidden/>
    <w:qFormat/>
    <w:rsid w:val="007E362B"/>
  </w:style>
  <w:style w:type="character" w:customStyle="1" w:styleId="Char">
    <w:name w:val="批注主题 Char"/>
    <w:basedOn w:val="Char0"/>
    <w:link w:val="a3"/>
    <w:uiPriority w:val="99"/>
    <w:semiHidden/>
    <w:qFormat/>
    <w:rsid w:val="007E362B"/>
    <w:rPr>
      <w:b/>
      <w:bCs/>
    </w:rPr>
  </w:style>
  <w:style w:type="character" w:customStyle="1" w:styleId="Char1">
    <w:name w:val="批注框文本 Char"/>
    <w:basedOn w:val="a0"/>
    <w:link w:val="a5"/>
    <w:uiPriority w:val="99"/>
    <w:semiHidden/>
    <w:qFormat/>
    <w:rsid w:val="007E362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E644915-07EB-46FD-95B9-EDDF12691C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3848</Characters>
  <Application>Microsoft Office Word</Application>
  <DocSecurity>4</DocSecurity>
  <Lines>32</Lines>
  <Paragraphs>9</Paragraphs>
  <ScaleCrop>false</ScaleCrop>
  <Company>Sky123.Org</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shenyd</dc:creator>
  <cp:lastModifiedBy>ZHONGM</cp:lastModifiedBy>
  <cp:revision>2</cp:revision>
  <dcterms:created xsi:type="dcterms:W3CDTF">2017-06-22T14:36:00Z</dcterms:created>
  <dcterms:modified xsi:type="dcterms:W3CDTF">2017-06-22T14:36:00Z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