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C60C33" w:rsidRDefault="000C1E17" w:rsidP="00C60C33">
      <w:pPr>
        <w:spacing w:line="360" w:lineRule="auto"/>
        <w:jc w:val="center"/>
        <w:rPr>
          <w:rFonts w:ascii="宋体"/>
          <w:b/>
          <w:sz w:val="36"/>
          <w:szCs w:val="36"/>
        </w:rPr>
      </w:pPr>
    </w:p>
    <w:p w:rsidR="006D4252" w:rsidRPr="00C60C33" w:rsidRDefault="006D4252" w:rsidP="00C60C33">
      <w:pPr>
        <w:spacing w:line="360" w:lineRule="auto"/>
        <w:jc w:val="center"/>
        <w:rPr>
          <w:rFonts w:ascii="宋体"/>
          <w:b/>
          <w:sz w:val="36"/>
          <w:szCs w:val="36"/>
        </w:rPr>
      </w:pPr>
      <w:bookmarkStart w:id="0" w:name="_Toc361324840"/>
      <w:r w:rsidRPr="00C60C33">
        <w:rPr>
          <w:rFonts w:ascii="宋体"/>
          <w:b/>
          <w:sz w:val="36"/>
          <w:szCs w:val="36"/>
        </w:rPr>
        <w:t>易方达科瑞灵活配置混合型证券投资基金</w:t>
      </w:r>
      <w:bookmarkEnd w:id="0"/>
    </w:p>
    <w:p w:rsidR="006D4252" w:rsidRDefault="006D4252" w:rsidP="00C60C33">
      <w:pPr>
        <w:spacing w:line="360" w:lineRule="auto"/>
        <w:jc w:val="center"/>
        <w:rPr>
          <w:rFonts w:ascii="宋体"/>
          <w:b/>
          <w:sz w:val="36"/>
          <w:szCs w:val="36"/>
        </w:rPr>
      </w:pPr>
      <w:r w:rsidRPr="00C60C33">
        <w:rPr>
          <w:rFonts w:ascii="宋体" w:hint="eastAsia"/>
          <w:b/>
          <w:sz w:val="36"/>
          <w:szCs w:val="36"/>
        </w:rPr>
        <w:t>(</w:t>
      </w:r>
      <w:r w:rsidR="00AE4DEC">
        <w:rPr>
          <w:rFonts w:ascii="宋体" w:hint="eastAsia"/>
          <w:b/>
          <w:sz w:val="36"/>
          <w:szCs w:val="36"/>
        </w:rPr>
        <w:t>原</w:t>
      </w:r>
      <w:r w:rsidRPr="00C60C33">
        <w:rPr>
          <w:rFonts w:ascii="宋体"/>
          <w:b/>
          <w:sz w:val="36"/>
          <w:szCs w:val="36"/>
        </w:rPr>
        <w:t>科瑞证券投资基金</w:t>
      </w:r>
      <w:r w:rsidR="0089176F">
        <w:rPr>
          <w:rFonts w:ascii="宋体" w:hint="eastAsia"/>
          <w:b/>
          <w:sz w:val="36"/>
          <w:szCs w:val="36"/>
        </w:rPr>
        <w:t>转型</w:t>
      </w:r>
      <w:r w:rsidRPr="00C60C33">
        <w:rPr>
          <w:rFonts w:ascii="宋体" w:hint="eastAsia"/>
          <w:b/>
          <w:sz w:val="36"/>
          <w:szCs w:val="36"/>
        </w:rPr>
        <w:t>)</w:t>
      </w:r>
    </w:p>
    <w:p w:rsidR="00AE4DEC" w:rsidRPr="00C60C33" w:rsidRDefault="00AE4DEC" w:rsidP="00C60C33">
      <w:pPr>
        <w:spacing w:line="360" w:lineRule="auto"/>
        <w:jc w:val="center"/>
        <w:rPr>
          <w:rFonts w:ascii="宋体"/>
          <w:b/>
          <w:sz w:val="36"/>
          <w:szCs w:val="36"/>
        </w:rPr>
      </w:pPr>
      <w:r w:rsidRPr="00264E55">
        <w:rPr>
          <w:rFonts w:ascii="宋体" w:hAnsi="宋体"/>
          <w:b/>
          <w:sz w:val="36"/>
          <w:szCs w:val="36"/>
        </w:rPr>
        <w:t>2017年第1季度报告</w:t>
      </w:r>
    </w:p>
    <w:p w:rsidR="004061AC" w:rsidRPr="00C60C33" w:rsidRDefault="00655CD8" w:rsidP="00C60C33">
      <w:pPr>
        <w:spacing w:line="360" w:lineRule="auto"/>
        <w:jc w:val="center"/>
        <w:rPr>
          <w:rFonts w:ascii="宋体"/>
          <w:b/>
          <w:sz w:val="24"/>
          <w:szCs w:val="36"/>
        </w:rPr>
      </w:pPr>
      <w:r w:rsidRPr="00C60C33">
        <w:rPr>
          <w:rFonts w:ascii="宋体"/>
          <w:b/>
          <w:sz w:val="24"/>
          <w:szCs w:val="36"/>
        </w:rPr>
        <w:t>2017年3月31日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303A4A" w:rsidRDefault="004061AC" w:rsidP="00303A4A">
      <w:pPr>
        <w:spacing w:line="360" w:lineRule="auto"/>
        <w:ind w:firstLineChars="900" w:firstLine="2168"/>
        <w:rPr>
          <w:rFonts w:ascii="宋体" w:hAnsi="宋体"/>
          <w:b/>
          <w:color w:val="000000"/>
          <w:sz w:val="24"/>
          <w:szCs w:val="24"/>
        </w:rPr>
      </w:pPr>
    </w:p>
    <w:p w:rsidR="004061AC" w:rsidRPr="002F34D0" w:rsidRDefault="004061AC" w:rsidP="00303A4A">
      <w:pPr>
        <w:spacing w:line="360" w:lineRule="auto"/>
        <w:ind w:firstLineChars="900" w:firstLine="2168"/>
        <w:rPr>
          <w:rFonts w:ascii="宋体" w:hAnsi="宋体"/>
          <w:b/>
          <w:color w:val="000000"/>
          <w:sz w:val="24"/>
          <w:szCs w:val="24"/>
        </w:rPr>
      </w:pPr>
      <w:r w:rsidRPr="002F34D0">
        <w:rPr>
          <w:rFonts w:ascii="宋体" w:hAnsi="宋体" w:hint="eastAsia"/>
          <w:b/>
          <w:color w:val="000000"/>
          <w:sz w:val="24"/>
          <w:szCs w:val="24"/>
        </w:rPr>
        <w:t>基金管理人：</w:t>
      </w:r>
      <w:r w:rsidRPr="002F34D0">
        <w:rPr>
          <w:rFonts w:ascii="宋体" w:hAnsi="宋体"/>
          <w:b/>
          <w:color w:val="000000"/>
          <w:sz w:val="24"/>
          <w:szCs w:val="24"/>
        </w:rPr>
        <w:t>易方达基金管理有限公司</w:t>
      </w:r>
    </w:p>
    <w:p w:rsidR="004061AC" w:rsidRPr="002F34D0" w:rsidRDefault="004061AC" w:rsidP="00303A4A">
      <w:pPr>
        <w:spacing w:line="360" w:lineRule="auto"/>
        <w:ind w:firstLineChars="900" w:firstLine="2168"/>
        <w:rPr>
          <w:rFonts w:ascii="宋体" w:hAnsi="宋体"/>
          <w:b/>
          <w:color w:val="000000"/>
          <w:sz w:val="24"/>
          <w:szCs w:val="24"/>
        </w:rPr>
      </w:pPr>
      <w:r w:rsidRPr="002F34D0">
        <w:rPr>
          <w:rFonts w:ascii="宋体" w:hAnsi="宋体" w:hint="eastAsia"/>
          <w:b/>
          <w:color w:val="000000"/>
          <w:sz w:val="24"/>
          <w:szCs w:val="24"/>
        </w:rPr>
        <w:t>基金托管人：</w:t>
      </w:r>
      <w:r w:rsidRPr="002F34D0">
        <w:rPr>
          <w:rFonts w:ascii="宋体" w:hAnsi="宋体"/>
          <w:b/>
          <w:color w:val="000000"/>
          <w:sz w:val="24"/>
          <w:szCs w:val="24"/>
        </w:rPr>
        <w:t>交通银行股份有限公司</w:t>
      </w:r>
    </w:p>
    <w:p w:rsidR="004061AC" w:rsidRPr="002F34D0" w:rsidRDefault="004061AC" w:rsidP="00303A4A">
      <w:pPr>
        <w:spacing w:line="360" w:lineRule="auto"/>
        <w:ind w:firstLineChars="900" w:firstLine="2168"/>
        <w:rPr>
          <w:rFonts w:ascii="宋体" w:hAnsi="宋体"/>
          <w:b/>
          <w:color w:val="000000"/>
          <w:sz w:val="24"/>
          <w:szCs w:val="24"/>
        </w:rPr>
        <w:sectPr w:rsidR="004061AC" w:rsidRPr="002F34D0" w:rsidSect="00304A12">
          <w:headerReference w:type="default" r:id="rId9"/>
          <w:footerReference w:type="default" r:id="rId10"/>
          <w:pgSz w:w="11926" w:h="15840"/>
          <w:pgMar w:top="1418" w:right="1418" w:bottom="851" w:left="1418" w:header="851" w:footer="992" w:gutter="0"/>
          <w:cols w:space="720"/>
          <w:noEndnote/>
        </w:sectPr>
      </w:pPr>
      <w:r w:rsidRPr="002F34D0">
        <w:rPr>
          <w:rFonts w:ascii="宋体" w:hAnsi="宋体" w:hint="eastAsia"/>
          <w:b/>
          <w:color w:val="000000"/>
          <w:sz w:val="24"/>
          <w:szCs w:val="24"/>
        </w:rPr>
        <w:t>报告送出日期：</w:t>
      </w:r>
      <w:r w:rsidR="00F16E3F" w:rsidRPr="002F34D0">
        <w:rPr>
          <w:rFonts w:ascii="宋体" w:hAnsi="宋体"/>
          <w:b/>
          <w:color w:val="000000"/>
          <w:sz w:val="24"/>
          <w:szCs w:val="24"/>
        </w:rPr>
        <w:t>二〇一七年四月二十一日</w:t>
      </w:r>
    </w:p>
    <w:p w:rsidR="004061AC" w:rsidRPr="002F34D0" w:rsidRDefault="004061AC" w:rsidP="00993314">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2F34D0">
        <w:rPr>
          <w:rFonts w:asciiTheme="minorEastAsia" w:eastAsiaTheme="minorEastAsia" w:hAnsiTheme="minorEastAsia" w:cs="Arial" w:hint="eastAsia"/>
          <w:color w:val="000000"/>
          <w:kern w:val="0"/>
          <w:sz w:val="24"/>
          <w:szCs w:val="24"/>
        </w:rPr>
        <w:lastRenderedPageBreak/>
        <w:t>§</w:t>
      </w:r>
      <w:r w:rsidRPr="002F34D0">
        <w:rPr>
          <w:rFonts w:asciiTheme="minorEastAsia" w:eastAsiaTheme="minorEastAsia" w:hAnsiTheme="minorEastAsia" w:cs="Arial"/>
          <w:color w:val="000000"/>
          <w:kern w:val="0"/>
          <w:sz w:val="24"/>
          <w:szCs w:val="24"/>
        </w:rPr>
        <w:t xml:space="preserve">1  </w:t>
      </w:r>
      <w:r w:rsidRPr="002F34D0">
        <w:rPr>
          <w:rFonts w:asciiTheme="minorEastAsia" w:eastAsiaTheme="minorEastAsia" w:hAnsiTheme="minorEastAsia" w:cs="Arial" w:hint="eastAsia"/>
          <w:color w:val="000000"/>
          <w:kern w:val="0"/>
          <w:sz w:val="24"/>
          <w:szCs w:val="24"/>
        </w:rPr>
        <w:t>重要提示</w:t>
      </w:r>
    </w:p>
    <w:p w:rsidR="0099261D" w:rsidRDefault="001E0F38">
      <w:pPr>
        <w:spacing w:line="360" w:lineRule="auto"/>
        <w:ind w:firstLineChars="200" w:firstLine="480"/>
        <w:rPr>
          <w:rFonts w:hAnsi="宋体"/>
          <w:color w:val="000000"/>
          <w:sz w:val="24"/>
          <w:szCs w:val="24"/>
        </w:rPr>
      </w:pPr>
      <w:r>
        <w:rPr>
          <w:rFonts w:hAnsi="宋体"/>
          <w:color w:val="000000"/>
          <w:sz w:val="24"/>
          <w:szCs w:val="24"/>
        </w:rPr>
        <w:t>基金管理人的董事会及董事保证本报告所载资料不存在虚假记载、误导性陈述或重大遗漏，并对其内容的真实性、准确性和完整性承担个别及连带责任。</w:t>
      </w:r>
      <w:r>
        <w:rPr>
          <w:rFonts w:hAnsi="宋体"/>
          <w:color w:val="000000"/>
          <w:sz w:val="24"/>
          <w:szCs w:val="24"/>
        </w:rPr>
        <w:t xml:space="preserve"> </w:t>
      </w:r>
    </w:p>
    <w:p w:rsidR="0099261D" w:rsidRDefault="001E0F38">
      <w:pPr>
        <w:spacing w:line="360" w:lineRule="auto"/>
        <w:ind w:firstLineChars="200" w:firstLine="480"/>
        <w:rPr>
          <w:rFonts w:hAnsi="宋体"/>
          <w:color w:val="000000"/>
          <w:sz w:val="24"/>
          <w:szCs w:val="24"/>
        </w:rPr>
      </w:pPr>
      <w:r>
        <w:rPr>
          <w:rFonts w:hAnsi="宋体"/>
          <w:color w:val="000000"/>
          <w:sz w:val="24"/>
          <w:szCs w:val="24"/>
        </w:rPr>
        <w:t>基金托管人交通银行股份有限公司根据本基金合同规定，于</w:t>
      </w:r>
      <w:r>
        <w:rPr>
          <w:rFonts w:hAnsi="宋体"/>
          <w:color w:val="000000"/>
          <w:sz w:val="24"/>
          <w:szCs w:val="24"/>
        </w:rPr>
        <w:t>2017</w:t>
      </w:r>
      <w:r>
        <w:rPr>
          <w:rFonts w:hAnsi="宋体"/>
          <w:color w:val="000000"/>
          <w:sz w:val="24"/>
          <w:szCs w:val="24"/>
        </w:rPr>
        <w:t>年</w:t>
      </w:r>
      <w:r>
        <w:rPr>
          <w:rFonts w:hAnsi="宋体"/>
          <w:color w:val="000000"/>
          <w:sz w:val="24"/>
          <w:szCs w:val="24"/>
        </w:rPr>
        <w:t>4</w:t>
      </w:r>
      <w:r>
        <w:rPr>
          <w:rFonts w:hAnsi="宋体"/>
          <w:color w:val="000000"/>
          <w:sz w:val="24"/>
          <w:szCs w:val="24"/>
        </w:rPr>
        <w:t>月</w:t>
      </w:r>
      <w:r>
        <w:rPr>
          <w:rFonts w:hAnsi="宋体"/>
          <w:color w:val="000000"/>
          <w:sz w:val="24"/>
          <w:szCs w:val="24"/>
        </w:rPr>
        <w:t>18</w:t>
      </w:r>
      <w:r>
        <w:rPr>
          <w:rFonts w:hAnsi="宋体"/>
          <w:color w:val="000000"/>
          <w:sz w:val="24"/>
          <w:szCs w:val="24"/>
        </w:rPr>
        <w:t>日复核了本报告中的财务指标、净值表现和投资组合报告等内容，保证复核内容不存在虚假记载、误导性陈述或者重大遗漏。</w:t>
      </w:r>
      <w:r>
        <w:rPr>
          <w:rFonts w:hAnsi="宋体"/>
          <w:color w:val="000000"/>
          <w:sz w:val="24"/>
          <w:szCs w:val="24"/>
        </w:rPr>
        <w:t xml:space="preserve"> </w:t>
      </w:r>
    </w:p>
    <w:p w:rsidR="0099261D" w:rsidRDefault="001E0F38">
      <w:pPr>
        <w:spacing w:line="360" w:lineRule="auto"/>
        <w:ind w:firstLineChars="200" w:firstLine="480"/>
        <w:rPr>
          <w:rFonts w:hAnsi="宋体"/>
          <w:color w:val="000000"/>
          <w:sz w:val="24"/>
          <w:szCs w:val="24"/>
        </w:rPr>
      </w:pPr>
      <w:r>
        <w:rPr>
          <w:rFonts w:hAnsi="宋体"/>
          <w:color w:val="000000"/>
          <w:sz w:val="24"/>
          <w:szCs w:val="24"/>
        </w:rPr>
        <w:t>基金管理人承诺以诚实信用、勤勉尽责的原则管理和运用基金资产，但不保证基金一定盈利。</w:t>
      </w:r>
      <w:r>
        <w:rPr>
          <w:rFonts w:hAnsi="宋体"/>
          <w:color w:val="000000"/>
          <w:sz w:val="24"/>
          <w:szCs w:val="24"/>
        </w:rPr>
        <w:t xml:space="preserve"> </w:t>
      </w:r>
    </w:p>
    <w:p w:rsidR="0099261D" w:rsidRDefault="001E0F38">
      <w:pPr>
        <w:spacing w:line="360" w:lineRule="auto"/>
        <w:ind w:firstLineChars="200" w:firstLine="480"/>
        <w:rPr>
          <w:rFonts w:hAnsi="宋体"/>
          <w:color w:val="000000"/>
          <w:sz w:val="24"/>
          <w:szCs w:val="24"/>
        </w:rPr>
      </w:pPr>
      <w:r>
        <w:rPr>
          <w:rFonts w:hAnsi="宋体"/>
          <w:color w:val="000000"/>
          <w:sz w:val="24"/>
          <w:szCs w:val="24"/>
        </w:rPr>
        <w:t>基金的过往业绩并不代表其未来表现。投资有风险，投资者在</w:t>
      </w:r>
      <w:proofErr w:type="gramStart"/>
      <w:r>
        <w:rPr>
          <w:rFonts w:hAnsi="宋体"/>
          <w:color w:val="000000"/>
          <w:sz w:val="24"/>
          <w:szCs w:val="24"/>
        </w:rPr>
        <w:t>作出</w:t>
      </w:r>
      <w:proofErr w:type="gramEnd"/>
      <w:r>
        <w:rPr>
          <w:rFonts w:hAnsi="宋体"/>
          <w:color w:val="000000"/>
          <w:sz w:val="24"/>
          <w:szCs w:val="24"/>
        </w:rPr>
        <w:t>投资决策前应仔细阅读本基金的招募说明书。</w:t>
      </w:r>
      <w:r>
        <w:rPr>
          <w:rFonts w:hAnsi="宋体"/>
          <w:color w:val="000000"/>
          <w:sz w:val="24"/>
          <w:szCs w:val="24"/>
        </w:rPr>
        <w:t xml:space="preserve"> </w:t>
      </w:r>
    </w:p>
    <w:p w:rsidR="0099261D" w:rsidRDefault="001E0F38">
      <w:pPr>
        <w:spacing w:line="360" w:lineRule="auto"/>
        <w:ind w:firstLineChars="200" w:firstLine="480"/>
        <w:rPr>
          <w:rFonts w:hAnsi="宋体"/>
          <w:color w:val="000000"/>
          <w:sz w:val="24"/>
          <w:szCs w:val="24"/>
        </w:rPr>
      </w:pPr>
      <w:r>
        <w:rPr>
          <w:rFonts w:hAnsi="宋体"/>
          <w:color w:val="000000"/>
          <w:sz w:val="24"/>
          <w:szCs w:val="24"/>
        </w:rPr>
        <w:t>本报告中财务资料未经审计。</w:t>
      </w:r>
      <w:r>
        <w:rPr>
          <w:rFonts w:hAnsi="宋体"/>
          <w:color w:val="000000"/>
          <w:sz w:val="24"/>
          <w:szCs w:val="24"/>
        </w:rPr>
        <w:t xml:space="preserve"> </w:t>
      </w:r>
    </w:p>
    <w:p w:rsidR="004061AC" w:rsidRPr="002F34D0" w:rsidRDefault="004061AC" w:rsidP="002F34D0">
      <w:pPr>
        <w:spacing w:line="360" w:lineRule="auto"/>
        <w:ind w:firstLineChars="200" w:firstLine="480"/>
        <w:rPr>
          <w:rFonts w:hAnsi="宋体"/>
          <w:color w:val="000000"/>
          <w:sz w:val="24"/>
          <w:szCs w:val="24"/>
        </w:rPr>
      </w:pPr>
      <w:r w:rsidRPr="002F34D0">
        <w:rPr>
          <w:rFonts w:hAnsi="宋体"/>
          <w:color w:val="000000"/>
          <w:sz w:val="24"/>
          <w:szCs w:val="24"/>
        </w:rPr>
        <w:t>自</w:t>
      </w:r>
      <w:r w:rsidRPr="002F34D0">
        <w:rPr>
          <w:rFonts w:hAnsi="宋体"/>
          <w:color w:val="000000"/>
          <w:sz w:val="24"/>
          <w:szCs w:val="24"/>
        </w:rPr>
        <w:t>2017</w:t>
      </w:r>
      <w:r w:rsidRPr="002F34D0">
        <w:rPr>
          <w:rFonts w:hAnsi="宋体"/>
          <w:color w:val="000000"/>
          <w:sz w:val="24"/>
          <w:szCs w:val="24"/>
        </w:rPr>
        <w:t>年</w:t>
      </w:r>
      <w:r w:rsidRPr="002F34D0">
        <w:rPr>
          <w:rFonts w:hAnsi="宋体"/>
          <w:color w:val="000000"/>
          <w:sz w:val="24"/>
          <w:szCs w:val="24"/>
        </w:rPr>
        <w:t>1</w:t>
      </w:r>
      <w:r w:rsidRPr="002F34D0">
        <w:rPr>
          <w:rFonts w:hAnsi="宋体"/>
          <w:color w:val="000000"/>
          <w:sz w:val="24"/>
          <w:szCs w:val="24"/>
        </w:rPr>
        <w:t>月</w:t>
      </w:r>
      <w:r w:rsidRPr="002F34D0">
        <w:rPr>
          <w:rFonts w:hAnsi="宋体"/>
          <w:color w:val="000000"/>
          <w:sz w:val="24"/>
          <w:szCs w:val="24"/>
        </w:rPr>
        <w:t>3</w:t>
      </w:r>
      <w:r w:rsidRPr="002F34D0">
        <w:rPr>
          <w:rFonts w:hAnsi="宋体"/>
          <w:color w:val="000000"/>
          <w:sz w:val="24"/>
          <w:szCs w:val="24"/>
        </w:rPr>
        <w:t>日科瑞证券投资基金终止上市日起，原科瑞证券投资基金转型为易方达科瑞</w:t>
      </w:r>
      <w:r w:rsidR="00A90892" w:rsidRPr="00A90892">
        <w:rPr>
          <w:rFonts w:hAnsi="宋体" w:hint="eastAsia"/>
          <w:color w:val="000000"/>
          <w:sz w:val="24"/>
          <w:szCs w:val="24"/>
        </w:rPr>
        <w:t>灵活配置</w:t>
      </w:r>
      <w:r w:rsidRPr="002F34D0">
        <w:rPr>
          <w:rFonts w:hAnsi="宋体"/>
          <w:color w:val="000000"/>
          <w:sz w:val="24"/>
          <w:szCs w:val="24"/>
        </w:rPr>
        <w:t>混合型证券投资基金。原科瑞证券投资基金本报告期自</w:t>
      </w:r>
      <w:r w:rsidRPr="002F34D0">
        <w:rPr>
          <w:rFonts w:hAnsi="宋体"/>
          <w:color w:val="000000"/>
          <w:sz w:val="24"/>
          <w:szCs w:val="24"/>
        </w:rPr>
        <w:t>2017</w:t>
      </w:r>
      <w:r w:rsidRPr="002F34D0">
        <w:rPr>
          <w:rFonts w:hAnsi="宋体"/>
          <w:color w:val="000000"/>
          <w:sz w:val="24"/>
          <w:szCs w:val="24"/>
        </w:rPr>
        <w:t>年</w:t>
      </w:r>
      <w:r w:rsidRPr="002F34D0">
        <w:rPr>
          <w:rFonts w:hAnsi="宋体"/>
          <w:color w:val="000000"/>
          <w:sz w:val="24"/>
          <w:szCs w:val="24"/>
        </w:rPr>
        <w:t>1</w:t>
      </w:r>
      <w:r w:rsidRPr="002F34D0">
        <w:rPr>
          <w:rFonts w:hAnsi="宋体"/>
          <w:color w:val="000000"/>
          <w:sz w:val="24"/>
          <w:szCs w:val="24"/>
        </w:rPr>
        <w:t>月</w:t>
      </w:r>
      <w:r w:rsidRPr="002F34D0">
        <w:rPr>
          <w:rFonts w:hAnsi="宋体"/>
          <w:color w:val="000000"/>
          <w:sz w:val="24"/>
          <w:szCs w:val="24"/>
        </w:rPr>
        <w:t>1</w:t>
      </w:r>
      <w:r w:rsidRPr="002F34D0">
        <w:rPr>
          <w:rFonts w:hAnsi="宋体"/>
          <w:color w:val="000000"/>
          <w:sz w:val="24"/>
          <w:szCs w:val="24"/>
        </w:rPr>
        <w:t>日至</w:t>
      </w:r>
      <w:r w:rsidRPr="002F34D0">
        <w:rPr>
          <w:rFonts w:hAnsi="宋体"/>
          <w:color w:val="000000"/>
          <w:sz w:val="24"/>
          <w:szCs w:val="24"/>
        </w:rPr>
        <w:t>2017</w:t>
      </w:r>
      <w:r w:rsidRPr="002F34D0">
        <w:rPr>
          <w:rFonts w:hAnsi="宋体"/>
          <w:color w:val="000000"/>
          <w:sz w:val="24"/>
          <w:szCs w:val="24"/>
        </w:rPr>
        <w:t>年</w:t>
      </w:r>
      <w:r w:rsidRPr="002F34D0">
        <w:rPr>
          <w:rFonts w:hAnsi="宋体"/>
          <w:color w:val="000000"/>
          <w:sz w:val="24"/>
          <w:szCs w:val="24"/>
        </w:rPr>
        <w:t>1</w:t>
      </w:r>
      <w:r w:rsidRPr="002F34D0">
        <w:rPr>
          <w:rFonts w:hAnsi="宋体"/>
          <w:color w:val="000000"/>
          <w:sz w:val="24"/>
          <w:szCs w:val="24"/>
        </w:rPr>
        <w:t>月</w:t>
      </w:r>
      <w:r w:rsidRPr="002F34D0">
        <w:rPr>
          <w:rFonts w:hAnsi="宋体"/>
          <w:color w:val="000000"/>
          <w:sz w:val="24"/>
          <w:szCs w:val="24"/>
        </w:rPr>
        <w:t>2</w:t>
      </w:r>
      <w:r w:rsidRPr="002F34D0">
        <w:rPr>
          <w:rFonts w:hAnsi="宋体"/>
          <w:color w:val="000000"/>
          <w:sz w:val="24"/>
          <w:szCs w:val="24"/>
        </w:rPr>
        <w:t>日止，易方达科瑞</w:t>
      </w:r>
      <w:r w:rsidR="00A90892" w:rsidRPr="00A90892">
        <w:rPr>
          <w:rFonts w:hAnsi="宋体" w:hint="eastAsia"/>
          <w:color w:val="000000"/>
          <w:sz w:val="24"/>
          <w:szCs w:val="24"/>
        </w:rPr>
        <w:t>灵活配置</w:t>
      </w:r>
      <w:r w:rsidRPr="002F34D0">
        <w:rPr>
          <w:rFonts w:hAnsi="宋体"/>
          <w:color w:val="000000"/>
          <w:sz w:val="24"/>
          <w:szCs w:val="24"/>
        </w:rPr>
        <w:t>混合型证券投资基金本报告期自</w:t>
      </w:r>
      <w:r w:rsidRPr="002F34D0">
        <w:rPr>
          <w:rFonts w:hAnsi="宋体"/>
          <w:color w:val="000000"/>
          <w:sz w:val="24"/>
          <w:szCs w:val="24"/>
        </w:rPr>
        <w:t>2017</w:t>
      </w:r>
      <w:r w:rsidRPr="002F34D0">
        <w:rPr>
          <w:rFonts w:hAnsi="宋体"/>
          <w:color w:val="000000"/>
          <w:sz w:val="24"/>
          <w:szCs w:val="24"/>
        </w:rPr>
        <w:t>年</w:t>
      </w:r>
      <w:r w:rsidRPr="002F34D0">
        <w:rPr>
          <w:rFonts w:hAnsi="宋体"/>
          <w:color w:val="000000"/>
          <w:sz w:val="24"/>
          <w:szCs w:val="24"/>
        </w:rPr>
        <w:t>1</w:t>
      </w:r>
      <w:r w:rsidRPr="002F34D0">
        <w:rPr>
          <w:rFonts w:hAnsi="宋体"/>
          <w:color w:val="000000"/>
          <w:sz w:val="24"/>
          <w:szCs w:val="24"/>
        </w:rPr>
        <w:t>月</w:t>
      </w:r>
      <w:r w:rsidRPr="002F34D0">
        <w:rPr>
          <w:rFonts w:hAnsi="宋体"/>
          <w:color w:val="000000"/>
          <w:sz w:val="24"/>
          <w:szCs w:val="24"/>
        </w:rPr>
        <w:t>3</w:t>
      </w:r>
      <w:r w:rsidRPr="002F34D0">
        <w:rPr>
          <w:rFonts w:hAnsi="宋体"/>
          <w:color w:val="000000"/>
          <w:sz w:val="24"/>
          <w:szCs w:val="24"/>
        </w:rPr>
        <w:t>日至</w:t>
      </w:r>
      <w:r w:rsidRPr="002F34D0">
        <w:rPr>
          <w:rFonts w:hAnsi="宋体"/>
          <w:color w:val="000000"/>
          <w:sz w:val="24"/>
          <w:szCs w:val="24"/>
        </w:rPr>
        <w:t>2017</w:t>
      </w:r>
      <w:r w:rsidRPr="002F34D0">
        <w:rPr>
          <w:rFonts w:hAnsi="宋体"/>
          <w:color w:val="000000"/>
          <w:sz w:val="24"/>
          <w:szCs w:val="24"/>
        </w:rPr>
        <w:t>年</w:t>
      </w:r>
      <w:r w:rsidRPr="002F34D0">
        <w:rPr>
          <w:rFonts w:hAnsi="宋体"/>
          <w:color w:val="000000"/>
          <w:sz w:val="24"/>
          <w:szCs w:val="24"/>
        </w:rPr>
        <w:t>3</w:t>
      </w:r>
      <w:r w:rsidRPr="002F34D0">
        <w:rPr>
          <w:rFonts w:hAnsi="宋体"/>
          <w:color w:val="000000"/>
          <w:sz w:val="24"/>
          <w:szCs w:val="24"/>
        </w:rPr>
        <w:t>月</w:t>
      </w:r>
      <w:r w:rsidRPr="002F34D0">
        <w:rPr>
          <w:rFonts w:hAnsi="宋体"/>
          <w:color w:val="000000"/>
          <w:sz w:val="24"/>
          <w:szCs w:val="24"/>
        </w:rPr>
        <w:t>31</w:t>
      </w:r>
      <w:r w:rsidRPr="002F34D0">
        <w:rPr>
          <w:rFonts w:hAnsi="宋体"/>
          <w:color w:val="000000"/>
          <w:sz w:val="24"/>
          <w:szCs w:val="24"/>
        </w:rPr>
        <w:t>日止。</w:t>
      </w:r>
    </w:p>
    <w:p w:rsidR="004061AC" w:rsidRDefault="004061AC" w:rsidP="00993314">
      <w:pPr>
        <w:pStyle w:val="1"/>
        <w:spacing w:beforeLines="100" w:afterLines="100" w:line="360" w:lineRule="auto"/>
        <w:jc w:val="center"/>
        <w:rPr>
          <w:rFonts w:cs="Arial"/>
          <w:b w:val="0"/>
          <w:color w:val="000000"/>
          <w:kern w:val="0"/>
          <w:sz w:val="24"/>
          <w:szCs w:val="24"/>
        </w:rPr>
      </w:pPr>
      <w:r w:rsidRPr="00412748">
        <w:rPr>
          <w:rFonts w:cs="Arial" w:hint="eastAsia"/>
          <w:color w:val="000000"/>
          <w:kern w:val="0"/>
          <w:sz w:val="24"/>
          <w:szCs w:val="24"/>
        </w:rPr>
        <w:t>§</w:t>
      </w:r>
      <w:r w:rsidRPr="00412748">
        <w:rPr>
          <w:rFonts w:cs="Arial"/>
          <w:color w:val="000000"/>
          <w:kern w:val="0"/>
          <w:sz w:val="24"/>
          <w:szCs w:val="24"/>
        </w:rPr>
        <w:t xml:space="preserve">2  </w:t>
      </w:r>
      <w:r w:rsidRPr="00412748">
        <w:rPr>
          <w:rFonts w:cs="Arial" w:hint="eastAsia"/>
          <w:color w:val="000000"/>
          <w:kern w:val="0"/>
          <w:sz w:val="24"/>
          <w:szCs w:val="24"/>
        </w:rPr>
        <w:t>基金产品概况</w:t>
      </w:r>
    </w:p>
    <w:p w:rsidR="006D4252" w:rsidRPr="00804256" w:rsidRDefault="006D4252" w:rsidP="002F34D0">
      <w:pPr>
        <w:pStyle w:val="a0"/>
        <w:spacing w:line="360" w:lineRule="auto"/>
        <w:ind w:firstLineChars="0" w:firstLine="0"/>
        <w:outlineLvl w:val="1"/>
        <w:rPr>
          <w:b/>
        </w:rPr>
      </w:pPr>
      <w:r w:rsidRPr="00804256">
        <w:rPr>
          <w:rFonts w:hint="eastAsia"/>
          <w:b/>
        </w:rPr>
        <w:t xml:space="preserve">2.1 </w:t>
      </w:r>
      <w:r w:rsidRPr="00804256">
        <w:rPr>
          <w:b/>
        </w:rPr>
        <w:t>易方达科瑞灵活配置混合型证券投资基金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基金简称</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易方达科瑞混合</w:t>
            </w:r>
          </w:p>
        </w:tc>
      </w:tr>
      <w:tr w:rsidR="001539D3" w:rsidRPr="002F34D0"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003293</w:t>
            </w:r>
          </w:p>
        </w:tc>
      </w:tr>
      <w:tr w:rsidR="001539D3" w:rsidRPr="002F34D0" w:rsidTr="00AB3C3F">
        <w:tc>
          <w:tcPr>
            <w:tcW w:w="2835" w:type="dxa"/>
            <w:tcBorders>
              <w:top w:val="single" w:sz="4" w:space="0" w:color="auto"/>
              <w:left w:val="single" w:sz="4" w:space="0" w:color="auto"/>
              <w:bottom w:val="single" w:sz="4" w:space="0" w:color="auto"/>
              <w:right w:val="single" w:sz="4" w:space="0" w:color="auto"/>
            </w:tcBorders>
            <w:vAlign w:val="center"/>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539D3" w:rsidRPr="002F34D0" w:rsidRDefault="001539D3" w:rsidP="002F34D0">
            <w:pPr>
              <w:adjustRightInd w:val="0"/>
              <w:spacing w:before="29" w:line="360" w:lineRule="auto"/>
              <w:ind w:left="17"/>
              <w:rPr>
                <w:rFonts w:eastAsiaTheme="minorEastAsia"/>
                <w:color w:val="000000" w:themeColor="text1"/>
                <w:kern w:val="0"/>
                <w:sz w:val="24"/>
                <w:szCs w:val="24"/>
              </w:rPr>
            </w:pPr>
            <w:r w:rsidRPr="002F34D0">
              <w:rPr>
                <w:rFonts w:eastAsiaTheme="minorEastAsia"/>
                <w:color w:val="000000" w:themeColor="text1"/>
                <w:kern w:val="0"/>
                <w:sz w:val="24"/>
                <w:szCs w:val="24"/>
              </w:rPr>
              <w:t>003293</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基金运作方式</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契约型开放式</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基金合同生效日</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2017</w:t>
            </w:r>
            <w:r w:rsidRPr="002F34D0">
              <w:rPr>
                <w:rFonts w:eastAsiaTheme="minorEastAsia"/>
                <w:color w:val="000000" w:themeColor="text1"/>
                <w:kern w:val="0"/>
                <w:sz w:val="24"/>
                <w:szCs w:val="24"/>
              </w:rPr>
              <w:t>年</w:t>
            </w:r>
            <w:r w:rsidRPr="002F34D0">
              <w:rPr>
                <w:rFonts w:eastAsiaTheme="minorEastAsia"/>
                <w:color w:val="000000" w:themeColor="text1"/>
                <w:kern w:val="0"/>
                <w:sz w:val="24"/>
                <w:szCs w:val="24"/>
              </w:rPr>
              <w:t>1</w:t>
            </w:r>
            <w:r w:rsidRPr="002F34D0">
              <w:rPr>
                <w:rFonts w:eastAsiaTheme="minorEastAsia"/>
                <w:color w:val="000000" w:themeColor="text1"/>
                <w:kern w:val="0"/>
                <w:sz w:val="24"/>
                <w:szCs w:val="24"/>
              </w:rPr>
              <w:t>月</w:t>
            </w:r>
            <w:r w:rsidRPr="002F34D0">
              <w:rPr>
                <w:rFonts w:eastAsiaTheme="minorEastAsia"/>
                <w:color w:val="000000" w:themeColor="text1"/>
                <w:kern w:val="0"/>
                <w:sz w:val="24"/>
                <w:szCs w:val="24"/>
              </w:rPr>
              <w:t>3</w:t>
            </w:r>
            <w:r w:rsidRPr="002F34D0">
              <w:rPr>
                <w:rFonts w:eastAsiaTheme="minorEastAsia"/>
                <w:color w:val="000000" w:themeColor="text1"/>
                <w:kern w:val="0"/>
                <w:sz w:val="24"/>
                <w:szCs w:val="24"/>
              </w:rPr>
              <w:t>日</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报告期末基金份额总额</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1,532,383,902.08</w:t>
            </w:r>
            <w:r w:rsidRPr="002F34D0">
              <w:rPr>
                <w:rFonts w:eastAsiaTheme="minorEastAsia"/>
                <w:color w:val="000000" w:themeColor="text1"/>
                <w:kern w:val="0"/>
                <w:sz w:val="24"/>
                <w:szCs w:val="24"/>
              </w:rPr>
              <w:t>份</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投资目标</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本基金在控制风险的前提下，追求超越业绩比较基准的投资回报。</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投资策略</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本基金基于定量与定性相结合的宏观及市场分析，</w:t>
            </w:r>
            <w:r w:rsidRPr="002F34D0">
              <w:rPr>
                <w:rFonts w:eastAsiaTheme="minorEastAsia"/>
                <w:color w:val="000000" w:themeColor="text1"/>
                <w:kern w:val="0"/>
                <w:sz w:val="24"/>
                <w:szCs w:val="24"/>
              </w:rPr>
              <w:lastRenderedPageBreak/>
              <w:t>确定组合中股票、债券等资产类别的配置比例。股票投资方面，本基金将根据对各行业的综合分析，确定并调整行业配置比例。在个股选择方面，本基金将精选具有持续竞争优势且估值具有吸引力的公司进行投资。在债券投资方面，本基金将主要通过类属配置与券种选择两个层次进行投资管理。</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lastRenderedPageBreak/>
              <w:t>业绩比较基准</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沪深</w:t>
            </w:r>
            <w:r w:rsidRPr="002F34D0">
              <w:rPr>
                <w:rFonts w:eastAsiaTheme="minorEastAsia"/>
                <w:color w:val="000000" w:themeColor="text1"/>
                <w:kern w:val="0"/>
                <w:sz w:val="24"/>
                <w:szCs w:val="24"/>
              </w:rPr>
              <w:t>300</w:t>
            </w:r>
            <w:r w:rsidRPr="002F34D0">
              <w:rPr>
                <w:rFonts w:eastAsiaTheme="minorEastAsia"/>
                <w:color w:val="000000" w:themeColor="text1"/>
                <w:kern w:val="0"/>
                <w:sz w:val="24"/>
                <w:szCs w:val="24"/>
              </w:rPr>
              <w:t>指数收益率</w:t>
            </w:r>
            <w:r w:rsidRPr="002F34D0">
              <w:rPr>
                <w:rFonts w:eastAsiaTheme="minorEastAsia"/>
                <w:color w:val="000000" w:themeColor="text1"/>
                <w:kern w:val="0"/>
                <w:sz w:val="24"/>
                <w:szCs w:val="24"/>
              </w:rPr>
              <w:t>×80%+</w:t>
            </w:r>
            <w:proofErr w:type="gramStart"/>
            <w:r w:rsidRPr="002F34D0">
              <w:rPr>
                <w:rFonts w:eastAsiaTheme="minorEastAsia"/>
                <w:color w:val="000000" w:themeColor="text1"/>
                <w:kern w:val="0"/>
                <w:sz w:val="24"/>
                <w:szCs w:val="24"/>
              </w:rPr>
              <w:t>中债新综合</w:t>
            </w:r>
            <w:proofErr w:type="gramEnd"/>
            <w:r w:rsidRPr="002F34D0">
              <w:rPr>
                <w:rFonts w:eastAsiaTheme="minorEastAsia"/>
                <w:color w:val="000000" w:themeColor="text1"/>
                <w:kern w:val="0"/>
                <w:sz w:val="24"/>
                <w:szCs w:val="24"/>
              </w:rPr>
              <w:t>财富指数收益率</w:t>
            </w:r>
            <w:r w:rsidRPr="002F34D0">
              <w:rPr>
                <w:rFonts w:eastAsiaTheme="minorEastAsia"/>
                <w:color w:val="000000" w:themeColor="text1"/>
                <w:kern w:val="0"/>
                <w:sz w:val="24"/>
                <w:szCs w:val="24"/>
              </w:rPr>
              <w:t>×20%</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风险收益特征</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本基金为混合基金，理论上其预期风险与预期收益水平低于股票基金，高于债券基金和货币市场基金。</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基金管理人</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易方达基金管理有限公司</w:t>
            </w:r>
          </w:p>
        </w:tc>
      </w:tr>
      <w:tr w:rsidR="001539D3" w:rsidRPr="002F34D0" w:rsidTr="00AB3C3F">
        <w:tc>
          <w:tcPr>
            <w:tcW w:w="2835"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基金托管人</w:t>
            </w:r>
          </w:p>
        </w:tc>
        <w:tc>
          <w:tcPr>
            <w:tcW w:w="5479" w:type="dxa"/>
            <w:vAlign w:val="center"/>
          </w:tcPr>
          <w:p w:rsidR="001539D3" w:rsidRPr="002F34D0" w:rsidRDefault="001539D3" w:rsidP="002F34D0">
            <w:pPr>
              <w:adjustRightInd w:val="0"/>
              <w:spacing w:before="29" w:line="360" w:lineRule="auto"/>
              <w:ind w:left="17"/>
              <w:rPr>
                <w:rFonts w:eastAsiaTheme="minorEastAsia"/>
                <w:color w:val="000000" w:themeColor="text1"/>
                <w:sz w:val="24"/>
                <w:szCs w:val="24"/>
              </w:rPr>
            </w:pPr>
            <w:r w:rsidRPr="002F34D0">
              <w:rPr>
                <w:rFonts w:eastAsiaTheme="minorEastAsia"/>
                <w:color w:val="000000" w:themeColor="text1"/>
                <w:kern w:val="0"/>
                <w:sz w:val="24"/>
                <w:szCs w:val="24"/>
              </w:rPr>
              <w:t>交通银行股份有限公司</w:t>
            </w:r>
          </w:p>
        </w:tc>
      </w:tr>
    </w:tbl>
    <w:p w:rsidR="00500059" w:rsidRPr="00804256" w:rsidRDefault="00500059" w:rsidP="002F34D0">
      <w:pPr>
        <w:pStyle w:val="a0"/>
        <w:spacing w:line="360" w:lineRule="auto"/>
        <w:ind w:firstLineChars="0" w:firstLine="0"/>
        <w:outlineLvl w:val="1"/>
        <w:rPr>
          <w:b/>
        </w:rPr>
      </w:pPr>
      <w:r w:rsidRPr="00804256">
        <w:rPr>
          <w:rFonts w:hint="eastAsia"/>
          <w:b/>
        </w:rPr>
        <w:t xml:space="preserve">2.2 </w:t>
      </w:r>
      <w:r w:rsidRPr="00804256">
        <w:rPr>
          <w:rFonts w:cs="Arial"/>
          <w:b/>
          <w:color w:val="000000"/>
          <w:kern w:val="0"/>
        </w:rPr>
        <w:t>科瑞证券投资基金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基金简称</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易方达科瑞封闭</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基金主代码</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500056</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交易代码</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kern w:val="0"/>
                <w:sz w:val="24"/>
                <w:szCs w:val="24"/>
              </w:rPr>
            </w:pPr>
            <w:r w:rsidRPr="002F34D0">
              <w:rPr>
                <w:rFonts w:eastAsiaTheme="minorEastAsia"/>
                <w:color w:val="000000" w:themeColor="text1"/>
                <w:kern w:val="0"/>
                <w:sz w:val="24"/>
                <w:szCs w:val="24"/>
              </w:rPr>
              <w:t>500056</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基金运作方式</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契约型封闭式</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基金合同生效日</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2002</w:t>
            </w:r>
            <w:r w:rsidRPr="002F34D0">
              <w:rPr>
                <w:rFonts w:eastAsiaTheme="minorEastAsia"/>
                <w:color w:val="000000" w:themeColor="text1"/>
                <w:kern w:val="0"/>
                <w:sz w:val="24"/>
                <w:szCs w:val="24"/>
              </w:rPr>
              <w:t>年</w:t>
            </w:r>
            <w:r w:rsidRPr="002F34D0">
              <w:rPr>
                <w:rFonts w:eastAsiaTheme="minorEastAsia"/>
                <w:color w:val="000000" w:themeColor="text1"/>
                <w:kern w:val="0"/>
                <w:sz w:val="24"/>
                <w:szCs w:val="24"/>
              </w:rPr>
              <w:t>3</w:t>
            </w:r>
            <w:r w:rsidRPr="002F34D0">
              <w:rPr>
                <w:rFonts w:eastAsiaTheme="minorEastAsia"/>
                <w:color w:val="000000" w:themeColor="text1"/>
                <w:kern w:val="0"/>
                <w:sz w:val="24"/>
                <w:szCs w:val="24"/>
              </w:rPr>
              <w:t>月</w:t>
            </w:r>
            <w:r w:rsidRPr="002F34D0">
              <w:rPr>
                <w:rFonts w:eastAsiaTheme="minorEastAsia"/>
                <w:color w:val="000000" w:themeColor="text1"/>
                <w:kern w:val="0"/>
                <w:sz w:val="24"/>
                <w:szCs w:val="24"/>
              </w:rPr>
              <w:t>12</w:t>
            </w:r>
            <w:r w:rsidRPr="002F34D0">
              <w:rPr>
                <w:rFonts w:eastAsiaTheme="minorEastAsia"/>
                <w:color w:val="000000" w:themeColor="text1"/>
                <w:kern w:val="0"/>
                <w:sz w:val="24"/>
                <w:szCs w:val="24"/>
              </w:rPr>
              <w:t>日</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报告期末基金份额总额</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3,000,000,000.00</w:t>
            </w:r>
            <w:r w:rsidRPr="002F34D0">
              <w:rPr>
                <w:rFonts w:eastAsiaTheme="minorEastAsia"/>
                <w:color w:val="000000" w:themeColor="text1"/>
                <w:kern w:val="0"/>
                <w:sz w:val="24"/>
                <w:szCs w:val="24"/>
              </w:rPr>
              <w:t>份</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投资目标</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主要投资于价值被市场绝对或相对低估的股票。本基金的投资目标是在控制股票投资组合的风险的前提下，追求基金资产的长期稳定的增值。</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投资策略</w:t>
            </w:r>
          </w:p>
        </w:tc>
        <w:tc>
          <w:tcPr>
            <w:tcW w:w="5479" w:type="dxa"/>
            <w:vAlign w:val="center"/>
          </w:tcPr>
          <w:p w:rsidR="0099261D" w:rsidRDefault="001E0F38">
            <w:pPr>
              <w:adjustRightInd w:val="0"/>
              <w:spacing w:before="29" w:line="360" w:lineRule="auto"/>
              <w:ind w:left="17"/>
              <w:jc w:val="left"/>
              <w:rPr>
                <w:rFonts w:eastAsiaTheme="minorEastAsia"/>
                <w:color w:val="000000" w:themeColor="text1"/>
                <w:sz w:val="24"/>
                <w:szCs w:val="24"/>
              </w:rPr>
            </w:pPr>
            <w:r>
              <w:rPr>
                <w:rFonts w:eastAsiaTheme="minorEastAsia"/>
                <w:color w:val="000000" w:themeColor="text1"/>
                <w:kern w:val="0"/>
                <w:sz w:val="24"/>
                <w:szCs w:val="24"/>
              </w:rPr>
              <w:t>基金管理人在对宏观经济和市场发展趋势进行深入分析的基础上，进行资产在股票、债券和现金间的资产配置。当判断股票市场趋势向好时，基金管理人采取积极进取的投资方式，加大股票投资比例，降低债券投资、现金的比例，力求取得较好的</w:t>
            </w:r>
            <w:r>
              <w:rPr>
                <w:rFonts w:eastAsiaTheme="minorEastAsia"/>
                <w:color w:val="000000" w:themeColor="text1"/>
                <w:kern w:val="0"/>
                <w:sz w:val="24"/>
                <w:szCs w:val="24"/>
              </w:rPr>
              <w:lastRenderedPageBreak/>
              <w:t>资本增值收益；当预测股票市场走势趋淡时，则降低股票投资比例，加大债券投资和现金比例，避免股票市场大幅下挫时引起的资产损失。</w:t>
            </w:r>
          </w:p>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基金管理人主要选择公司价值被市场相对和绝对低估的股票构建投资组合。</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lastRenderedPageBreak/>
              <w:t>业绩比较基准</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无</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风险收益特征</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无</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基金管理人</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易方达基金管理有限公司</w:t>
            </w:r>
          </w:p>
        </w:tc>
      </w:tr>
      <w:tr w:rsidR="00804256" w:rsidRPr="002F34D0" w:rsidTr="00256D2B">
        <w:tc>
          <w:tcPr>
            <w:tcW w:w="2835"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基金托管人</w:t>
            </w:r>
          </w:p>
        </w:tc>
        <w:tc>
          <w:tcPr>
            <w:tcW w:w="5479" w:type="dxa"/>
            <w:vAlign w:val="center"/>
          </w:tcPr>
          <w:p w:rsidR="00804256" w:rsidRPr="002F34D0" w:rsidRDefault="00804256" w:rsidP="002F34D0">
            <w:pPr>
              <w:adjustRightInd w:val="0"/>
              <w:spacing w:before="29" w:line="360" w:lineRule="auto"/>
              <w:ind w:left="17"/>
              <w:jc w:val="left"/>
              <w:rPr>
                <w:rFonts w:eastAsiaTheme="minorEastAsia"/>
                <w:color w:val="000000" w:themeColor="text1"/>
                <w:sz w:val="24"/>
                <w:szCs w:val="24"/>
              </w:rPr>
            </w:pPr>
            <w:r w:rsidRPr="002F34D0">
              <w:rPr>
                <w:rFonts w:eastAsiaTheme="minorEastAsia"/>
                <w:color w:val="000000" w:themeColor="text1"/>
                <w:kern w:val="0"/>
                <w:sz w:val="24"/>
                <w:szCs w:val="24"/>
              </w:rPr>
              <w:t>交通银行股份有限公司</w:t>
            </w:r>
          </w:p>
        </w:tc>
      </w:tr>
    </w:tbl>
    <w:p w:rsidR="00412748" w:rsidRPr="00412748" w:rsidRDefault="004061AC" w:rsidP="00993314">
      <w:pPr>
        <w:pStyle w:val="1"/>
        <w:spacing w:beforeLines="100" w:afterLines="100" w:line="360" w:lineRule="auto"/>
        <w:jc w:val="center"/>
        <w:rPr>
          <w:rFonts w:cs="Arial"/>
          <w:b w:val="0"/>
          <w:color w:val="000000"/>
          <w:kern w:val="0"/>
          <w:sz w:val="24"/>
          <w:szCs w:val="24"/>
        </w:rPr>
      </w:pPr>
      <w:r w:rsidRPr="00412748">
        <w:rPr>
          <w:rFonts w:cs="Arial" w:hint="eastAsia"/>
          <w:color w:val="000000"/>
          <w:kern w:val="0"/>
          <w:sz w:val="24"/>
          <w:szCs w:val="24"/>
        </w:rPr>
        <w:t>§</w:t>
      </w:r>
      <w:r w:rsidRPr="00412748">
        <w:rPr>
          <w:rFonts w:cs="Arial"/>
          <w:color w:val="000000"/>
          <w:kern w:val="0"/>
          <w:sz w:val="24"/>
          <w:szCs w:val="24"/>
        </w:rPr>
        <w:t xml:space="preserve">3  </w:t>
      </w:r>
      <w:r w:rsidRPr="00412748">
        <w:rPr>
          <w:rFonts w:cs="Arial" w:hint="eastAsia"/>
          <w:color w:val="000000"/>
          <w:kern w:val="0"/>
          <w:sz w:val="24"/>
          <w:szCs w:val="24"/>
        </w:rPr>
        <w:t>主要财务指标和基金净值表现</w:t>
      </w:r>
    </w:p>
    <w:p w:rsidR="004061AC" w:rsidRPr="002F34D0" w:rsidRDefault="004061AC" w:rsidP="0067108A">
      <w:pPr>
        <w:pStyle w:val="2"/>
        <w:spacing w:before="0" w:after="0"/>
        <w:rPr>
          <w:rFonts w:asciiTheme="minorEastAsia" w:eastAsiaTheme="minorEastAsia" w:hAnsiTheme="minorEastAsia"/>
          <w:color w:val="000000"/>
          <w:kern w:val="0"/>
        </w:rPr>
      </w:pPr>
      <w:r w:rsidRPr="002F34D0">
        <w:rPr>
          <w:rFonts w:asciiTheme="minorEastAsia" w:eastAsiaTheme="minorEastAsia" w:hAnsiTheme="minorEastAsia"/>
          <w:color w:val="000000"/>
          <w:kern w:val="0"/>
        </w:rPr>
        <w:t xml:space="preserve">3.1 </w:t>
      </w:r>
      <w:r w:rsidRPr="002F34D0">
        <w:rPr>
          <w:rFonts w:asciiTheme="minorEastAsia" w:eastAsiaTheme="minorEastAsia" w:hAnsiTheme="minorEastAsia" w:hint="eastAsia"/>
          <w:color w:val="000000"/>
          <w:kern w:val="0"/>
        </w:rPr>
        <w:t>主要财务指标</w:t>
      </w:r>
    </w:p>
    <w:p w:rsidR="004061AC" w:rsidRPr="002F34D0"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F34D0">
        <w:rPr>
          <w:rFonts w:asciiTheme="minorEastAsia" w:eastAsiaTheme="minorEastAsia" w:hAnsiTheme="minorEastAsia" w:cs="宋体" w:hint="eastAsia"/>
          <w:color w:val="000000" w:themeColor="text1"/>
          <w:kern w:val="0"/>
          <w:sz w:val="24"/>
          <w:szCs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552"/>
        <w:gridCol w:w="2410"/>
      </w:tblGrid>
      <w:tr w:rsidR="0067108A" w:rsidRPr="002F34D0" w:rsidTr="00BB3C5F">
        <w:trPr>
          <w:jc w:val="center"/>
        </w:trPr>
        <w:tc>
          <w:tcPr>
            <w:tcW w:w="3402" w:type="dxa"/>
            <w:vAlign w:val="center"/>
          </w:tcPr>
          <w:p w:rsidR="0067108A" w:rsidRPr="002F34D0" w:rsidRDefault="0067108A" w:rsidP="002F34D0">
            <w:pPr>
              <w:autoSpaceDE w:val="0"/>
              <w:autoSpaceDN w:val="0"/>
              <w:adjustRightInd w:val="0"/>
              <w:spacing w:line="360" w:lineRule="auto"/>
              <w:jc w:val="center"/>
              <w:rPr>
                <w:color w:val="000000"/>
                <w:kern w:val="0"/>
                <w:sz w:val="24"/>
                <w:szCs w:val="24"/>
              </w:rPr>
            </w:pPr>
            <w:r w:rsidRPr="002F34D0">
              <w:rPr>
                <w:color w:val="000000"/>
                <w:kern w:val="0"/>
                <w:sz w:val="24"/>
                <w:szCs w:val="24"/>
              </w:rPr>
              <w:t>主要财务指标</w:t>
            </w:r>
          </w:p>
        </w:tc>
        <w:tc>
          <w:tcPr>
            <w:tcW w:w="2552" w:type="dxa"/>
            <w:vAlign w:val="center"/>
          </w:tcPr>
          <w:p w:rsidR="0067108A" w:rsidRPr="002F34D0" w:rsidRDefault="0067108A" w:rsidP="002F34D0">
            <w:pPr>
              <w:autoSpaceDE w:val="0"/>
              <w:autoSpaceDN w:val="0"/>
              <w:adjustRightInd w:val="0"/>
              <w:spacing w:line="360" w:lineRule="auto"/>
              <w:jc w:val="center"/>
              <w:rPr>
                <w:color w:val="000000"/>
                <w:kern w:val="0"/>
                <w:sz w:val="24"/>
                <w:szCs w:val="24"/>
              </w:rPr>
            </w:pPr>
            <w:r w:rsidRPr="002F34D0">
              <w:rPr>
                <w:color w:val="000000"/>
                <w:kern w:val="0"/>
                <w:sz w:val="24"/>
                <w:szCs w:val="24"/>
              </w:rPr>
              <w:t>报告期</w:t>
            </w:r>
          </w:p>
          <w:p w:rsidR="0067108A" w:rsidRPr="002F34D0" w:rsidRDefault="0067108A" w:rsidP="002F34D0">
            <w:pPr>
              <w:autoSpaceDE w:val="0"/>
              <w:autoSpaceDN w:val="0"/>
              <w:adjustRightInd w:val="0"/>
              <w:spacing w:line="360" w:lineRule="auto"/>
              <w:jc w:val="center"/>
              <w:rPr>
                <w:color w:val="000000"/>
                <w:kern w:val="0"/>
                <w:sz w:val="24"/>
                <w:szCs w:val="24"/>
              </w:rPr>
            </w:pPr>
            <w:r w:rsidRPr="002F34D0">
              <w:rPr>
                <w:color w:val="000000"/>
                <w:kern w:val="0"/>
                <w:sz w:val="24"/>
                <w:szCs w:val="24"/>
              </w:rPr>
              <w:t>(2017</w:t>
            </w:r>
            <w:r w:rsidRPr="002F34D0">
              <w:rPr>
                <w:color w:val="000000"/>
                <w:kern w:val="0"/>
                <w:sz w:val="24"/>
                <w:szCs w:val="24"/>
              </w:rPr>
              <w:t>年</w:t>
            </w:r>
            <w:r w:rsidRPr="002F34D0">
              <w:rPr>
                <w:color w:val="000000"/>
                <w:kern w:val="0"/>
                <w:sz w:val="24"/>
                <w:szCs w:val="24"/>
              </w:rPr>
              <w:t>1</w:t>
            </w:r>
            <w:r w:rsidRPr="002F34D0">
              <w:rPr>
                <w:color w:val="000000"/>
                <w:kern w:val="0"/>
                <w:sz w:val="24"/>
                <w:szCs w:val="24"/>
              </w:rPr>
              <w:t>月</w:t>
            </w:r>
            <w:r w:rsidRPr="002F34D0">
              <w:rPr>
                <w:color w:val="000000"/>
                <w:kern w:val="0"/>
                <w:sz w:val="24"/>
                <w:szCs w:val="24"/>
              </w:rPr>
              <w:t>3</w:t>
            </w:r>
            <w:r w:rsidRPr="002F34D0">
              <w:rPr>
                <w:color w:val="000000"/>
                <w:kern w:val="0"/>
                <w:sz w:val="24"/>
                <w:szCs w:val="24"/>
              </w:rPr>
              <w:t>日</w:t>
            </w:r>
            <w:r w:rsidRPr="002F34D0">
              <w:rPr>
                <w:color w:val="000000"/>
                <w:kern w:val="0"/>
                <w:sz w:val="24"/>
                <w:szCs w:val="24"/>
              </w:rPr>
              <w:t>-2017</w:t>
            </w:r>
            <w:r w:rsidRPr="002F34D0">
              <w:rPr>
                <w:color w:val="000000"/>
                <w:kern w:val="0"/>
                <w:sz w:val="24"/>
                <w:szCs w:val="24"/>
              </w:rPr>
              <w:t>年</w:t>
            </w:r>
            <w:r w:rsidRPr="002F34D0">
              <w:rPr>
                <w:color w:val="000000"/>
                <w:kern w:val="0"/>
                <w:sz w:val="24"/>
                <w:szCs w:val="24"/>
              </w:rPr>
              <w:t>3</w:t>
            </w:r>
            <w:r w:rsidRPr="002F34D0">
              <w:rPr>
                <w:color w:val="000000"/>
                <w:kern w:val="0"/>
                <w:sz w:val="24"/>
                <w:szCs w:val="24"/>
              </w:rPr>
              <w:t>月</w:t>
            </w:r>
            <w:r w:rsidRPr="002F34D0">
              <w:rPr>
                <w:color w:val="000000"/>
                <w:kern w:val="0"/>
                <w:sz w:val="24"/>
                <w:szCs w:val="24"/>
              </w:rPr>
              <w:t>31</w:t>
            </w:r>
            <w:r w:rsidRPr="002F34D0">
              <w:rPr>
                <w:color w:val="000000"/>
                <w:kern w:val="0"/>
                <w:sz w:val="24"/>
                <w:szCs w:val="24"/>
              </w:rPr>
              <w:t>日</w:t>
            </w:r>
            <w:r w:rsidRPr="002F34D0">
              <w:rPr>
                <w:color w:val="000000"/>
                <w:kern w:val="0"/>
                <w:sz w:val="24"/>
                <w:szCs w:val="24"/>
              </w:rPr>
              <w:t>)</w:t>
            </w:r>
          </w:p>
        </w:tc>
        <w:tc>
          <w:tcPr>
            <w:tcW w:w="2410" w:type="dxa"/>
            <w:vAlign w:val="center"/>
          </w:tcPr>
          <w:p w:rsidR="0067108A" w:rsidRPr="002F34D0" w:rsidRDefault="0067108A" w:rsidP="002F34D0">
            <w:pPr>
              <w:autoSpaceDE w:val="0"/>
              <w:autoSpaceDN w:val="0"/>
              <w:adjustRightInd w:val="0"/>
              <w:spacing w:line="360" w:lineRule="auto"/>
              <w:jc w:val="center"/>
              <w:rPr>
                <w:color w:val="000000"/>
                <w:kern w:val="0"/>
                <w:sz w:val="24"/>
                <w:szCs w:val="24"/>
              </w:rPr>
            </w:pPr>
            <w:r w:rsidRPr="002F34D0">
              <w:rPr>
                <w:color w:val="000000"/>
                <w:kern w:val="0"/>
                <w:sz w:val="24"/>
                <w:szCs w:val="24"/>
              </w:rPr>
              <w:t>报告期</w:t>
            </w:r>
          </w:p>
          <w:p w:rsidR="0067108A" w:rsidRPr="002F34D0" w:rsidRDefault="0067108A" w:rsidP="002F34D0">
            <w:pPr>
              <w:autoSpaceDE w:val="0"/>
              <w:autoSpaceDN w:val="0"/>
              <w:adjustRightInd w:val="0"/>
              <w:spacing w:line="360" w:lineRule="auto"/>
              <w:jc w:val="center"/>
              <w:rPr>
                <w:color w:val="000000"/>
                <w:kern w:val="0"/>
                <w:sz w:val="24"/>
                <w:szCs w:val="24"/>
              </w:rPr>
            </w:pPr>
            <w:r w:rsidRPr="002F34D0">
              <w:rPr>
                <w:color w:val="000000"/>
                <w:kern w:val="0"/>
                <w:sz w:val="24"/>
                <w:szCs w:val="24"/>
              </w:rPr>
              <w:t>(2017</w:t>
            </w:r>
            <w:r w:rsidRPr="002F34D0">
              <w:rPr>
                <w:color w:val="000000"/>
                <w:kern w:val="0"/>
                <w:sz w:val="24"/>
                <w:szCs w:val="24"/>
              </w:rPr>
              <w:t>年</w:t>
            </w:r>
            <w:r w:rsidRPr="002F34D0">
              <w:rPr>
                <w:color w:val="000000"/>
                <w:kern w:val="0"/>
                <w:sz w:val="24"/>
                <w:szCs w:val="24"/>
              </w:rPr>
              <w:t>1</w:t>
            </w:r>
            <w:r w:rsidRPr="002F34D0">
              <w:rPr>
                <w:color w:val="000000"/>
                <w:kern w:val="0"/>
                <w:sz w:val="24"/>
                <w:szCs w:val="24"/>
              </w:rPr>
              <w:t>月</w:t>
            </w:r>
            <w:r w:rsidRPr="002F34D0">
              <w:rPr>
                <w:color w:val="000000"/>
                <w:kern w:val="0"/>
                <w:sz w:val="24"/>
                <w:szCs w:val="24"/>
              </w:rPr>
              <w:t>1</w:t>
            </w:r>
            <w:r w:rsidRPr="002F34D0">
              <w:rPr>
                <w:color w:val="000000"/>
                <w:kern w:val="0"/>
                <w:sz w:val="24"/>
                <w:szCs w:val="24"/>
              </w:rPr>
              <w:t>日</w:t>
            </w:r>
            <w:r w:rsidRPr="002F34D0">
              <w:rPr>
                <w:color w:val="000000"/>
                <w:kern w:val="0"/>
                <w:sz w:val="24"/>
                <w:szCs w:val="24"/>
              </w:rPr>
              <w:t>-2017</w:t>
            </w:r>
            <w:r w:rsidRPr="002F34D0">
              <w:rPr>
                <w:color w:val="000000"/>
                <w:kern w:val="0"/>
                <w:sz w:val="24"/>
                <w:szCs w:val="24"/>
              </w:rPr>
              <w:t>年</w:t>
            </w:r>
            <w:r w:rsidRPr="002F34D0">
              <w:rPr>
                <w:color w:val="000000"/>
                <w:kern w:val="0"/>
                <w:sz w:val="24"/>
                <w:szCs w:val="24"/>
              </w:rPr>
              <w:t>1</w:t>
            </w:r>
            <w:r w:rsidRPr="002F34D0">
              <w:rPr>
                <w:color w:val="000000"/>
                <w:kern w:val="0"/>
                <w:sz w:val="24"/>
                <w:szCs w:val="24"/>
              </w:rPr>
              <w:t>月</w:t>
            </w:r>
            <w:r w:rsidRPr="002F34D0">
              <w:rPr>
                <w:color w:val="000000"/>
                <w:kern w:val="0"/>
                <w:sz w:val="24"/>
                <w:szCs w:val="24"/>
              </w:rPr>
              <w:t>2</w:t>
            </w:r>
            <w:r w:rsidRPr="002F34D0">
              <w:rPr>
                <w:color w:val="000000"/>
                <w:kern w:val="0"/>
                <w:sz w:val="24"/>
                <w:szCs w:val="24"/>
              </w:rPr>
              <w:t>日</w:t>
            </w:r>
            <w:r w:rsidRPr="002F34D0">
              <w:rPr>
                <w:color w:val="000000"/>
                <w:kern w:val="0"/>
                <w:sz w:val="24"/>
                <w:szCs w:val="24"/>
              </w:rPr>
              <w:t>)</w:t>
            </w:r>
          </w:p>
        </w:tc>
      </w:tr>
      <w:tr w:rsidR="0067108A" w:rsidRPr="002F34D0" w:rsidTr="00BB3C5F">
        <w:trPr>
          <w:jc w:val="center"/>
        </w:trPr>
        <w:tc>
          <w:tcPr>
            <w:tcW w:w="3402" w:type="dxa"/>
            <w:vAlign w:val="center"/>
          </w:tcPr>
          <w:p w:rsidR="0067108A" w:rsidRPr="002F34D0" w:rsidRDefault="0067108A" w:rsidP="002F34D0">
            <w:pPr>
              <w:autoSpaceDE w:val="0"/>
              <w:autoSpaceDN w:val="0"/>
              <w:adjustRightInd w:val="0"/>
              <w:spacing w:line="360" w:lineRule="auto"/>
              <w:jc w:val="left"/>
              <w:rPr>
                <w:color w:val="000000"/>
                <w:kern w:val="0"/>
                <w:sz w:val="24"/>
                <w:szCs w:val="24"/>
              </w:rPr>
            </w:pPr>
            <w:r w:rsidRPr="002F34D0">
              <w:rPr>
                <w:color w:val="000000"/>
                <w:kern w:val="0"/>
                <w:sz w:val="24"/>
                <w:szCs w:val="24"/>
              </w:rPr>
              <w:t>1.</w:t>
            </w:r>
            <w:r w:rsidRPr="002F34D0">
              <w:rPr>
                <w:color w:val="000000"/>
                <w:kern w:val="0"/>
                <w:sz w:val="24"/>
                <w:szCs w:val="24"/>
              </w:rPr>
              <w:t>本期已实现收益</w:t>
            </w:r>
          </w:p>
        </w:tc>
        <w:tc>
          <w:tcPr>
            <w:tcW w:w="2552"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-30,913,432.20</w:t>
            </w:r>
          </w:p>
        </w:tc>
        <w:tc>
          <w:tcPr>
            <w:tcW w:w="2410"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-14,444.32</w:t>
            </w:r>
          </w:p>
        </w:tc>
      </w:tr>
      <w:tr w:rsidR="0067108A" w:rsidRPr="002F34D0" w:rsidTr="00BB3C5F">
        <w:trPr>
          <w:jc w:val="center"/>
        </w:trPr>
        <w:tc>
          <w:tcPr>
            <w:tcW w:w="3402" w:type="dxa"/>
            <w:vAlign w:val="center"/>
          </w:tcPr>
          <w:p w:rsidR="0067108A" w:rsidRPr="002F34D0" w:rsidRDefault="0067108A" w:rsidP="002F34D0">
            <w:pPr>
              <w:autoSpaceDE w:val="0"/>
              <w:autoSpaceDN w:val="0"/>
              <w:adjustRightInd w:val="0"/>
              <w:spacing w:line="360" w:lineRule="auto"/>
              <w:jc w:val="left"/>
              <w:rPr>
                <w:color w:val="000000"/>
                <w:kern w:val="0"/>
                <w:sz w:val="24"/>
                <w:szCs w:val="24"/>
              </w:rPr>
            </w:pPr>
            <w:r w:rsidRPr="002F34D0">
              <w:rPr>
                <w:color w:val="000000"/>
                <w:kern w:val="0"/>
                <w:sz w:val="24"/>
                <w:szCs w:val="24"/>
              </w:rPr>
              <w:t>2.</w:t>
            </w:r>
            <w:r w:rsidRPr="002F34D0">
              <w:rPr>
                <w:color w:val="000000"/>
                <w:kern w:val="0"/>
                <w:sz w:val="24"/>
                <w:szCs w:val="24"/>
              </w:rPr>
              <w:t>本期利润</w:t>
            </w:r>
          </w:p>
        </w:tc>
        <w:tc>
          <w:tcPr>
            <w:tcW w:w="2552"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23,210,250.09</w:t>
            </w:r>
          </w:p>
        </w:tc>
        <w:tc>
          <w:tcPr>
            <w:tcW w:w="2410"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-14,444.32</w:t>
            </w:r>
          </w:p>
        </w:tc>
      </w:tr>
      <w:tr w:rsidR="0067108A" w:rsidRPr="002F34D0" w:rsidTr="00BB3C5F">
        <w:trPr>
          <w:jc w:val="center"/>
        </w:trPr>
        <w:tc>
          <w:tcPr>
            <w:tcW w:w="3402" w:type="dxa"/>
            <w:vAlign w:val="center"/>
          </w:tcPr>
          <w:p w:rsidR="0067108A" w:rsidRPr="002F34D0" w:rsidRDefault="0067108A" w:rsidP="002F34D0">
            <w:pPr>
              <w:autoSpaceDE w:val="0"/>
              <w:autoSpaceDN w:val="0"/>
              <w:adjustRightInd w:val="0"/>
              <w:spacing w:line="360" w:lineRule="auto"/>
              <w:jc w:val="left"/>
              <w:rPr>
                <w:color w:val="000000"/>
                <w:kern w:val="0"/>
                <w:sz w:val="24"/>
                <w:szCs w:val="24"/>
              </w:rPr>
            </w:pPr>
            <w:r w:rsidRPr="002F34D0">
              <w:rPr>
                <w:color w:val="000000"/>
                <w:kern w:val="0"/>
                <w:sz w:val="24"/>
                <w:szCs w:val="24"/>
              </w:rPr>
              <w:t>3.</w:t>
            </w:r>
            <w:r w:rsidRPr="002F34D0">
              <w:rPr>
                <w:color w:val="000000"/>
                <w:kern w:val="0"/>
                <w:sz w:val="24"/>
                <w:szCs w:val="24"/>
              </w:rPr>
              <w:t>加权平均基金份额本期利润</w:t>
            </w:r>
          </w:p>
        </w:tc>
        <w:tc>
          <w:tcPr>
            <w:tcW w:w="2552"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0.0103</w:t>
            </w:r>
          </w:p>
        </w:tc>
        <w:tc>
          <w:tcPr>
            <w:tcW w:w="2410"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0.0000</w:t>
            </w:r>
          </w:p>
        </w:tc>
      </w:tr>
      <w:tr w:rsidR="0067108A" w:rsidRPr="002F34D0" w:rsidTr="00BB3C5F">
        <w:trPr>
          <w:jc w:val="center"/>
        </w:trPr>
        <w:tc>
          <w:tcPr>
            <w:tcW w:w="3402" w:type="dxa"/>
            <w:vAlign w:val="center"/>
          </w:tcPr>
          <w:p w:rsidR="0067108A" w:rsidRPr="002F34D0" w:rsidRDefault="0067108A" w:rsidP="002F34D0">
            <w:pPr>
              <w:autoSpaceDE w:val="0"/>
              <w:autoSpaceDN w:val="0"/>
              <w:adjustRightInd w:val="0"/>
              <w:spacing w:line="360" w:lineRule="auto"/>
              <w:jc w:val="left"/>
              <w:rPr>
                <w:color w:val="000000"/>
                <w:kern w:val="0"/>
                <w:sz w:val="24"/>
                <w:szCs w:val="24"/>
              </w:rPr>
            </w:pPr>
            <w:r w:rsidRPr="002F34D0">
              <w:rPr>
                <w:color w:val="000000"/>
                <w:kern w:val="0"/>
                <w:sz w:val="24"/>
                <w:szCs w:val="24"/>
              </w:rPr>
              <w:t>4.</w:t>
            </w:r>
            <w:r w:rsidRPr="002F34D0">
              <w:rPr>
                <w:color w:val="000000"/>
                <w:kern w:val="0"/>
                <w:sz w:val="24"/>
                <w:szCs w:val="24"/>
              </w:rPr>
              <w:t>期末基金资产净值</w:t>
            </w:r>
          </w:p>
        </w:tc>
        <w:tc>
          <w:tcPr>
            <w:tcW w:w="2552"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1,325,987,988.69</w:t>
            </w:r>
          </w:p>
        </w:tc>
        <w:tc>
          <w:tcPr>
            <w:tcW w:w="2410"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2,562,067,650.06</w:t>
            </w:r>
          </w:p>
        </w:tc>
      </w:tr>
      <w:tr w:rsidR="0067108A" w:rsidRPr="002F34D0" w:rsidTr="00BB3C5F">
        <w:trPr>
          <w:trHeight w:val="158"/>
          <w:jc w:val="center"/>
        </w:trPr>
        <w:tc>
          <w:tcPr>
            <w:tcW w:w="3402" w:type="dxa"/>
            <w:vAlign w:val="center"/>
          </w:tcPr>
          <w:p w:rsidR="0067108A" w:rsidRPr="002F34D0" w:rsidRDefault="0067108A" w:rsidP="002F34D0">
            <w:pPr>
              <w:autoSpaceDE w:val="0"/>
              <w:autoSpaceDN w:val="0"/>
              <w:adjustRightInd w:val="0"/>
              <w:spacing w:line="360" w:lineRule="auto"/>
              <w:jc w:val="left"/>
              <w:rPr>
                <w:color w:val="000000"/>
                <w:kern w:val="0"/>
                <w:sz w:val="24"/>
                <w:szCs w:val="24"/>
              </w:rPr>
            </w:pPr>
            <w:r w:rsidRPr="002F34D0">
              <w:rPr>
                <w:color w:val="000000"/>
                <w:kern w:val="0"/>
                <w:sz w:val="24"/>
                <w:szCs w:val="24"/>
              </w:rPr>
              <w:t>5.</w:t>
            </w:r>
            <w:r w:rsidRPr="002F34D0">
              <w:rPr>
                <w:color w:val="000000"/>
                <w:kern w:val="0"/>
                <w:sz w:val="24"/>
                <w:szCs w:val="24"/>
              </w:rPr>
              <w:t>期末基金份额净值</w:t>
            </w:r>
          </w:p>
        </w:tc>
        <w:tc>
          <w:tcPr>
            <w:tcW w:w="2552"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0.8653</w:t>
            </w:r>
          </w:p>
        </w:tc>
        <w:tc>
          <w:tcPr>
            <w:tcW w:w="2410" w:type="dxa"/>
            <w:vAlign w:val="center"/>
          </w:tcPr>
          <w:p w:rsidR="0067108A" w:rsidRPr="002F34D0" w:rsidRDefault="0067108A" w:rsidP="002F34D0">
            <w:pPr>
              <w:autoSpaceDE w:val="0"/>
              <w:autoSpaceDN w:val="0"/>
              <w:adjustRightInd w:val="0"/>
              <w:spacing w:line="360" w:lineRule="auto"/>
              <w:jc w:val="right"/>
              <w:rPr>
                <w:color w:val="000000"/>
                <w:kern w:val="0"/>
                <w:sz w:val="24"/>
                <w:szCs w:val="24"/>
              </w:rPr>
            </w:pPr>
            <w:r w:rsidRPr="002F34D0">
              <w:rPr>
                <w:color w:val="000000"/>
                <w:kern w:val="0"/>
                <w:sz w:val="24"/>
                <w:szCs w:val="24"/>
              </w:rPr>
              <w:t>0.8540</w:t>
            </w:r>
          </w:p>
        </w:tc>
      </w:tr>
    </w:tbl>
    <w:p w:rsidR="0099261D" w:rsidRDefault="001E0F38">
      <w:pPr>
        <w:adjustRightInd w:val="0"/>
        <w:spacing w:line="360" w:lineRule="auto"/>
        <w:rPr>
          <w:rFonts w:cs="Arial"/>
          <w:color w:val="000000"/>
          <w:kern w:val="0"/>
          <w:sz w:val="24"/>
          <w:szCs w:val="24"/>
        </w:rPr>
      </w:pPr>
      <w:r>
        <w:rPr>
          <w:rFonts w:cs="Arial"/>
          <w:color w:val="000000"/>
          <w:kern w:val="0"/>
          <w:sz w:val="24"/>
          <w:szCs w:val="24"/>
        </w:rPr>
        <w:t>注：</w:t>
      </w:r>
      <w:r>
        <w:rPr>
          <w:rFonts w:cs="Arial"/>
          <w:color w:val="000000"/>
          <w:kern w:val="0"/>
          <w:sz w:val="24"/>
          <w:szCs w:val="24"/>
        </w:rPr>
        <w:t>1.</w:t>
      </w:r>
      <w:r>
        <w:rPr>
          <w:rFonts w:cs="Arial"/>
          <w:color w:val="000000"/>
          <w:kern w:val="0"/>
          <w:sz w:val="24"/>
          <w:szCs w:val="24"/>
        </w:rPr>
        <w:t>所述基金业绩指标不包括持有人交易基金的各项费用，计入费用后实际收益水平要低于所列数字。</w:t>
      </w:r>
    </w:p>
    <w:p w:rsidR="0099261D" w:rsidRDefault="001E0F38">
      <w:pPr>
        <w:adjustRightInd w:val="0"/>
        <w:spacing w:line="360" w:lineRule="auto"/>
        <w:rPr>
          <w:rFonts w:cs="Arial"/>
          <w:color w:val="000000"/>
          <w:kern w:val="0"/>
          <w:sz w:val="24"/>
          <w:szCs w:val="24"/>
        </w:rPr>
      </w:pPr>
      <w:r>
        <w:rPr>
          <w:rFonts w:cs="Arial"/>
          <w:color w:val="000000"/>
          <w:kern w:val="0"/>
          <w:sz w:val="24"/>
          <w:szCs w:val="24"/>
        </w:rPr>
        <w:t>2.</w:t>
      </w:r>
      <w:r>
        <w:rPr>
          <w:rFonts w:cs="Arial"/>
          <w:color w:val="000000"/>
          <w:kern w:val="0"/>
          <w:sz w:val="24"/>
          <w:szCs w:val="24"/>
        </w:rPr>
        <w:t>本期已实现收益指基金本期利息收入、投资收益、其他收入（不含公允价值变动收益）扣除相关费用后的余额，本期利润为本期已实现收益加上本期公允价值变动收益。</w:t>
      </w:r>
    </w:p>
    <w:p w:rsidR="004061AC" w:rsidRPr="002F34D0" w:rsidRDefault="004061AC" w:rsidP="002F34D0">
      <w:pPr>
        <w:adjustRightInd w:val="0"/>
        <w:spacing w:line="360" w:lineRule="auto"/>
        <w:rPr>
          <w:rFonts w:cs="Arial"/>
          <w:color w:val="000000"/>
          <w:kern w:val="0"/>
          <w:sz w:val="24"/>
          <w:szCs w:val="24"/>
        </w:rPr>
      </w:pPr>
      <w:r w:rsidRPr="002F34D0">
        <w:rPr>
          <w:rFonts w:cs="Arial"/>
          <w:color w:val="000000"/>
          <w:kern w:val="0"/>
          <w:sz w:val="24"/>
          <w:szCs w:val="24"/>
        </w:rPr>
        <w:t>3.</w:t>
      </w:r>
      <w:r w:rsidRPr="002F34D0">
        <w:rPr>
          <w:rFonts w:cs="Arial"/>
          <w:color w:val="000000"/>
          <w:kern w:val="0"/>
          <w:sz w:val="24"/>
          <w:szCs w:val="24"/>
        </w:rPr>
        <w:t>自</w:t>
      </w:r>
      <w:r w:rsidRPr="002F34D0">
        <w:rPr>
          <w:rFonts w:cs="Arial"/>
          <w:color w:val="000000"/>
          <w:kern w:val="0"/>
          <w:sz w:val="24"/>
          <w:szCs w:val="24"/>
        </w:rPr>
        <w:t>2017</w:t>
      </w:r>
      <w:r w:rsidRPr="002F34D0">
        <w:rPr>
          <w:rFonts w:cs="Arial"/>
          <w:color w:val="000000"/>
          <w:kern w:val="0"/>
          <w:sz w:val="24"/>
          <w:szCs w:val="24"/>
        </w:rPr>
        <w:t>年</w:t>
      </w:r>
      <w:r w:rsidRPr="002F34D0">
        <w:rPr>
          <w:rFonts w:cs="Arial"/>
          <w:color w:val="000000"/>
          <w:kern w:val="0"/>
          <w:sz w:val="24"/>
          <w:szCs w:val="24"/>
        </w:rPr>
        <w:t>1</w:t>
      </w:r>
      <w:r w:rsidRPr="002F34D0">
        <w:rPr>
          <w:rFonts w:cs="Arial"/>
          <w:color w:val="000000"/>
          <w:kern w:val="0"/>
          <w:sz w:val="24"/>
          <w:szCs w:val="24"/>
        </w:rPr>
        <w:t>月</w:t>
      </w:r>
      <w:r w:rsidRPr="002F34D0">
        <w:rPr>
          <w:rFonts w:cs="Arial"/>
          <w:color w:val="000000"/>
          <w:kern w:val="0"/>
          <w:sz w:val="24"/>
          <w:szCs w:val="24"/>
        </w:rPr>
        <w:t>3</w:t>
      </w:r>
      <w:r w:rsidRPr="002F34D0">
        <w:rPr>
          <w:rFonts w:cs="Arial"/>
          <w:color w:val="000000"/>
          <w:kern w:val="0"/>
          <w:sz w:val="24"/>
          <w:szCs w:val="24"/>
        </w:rPr>
        <w:t>日科瑞证券投资基金终止上市之日起，原科瑞证券投资基金转型为易方达科瑞</w:t>
      </w:r>
      <w:r w:rsidR="00A90892" w:rsidRPr="00A90892">
        <w:rPr>
          <w:rFonts w:cs="Arial" w:hint="eastAsia"/>
          <w:color w:val="000000"/>
          <w:kern w:val="0"/>
          <w:sz w:val="24"/>
          <w:szCs w:val="24"/>
        </w:rPr>
        <w:t>灵活配置</w:t>
      </w:r>
      <w:r w:rsidRPr="002F34D0">
        <w:rPr>
          <w:rFonts w:cs="Arial"/>
          <w:color w:val="000000"/>
          <w:kern w:val="0"/>
          <w:sz w:val="24"/>
          <w:szCs w:val="24"/>
        </w:rPr>
        <w:t>混合型证券投资基金。</w:t>
      </w:r>
    </w:p>
    <w:p w:rsidR="004061AC" w:rsidRPr="00151955" w:rsidRDefault="004061AC" w:rsidP="00993314">
      <w:pPr>
        <w:pStyle w:val="2"/>
        <w:spacing w:beforeLines="50" w:after="0"/>
        <w:rPr>
          <w:b w:val="0"/>
          <w:color w:val="000000"/>
          <w:kern w:val="0"/>
        </w:rPr>
      </w:pPr>
      <w:r w:rsidRPr="00151955">
        <w:rPr>
          <w:color w:val="000000"/>
          <w:kern w:val="0"/>
        </w:rPr>
        <w:lastRenderedPageBreak/>
        <w:t xml:space="preserve">3.2 </w:t>
      </w:r>
      <w:r w:rsidRPr="00151955">
        <w:rPr>
          <w:rFonts w:hint="eastAsia"/>
          <w:color w:val="000000"/>
          <w:kern w:val="0"/>
        </w:rPr>
        <w:t>基金净值表现</w:t>
      </w:r>
    </w:p>
    <w:p w:rsidR="002B7BAF" w:rsidRPr="008C2025" w:rsidRDefault="002B7BAF" w:rsidP="00DA3D6D">
      <w:pPr>
        <w:pStyle w:val="3"/>
        <w:spacing w:before="0" w:after="0" w:line="360" w:lineRule="auto"/>
        <w:rPr>
          <w:color w:val="000000"/>
          <w:kern w:val="0"/>
          <w:sz w:val="24"/>
          <w:szCs w:val="24"/>
        </w:rPr>
      </w:pPr>
      <w:r w:rsidRPr="008C2025">
        <w:rPr>
          <w:color w:val="000000"/>
          <w:kern w:val="0"/>
          <w:sz w:val="24"/>
          <w:szCs w:val="24"/>
        </w:rPr>
        <w:t xml:space="preserve">3.2.1 </w:t>
      </w:r>
      <w:r w:rsidRPr="008C2025">
        <w:rPr>
          <w:color w:val="000000"/>
          <w:kern w:val="0"/>
          <w:sz w:val="24"/>
          <w:szCs w:val="24"/>
        </w:rPr>
        <w:t>易方达科瑞灵活配置混合型证券投资基金</w:t>
      </w:r>
    </w:p>
    <w:p w:rsidR="002B7BAF" w:rsidRPr="008C2025" w:rsidRDefault="002B7BAF" w:rsidP="002B7BAF">
      <w:pPr>
        <w:autoSpaceDE w:val="0"/>
        <w:autoSpaceDN w:val="0"/>
        <w:adjustRightInd w:val="0"/>
        <w:spacing w:before="29" w:line="288" w:lineRule="auto"/>
        <w:ind w:left="15"/>
        <w:jc w:val="left"/>
        <w:rPr>
          <w:b/>
          <w:color w:val="000000"/>
          <w:kern w:val="0"/>
          <w:sz w:val="24"/>
          <w:szCs w:val="24"/>
        </w:rPr>
      </w:pPr>
      <w:r w:rsidRPr="008C2025">
        <w:rPr>
          <w:b/>
          <w:color w:val="000000"/>
          <w:kern w:val="0"/>
          <w:sz w:val="24"/>
          <w:szCs w:val="24"/>
        </w:rPr>
        <w:t>（报告期：</w:t>
      </w:r>
      <w:r w:rsidRPr="008C2025">
        <w:rPr>
          <w:b/>
          <w:color w:val="000000"/>
          <w:kern w:val="0"/>
          <w:sz w:val="24"/>
          <w:szCs w:val="24"/>
        </w:rPr>
        <w:t>2017</w:t>
      </w:r>
      <w:r w:rsidRPr="008C2025">
        <w:rPr>
          <w:b/>
          <w:color w:val="000000"/>
          <w:kern w:val="0"/>
          <w:sz w:val="24"/>
          <w:szCs w:val="24"/>
        </w:rPr>
        <w:t>年</w:t>
      </w:r>
      <w:r w:rsidRPr="008C2025">
        <w:rPr>
          <w:b/>
          <w:color w:val="000000"/>
          <w:kern w:val="0"/>
          <w:sz w:val="24"/>
          <w:szCs w:val="24"/>
        </w:rPr>
        <w:t>1</w:t>
      </w:r>
      <w:r w:rsidRPr="008C2025">
        <w:rPr>
          <w:b/>
          <w:color w:val="000000"/>
          <w:kern w:val="0"/>
          <w:sz w:val="24"/>
          <w:szCs w:val="24"/>
        </w:rPr>
        <w:t>月</w:t>
      </w:r>
      <w:r w:rsidRPr="008C2025">
        <w:rPr>
          <w:b/>
          <w:color w:val="000000"/>
          <w:kern w:val="0"/>
          <w:sz w:val="24"/>
          <w:szCs w:val="24"/>
        </w:rPr>
        <w:t>3</w:t>
      </w:r>
      <w:r w:rsidRPr="008C2025">
        <w:rPr>
          <w:b/>
          <w:color w:val="000000"/>
          <w:kern w:val="0"/>
          <w:sz w:val="24"/>
          <w:szCs w:val="24"/>
        </w:rPr>
        <w:t>日</w:t>
      </w:r>
      <w:r w:rsidRPr="008C2025">
        <w:rPr>
          <w:b/>
          <w:color w:val="000000"/>
          <w:kern w:val="0"/>
          <w:sz w:val="24"/>
          <w:szCs w:val="24"/>
        </w:rPr>
        <w:t>-2017</w:t>
      </w:r>
      <w:r w:rsidRPr="008C2025">
        <w:rPr>
          <w:b/>
          <w:color w:val="000000"/>
          <w:kern w:val="0"/>
          <w:sz w:val="24"/>
          <w:szCs w:val="24"/>
        </w:rPr>
        <w:t>年</w:t>
      </w:r>
      <w:r w:rsidRPr="008C2025">
        <w:rPr>
          <w:b/>
          <w:color w:val="000000"/>
          <w:kern w:val="0"/>
          <w:sz w:val="24"/>
          <w:szCs w:val="24"/>
        </w:rPr>
        <w:t>3</w:t>
      </w:r>
      <w:r w:rsidRPr="008C2025">
        <w:rPr>
          <w:b/>
          <w:color w:val="000000"/>
          <w:kern w:val="0"/>
          <w:sz w:val="24"/>
          <w:szCs w:val="24"/>
        </w:rPr>
        <w:t>月</w:t>
      </w:r>
      <w:r w:rsidRPr="008C2025">
        <w:rPr>
          <w:b/>
          <w:color w:val="000000"/>
          <w:kern w:val="0"/>
          <w:sz w:val="24"/>
          <w:szCs w:val="24"/>
        </w:rPr>
        <w:t>31</w:t>
      </w:r>
      <w:r w:rsidRPr="008C2025">
        <w:rPr>
          <w:b/>
          <w:color w:val="000000"/>
          <w:kern w:val="0"/>
          <w:sz w:val="24"/>
          <w:szCs w:val="24"/>
        </w:rPr>
        <w:t>日）</w:t>
      </w:r>
    </w:p>
    <w:p w:rsidR="002B7BAF" w:rsidRPr="008C2025" w:rsidRDefault="002B7BAF" w:rsidP="002F34D0">
      <w:pPr>
        <w:spacing w:line="360" w:lineRule="auto"/>
        <w:rPr>
          <w:b/>
          <w:color w:val="000000"/>
          <w:kern w:val="0"/>
          <w:sz w:val="24"/>
          <w:szCs w:val="24"/>
        </w:rPr>
      </w:pPr>
      <w:r w:rsidRPr="008C2025">
        <w:rPr>
          <w:b/>
          <w:color w:val="000000"/>
          <w:kern w:val="0"/>
          <w:sz w:val="24"/>
          <w:szCs w:val="24"/>
        </w:rPr>
        <w:t xml:space="preserve">3.2.1.1 </w:t>
      </w:r>
      <w:r w:rsidRPr="008C2025">
        <w:rPr>
          <w:b/>
          <w:color w:val="000000"/>
          <w:kern w:val="0"/>
          <w:sz w:val="24"/>
          <w:szCs w:val="24"/>
        </w:rPr>
        <w:t>本报告</w:t>
      </w:r>
      <w:proofErr w:type="gramStart"/>
      <w:r w:rsidRPr="008C2025">
        <w:rPr>
          <w:b/>
          <w:color w:val="000000"/>
          <w:kern w:val="0"/>
          <w:sz w:val="24"/>
          <w:szCs w:val="24"/>
        </w:rPr>
        <w:t>期基金</w:t>
      </w:r>
      <w:proofErr w:type="gramEnd"/>
      <w:r w:rsidRPr="008C2025">
        <w:rPr>
          <w:b/>
          <w:color w:val="000000"/>
          <w:kern w:val="0"/>
          <w:sz w:val="24"/>
          <w:szCs w:val="24"/>
        </w:rPr>
        <w:t>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F34D0" w:rsidTr="00BD7703">
        <w:tc>
          <w:tcPr>
            <w:tcW w:w="1395"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color w:val="000000"/>
                <w:sz w:val="24"/>
                <w:szCs w:val="24"/>
              </w:rPr>
              <w:t>阶段</w:t>
            </w:r>
          </w:p>
        </w:tc>
        <w:tc>
          <w:tcPr>
            <w:tcW w:w="1092"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color w:val="000000"/>
                <w:sz w:val="24"/>
                <w:szCs w:val="24"/>
              </w:rPr>
              <w:t>净值增长率</w:t>
            </w:r>
            <w:r w:rsidRPr="002F34D0">
              <w:rPr>
                <w:rFonts w:ascii="宋体" w:hAnsi="宋体" w:cs="宋体" w:hint="eastAsia"/>
                <w:color w:val="000000"/>
                <w:sz w:val="24"/>
                <w:szCs w:val="24"/>
              </w:rPr>
              <w:t>①</w:t>
            </w:r>
          </w:p>
        </w:tc>
        <w:tc>
          <w:tcPr>
            <w:tcW w:w="1161"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color w:val="000000"/>
                <w:sz w:val="24"/>
                <w:szCs w:val="24"/>
              </w:rPr>
              <w:t>净值增长率标准差</w:t>
            </w:r>
            <w:r w:rsidRPr="002F34D0">
              <w:rPr>
                <w:rFonts w:ascii="宋体" w:hAnsi="宋体" w:cs="宋体" w:hint="eastAsia"/>
                <w:color w:val="000000"/>
                <w:sz w:val="24"/>
                <w:szCs w:val="24"/>
              </w:rPr>
              <w:t>②</w:t>
            </w:r>
          </w:p>
        </w:tc>
        <w:tc>
          <w:tcPr>
            <w:tcW w:w="1181"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color w:val="000000"/>
                <w:sz w:val="24"/>
                <w:szCs w:val="24"/>
              </w:rPr>
              <w:t>业绩比较基准收益率</w:t>
            </w:r>
            <w:r w:rsidRPr="002F34D0">
              <w:rPr>
                <w:rFonts w:ascii="宋体" w:hAnsi="宋体" w:cs="宋体" w:hint="eastAsia"/>
                <w:color w:val="000000"/>
                <w:sz w:val="24"/>
                <w:szCs w:val="24"/>
              </w:rPr>
              <w:t>③</w:t>
            </w:r>
          </w:p>
        </w:tc>
        <w:tc>
          <w:tcPr>
            <w:tcW w:w="1188"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color w:val="000000"/>
                <w:sz w:val="24"/>
                <w:szCs w:val="24"/>
              </w:rPr>
              <w:t>业绩比较基准收益率标准差</w:t>
            </w:r>
            <w:r w:rsidRPr="002F34D0">
              <w:rPr>
                <w:rFonts w:ascii="宋体" w:hAnsi="宋体" w:cs="宋体" w:hint="eastAsia"/>
                <w:color w:val="000000"/>
                <w:sz w:val="24"/>
                <w:szCs w:val="24"/>
              </w:rPr>
              <w:t>④</w:t>
            </w:r>
          </w:p>
        </w:tc>
        <w:tc>
          <w:tcPr>
            <w:tcW w:w="1199"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rFonts w:ascii="宋体" w:hAnsi="宋体" w:cs="宋体" w:hint="eastAsia"/>
                <w:color w:val="000000"/>
                <w:sz w:val="24"/>
                <w:szCs w:val="24"/>
              </w:rPr>
              <w:t>①</w:t>
            </w:r>
            <w:r w:rsidRPr="002F34D0">
              <w:rPr>
                <w:color w:val="000000"/>
                <w:sz w:val="24"/>
                <w:szCs w:val="24"/>
              </w:rPr>
              <w:t>-</w:t>
            </w:r>
            <w:r w:rsidRPr="002F34D0">
              <w:rPr>
                <w:rFonts w:ascii="宋体" w:hAnsi="宋体" w:cs="宋体" w:hint="eastAsia"/>
                <w:color w:val="000000"/>
                <w:sz w:val="24"/>
                <w:szCs w:val="24"/>
              </w:rPr>
              <w:t>③</w:t>
            </w:r>
          </w:p>
        </w:tc>
        <w:tc>
          <w:tcPr>
            <w:tcW w:w="1204" w:type="dxa"/>
            <w:vAlign w:val="center"/>
          </w:tcPr>
          <w:p w:rsidR="00154BE1" w:rsidRPr="002F34D0" w:rsidRDefault="00154BE1" w:rsidP="002F34D0">
            <w:pPr>
              <w:autoSpaceDE w:val="0"/>
              <w:autoSpaceDN w:val="0"/>
              <w:adjustRightInd w:val="0"/>
              <w:spacing w:before="29" w:line="360" w:lineRule="auto"/>
              <w:ind w:left="15"/>
              <w:jc w:val="center"/>
              <w:rPr>
                <w:color w:val="000000"/>
                <w:sz w:val="24"/>
                <w:szCs w:val="24"/>
              </w:rPr>
            </w:pPr>
            <w:r w:rsidRPr="002F34D0">
              <w:rPr>
                <w:rFonts w:ascii="宋体" w:hAnsi="宋体" w:cs="宋体" w:hint="eastAsia"/>
                <w:color w:val="000000"/>
                <w:sz w:val="24"/>
                <w:szCs w:val="24"/>
              </w:rPr>
              <w:t>②</w:t>
            </w:r>
            <w:r w:rsidRPr="002F34D0">
              <w:rPr>
                <w:color w:val="000000"/>
                <w:sz w:val="24"/>
                <w:szCs w:val="24"/>
              </w:rPr>
              <w:t>-</w:t>
            </w:r>
            <w:r w:rsidRPr="002F34D0">
              <w:rPr>
                <w:rFonts w:ascii="宋体" w:hAnsi="宋体" w:cs="宋体" w:hint="eastAsia"/>
                <w:color w:val="000000"/>
                <w:sz w:val="24"/>
                <w:szCs w:val="24"/>
              </w:rPr>
              <w:t>④</w:t>
            </w:r>
          </w:p>
        </w:tc>
      </w:tr>
      <w:tr w:rsidR="0099261D">
        <w:tc>
          <w:tcPr>
            <w:tcW w:w="1395" w:type="dxa"/>
            <w:vAlign w:val="center"/>
          </w:tcPr>
          <w:p w:rsidR="0099261D" w:rsidRDefault="001E0F38">
            <w:pPr>
              <w:jc w:val="left"/>
            </w:pPr>
            <w:r>
              <w:rPr>
                <w:color w:val="000000"/>
                <w:sz w:val="24"/>
                <w:szCs w:val="24"/>
              </w:rPr>
              <w:t>2017</w:t>
            </w:r>
            <w:r>
              <w:rPr>
                <w:color w:val="000000"/>
                <w:sz w:val="24"/>
                <w:szCs w:val="24"/>
              </w:rPr>
              <w:t>年</w:t>
            </w:r>
            <w:r>
              <w:rPr>
                <w:color w:val="000000"/>
                <w:sz w:val="24"/>
                <w:szCs w:val="24"/>
              </w:rPr>
              <w:t>1</w:t>
            </w:r>
            <w:r>
              <w:rPr>
                <w:color w:val="000000"/>
                <w:sz w:val="24"/>
                <w:szCs w:val="24"/>
              </w:rPr>
              <w:t>月</w:t>
            </w:r>
            <w:r>
              <w:rPr>
                <w:color w:val="000000"/>
                <w:sz w:val="24"/>
                <w:szCs w:val="24"/>
              </w:rPr>
              <w:t>3</w:t>
            </w:r>
            <w:r>
              <w:rPr>
                <w:color w:val="000000"/>
                <w:sz w:val="24"/>
                <w:szCs w:val="24"/>
              </w:rPr>
              <w:t>日－</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w:t>
            </w:r>
          </w:p>
        </w:tc>
        <w:tc>
          <w:tcPr>
            <w:tcW w:w="1092" w:type="dxa"/>
            <w:vAlign w:val="center"/>
          </w:tcPr>
          <w:p w:rsidR="0099261D" w:rsidRDefault="001E0F38">
            <w:pPr>
              <w:jc w:val="center"/>
            </w:pPr>
            <w:r>
              <w:rPr>
                <w:color w:val="000000"/>
                <w:sz w:val="24"/>
                <w:szCs w:val="24"/>
              </w:rPr>
              <w:t>1.32%</w:t>
            </w:r>
          </w:p>
        </w:tc>
        <w:tc>
          <w:tcPr>
            <w:tcW w:w="1161" w:type="dxa"/>
            <w:vAlign w:val="center"/>
          </w:tcPr>
          <w:p w:rsidR="0099261D" w:rsidRDefault="001E0F38">
            <w:pPr>
              <w:jc w:val="center"/>
            </w:pPr>
            <w:r>
              <w:rPr>
                <w:color w:val="000000"/>
                <w:sz w:val="24"/>
                <w:szCs w:val="24"/>
              </w:rPr>
              <w:t>0.64%</w:t>
            </w:r>
          </w:p>
        </w:tc>
        <w:tc>
          <w:tcPr>
            <w:tcW w:w="1181" w:type="dxa"/>
            <w:vAlign w:val="center"/>
          </w:tcPr>
          <w:p w:rsidR="0099261D" w:rsidRDefault="001E0F38">
            <w:pPr>
              <w:jc w:val="center"/>
            </w:pPr>
            <w:r>
              <w:rPr>
                <w:color w:val="000000"/>
                <w:sz w:val="24"/>
                <w:szCs w:val="24"/>
              </w:rPr>
              <w:t>3.46%</w:t>
            </w:r>
          </w:p>
        </w:tc>
        <w:tc>
          <w:tcPr>
            <w:tcW w:w="1188" w:type="dxa"/>
            <w:vAlign w:val="center"/>
          </w:tcPr>
          <w:p w:rsidR="0099261D" w:rsidRDefault="001E0F38">
            <w:pPr>
              <w:jc w:val="center"/>
            </w:pPr>
            <w:r>
              <w:rPr>
                <w:color w:val="000000"/>
                <w:sz w:val="24"/>
                <w:szCs w:val="24"/>
              </w:rPr>
              <w:t>0.41%</w:t>
            </w:r>
          </w:p>
        </w:tc>
        <w:tc>
          <w:tcPr>
            <w:tcW w:w="1199" w:type="dxa"/>
            <w:vAlign w:val="center"/>
          </w:tcPr>
          <w:p w:rsidR="0099261D" w:rsidRDefault="001E0F38">
            <w:pPr>
              <w:jc w:val="center"/>
            </w:pPr>
            <w:r>
              <w:rPr>
                <w:color w:val="000000"/>
                <w:sz w:val="24"/>
                <w:szCs w:val="24"/>
              </w:rPr>
              <w:t>-2.14%</w:t>
            </w:r>
          </w:p>
        </w:tc>
        <w:tc>
          <w:tcPr>
            <w:tcW w:w="1204" w:type="dxa"/>
            <w:vAlign w:val="center"/>
          </w:tcPr>
          <w:p w:rsidR="0099261D" w:rsidRDefault="001E0F38">
            <w:pPr>
              <w:jc w:val="center"/>
            </w:pPr>
            <w:r>
              <w:rPr>
                <w:color w:val="000000"/>
                <w:sz w:val="24"/>
                <w:szCs w:val="24"/>
              </w:rPr>
              <w:t>0.23%</w:t>
            </w:r>
          </w:p>
        </w:tc>
      </w:tr>
    </w:tbl>
    <w:p w:rsidR="00C718EF" w:rsidRPr="00150752" w:rsidRDefault="00C718EF" w:rsidP="002F34D0">
      <w:pPr>
        <w:spacing w:line="360" w:lineRule="auto"/>
        <w:rPr>
          <w:rFonts w:cs="Arial"/>
          <w:b/>
          <w:color w:val="000000"/>
          <w:kern w:val="0"/>
          <w:sz w:val="24"/>
          <w:szCs w:val="24"/>
        </w:rPr>
      </w:pPr>
      <w:r w:rsidRPr="00150752">
        <w:rPr>
          <w:rFonts w:cs="Arial"/>
          <w:b/>
          <w:color w:val="000000"/>
          <w:kern w:val="0"/>
          <w:sz w:val="24"/>
          <w:szCs w:val="24"/>
        </w:rPr>
        <w:t>3.2.</w:t>
      </w:r>
      <w:r w:rsidRPr="00150752">
        <w:rPr>
          <w:rFonts w:cs="Arial" w:hint="eastAsia"/>
          <w:b/>
          <w:color w:val="000000"/>
          <w:kern w:val="0"/>
          <w:sz w:val="24"/>
          <w:szCs w:val="24"/>
        </w:rPr>
        <w:t>1.</w:t>
      </w:r>
      <w:r w:rsidRPr="00150752">
        <w:rPr>
          <w:rFonts w:cs="Arial"/>
          <w:b/>
          <w:color w:val="000000"/>
          <w:kern w:val="0"/>
          <w:sz w:val="24"/>
          <w:szCs w:val="24"/>
        </w:rPr>
        <w:t>2</w:t>
      </w:r>
      <w:r w:rsidR="00E97279" w:rsidRPr="008C2025">
        <w:rPr>
          <w:rStyle w:val="afb"/>
          <w:rFonts w:eastAsiaTheme="minorEastAsia"/>
          <w:color w:val="000000" w:themeColor="text1"/>
          <w:sz w:val="24"/>
          <w:szCs w:val="24"/>
          <w:shd w:val="clear" w:color="auto" w:fill="FFFFFF"/>
        </w:rPr>
        <w:t>自基金转型以来</w:t>
      </w:r>
      <w:r w:rsidRPr="00150752">
        <w:rPr>
          <w:rFonts w:cs="Arial" w:hint="eastAsia"/>
          <w:b/>
          <w:color w:val="000000"/>
          <w:kern w:val="0"/>
          <w:sz w:val="24"/>
          <w:szCs w:val="24"/>
        </w:rPr>
        <w:t>基金累计净值增长率变动及其与同期业绩比较基准收益率变动的比较</w:t>
      </w:r>
    </w:p>
    <w:p w:rsidR="008606B6" w:rsidRPr="002F34D0" w:rsidRDefault="008606B6" w:rsidP="002F34D0">
      <w:pPr>
        <w:spacing w:line="360" w:lineRule="auto"/>
        <w:jc w:val="center"/>
        <w:rPr>
          <w:color w:val="000000"/>
          <w:sz w:val="24"/>
          <w:szCs w:val="24"/>
        </w:rPr>
      </w:pPr>
      <w:r w:rsidRPr="002F34D0">
        <w:rPr>
          <w:rFonts w:hint="eastAsia"/>
          <w:color w:val="000000"/>
          <w:sz w:val="24"/>
          <w:szCs w:val="24"/>
        </w:rPr>
        <w:t>易方达科瑞灵活配置混合型证券投资基金</w:t>
      </w:r>
    </w:p>
    <w:p w:rsidR="00C718EF" w:rsidRPr="002F34D0" w:rsidRDefault="00C718EF" w:rsidP="002F34D0">
      <w:pPr>
        <w:spacing w:line="360" w:lineRule="auto"/>
        <w:jc w:val="center"/>
        <w:rPr>
          <w:color w:val="000000"/>
          <w:sz w:val="24"/>
          <w:szCs w:val="24"/>
        </w:rPr>
      </w:pPr>
      <w:r w:rsidRPr="002F34D0">
        <w:rPr>
          <w:rFonts w:hint="eastAsia"/>
          <w:color w:val="000000"/>
          <w:sz w:val="24"/>
          <w:szCs w:val="24"/>
        </w:rPr>
        <w:t>累计净值增长率与业绩比较基准收益率历史走势对比图</w:t>
      </w:r>
    </w:p>
    <w:p w:rsidR="004061AC" w:rsidRPr="00220C32" w:rsidRDefault="00C37947" w:rsidP="002F34D0">
      <w:pPr>
        <w:spacing w:line="360" w:lineRule="auto"/>
        <w:jc w:val="center"/>
        <w:rPr>
          <w:rFonts w:asciiTheme="minorEastAsia" w:eastAsiaTheme="minorEastAsia" w:hAnsiTheme="minorEastAsia"/>
          <w:color w:val="000000" w:themeColor="text1"/>
          <w:sz w:val="24"/>
          <w:szCs w:val="24"/>
        </w:rPr>
      </w:pPr>
      <w:r w:rsidRPr="002F34D0">
        <w:rPr>
          <w:rFonts w:hint="eastAsia"/>
          <w:color w:val="000000"/>
          <w:sz w:val="24"/>
          <w:szCs w:val="24"/>
        </w:rPr>
        <w:t>(2017</w:t>
      </w:r>
      <w:r w:rsidRPr="002F34D0">
        <w:rPr>
          <w:rFonts w:hint="eastAsia"/>
          <w:color w:val="000000"/>
          <w:sz w:val="24"/>
          <w:szCs w:val="24"/>
        </w:rPr>
        <w:t>年</w:t>
      </w:r>
      <w:r w:rsidRPr="002F34D0">
        <w:rPr>
          <w:rFonts w:hint="eastAsia"/>
          <w:color w:val="000000"/>
          <w:sz w:val="24"/>
          <w:szCs w:val="24"/>
        </w:rPr>
        <w:t>1</w:t>
      </w:r>
      <w:r w:rsidRPr="002F34D0">
        <w:rPr>
          <w:rFonts w:hint="eastAsia"/>
          <w:color w:val="000000"/>
          <w:sz w:val="24"/>
          <w:szCs w:val="24"/>
        </w:rPr>
        <w:t>月</w:t>
      </w:r>
      <w:r w:rsidRPr="002F34D0">
        <w:rPr>
          <w:rFonts w:hint="eastAsia"/>
          <w:color w:val="000000"/>
          <w:sz w:val="24"/>
          <w:szCs w:val="24"/>
        </w:rPr>
        <w:t>3</w:t>
      </w:r>
      <w:r w:rsidRPr="002F34D0">
        <w:rPr>
          <w:rFonts w:hint="eastAsia"/>
          <w:color w:val="000000"/>
          <w:sz w:val="24"/>
          <w:szCs w:val="24"/>
        </w:rPr>
        <w:t>日</w:t>
      </w:r>
      <w:r w:rsidRPr="002F34D0">
        <w:rPr>
          <w:rFonts w:hint="eastAsia"/>
          <w:color w:val="000000"/>
          <w:sz w:val="24"/>
          <w:szCs w:val="24"/>
        </w:rPr>
        <w:t>-2017</w:t>
      </w:r>
      <w:r w:rsidRPr="002F34D0">
        <w:rPr>
          <w:rFonts w:hint="eastAsia"/>
          <w:color w:val="000000"/>
          <w:sz w:val="24"/>
          <w:szCs w:val="24"/>
        </w:rPr>
        <w:t>年</w:t>
      </w:r>
      <w:r w:rsidRPr="002F34D0">
        <w:rPr>
          <w:rFonts w:hint="eastAsia"/>
          <w:color w:val="000000"/>
          <w:sz w:val="24"/>
          <w:szCs w:val="24"/>
        </w:rPr>
        <w:t>3</w:t>
      </w:r>
      <w:r w:rsidRPr="002F34D0">
        <w:rPr>
          <w:rFonts w:hint="eastAsia"/>
          <w:color w:val="000000"/>
          <w:sz w:val="24"/>
          <w:szCs w:val="24"/>
        </w:rPr>
        <w:t>月</w:t>
      </w:r>
      <w:r w:rsidRPr="002F34D0">
        <w:rPr>
          <w:rFonts w:hint="eastAsia"/>
          <w:color w:val="000000"/>
          <w:sz w:val="24"/>
          <w:szCs w:val="24"/>
        </w:rPr>
        <w:t>31</w:t>
      </w:r>
      <w:r w:rsidRPr="002F34D0">
        <w:rPr>
          <w:rFonts w:hint="eastAsia"/>
          <w:color w:val="000000"/>
          <w:sz w:val="24"/>
          <w:szCs w:val="24"/>
        </w:rPr>
        <w:t>日</w:t>
      </w:r>
      <w:r w:rsidRPr="002F34D0">
        <w:rPr>
          <w:rFonts w:hint="eastAsia"/>
          <w:color w:val="000000"/>
          <w:sz w:val="24"/>
          <w:szCs w:val="24"/>
        </w:rPr>
        <w:t>)</w:t>
      </w:r>
      <w:r w:rsidR="00866CF2"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99261D" w:rsidRDefault="001E0F38">
      <w:pPr>
        <w:tabs>
          <w:tab w:val="left" w:pos="1800"/>
        </w:tabs>
        <w:adjustRightInd w:val="0"/>
        <w:snapToGrid w:val="0"/>
        <w:spacing w:line="360" w:lineRule="auto"/>
        <w:rPr>
          <w:color w:val="000000"/>
          <w:sz w:val="24"/>
          <w:szCs w:val="24"/>
        </w:rPr>
      </w:pPr>
      <w:r>
        <w:rPr>
          <w:color w:val="000000"/>
          <w:sz w:val="24"/>
          <w:szCs w:val="24"/>
        </w:rPr>
        <w:t>注：</w:t>
      </w:r>
      <w:r>
        <w:rPr>
          <w:color w:val="000000"/>
          <w:sz w:val="24"/>
          <w:szCs w:val="24"/>
        </w:rPr>
        <w:t>1.</w:t>
      </w:r>
      <w:r>
        <w:rPr>
          <w:color w:val="000000"/>
          <w:sz w:val="24"/>
          <w:szCs w:val="24"/>
        </w:rPr>
        <w:t>本基金由原科瑞证券投资基金于</w:t>
      </w:r>
      <w:r>
        <w:rPr>
          <w:color w:val="000000"/>
          <w:sz w:val="24"/>
          <w:szCs w:val="24"/>
        </w:rPr>
        <w:t>2017</w:t>
      </w:r>
      <w:r>
        <w:rPr>
          <w:color w:val="000000"/>
          <w:sz w:val="24"/>
          <w:szCs w:val="24"/>
        </w:rPr>
        <w:t>年</w:t>
      </w:r>
      <w:r>
        <w:rPr>
          <w:color w:val="000000"/>
          <w:sz w:val="24"/>
          <w:szCs w:val="24"/>
        </w:rPr>
        <w:t>1</w:t>
      </w:r>
      <w:r>
        <w:rPr>
          <w:color w:val="000000"/>
          <w:sz w:val="24"/>
          <w:szCs w:val="24"/>
        </w:rPr>
        <w:t>月</w:t>
      </w:r>
      <w:r>
        <w:rPr>
          <w:color w:val="000000"/>
          <w:sz w:val="24"/>
          <w:szCs w:val="24"/>
        </w:rPr>
        <w:t>3</w:t>
      </w:r>
      <w:r>
        <w:rPr>
          <w:color w:val="000000"/>
          <w:sz w:val="24"/>
          <w:szCs w:val="24"/>
        </w:rPr>
        <w:t>日转型而来，截至报告期末，本基金合同生效未满一年。</w:t>
      </w:r>
    </w:p>
    <w:p w:rsidR="0099261D" w:rsidRDefault="001E0F38">
      <w:pPr>
        <w:tabs>
          <w:tab w:val="left" w:pos="1800"/>
        </w:tabs>
        <w:adjustRightInd w:val="0"/>
        <w:snapToGrid w:val="0"/>
        <w:spacing w:line="360" w:lineRule="auto"/>
        <w:rPr>
          <w:color w:val="000000"/>
          <w:sz w:val="24"/>
          <w:szCs w:val="24"/>
        </w:rPr>
      </w:pPr>
      <w:r>
        <w:rPr>
          <w:color w:val="000000"/>
          <w:sz w:val="24"/>
          <w:szCs w:val="24"/>
        </w:rPr>
        <w:lastRenderedPageBreak/>
        <w:t>2.</w:t>
      </w:r>
      <w:r>
        <w:rPr>
          <w:color w:val="000000"/>
          <w:sz w:val="24"/>
          <w:szCs w:val="24"/>
        </w:rPr>
        <w:t>按基金合同和招募说明书的约定，自基金合同生效之日起六个月内使基金的投资组合比例符合本基金合同（第十二部分二、投资范围，三、投资策略和四、投资限制）的有关约定。本报告期本基金处于建仓期内。</w:t>
      </w:r>
    </w:p>
    <w:p w:rsidR="00957594" w:rsidRPr="002F34D0" w:rsidRDefault="004B0989" w:rsidP="002F34D0">
      <w:pPr>
        <w:tabs>
          <w:tab w:val="left" w:pos="1800"/>
        </w:tabs>
        <w:adjustRightInd w:val="0"/>
        <w:snapToGrid w:val="0"/>
        <w:spacing w:line="360" w:lineRule="auto"/>
        <w:rPr>
          <w:color w:val="000000"/>
          <w:sz w:val="24"/>
          <w:szCs w:val="24"/>
        </w:rPr>
      </w:pPr>
      <w:r w:rsidRPr="002F34D0">
        <w:rPr>
          <w:color w:val="000000"/>
          <w:sz w:val="24"/>
          <w:szCs w:val="24"/>
        </w:rPr>
        <w:t>3.</w:t>
      </w:r>
      <w:r w:rsidRPr="002F34D0">
        <w:rPr>
          <w:color w:val="000000"/>
          <w:sz w:val="24"/>
          <w:szCs w:val="24"/>
        </w:rPr>
        <w:t>自基金转型</w:t>
      </w:r>
      <w:proofErr w:type="gramStart"/>
      <w:r w:rsidRPr="002F34D0">
        <w:rPr>
          <w:color w:val="000000"/>
          <w:sz w:val="24"/>
          <w:szCs w:val="24"/>
        </w:rPr>
        <w:t>至报告</w:t>
      </w:r>
      <w:proofErr w:type="gramEnd"/>
      <w:r w:rsidRPr="002F34D0">
        <w:rPr>
          <w:color w:val="000000"/>
          <w:sz w:val="24"/>
          <w:szCs w:val="24"/>
        </w:rPr>
        <w:t>期末，基金份额净值增长率为</w:t>
      </w:r>
      <w:r w:rsidRPr="002F34D0">
        <w:rPr>
          <w:color w:val="000000"/>
          <w:sz w:val="24"/>
          <w:szCs w:val="24"/>
        </w:rPr>
        <w:t>1.32%</w:t>
      </w:r>
      <w:r w:rsidRPr="002F34D0">
        <w:rPr>
          <w:color w:val="000000"/>
          <w:sz w:val="24"/>
          <w:szCs w:val="24"/>
        </w:rPr>
        <w:t>，同期业绩比较基准收益率为</w:t>
      </w:r>
      <w:r w:rsidRPr="002F34D0">
        <w:rPr>
          <w:color w:val="000000"/>
          <w:sz w:val="24"/>
          <w:szCs w:val="24"/>
        </w:rPr>
        <w:t>3.46%</w:t>
      </w:r>
      <w:r w:rsidRPr="002F34D0">
        <w:rPr>
          <w:color w:val="000000"/>
          <w:sz w:val="24"/>
          <w:szCs w:val="24"/>
        </w:rPr>
        <w:t>。</w:t>
      </w:r>
    </w:p>
    <w:p w:rsidR="004D770C" w:rsidRPr="002F34D0" w:rsidRDefault="004D770C" w:rsidP="002F34D0">
      <w:pPr>
        <w:pStyle w:val="3"/>
        <w:spacing w:before="0" w:after="0" w:line="360" w:lineRule="auto"/>
        <w:rPr>
          <w:rFonts w:cs="Arial"/>
          <w:color w:val="000000"/>
          <w:kern w:val="0"/>
          <w:sz w:val="24"/>
          <w:szCs w:val="24"/>
        </w:rPr>
      </w:pPr>
      <w:r w:rsidRPr="002F34D0">
        <w:rPr>
          <w:rFonts w:cs="Arial"/>
          <w:color w:val="000000"/>
          <w:kern w:val="0"/>
          <w:sz w:val="24"/>
          <w:szCs w:val="24"/>
        </w:rPr>
        <w:t>3.2.</w:t>
      </w:r>
      <w:r w:rsidRPr="002F34D0">
        <w:rPr>
          <w:rFonts w:cs="Arial" w:hint="eastAsia"/>
          <w:color w:val="000000"/>
          <w:kern w:val="0"/>
          <w:sz w:val="24"/>
          <w:szCs w:val="24"/>
        </w:rPr>
        <w:t xml:space="preserve">2 </w:t>
      </w:r>
      <w:r w:rsidRPr="002F34D0">
        <w:rPr>
          <w:rFonts w:cs="Arial"/>
          <w:color w:val="000000"/>
          <w:kern w:val="0"/>
          <w:sz w:val="24"/>
          <w:szCs w:val="24"/>
        </w:rPr>
        <w:t>科瑞证券投资基金</w:t>
      </w:r>
    </w:p>
    <w:p w:rsidR="004D770C" w:rsidRPr="002F34D0" w:rsidRDefault="004D770C" w:rsidP="002F34D0">
      <w:pPr>
        <w:autoSpaceDE w:val="0"/>
        <w:autoSpaceDN w:val="0"/>
        <w:adjustRightInd w:val="0"/>
        <w:spacing w:line="360" w:lineRule="auto"/>
        <w:ind w:left="15"/>
        <w:jc w:val="left"/>
        <w:rPr>
          <w:rFonts w:cs="Arial"/>
          <w:b/>
          <w:color w:val="000000"/>
          <w:kern w:val="0"/>
          <w:sz w:val="24"/>
          <w:szCs w:val="24"/>
        </w:rPr>
      </w:pPr>
      <w:r w:rsidRPr="002F34D0">
        <w:rPr>
          <w:rFonts w:cs="Arial" w:hint="eastAsia"/>
          <w:b/>
          <w:color w:val="000000"/>
          <w:kern w:val="0"/>
          <w:sz w:val="24"/>
          <w:szCs w:val="24"/>
        </w:rPr>
        <w:t>（报告期：</w:t>
      </w:r>
      <w:r w:rsidRPr="002F34D0">
        <w:rPr>
          <w:rFonts w:cs="Arial" w:hint="eastAsia"/>
          <w:b/>
          <w:color w:val="000000"/>
          <w:kern w:val="0"/>
          <w:sz w:val="24"/>
          <w:szCs w:val="24"/>
        </w:rPr>
        <w:t>2017</w:t>
      </w:r>
      <w:r w:rsidRPr="002F34D0">
        <w:rPr>
          <w:rFonts w:cs="Arial" w:hint="eastAsia"/>
          <w:b/>
          <w:color w:val="000000"/>
          <w:kern w:val="0"/>
          <w:sz w:val="24"/>
          <w:szCs w:val="24"/>
        </w:rPr>
        <w:t>年</w:t>
      </w:r>
      <w:r w:rsidRPr="002F34D0">
        <w:rPr>
          <w:rFonts w:cs="Arial" w:hint="eastAsia"/>
          <w:b/>
          <w:color w:val="000000"/>
          <w:kern w:val="0"/>
          <w:sz w:val="24"/>
          <w:szCs w:val="24"/>
        </w:rPr>
        <w:t>1</w:t>
      </w:r>
      <w:r w:rsidRPr="002F34D0">
        <w:rPr>
          <w:rFonts w:cs="Arial" w:hint="eastAsia"/>
          <w:b/>
          <w:color w:val="000000"/>
          <w:kern w:val="0"/>
          <w:sz w:val="24"/>
          <w:szCs w:val="24"/>
        </w:rPr>
        <w:t>月</w:t>
      </w:r>
      <w:r w:rsidRPr="002F34D0">
        <w:rPr>
          <w:rFonts w:cs="Arial" w:hint="eastAsia"/>
          <w:b/>
          <w:color w:val="000000"/>
          <w:kern w:val="0"/>
          <w:sz w:val="24"/>
          <w:szCs w:val="24"/>
        </w:rPr>
        <w:t>1</w:t>
      </w:r>
      <w:r w:rsidRPr="002F34D0">
        <w:rPr>
          <w:rFonts w:cs="Arial" w:hint="eastAsia"/>
          <w:b/>
          <w:color w:val="000000"/>
          <w:kern w:val="0"/>
          <w:sz w:val="24"/>
          <w:szCs w:val="24"/>
        </w:rPr>
        <w:t>日</w:t>
      </w:r>
      <w:r w:rsidRPr="002F34D0">
        <w:rPr>
          <w:rFonts w:cs="Arial" w:hint="eastAsia"/>
          <w:b/>
          <w:color w:val="000000"/>
          <w:kern w:val="0"/>
          <w:sz w:val="24"/>
          <w:szCs w:val="24"/>
        </w:rPr>
        <w:t>-2017</w:t>
      </w:r>
      <w:r w:rsidRPr="002F34D0">
        <w:rPr>
          <w:rFonts w:cs="Arial" w:hint="eastAsia"/>
          <w:b/>
          <w:color w:val="000000"/>
          <w:kern w:val="0"/>
          <w:sz w:val="24"/>
          <w:szCs w:val="24"/>
        </w:rPr>
        <w:t>年</w:t>
      </w:r>
      <w:r w:rsidRPr="002F34D0">
        <w:rPr>
          <w:rFonts w:cs="Arial" w:hint="eastAsia"/>
          <w:b/>
          <w:color w:val="000000"/>
          <w:kern w:val="0"/>
          <w:sz w:val="24"/>
          <w:szCs w:val="24"/>
        </w:rPr>
        <w:t>1</w:t>
      </w:r>
      <w:r w:rsidRPr="002F34D0">
        <w:rPr>
          <w:rFonts w:cs="Arial" w:hint="eastAsia"/>
          <w:b/>
          <w:color w:val="000000"/>
          <w:kern w:val="0"/>
          <w:sz w:val="24"/>
          <w:szCs w:val="24"/>
        </w:rPr>
        <w:t>月</w:t>
      </w:r>
      <w:r w:rsidRPr="002F34D0">
        <w:rPr>
          <w:rFonts w:cs="Arial" w:hint="eastAsia"/>
          <w:b/>
          <w:color w:val="000000"/>
          <w:kern w:val="0"/>
          <w:sz w:val="24"/>
          <w:szCs w:val="24"/>
        </w:rPr>
        <w:t>2</w:t>
      </w:r>
      <w:r w:rsidRPr="002F34D0">
        <w:rPr>
          <w:rFonts w:cs="Arial" w:hint="eastAsia"/>
          <w:b/>
          <w:color w:val="000000"/>
          <w:kern w:val="0"/>
          <w:sz w:val="24"/>
          <w:szCs w:val="24"/>
        </w:rPr>
        <w:t>日）</w:t>
      </w:r>
    </w:p>
    <w:p w:rsidR="004D770C" w:rsidRPr="002F34D0" w:rsidRDefault="004D770C" w:rsidP="002F34D0">
      <w:pPr>
        <w:autoSpaceDE w:val="0"/>
        <w:autoSpaceDN w:val="0"/>
        <w:adjustRightInd w:val="0"/>
        <w:spacing w:line="360" w:lineRule="auto"/>
        <w:ind w:left="17"/>
        <w:jc w:val="left"/>
        <w:rPr>
          <w:rFonts w:cs="Arial"/>
          <w:b/>
          <w:color w:val="000000"/>
          <w:kern w:val="0"/>
          <w:sz w:val="24"/>
          <w:szCs w:val="24"/>
        </w:rPr>
      </w:pPr>
      <w:r w:rsidRPr="002F34D0">
        <w:rPr>
          <w:rFonts w:cs="Arial"/>
          <w:b/>
          <w:color w:val="000000"/>
          <w:kern w:val="0"/>
          <w:sz w:val="24"/>
          <w:szCs w:val="24"/>
        </w:rPr>
        <w:t>3.2.</w:t>
      </w:r>
      <w:r w:rsidR="00AB223D" w:rsidRPr="002F34D0">
        <w:rPr>
          <w:rFonts w:cs="Arial" w:hint="eastAsia"/>
          <w:b/>
          <w:color w:val="000000"/>
          <w:kern w:val="0"/>
          <w:sz w:val="24"/>
          <w:szCs w:val="24"/>
        </w:rPr>
        <w:t>2</w:t>
      </w:r>
      <w:r w:rsidRPr="002F34D0">
        <w:rPr>
          <w:rFonts w:cs="Arial" w:hint="eastAsia"/>
          <w:b/>
          <w:color w:val="000000"/>
          <w:kern w:val="0"/>
          <w:sz w:val="24"/>
          <w:szCs w:val="24"/>
        </w:rPr>
        <w:t>.1</w:t>
      </w:r>
      <w:r w:rsidRPr="002F34D0">
        <w:rPr>
          <w:rFonts w:cs="Arial"/>
          <w:b/>
          <w:color w:val="000000"/>
          <w:kern w:val="0"/>
          <w:sz w:val="24"/>
          <w:szCs w:val="24"/>
        </w:rPr>
        <w:t xml:space="preserve"> </w:t>
      </w:r>
      <w:r w:rsidRPr="002F34D0">
        <w:rPr>
          <w:rFonts w:cs="Arial" w:hint="eastAsia"/>
          <w:b/>
          <w:color w:val="000000"/>
          <w:kern w:val="0"/>
          <w:sz w:val="24"/>
          <w:szCs w:val="24"/>
        </w:rPr>
        <w:t>本报告</w:t>
      </w:r>
      <w:proofErr w:type="gramStart"/>
      <w:r w:rsidRPr="002F34D0">
        <w:rPr>
          <w:rFonts w:cs="Arial" w:hint="eastAsia"/>
          <w:b/>
          <w:color w:val="000000"/>
          <w:kern w:val="0"/>
          <w:sz w:val="24"/>
          <w:szCs w:val="24"/>
        </w:rPr>
        <w:t>期基金</w:t>
      </w:r>
      <w:proofErr w:type="gramEnd"/>
      <w:r w:rsidRPr="002F34D0">
        <w:rPr>
          <w:rFonts w:cs="Arial" w:hint="eastAsia"/>
          <w:b/>
          <w:color w:val="000000"/>
          <w:kern w:val="0"/>
          <w:sz w:val="24"/>
          <w:szCs w:val="24"/>
        </w:rPr>
        <w:t>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8C2025" w:rsidRPr="002F34D0" w:rsidTr="00BB3C5F">
        <w:tc>
          <w:tcPr>
            <w:tcW w:w="1395"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eastAsiaTheme="minorEastAsia"/>
                <w:color w:val="000000" w:themeColor="text1"/>
                <w:sz w:val="24"/>
                <w:szCs w:val="24"/>
              </w:rPr>
              <w:t>阶段</w:t>
            </w:r>
          </w:p>
        </w:tc>
        <w:tc>
          <w:tcPr>
            <w:tcW w:w="1092"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eastAsiaTheme="minorEastAsia"/>
                <w:color w:val="000000" w:themeColor="text1"/>
                <w:sz w:val="24"/>
                <w:szCs w:val="24"/>
              </w:rPr>
              <w:t>净值增长率</w:t>
            </w:r>
            <w:r w:rsidRPr="002F34D0">
              <w:rPr>
                <w:rFonts w:ascii="宋体" w:hAnsi="宋体" w:cs="宋体" w:hint="eastAsia"/>
                <w:color w:val="000000" w:themeColor="text1"/>
                <w:sz w:val="24"/>
                <w:szCs w:val="24"/>
              </w:rPr>
              <w:t>①</w:t>
            </w:r>
          </w:p>
        </w:tc>
        <w:tc>
          <w:tcPr>
            <w:tcW w:w="1161"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eastAsiaTheme="minorEastAsia"/>
                <w:color w:val="000000" w:themeColor="text1"/>
                <w:sz w:val="24"/>
                <w:szCs w:val="24"/>
              </w:rPr>
              <w:t>净值增长率标准差</w:t>
            </w:r>
            <w:r w:rsidRPr="002F34D0">
              <w:rPr>
                <w:rFonts w:ascii="宋体" w:hAnsi="宋体" w:cs="宋体" w:hint="eastAsia"/>
                <w:color w:val="000000" w:themeColor="text1"/>
                <w:sz w:val="24"/>
                <w:szCs w:val="24"/>
              </w:rPr>
              <w:t>②</w:t>
            </w:r>
          </w:p>
        </w:tc>
        <w:tc>
          <w:tcPr>
            <w:tcW w:w="1181"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eastAsiaTheme="minorEastAsia"/>
                <w:color w:val="000000" w:themeColor="text1"/>
                <w:sz w:val="24"/>
                <w:szCs w:val="24"/>
              </w:rPr>
              <w:t>业绩比较基准收益率</w:t>
            </w:r>
            <w:r w:rsidRPr="002F34D0">
              <w:rPr>
                <w:rFonts w:ascii="宋体" w:hAnsi="宋体" w:cs="宋体" w:hint="eastAsia"/>
                <w:color w:val="000000" w:themeColor="text1"/>
                <w:sz w:val="24"/>
                <w:szCs w:val="24"/>
              </w:rPr>
              <w:t>③</w:t>
            </w:r>
          </w:p>
        </w:tc>
        <w:tc>
          <w:tcPr>
            <w:tcW w:w="1188"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eastAsiaTheme="minorEastAsia"/>
                <w:color w:val="000000" w:themeColor="text1"/>
                <w:sz w:val="24"/>
                <w:szCs w:val="24"/>
              </w:rPr>
              <w:t>业绩比较基准收益率标准差</w:t>
            </w:r>
            <w:r w:rsidRPr="002F34D0">
              <w:rPr>
                <w:rFonts w:ascii="宋体" w:hAnsi="宋体" w:cs="宋体" w:hint="eastAsia"/>
                <w:color w:val="000000" w:themeColor="text1"/>
                <w:sz w:val="24"/>
                <w:szCs w:val="24"/>
              </w:rPr>
              <w:t>④</w:t>
            </w:r>
          </w:p>
        </w:tc>
        <w:tc>
          <w:tcPr>
            <w:tcW w:w="1199"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ascii="宋体" w:hAnsi="宋体" w:cs="宋体" w:hint="eastAsia"/>
                <w:color w:val="000000" w:themeColor="text1"/>
                <w:sz w:val="24"/>
                <w:szCs w:val="24"/>
              </w:rPr>
              <w:t>①</w:t>
            </w:r>
            <w:r w:rsidRPr="002F34D0">
              <w:rPr>
                <w:rFonts w:eastAsiaTheme="minorEastAsia"/>
                <w:color w:val="000000" w:themeColor="text1"/>
                <w:sz w:val="24"/>
                <w:szCs w:val="24"/>
              </w:rPr>
              <w:t>-</w:t>
            </w:r>
            <w:r w:rsidRPr="002F34D0">
              <w:rPr>
                <w:rFonts w:ascii="宋体" w:hAnsi="宋体" w:cs="宋体" w:hint="eastAsia"/>
                <w:color w:val="000000" w:themeColor="text1"/>
                <w:sz w:val="24"/>
                <w:szCs w:val="24"/>
              </w:rPr>
              <w:t>③</w:t>
            </w:r>
          </w:p>
        </w:tc>
        <w:tc>
          <w:tcPr>
            <w:tcW w:w="1204" w:type="dxa"/>
            <w:vAlign w:val="center"/>
          </w:tcPr>
          <w:p w:rsidR="008C2025" w:rsidRPr="002F34D0" w:rsidRDefault="008C2025" w:rsidP="002F34D0">
            <w:pPr>
              <w:autoSpaceDE w:val="0"/>
              <w:autoSpaceDN w:val="0"/>
              <w:adjustRightInd w:val="0"/>
              <w:spacing w:before="29" w:line="360" w:lineRule="auto"/>
              <w:ind w:left="17"/>
              <w:jc w:val="center"/>
              <w:rPr>
                <w:rFonts w:eastAsiaTheme="minorEastAsia"/>
                <w:color w:val="000000" w:themeColor="text1"/>
                <w:sz w:val="24"/>
                <w:szCs w:val="24"/>
              </w:rPr>
            </w:pPr>
            <w:r w:rsidRPr="002F34D0">
              <w:rPr>
                <w:rFonts w:ascii="宋体" w:hAnsi="宋体" w:cs="宋体" w:hint="eastAsia"/>
                <w:color w:val="000000" w:themeColor="text1"/>
                <w:sz w:val="24"/>
                <w:szCs w:val="24"/>
              </w:rPr>
              <w:t>②</w:t>
            </w:r>
            <w:r w:rsidRPr="002F34D0">
              <w:rPr>
                <w:rFonts w:eastAsiaTheme="minorEastAsia"/>
                <w:color w:val="000000" w:themeColor="text1"/>
                <w:sz w:val="24"/>
                <w:szCs w:val="24"/>
              </w:rPr>
              <w:t>-</w:t>
            </w:r>
            <w:r w:rsidRPr="002F34D0">
              <w:rPr>
                <w:rFonts w:ascii="宋体" w:hAnsi="宋体" w:cs="宋体" w:hint="eastAsia"/>
                <w:color w:val="000000" w:themeColor="text1"/>
                <w:sz w:val="24"/>
                <w:szCs w:val="24"/>
              </w:rPr>
              <w:t>④</w:t>
            </w:r>
          </w:p>
        </w:tc>
      </w:tr>
      <w:tr w:rsidR="0099261D">
        <w:tc>
          <w:tcPr>
            <w:tcW w:w="1395" w:type="dxa"/>
            <w:vAlign w:val="center"/>
          </w:tcPr>
          <w:p w:rsidR="0099261D" w:rsidRDefault="001E0F38">
            <w:pPr>
              <w:jc w:val="left"/>
            </w:pPr>
            <w:r>
              <w:rPr>
                <w:rFonts w:eastAsiaTheme="minorEastAsia"/>
                <w:color w:val="000000" w:themeColor="text1"/>
                <w:sz w:val="24"/>
                <w:szCs w:val="24"/>
              </w:rPr>
              <w:t>2017</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1</w:t>
            </w:r>
            <w:r>
              <w:rPr>
                <w:rFonts w:eastAsiaTheme="minorEastAsia"/>
                <w:color w:val="000000" w:themeColor="text1"/>
                <w:sz w:val="24"/>
                <w:szCs w:val="24"/>
              </w:rPr>
              <w:t>日－</w:t>
            </w:r>
            <w:r>
              <w:rPr>
                <w:rFonts w:eastAsiaTheme="minorEastAsia"/>
                <w:color w:val="000000" w:themeColor="text1"/>
                <w:sz w:val="24"/>
                <w:szCs w:val="24"/>
              </w:rPr>
              <w:t>2017</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2</w:t>
            </w:r>
            <w:r>
              <w:rPr>
                <w:rFonts w:eastAsiaTheme="minorEastAsia"/>
                <w:color w:val="000000" w:themeColor="text1"/>
                <w:sz w:val="24"/>
                <w:szCs w:val="24"/>
              </w:rPr>
              <w:t>日</w:t>
            </w:r>
          </w:p>
        </w:tc>
        <w:tc>
          <w:tcPr>
            <w:tcW w:w="1092" w:type="dxa"/>
            <w:vAlign w:val="center"/>
          </w:tcPr>
          <w:p w:rsidR="0099261D" w:rsidRDefault="001E0F38">
            <w:pPr>
              <w:jc w:val="center"/>
            </w:pPr>
            <w:r>
              <w:rPr>
                <w:rFonts w:eastAsiaTheme="minorEastAsia"/>
                <w:color w:val="000000" w:themeColor="text1"/>
                <w:sz w:val="24"/>
                <w:szCs w:val="24"/>
              </w:rPr>
              <w:t>0.00%</w:t>
            </w:r>
          </w:p>
        </w:tc>
        <w:tc>
          <w:tcPr>
            <w:tcW w:w="1161" w:type="dxa"/>
            <w:vAlign w:val="center"/>
          </w:tcPr>
          <w:p w:rsidR="0099261D" w:rsidRDefault="001E0F38">
            <w:pPr>
              <w:jc w:val="center"/>
            </w:pPr>
            <w:r>
              <w:rPr>
                <w:rFonts w:eastAsiaTheme="minorEastAsia"/>
                <w:color w:val="000000" w:themeColor="text1"/>
                <w:sz w:val="24"/>
                <w:szCs w:val="24"/>
              </w:rPr>
              <w:t>0.00%</w:t>
            </w:r>
          </w:p>
        </w:tc>
        <w:tc>
          <w:tcPr>
            <w:tcW w:w="1181" w:type="dxa"/>
            <w:vAlign w:val="center"/>
          </w:tcPr>
          <w:p w:rsidR="0099261D" w:rsidRDefault="001E0F38">
            <w:pPr>
              <w:jc w:val="center"/>
            </w:pPr>
            <w:r>
              <w:rPr>
                <w:rFonts w:eastAsiaTheme="minorEastAsia"/>
                <w:color w:val="000000" w:themeColor="text1"/>
                <w:sz w:val="24"/>
                <w:szCs w:val="24"/>
              </w:rPr>
              <w:t>-</w:t>
            </w:r>
          </w:p>
        </w:tc>
        <w:tc>
          <w:tcPr>
            <w:tcW w:w="1188" w:type="dxa"/>
            <w:vAlign w:val="center"/>
          </w:tcPr>
          <w:p w:rsidR="0099261D" w:rsidRDefault="001E0F38">
            <w:pPr>
              <w:jc w:val="center"/>
            </w:pPr>
            <w:r>
              <w:rPr>
                <w:rFonts w:eastAsiaTheme="minorEastAsia"/>
                <w:color w:val="000000" w:themeColor="text1"/>
                <w:sz w:val="24"/>
                <w:szCs w:val="24"/>
              </w:rPr>
              <w:t>-</w:t>
            </w:r>
          </w:p>
        </w:tc>
        <w:tc>
          <w:tcPr>
            <w:tcW w:w="1199" w:type="dxa"/>
            <w:vAlign w:val="center"/>
          </w:tcPr>
          <w:p w:rsidR="0099261D" w:rsidRDefault="001E0F38">
            <w:pPr>
              <w:jc w:val="center"/>
            </w:pPr>
            <w:r>
              <w:rPr>
                <w:rFonts w:eastAsiaTheme="minorEastAsia"/>
                <w:color w:val="000000" w:themeColor="text1"/>
                <w:sz w:val="24"/>
                <w:szCs w:val="24"/>
              </w:rPr>
              <w:t>-</w:t>
            </w:r>
          </w:p>
        </w:tc>
        <w:tc>
          <w:tcPr>
            <w:tcW w:w="1204" w:type="dxa"/>
            <w:vAlign w:val="center"/>
          </w:tcPr>
          <w:p w:rsidR="0099261D" w:rsidRDefault="001E0F38">
            <w:pPr>
              <w:jc w:val="center"/>
            </w:pPr>
            <w:r>
              <w:rPr>
                <w:rFonts w:eastAsiaTheme="minorEastAsia"/>
                <w:color w:val="000000" w:themeColor="text1"/>
                <w:sz w:val="24"/>
                <w:szCs w:val="24"/>
              </w:rPr>
              <w:t>-</w:t>
            </w:r>
          </w:p>
        </w:tc>
      </w:tr>
    </w:tbl>
    <w:p w:rsidR="004B0989" w:rsidRPr="008C2025" w:rsidRDefault="004B0989" w:rsidP="002F34D0">
      <w:pPr>
        <w:spacing w:line="360" w:lineRule="auto"/>
        <w:rPr>
          <w:rFonts w:eastAsiaTheme="minorEastAsia"/>
          <w:b/>
          <w:color w:val="000000" w:themeColor="text1"/>
          <w:kern w:val="0"/>
          <w:sz w:val="24"/>
          <w:szCs w:val="24"/>
        </w:rPr>
      </w:pPr>
      <w:r w:rsidRPr="008C2025">
        <w:rPr>
          <w:rFonts w:eastAsiaTheme="minorEastAsia"/>
          <w:b/>
          <w:color w:val="000000" w:themeColor="text1"/>
          <w:kern w:val="0"/>
          <w:sz w:val="24"/>
          <w:szCs w:val="24"/>
        </w:rPr>
        <w:t>3.2.2</w:t>
      </w:r>
      <w:r w:rsidR="00A614E5">
        <w:rPr>
          <w:rFonts w:eastAsiaTheme="minorEastAsia" w:hint="eastAsia"/>
          <w:b/>
          <w:color w:val="000000" w:themeColor="text1"/>
          <w:kern w:val="0"/>
          <w:sz w:val="24"/>
          <w:szCs w:val="24"/>
        </w:rPr>
        <w:t>.</w:t>
      </w:r>
      <w:r w:rsidRPr="008C2025">
        <w:rPr>
          <w:rFonts w:eastAsiaTheme="minorEastAsia" w:hint="eastAsia"/>
          <w:b/>
          <w:color w:val="000000" w:themeColor="text1"/>
          <w:kern w:val="0"/>
          <w:sz w:val="24"/>
          <w:szCs w:val="24"/>
        </w:rPr>
        <w:t>2</w:t>
      </w:r>
      <w:r w:rsidR="00E97279" w:rsidRPr="00150752">
        <w:rPr>
          <w:rFonts w:cs="Arial" w:hint="eastAsia"/>
          <w:b/>
          <w:color w:val="000000"/>
          <w:kern w:val="0"/>
          <w:sz w:val="24"/>
          <w:szCs w:val="24"/>
        </w:rPr>
        <w:t>自基金</w:t>
      </w:r>
      <w:r w:rsidR="00E97279">
        <w:rPr>
          <w:rFonts w:cs="Arial" w:hint="eastAsia"/>
          <w:b/>
          <w:color w:val="000000"/>
          <w:kern w:val="0"/>
          <w:sz w:val="24"/>
          <w:szCs w:val="24"/>
        </w:rPr>
        <w:t>合同生效以来</w:t>
      </w:r>
      <w:r w:rsidRPr="008C2025">
        <w:rPr>
          <w:rFonts w:eastAsiaTheme="minorEastAsia"/>
          <w:b/>
          <w:color w:val="000000" w:themeColor="text1"/>
          <w:kern w:val="0"/>
          <w:sz w:val="24"/>
          <w:szCs w:val="24"/>
        </w:rPr>
        <w:t>基金累计净值增长率变动及其与同期业绩比较基准收益率变动的比较</w:t>
      </w:r>
      <w:r w:rsidRPr="008C2025">
        <w:rPr>
          <w:rFonts w:eastAsiaTheme="minorEastAsia"/>
          <w:b/>
          <w:color w:val="000000" w:themeColor="text1"/>
          <w:kern w:val="0"/>
          <w:sz w:val="24"/>
          <w:szCs w:val="24"/>
        </w:rPr>
        <w:t xml:space="preserve"> </w:t>
      </w:r>
    </w:p>
    <w:p w:rsidR="004B0989" w:rsidRPr="002F34D0" w:rsidRDefault="004B0989" w:rsidP="002F34D0">
      <w:pPr>
        <w:spacing w:line="360" w:lineRule="auto"/>
        <w:jc w:val="center"/>
        <w:rPr>
          <w:rFonts w:eastAsiaTheme="minorEastAsia"/>
          <w:color w:val="000000" w:themeColor="text1"/>
          <w:sz w:val="24"/>
          <w:szCs w:val="24"/>
        </w:rPr>
      </w:pPr>
      <w:r w:rsidRPr="002F34D0">
        <w:rPr>
          <w:rFonts w:eastAsiaTheme="minorEastAsia"/>
          <w:color w:val="000000" w:themeColor="text1"/>
          <w:sz w:val="24"/>
          <w:szCs w:val="24"/>
        </w:rPr>
        <w:t>科瑞证券投资基金</w:t>
      </w:r>
    </w:p>
    <w:p w:rsidR="004B0989" w:rsidRPr="002F34D0" w:rsidRDefault="004B0989" w:rsidP="002F34D0">
      <w:pPr>
        <w:spacing w:line="360" w:lineRule="auto"/>
        <w:ind w:firstLine="420"/>
        <w:jc w:val="center"/>
        <w:rPr>
          <w:rFonts w:eastAsiaTheme="minorEastAsia"/>
          <w:color w:val="000000" w:themeColor="text1"/>
          <w:kern w:val="0"/>
          <w:sz w:val="24"/>
          <w:szCs w:val="24"/>
        </w:rPr>
      </w:pPr>
      <w:r w:rsidRPr="002F34D0">
        <w:rPr>
          <w:rFonts w:eastAsiaTheme="minorEastAsia"/>
          <w:color w:val="000000" w:themeColor="text1"/>
          <w:kern w:val="0"/>
          <w:sz w:val="24"/>
          <w:szCs w:val="24"/>
        </w:rPr>
        <w:t>累计净值增长率与业绩比较基准收益率的历史走势对比图</w:t>
      </w:r>
    </w:p>
    <w:p w:rsidR="004B0989" w:rsidRPr="002F34D0" w:rsidRDefault="004B0989" w:rsidP="002F34D0">
      <w:pPr>
        <w:pStyle w:val="a5"/>
        <w:snapToGrid w:val="0"/>
        <w:spacing w:line="360" w:lineRule="auto"/>
        <w:ind w:firstLine="480"/>
        <w:jc w:val="center"/>
        <w:rPr>
          <w:rFonts w:ascii="Times New Roman" w:eastAsiaTheme="minorEastAsia" w:hAnsi="Times New Roman"/>
          <w:color w:val="000000" w:themeColor="text1"/>
          <w:sz w:val="24"/>
          <w:szCs w:val="24"/>
        </w:rPr>
      </w:pPr>
      <w:r w:rsidRPr="002F34D0">
        <w:rPr>
          <w:rFonts w:ascii="Times New Roman" w:eastAsiaTheme="minorEastAsia" w:hAnsi="Times New Roman"/>
          <w:color w:val="000000" w:themeColor="text1"/>
          <w:sz w:val="24"/>
          <w:szCs w:val="24"/>
        </w:rPr>
        <w:t>(</w:t>
      </w:r>
      <w:r w:rsidRPr="002F34D0">
        <w:rPr>
          <w:rFonts w:ascii="Times New Roman" w:eastAsiaTheme="majorEastAsia" w:hAnsi="Times New Roman"/>
          <w:sz w:val="24"/>
          <w:szCs w:val="24"/>
        </w:rPr>
        <w:t>2002</w:t>
      </w:r>
      <w:r w:rsidRPr="002F34D0">
        <w:rPr>
          <w:rFonts w:ascii="Times New Roman" w:eastAsiaTheme="majorEastAsia" w:hAnsi="Times New Roman"/>
          <w:sz w:val="24"/>
          <w:szCs w:val="24"/>
        </w:rPr>
        <w:t>年</w:t>
      </w:r>
      <w:r w:rsidRPr="002F34D0">
        <w:rPr>
          <w:rFonts w:ascii="Times New Roman" w:eastAsiaTheme="majorEastAsia" w:hAnsi="Times New Roman"/>
          <w:sz w:val="24"/>
          <w:szCs w:val="24"/>
        </w:rPr>
        <w:t>3</w:t>
      </w:r>
      <w:r w:rsidRPr="002F34D0">
        <w:rPr>
          <w:rFonts w:ascii="Times New Roman" w:eastAsiaTheme="majorEastAsia" w:hAnsi="Times New Roman"/>
          <w:sz w:val="24"/>
          <w:szCs w:val="24"/>
        </w:rPr>
        <w:t>月</w:t>
      </w:r>
      <w:r w:rsidRPr="002F34D0">
        <w:rPr>
          <w:rFonts w:ascii="Times New Roman" w:eastAsiaTheme="majorEastAsia" w:hAnsi="Times New Roman"/>
          <w:sz w:val="24"/>
          <w:szCs w:val="24"/>
        </w:rPr>
        <w:t>12</w:t>
      </w:r>
      <w:r w:rsidRPr="002F34D0">
        <w:rPr>
          <w:rFonts w:ascii="Times New Roman" w:eastAsiaTheme="majorEastAsia" w:hAnsi="Times New Roman"/>
          <w:sz w:val="24"/>
          <w:szCs w:val="24"/>
        </w:rPr>
        <w:t>日</w:t>
      </w:r>
      <w:r w:rsidRPr="002F34D0">
        <w:rPr>
          <w:rFonts w:ascii="Times New Roman" w:eastAsiaTheme="minorEastAsia" w:hAnsi="Times New Roman"/>
          <w:color w:val="000000" w:themeColor="text1"/>
          <w:sz w:val="24"/>
          <w:szCs w:val="24"/>
        </w:rPr>
        <w:t>至</w:t>
      </w:r>
      <w:r w:rsidRPr="002F34D0">
        <w:rPr>
          <w:rFonts w:ascii="Times New Roman" w:eastAsiaTheme="minorEastAsia" w:hAnsi="Times New Roman"/>
          <w:color w:val="000000" w:themeColor="text1"/>
          <w:sz w:val="24"/>
          <w:szCs w:val="24"/>
        </w:rPr>
        <w:t>2017</w:t>
      </w:r>
      <w:r w:rsidRPr="002F34D0">
        <w:rPr>
          <w:rFonts w:ascii="Times New Roman" w:eastAsiaTheme="minorEastAsia" w:hAnsi="Times New Roman"/>
          <w:color w:val="000000" w:themeColor="text1"/>
          <w:sz w:val="24"/>
          <w:szCs w:val="24"/>
        </w:rPr>
        <w:t>年</w:t>
      </w:r>
      <w:r w:rsidRPr="002F34D0">
        <w:rPr>
          <w:rFonts w:ascii="Times New Roman" w:eastAsiaTheme="minorEastAsia" w:hAnsi="Times New Roman"/>
          <w:color w:val="000000" w:themeColor="text1"/>
          <w:sz w:val="24"/>
          <w:szCs w:val="24"/>
        </w:rPr>
        <w:t>1</w:t>
      </w:r>
      <w:r w:rsidRPr="002F34D0">
        <w:rPr>
          <w:rFonts w:ascii="Times New Roman" w:eastAsiaTheme="minorEastAsia" w:hAnsi="Times New Roman"/>
          <w:color w:val="000000" w:themeColor="text1"/>
          <w:sz w:val="24"/>
          <w:szCs w:val="24"/>
        </w:rPr>
        <w:t>月</w:t>
      </w:r>
      <w:r w:rsidRPr="002F34D0">
        <w:rPr>
          <w:rFonts w:ascii="Times New Roman" w:eastAsiaTheme="minorEastAsia" w:hAnsi="Times New Roman"/>
          <w:color w:val="000000" w:themeColor="text1"/>
          <w:sz w:val="24"/>
          <w:szCs w:val="24"/>
        </w:rPr>
        <w:t>2</w:t>
      </w:r>
      <w:r w:rsidRPr="002F34D0">
        <w:rPr>
          <w:rFonts w:ascii="Times New Roman" w:eastAsiaTheme="minorEastAsia" w:hAnsi="Times New Roman"/>
          <w:color w:val="000000" w:themeColor="text1"/>
          <w:sz w:val="24"/>
          <w:szCs w:val="24"/>
        </w:rPr>
        <w:t>日</w:t>
      </w:r>
      <w:r w:rsidRPr="002F34D0">
        <w:rPr>
          <w:rFonts w:ascii="Times New Roman" w:eastAsiaTheme="minorEastAsia" w:hAnsi="Times New Roman"/>
          <w:color w:val="000000" w:themeColor="text1"/>
          <w:sz w:val="24"/>
          <w:szCs w:val="24"/>
        </w:rPr>
        <w:t>)</w:t>
      </w:r>
    </w:p>
    <w:p w:rsidR="006C60D0" w:rsidRPr="00C56D9D" w:rsidRDefault="006C60D0" w:rsidP="006C60D0">
      <w:pPr>
        <w:pStyle w:val="20"/>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99261D" w:rsidRDefault="001E0F38">
      <w:pPr>
        <w:tabs>
          <w:tab w:val="left" w:pos="426"/>
        </w:tabs>
        <w:spacing w:line="360" w:lineRule="auto"/>
        <w:ind w:firstLineChars="200" w:firstLine="480"/>
        <w:jc w:val="left"/>
        <w:rPr>
          <w:rFonts w:eastAsiaTheme="minorEastAsia"/>
          <w:color w:val="000000" w:themeColor="text1"/>
          <w:kern w:val="0"/>
          <w:sz w:val="24"/>
          <w:szCs w:val="24"/>
        </w:rPr>
      </w:pPr>
      <w:r>
        <w:rPr>
          <w:rFonts w:eastAsiaTheme="minorEastAsia"/>
          <w:color w:val="000000" w:themeColor="text1"/>
          <w:kern w:val="0"/>
          <w:sz w:val="24"/>
          <w:szCs w:val="24"/>
        </w:rPr>
        <w:t>注：</w:t>
      </w:r>
      <w:r>
        <w:rPr>
          <w:rFonts w:eastAsiaTheme="minorEastAsia"/>
          <w:color w:val="000000" w:themeColor="text1"/>
          <w:kern w:val="0"/>
          <w:sz w:val="24"/>
          <w:szCs w:val="24"/>
        </w:rPr>
        <w:t>1.</w:t>
      </w:r>
      <w:r>
        <w:rPr>
          <w:rFonts w:eastAsiaTheme="minorEastAsia"/>
          <w:color w:val="000000" w:themeColor="text1"/>
          <w:kern w:val="0"/>
          <w:sz w:val="24"/>
          <w:szCs w:val="24"/>
        </w:rPr>
        <w:t>本</w:t>
      </w:r>
      <w:proofErr w:type="gramStart"/>
      <w:r>
        <w:rPr>
          <w:rFonts w:eastAsiaTheme="minorEastAsia"/>
          <w:color w:val="000000" w:themeColor="text1"/>
          <w:kern w:val="0"/>
          <w:sz w:val="24"/>
          <w:szCs w:val="24"/>
        </w:rPr>
        <w:t>基金基金</w:t>
      </w:r>
      <w:proofErr w:type="gramEnd"/>
      <w:r>
        <w:rPr>
          <w:rFonts w:eastAsiaTheme="minorEastAsia"/>
          <w:color w:val="000000" w:themeColor="text1"/>
          <w:kern w:val="0"/>
          <w:sz w:val="24"/>
          <w:szCs w:val="24"/>
        </w:rPr>
        <w:t>合同未规定业绩比较基准。</w:t>
      </w:r>
    </w:p>
    <w:p w:rsidR="006C60D0" w:rsidRPr="002F34D0" w:rsidRDefault="006C60D0" w:rsidP="002F34D0">
      <w:pPr>
        <w:tabs>
          <w:tab w:val="left" w:pos="426"/>
        </w:tabs>
        <w:spacing w:line="360" w:lineRule="auto"/>
        <w:ind w:firstLineChars="200" w:firstLine="480"/>
        <w:jc w:val="left"/>
        <w:rPr>
          <w:rFonts w:eastAsiaTheme="minorEastAsia"/>
          <w:color w:val="000000" w:themeColor="text1"/>
          <w:kern w:val="0"/>
          <w:sz w:val="24"/>
          <w:szCs w:val="24"/>
        </w:rPr>
      </w:pPr>
      <w:r w:rsidRPr="002F34D0">
        <w:rPr>
          <w:rFonts w:eastAsiaTheme="minorEastAsia"/>
          <w:color w:val="000000" w:themeColor="text1"/>
          <w:kern w:val="0"/>
          <w:sz w:val="24"/>
          <w:szCs w:val="24"/>
        </w:rPr>
        <w:t>2.</w:t>
      </w:r>
      <w:r w:rsidRPr="002F34D0">
        <w:rPr>
          <w:rFonts w:eastAsiaTheme="minorEastAsia"/>
          <w:color w:val="000000" w:themeColor="text1"/>
          <w:kern w:val="0"/>
          <w:sz w:val="24"/>
          <w:szCs w:val="24"/>
        </w:rPr>
        <w:t>自基金合同生效至</w:t>
      </w:r>
      <w:r w:rsidRPr="002F34D0">
        <w:rPr>
          <w:rFonts w:eastAsiaTheme="minorEastAsia"/>
          <w:color w:val="000000" w:themeColor="text1"/>
          <w:kern w:val="0"/>
          <w:sz w:val="24"/>
          <w:szCs w:val="24"/>
        </w:rPr>
        <w:t>2017</w:t>
      </w:r>
      <w:r w:rsidRPr="002F34D0">
        <w:rPr>
          <w:rFonts w:eastAsiaTheme="minorEastAsia"/>
          <w:color w:val="000000" w:themeColor="text1"/>
          <w:kern w:val="0"/>
          <w:sz w:val="24"/>
          <w:szCs w:val="24"/>
        </w:rPr>
        <w:t>年</w:t>
      </w:r>
      <w:r w:rsidRPr="002F34D0">
        <w:rPr>
          <w:rFonts w:eastAsiaTheme="minorEastAsia"/>
          <w:color w:val="000000" w:themeColor="text1"/>
          <w:kern w:val="0"/>
          <w:sz w:val="24"/>
          <w:szCs w:val="24"/>
        </w:rPr>
        <w:t>1</w:t>
      </w:r>
      <w:r w:rsidRPr="002F34D0">
        <w:rPr>
          <w:rFonts w:eastAsiaTheme="minorEastAsia"/>
          <w:color w:val="000000" w:themeColor="text1"/>
          <w:kern w:val="0"/>
          <w:sz w:val="24"/>
          <w:szCs w:val="24"/>
        </w:rPr>
        <w:t>月</w:t>
      </w:r>
      <w:r w:rsidRPr="002F34D0">
        <w:rPr>
          <w:rFonts w:eastAsiaTheme="minorEastAsia"/>
          <w:color w:val="000000" w:themeColor="text1"/>
          <w:kern w:val="0"/>
          <w:sz w:val="24"/>
          <w:szCs w:val="24"/>
        </w:rPr>
        <w:t>2</w:t>
      </w:r>
      <w:r w:rsidRPr="002F34D0">
        <w:rPr>
          <w:rFonts w:eastAsiaTheme="minorEastAsia"/>
          <w:color w:val="000000" w:themeColor="text1"/>
          <w:kern w:val="0"/>
          <w:sz w:val="24"/>
          <w:szCs w:val="24"/>
        </w:rPr>
        <w:t>日，基金份额净值增长率为</w:t>
      </w:r>
      <w:r w:rsidRPr="002F34D0">
        <w:rPr>
          <w:rFonts w:eastAsiaTheme="minorEastAsia"/>
          <w:color w:val="000000" w:themeColor="text1"/>
          <w:kern w:val="0"/>
          <w:sz w:val="24"/>
          <w:szCs w:val="24"/>
        </w:rPr>
        <w:t>556.23%</w:t>
      </w:r>
      <w:r w:rsidRPr="002F34D0">
        <w:rPr>
          <w:rFonts w:eastAsiaTheme="minorEastAsia"/>
          <w:color w:val="000000" w:themeColor="text1"/>
          <w:kern w:val="0"/>
          <w:sz w:val="24"/>
          <w:szCs w:val="24"/>
        </w:rPr>
        <w:t>。</w:t>
      </w:r>
    </w:p>
    <w:p w:rsidR="00AB3C3F" w:rsidRPr="00E548D0" w:rsidRDefault="004061AC" w:rsidP="00993314">
      <w:pPr>
        <w:pStyle w:val="1"/>
        <w:spacing w:beforeLines="100" w:afterLines="100" w:line="360" w:lineRule="auto"/>
        <w:jc w:val="center"/>
        <w:rPr>
          <w:rFonts w:cs="Arial"/>
          <w:color w:val="000000"/>
          <w:kern w:val="0"/>
          <w:sz w:val="24"/>
          <w:szCs w:val="24"/>
        </w:rPr>
      </w:pPr>
      <w:r w:rsidRPr="00496743">
        <w:rPr>
          <w:rFonts w:cs="Arial" w:hint="eastAsia"/>
          <w:color w:val="000000"/>
          <w:kern w:val="0"/>
          <w:sz w:val="24"/>
          <w:szCs w:val="24"/>
        </w:rPr>
        <w:t>§</w:t>
      </w:r>
      <w:r w:rsidRPr="00496743">
        <w:rPr>
          <w:rFonts w:cs="Arial"/>
          <w:color w:val="000000"/>
          <w:kern w:val="0"/>
          <w:sz w:val="24"/>
          <w:szCs w:val="24"/>
        </w:rPr>
        <w:t xml:space="preserve">4  </w:t>
      </w:r>
      <w:r w:rsidRPr="00496743">
        <w:rPr>
          <w:rFonts w:cs="Arial" w:hint="eastAsia"/>
          <w:color w:val="000000"/>
          <w:kern w:val="0"/>
          <w:sz w:val="24"/>
          <w:szCs w:val="24"/>
        </w:rPr>
        <w:t>管理人报告</w:t>
      </w:r>
    </w:p>
    <w:p w:rsidR="00B12B7D" w:rsidRPr="00256D2B" w:rsidRDefault="004061AC" w:rsidP="00256D2B">
      <w:pPr>
        <w:pStyle w:val="2"/>
        <w:spacing w:before="0" w:after="0"/>
        <w:jc w:val="left"/>
        <w:rPr>
          <w:rFonts w:asciiTheme="minorEastAsia" w:eastAsiaTheme="minorEastAsia" w:hAnsiTheme="minorEastAsia"/>
          <w:b w:val="0"/>
          <w:color w:val="000000"/>
          <w:kern w:val="0"/>
        </w:rPr>
      </w:pPr>
      <w:r w:rsidRPr="00256D2B">
        <w:rPr>
          <w:rFonts w:asciiTheme="minorEastAsia" w:eastAsiaTheme="minorEastAsia" w:hAnsiTheme="minorEastAsia"/>
          <w:color w:val="000000"/>
          <w:kern w:val="0"/>
        </w:rPr>
        <w:t xml:space="preserve">4.1 </w:t>
      </w:r>
      <w:r w:rsidRPr="00256D2B">
        <w:rPr>
          <w:rFonts w:asciiTheme="minorEastAsia" w:eastAsiaTheme="minorEastAsia" w:hAnsiTheme="minorEastAsia" w:hint="eastAsia"/>
          <w:color w:val="000000"/>
          <w:kern w:val="0"/>
        </w:rPr>
        <w:t>基金经理</w:t>
      </w:r>
      <w:r w:rsidR="00D57B7C" w:rsidRPr="00256D2B">
        <w:rPr>
          <w:rFonts w:asciiTheme="minorEastAsia" w:eastAsiaTheme="minorEastAsia" w:hAnsiTheme="minorEastAsia" w:hint="eastAsia"/>
          <w:color w:val="000000"/>
          <w:kern w:val="0"/>
        </w:rPr>
        <w:t>(</w:t>
      </w:r>
      <w:r w:rsidRPr="00256D2B">
        <w:rPr>
          <w:rFonts w:asciiTheme="minorEastAsia" w:eastAsiaTheme="minorEastAsia" w:hAnsiTheme="minorEastAsia" w:hint="eastAsia"/>
          <w:color w:val="000000"/>
          <w:kern w:val="0"/>
        </w:rPr>
        <w:t>或基金经理小组</w:t>
      </w:r>
      <w:r w:rsidR="00D57B7C" w:rsidRPr="00256D2B">
        <w:rPr>
          <w:rFonts w:asciiTheme="minorEastAsia" w:eastAsiaTheme="minorEastAsia" w:hAnsiTheme="minorEastAsia" w:hint="eastAsia"/>
          <w:color w:val="000000"/>
          <w:kern w:val="0"/>
        </w:rPr>
        <w:t>)</w:t>
      </w:r>
      <w:r w:rsidRPr="00256D2B">
        <w:rPr>
          <w:rFonts w:asciiTheme="minorEastAsia" w:eastAsiaTheme="minorEastAsia" w:hAnsiTheme="minorEastAsia" w:hint="eastAsia"/>
          <w:color w:val="000000"/>
          <w:kern w:val="0"/>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843"/>
        <w:gridCol w:w="1701"/>
        <w:gridCol w:w="1559"/>
        <w:gridCol w:w="1134"/>
        <w:gridCol w:w="1843"/>
      </w:tblGrid>
      <w:tr w:rsidR="00220C32" w:rsidRPr="00256D2B" w:rsidTr="00256D2B">
        <w:trPr>
          <w:cantSplit/>
          <w:trHeight w:val="292"/>
        </w:trPr>
        <w:tc>
          <w:tcPr>
            <w:tcW w:w="851" w:type="dxa"/>
            <w:vMerge w:val="restart"/>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姓名</w:t>
            </w:r>
          </w:p>
        </w:tc>
        <w:tc>
          <w:tcPr>
            <w:tcW w:w="1843" w:type="dxa"/>
            <w:vMerge w:val="restart"/>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职务</w:t>
            </w:r>
          </w:p>
        </w:tc>
        <w:tc>
          <w:tcPr>
            <w:tcW w:w="3260" w:type="dxa"/>
            <w:gridSpan w:val="2"/>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proofErr w:type="gramStart"/>
            <w:r w:rsidRPr="00256D2B">
              <w:rPr>
                <w:color w:val="000000"/>
                <w:kern w:val="0"/>
                <w:sz w:val="24"/>
                <w:szCs w:val="24"/>
              </w:rPr>
              <w:t>任本基金</w:t>
            </w:r>
            <w:proofErr w:type="gramEnd"/>
            <w:r w:rsidRPr="00256D2B">
              <w:rPr>
                <w:color w:val="000000"/>
                <w:kern w:val="0"/>
                <w:sz w:val="24"/>
                <w:szCs w:val="24"/>
              </w:rPr>
              <w:t>的基金经理期限</w:t>
            </w:r>
          </w:p>
        </w:tc>
        <w:tc>
          <w:tcPr>
            <w:tcW w:w="1134" w:type="dxa"/>
            <w:vMerge w:val="restart"/>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证券从业年限</w:t>
            </w:r>
          </w:p>
        </w:tc>
        <w:tc>
          <w:tcPr>
            <w:tcW w:w="1843" w:type="dxa"/>
            <w:vMerge w:val="restart"/>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说明</w:t>
            </w:r>
          </w:p>
        </w:tc>
      </w:tr>
      <w:tr w:rsidR="00220C32" w:rsidRPr="00256D2B" w:rsidTr="00256D2B">
        <w:trPr>
          <w:cantSplit/>
        </w:trPr>
        <w:tc>
          <w:tcPr>
            <w:tcW w:w="851" w:type="dxa"/>
            <w:vMerge/>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p>
        </w:tc>
        <w:tc>
          <w:tcPr>
            <w:tcW w:w="1843" w:type="dxa"/>
            <w:vMerge/>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p>
        </w:tc>
        <w:tc>
          <w:tcPr>
            <w:tcW w:w="1701" w:type="dxa"/>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任职日期</w:t>
            </w:r>
          </w:p>
        </w:tc>
        <w:tc>
          <w:tcPr>
            <w:tcW w:w="1559" w:type="dxa"/>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r w:rsidRPr="00256D2B">
              <w:rPr>
                <w:color w:val="000000"/>
                <w:kern w:val="0"/>
                <w:sz w:val="24"/>
                <w:szCs w:val="24"/>
              </w:rPr>
              <w:t>离任日期</w:t>
            </w:r>
          </w:p>
        </w:tc>
        <w:tc>
          <w:tcPr>
            <w:tcW w:w="1134" w:type="dxa"/>
            <w:vMerge/>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p>
        </w:tc>
        <w:tc>
          <w:tcPr>
            <w:tcW w:w="1843" w:type="dxa"/>
            <w:vMerge/>
            <w:vAlign w:val="center"/>
          </w:tcPr>
          <w:p w:rsidR="004061AC" w:rsidRPr="00256D2B" w:rsidRDefault="004061AC" w:rsidP="00256D2B">
            <w:pPr>
              <w:autoSpaceDE w:val="0"/>
              <w:autoSpaceDN w:val="0"/>
              <w:adjustRightInd w:val="0"/>
              <w:spacing w:before="29" w:line="360" w:lineRule="auto"/>
              <w:ind w:left="15"/>
              <w:jc w:val="center"/>
              <w:rPr>
                <w:color w:val="000000"/>
                <w:kern w:val="0"/>
                <w:sz w:val="24"/>
                <w:szCs w:val="24"/>
              </w:rPr>
            </w:pPr>
          </w:p>
        </w:tc>
      </w:tr>
      <w:tr w:rsidR="0099261D">
        <w:tc>
          <w:tcPr>
            <w:tcW w:w="851" w:type="dxa"/>
            <w:vAlign w:val="center"/>
          </w:tcPr>
          <w:p w:rsidR="0099261D" w:rsidRDefault="001E0F38">
            <w:pPr>
              <w:jc w:val="center"/>
            </w:pPr>
            <w:r>
              <w:rPr>
                <w:color w:val="000000"/>
                <w:kern w:val="0"/>
                <w:sz w:val="24"/>
                <w:szCs w:val="24"/>
              </w:rPr>
              <w:t>郑希</w:t>
            </w:r>
          </w:p>
        </w:tc>
        <w:tc>
          <w:tcPr>
            <w:tcW w:w="1843" w:type="dxa"/>
            <w:vAlign w:val="center"/>
          </w:tcPr>
          <w:p w:rsidR="0099261D" w:rsidRDefault="001E0F38">
            <w:pPr>
              <w:jc w:val="center"/>
            </w:pPr>
            <w:r>
              <w:rPr>
                <w:color w:val="000000"/>
                <w:kern w:val="0"/>
                <w:sz w:val="24"/>
                <w:szCs w:val="24"/>
              </w:rPr>
              <w:t>本基金的基金经理、易方达信息产业混合型证券投资基金的基金经理、易方达价值精选混合型证券投资基金的基金经理、科瑞证券投资基金的基金经理（自</w:t>
            </w:r>
            <w:r>
              <w:rPr>
                <w:color w:val="000000"/>
                <w:kern w:val="0"/>
                <w:sz w:val="24"/>
                <w:szCs w:val="24"/>
              </w:rPr>
              <w:t>2012</w:t>
            </w:r>
            <w:r>
              <w:rPr>
                <w:color w:val="000000"/>
                <w:kern w:val="0"/>
                <w:sz w:val="24"/>
                <w:szCs w:val="24"/>
              </w:rPr>
              <w:t>年</w:t>
            </w:r>
            <w:r>
              <w:rPr>
                <w:color w:val="000000"/>
                <w:kern w:val="0"/>
                <w:sz w:val="24"/>
                <w:szCs w:val="24"/>
              </w:rPr>
              <w:t>09</w:t>
            </w:r>
            <w:r>
              <w:rPr>
                <w:color w:val="000000"/>
                <w:kern w:val="0"/>
                <w:sz w:val="24"/>
                <w:szCs w:val="24"/>
              </w:rPr>
              <w:t>月</w:t>
            </w:r>
            <w:r>
              <w:rPr>
                <w:color w:val="000000"/>
                <w:kern w:val="0"/>
                <w:sz w:val="24"/>
                <w:szCs w:val="24"/>
              </w:rPr>
              <w:t>28</w:t>
            </w:r>
            <w:r>
              <w:rPr>
                <w:color w:val="000000"/>
                <w:kern w:val="0"/>
                <w:sz w:val="24"/>
                <w:szCs w:val="24"/>
              </w:rPr>
              <w:t>日至</w:t>
            </w:r>
            <w:r>
              <w:rPr>
                <w:color w:val="000000"/>
                <w:kern w:val="0"/>
                <w:sz w:val="24"/>
                <w:szCs w:val="24"/>
              </w:rPr>
              <w:t>2017</w:t>
            </w:r>
            <w:r>
              <w:rPr>
                <w:color w:val="000000"/>
                <w:kern w:val="0"/>
                <w:sz w:val="24"/>
                <w:szCs w:val="24"/>
              </w:rPr>
              <w:t>年</w:t>
            </w:r>
            <w:r>
              <w:rPr>
                <w:color w:val="000000"/>
                <w:kern w:val="0"/>
                <w:sz w:val="24"/>
                <w:szCs w:val="24"/>
              </w:rPr>
              <w:t>01</w:t>
            </w:r>
            <w:r>
              <w:rPr>
                <w:color w:val="000000"/>
                <w:kern w:val="0"/>
                <w:sz w:val="24"/>
                <w:szCs w:val="24"/>
              </w:rPr>
              <w:t>月</w:t>
            </w:r>
            <w:r>
              <w:rPr>
                <w:color w:val="000000"/>
                <w:kern w:val="0"/>
                <w:sz w:val="24"/>
                <w:szCs w:val="24"/>
              </w:rPr>
              <w:t>02</w:t>
            </w:r>
            <w:r>
              <w:rPr>
                <w:color w:val="000000"/>
                <w:kern w:val="0"/>
                <w:sz w:val="24"/>
                <w:szCs w:val="24"/>
              </w:rPr>
              <w:t>日）、投资一部副总经理</w:t>
            </w:r>
          </w:p>
        </w:tc>
        <w:tc>
          <w:tcPr>
            <w:tcW w:w="1701" w:type="dxa"/>
            <w:vAlign w:val="center"/>
          </w:tcPr>
          <w:p w:rsidR="0099261D" w:rsidRDefault="001E0F38">
            <w:pPr>
              <w:jc w:val="center"/>
            </w:pPr>
            <w:r>
              <w:rPr>
                <w:color w:val="000000"/>
                <w:kern w:val="0"/>
                <w:sz w:val="24"/>
                <w:szCs w:val="24"/>
              </w:rPr>
              <w:t>2017-01-03</w:t>
            </w:r>
          </w:p>
        </w:tc>
        <w:tc>
          <w:tcPr>
            <w:tcW w:w="1559" w:type="dxa"/>
            <w:vAlign w:val="center"/>
          </w:tcPr>
          <w:p w:rsidR="0099261D" w:rsidRDefault="001E0F38">
            <w:pPr>
              <w:jc w:val="center"/>
            </w:pPr>
            <w:r>
              <w:rPr>
                <w:color w:val="000000"/>
                <w:kern w:val="0"/>
                <w:sz w:val="24"/>
                <w:szCs w:val="24"/>
              </w:rPr>
              <w:t>-</w:t>
            </w:r>
          </w:p>
        </w:tc>
        <w:tc>
          <w:tcPr>
            <w:tcW w:w="1134" w:type="dxa"/>
            <w:vAlign w:val="center"/>
          </w:tcPr>
          <w:p w:rsidR="0099261D" w:rsidRDefault="001E0F38">
            <w:pPr>
              <w:jc w:val="center"/>
            </w:pPr>
            <w:r>
              <w:rPr>
                <w:color w:val="000000"/>
                <w:kern w:val="0"/>
                <w:sz w:val="24"/>
                <w:szCs w:val="24"/>
              </w:rPr>
              <w:t>11</w:t>
            </w:r>
            <w:r>
              <w:rPr>
                <w:color w:val="000000"/>
                <w:kern w:val="0"/>
                <w:sz w:val="24"/>
                <w:szCs w:val="24"/>
              </w:rPr>
              <w:t>年</w:t>
            </w:r>
          </w:p>
        </w:tc>
        <w:tc>
          <w:tcPr>
            <w:tcW w:w="1843" w:type="dxa"/>
            <w:vAlign w:val="center"/>
          </w:tcPr>
          <w:p w:rsidR="0099261D" w:rsidRDefault="001E0F38">
            <w:r>
              <w:rPr>
                <w:color w:val="000000"/>
                <w:kern w:val="0"/>
                <w:sz w:val="24"/>
                <w:szCs w:val="24"/>
              </w:rPr>
              <w:t>硕士研究生，曾任易方达基金管理有限公司研究</w:t>
            </w:r>
            <w:proofErr w:type="gramStart"/>
            <w:r>
              <w:rPr>
                <w:color w:val="000000"/>
                <w:kern w:val="0"/>
                <w:sz w:val="24"/>
                <w:szCs w:val="24"/>
              </w:rPr>
              <w:t>部行业</w:t>
            </w:r>
            <w:proofErr w:type="gramEnd"/>
            <w:r>
              <w:rPr>
                <w:color w:val="000000"/>
                <w:kern w:val="0"/>
                <w:sz w:val="24"/>
                <w:szCs w:val="24"/>
              </w:rPr>
              <w:t>研究员、基金经理助理</w:t>
            </w:r>
            <w:proofErr w:type="gramStart"/>
            <w:r>
              <w:rPr>
                <w:color w:val="000000"/>
                <w:kern w:val="0"/>
                <w:sz w:val="24"/>
                <w:szCs w:val="24"/>
              </w:rPr>
              <w:t>兼行业</w:t>
            </w:r>
            <w:proofErr w:type="gramEnd"/>
            <w:r>
              <w:rPr>
                <w:color w:val="000000"/>
                <w:kern w:val="0"/>
                <w:sz w:val="24"/>
                <w:szCs w:val="24"/>
              </w:rPr>
              <w:t>研究员、基金投资</w:t>
            </w:r>
            <w:proofErr w:type="gramStart"/>
            <w:r>
              <w:rPr>
                <w:color w:val="000000"/>
                <w:kern w:val="0"/>
                <w:sz w:val="24"/>
                <w:szCs w:val="24"/>
              </w:rPr>
              <w:t>部基金</w:t>
            </w:r>
            <w:proofErr w:type="gramEnd"/>
            <w:r>
              <w:rPr>
                <w:color w:val="000000"/>
                <w:kern w:val="0"/>
                <w:sz w:val="24"/>
                <w:szCs w:val="24"/>
              </w:rPr>
              <w:t>经理助理。</w:t>
            </w:r>
          </w:p>
        </w:tc>
      </w:tr>
      <w:tr w:rsidR="0099261D">
        <w:tc>
          <w:tcPr>
            <w:tcW w:w="851" w:type="dxa"/>
            <w:vAlign w:val="center"/>
          </w:tcPr>
          <w:p w:rsidR="0099261D" w:rsidRDefault="001E0F38">
            <w:pPr>
              <w:jc w:val="center"/>
            </w:pPr>
            <w:r>
              <w:rPr>
                <w:color w:val="000000"/>
                <w:kern w:val="0"/>
                <w:sz w:val="24"/>
                <w:szCs w:val="24"/>
              </w:rPr>
              <w:lastRenderedPageBreak/>
              <w:t>常远</w:t>
            </w:r>
          </w:p>
        </w:tc>
        <w:tc>
          <w:tcPr>
            <w:tcW w:w="1843" w:type="dxa"/>
            <w:vAlign w:val="center"/>
          </w:tcPr>
          <w:p w:rsidR="0099261D" w:rsidRDefault="001E0F38">
            <w:pPr>
              <w:jc w:val="center"/>
            </w:pPr>
            <w:r>
              <w:rPr>
                <w:color w:val="000000"/>
                <w:kern w:val="0"/>
                <w:sz w:val="24"/>
                <w:szCs w:val="24"/>
              </w:rPr>
              <w:t>本基金的基金经理、易方达供给改革灵活配置混合型证券投资基金的基金经理、科瑞证券投资基金的基金经理（自</w:t>
            </w:r>
            <w:r>
              <w:rPr>
                <w:color w:val="000000"/>
                <w:kern w:val="0"/>
                <w:sz w:val="24"/>
                <w:szCs w:val="24"/>
              </w:rPr>
              <w:t>2016</w:t>
            </w:r>
            <w:r>
              <w:rPr>
                <w:color w:val="000000"/>
                <w:kern w:val="0"/>
                <w:sz w:val="24"/>
                <w:szCs w:val="24"/>
              </w:rPr>
              <w:t>年</w:t>
            </w:r>
            <w:r>
              <w:rPr>
                <w:color w:val="000000"/>
                <w:kern w:val="0"/>
                <w:sz w:val="24"/>
                <w:szCs w:val="24"/>
              </w:rPr>
              <w:t>01</w:t>
            </w:r>
            <w:r>
              <w:rPr>
                <w:color w:val="000000"/>
                <w:kern w:val="0"/>
                <w:sz w:val="24"/>
                <w:szCs w:val="24"/>
              </w:rPr>
              <w:t>月</w:t>
            </w:r>
            <w:r>
              <w:rPr>
                <w:color w:val="000000"/>
                <w:kern w:val="0"/>
                <w:sz w:val="24"/>
                <w:szCs w:val="24"/>
              </w:rPr>
              <w:t>23</w:t>
            </w:r>
            <w:r>
              <w:rPr>
                <w:color w:val="000000"/>
                <w:kern w:val="0"/>
                <w:sz w:val="24"/>
                <w:szCs w:val="24"/>
              </w:rPr>
              <w:t>日至</w:t>
            </w:r>
            <w:r>
              <w:rPr>
                <w:color w:val="000000"/>
                <w:kern w:val="0"/>
                <w:sz w:val="24"/>
                <w:szCs w:val="24"/>
              </w:rPr>
              <w:t>2017</w:t>
            </w:r>
            <w:r>
              <w:rPr>
                <w:color w:val="000000"/>
                <w:kern w:val="0"/>
                <w:sz w:val="24"/>
                <w:szCs w:val="24"/>
              </w:rPr>
              <w:t>年</w:t>
            </w:r>
            <w:r>
              <w:rPr>
                <w:color w:val="000000"/>
                <w:kern w:val="0"/>
                <w:sz w:val="24"/>
                <w:szCs w:val="24"/>
              </w:rPr>
              <w:t>01</w:t>
            </w:r>
            <w:r>
              <w:rPr>
                <w:color w:val="000000"/>
                <w:kern w:val="0"/>
                <w:sz w:val="24"/>
                <w:szCs w:val="24"/>
              </w:rPr>
              <w:t>月</w:t>
            </w:r>
            <w:r>
              <w:rPr>
                <w:color w:val="000000"/>
                <w:kern w:val="0"/>
                <w:sz w:val="24"/>
                <w:szCs w:val="24"/>
              </w:rPr>
              <w:t>02</w:t>
            </w:r>
            <w:r>
              <w:rPr>
                <w:color w:val="000000"/>
                <w:kern w:val="0"/>
                <w:sz w:val="24"/>
                <w:szCs w:val="24"/>
              </w:rPr>
              <w:t>日）、易方达国防军工混合型证券投资基金的基金经理助理</w:t>
            </w:r>
          </w:p>
        </w:tc>
        <w:tc>
          <w:tcPr>
            <w:tcW w:w="1701" w:type="dxa"/>
            <w:vAlign w:val="center"/>
          </w:tcPr>
          <w:p w:rsidR="0099261D" w:rsidRDefault="001E0F38">
            <w:pPr>
              <w:jc w:val="center"/>
            </w:pPr>
            <w:r>
              <w:rPr>
                <w:color w:val="000000"/>
                <w:kern w:val="0"/>
                <w:sz w:val="24"/>
                <w:szCs w:val="24"/>
              </w:rPr>
              <w:t>2017-01-03</w:t>
            </w:r>
          </w:p>
        </w:tc>
        <w:tc>
          <w:tcPr>
            <w:tcW w:w="1559" w:type="dxa"/>
            <w:vAlign w:val="center"/>
          </w:tcPr>
          <w:p w:rsidR="0099261D" w:rsidRDefault="001E0F38">
            <w:pPr>
              <w:jc w:val="center"/>
            </w:pPr>
            <w:r>
              <w:rPr>
                <w:color w:val="000000"/>
                <w:kern w:val="0"/>
                <w:sz w:val="24"/>
                <w:szCs w:val="24"/>
              </w:rPr>
              <w:t>-</w:t>
            </w:r>
          </w:p>
        </w:tc>
        <w:tc>
          <w:tcPr>
            <w:tcW w:w="1134" w:type="dxa"/>
            <w:vAlign w:val="center"/>
          </w:tcPr>
          <w:p w:rsidR="0099261D" w:rsidRDefault="001E0F38">
            <w:pPr>
              <w:jc w:val="center"/>
            </w:pPr>
            <w:r>
              <w:rPr>
                <w:color w:val="000000"/>
                <w:kern w:val="0"/>
                <w:sz w:val="24"/>
                <w:szCs w:val="24"/>
              </w:rPr>
              <w:t>7</w:t>
            </w:r>
            <w:r>
              <w:rPr>
                <w:color w:val="000000"/>
                <w:kern w:val="0"/>
                <w:sz w:val="24"/>
                <w:szCs w:val="24"/>
              </w:rPr>
              <w:t>年</w:t>
            </w:r>
          </w:p>
        </w:tc>
        <w:tc>
          <w:tcPr>
            <w:tcW w:w="1843" w:type="dxa"/>
            <w:vAlign w:val="center"/>
          </w:tcPr>
          <w:p w:rsidR="0099261D" w:rsidRDefault="001E0F38">
            <w:r>
              <w:rPr>
                <w:color w:val="000000"/>
                <w:kern w:val="0"/>
                <w:sz w:val="24"/>
                <w:szCs w:val="24"/>
              </w:rPr>
              <w:t>博士研究生，曾任易方达基金管理有限公司研究</w:t>
            </w:r>
            <w:proofErr w:type="gramStart"/>
            <w:r>
              <w:rPr>
                <w:color w:val="000000"/>
                <w:kern w:val="0"/>
                <w:sz w:val="24"/>
                <w:szCs w:val="24"/>
              </w:rPr>
              <w:t>部行业</w:t>
            </w:r>
            <w:proofErr w:type="gramEnd"/>
            <w:r>
              <w:rPr>
                <w:color w:val="000000"/>
                <w:kern w:val="0"/>
                <w:sz w:val="24"/>
                <w:szCs w:val="24"/>
              </w:rPr>
              <w:t>研究员、投资经理。</w:t>
            </w:r>
          </w:p>
        </w:tc>
      </w:tr>
    </w:tbl>
    <w:p w:rsidR="0099261D" w:rsidRDefault="001E0F38">
      <w:pPr>
        <w:autoSpaceDE w:val="0"/>
        <w:autoSpaceDN w:val="0"/>
        <w:adjustRightInd w:val="0"/>
        <w:spacing w:line="360" w:lineRule="auto"/>
        <w:jc w:val="left"/>
        <w:rPr>
          <w:color w:val="000000"/>
          <w:sz w:val="24"/>
          <w:szCs w:val="24"/>
        </w:rPr>
      </w:pPr>
      <w:r>
        <w:rPr>
          <w:color w:val="000000"/>
          <w:sz w:val="24"/>
          <w:szCs w:val="24"/>
        </w:rPr>
        <w:t>注：</w:t>
      </w:r>
      <w:r>
        <w:rPr>
          <w:color w:val="000000"/>
          <w:sz w:val="24"/>
          <w:szCs w:val="24"/>
        </w:rPr>
        <w:t>1.</w:t>
      </w:r>
      <w:r>
        <w:rPr>
          <w:color w:val="000000"/>
          <w:sz w:val="24"/>
          <w:szCs w:val="24"/>
        </w:rPr>
        <w:t>此处的</w:t>
      </w:r>
      <w:r>
        <w:rPr>
          <w:color w:val="000000"/>
          <w:sz w:val="24"/>
          <w:szCs w:val="24"/>
        </w:rPr>
        <w:t>“</w:t>
      </w:r>
      <w:r>
        <w:rPr>
          <w:color w:val="000000"/>
          <w:sz w:val="24"/>
          <w:szCs w:val="24"/>
        </w:rPr>
        <w:t>任职日期</w:t>
      </w:r>
      <w:r>
        <w:rPr>
          <w:color w:val="000000"/>
          <w:sz w:val="24"/>
          <w:szCs w:val="24"/>
        </w:rPr>
        <w:t>”</w:t>
      </w:r>
      <w:r>
        <w:rPr>
          <w:color w:val="000000"/>
          <w:sz w:val="24"/>
          <w:szCs w:val="24"/>
        </w:rPr>
        <w:t>为基金合同生效之日，</w:t>
      </w:r>
      <w:r>
        <w:rPr>
          <w:color w:val="000000"/>
          <w:sz w:val="24"/>
          <w:szCs w:val="24"/>
        </w:rPr>
        <w:t>“</w:t>
      </w:r>
      <w:r>
        <w:rPr>
          <w:color w:val="000000"/>
          <w:sz w:val="24"/>
          <w:szCs w:val="24"/>
        </w:rPr>
        <w:t>离任日期</w:t>
      </w:r>
      <w:r>
        <w:rPr>
          <w:color w:val="000000"/>
          <w:sz w:val="24"/>
          <w:szCs w:val="24"/>
        </w:rPr>
        <w:t>”</w:t>
      </w:r>
      <w:r>
        <w:rPr>
          <w:color w:val="000000"/>
          <w:sz w:val="24"/>
          <w:szCs w:val="24"/>
        </w:rPr>
        <w:t>为公告确定的解聘日期。</w:t>
      </w:r>
    </w:p>
    <w:p w:rsidR="004061AC" w:rsidRPr="00256D2B" w:rsidRDefault="004061AC" w:rsidP="00256D2B">
      <w:pPr>
        <w:autoSpaceDE w:val="0"/>
        <w:autoSpaceDN w:val="0"/>
        <w:adjustRightInd w:val="0"/>
        <w:spacing w:line="360" w:lineRule="auto"/>
        <w:jc w:val="left"/>
        <w:rPr>
          <w:color w:val="000000"/>
          <w:sz w:val="24"/>
          <w:szCs w:val="24"/>
        </w:rPr>
      </w:pPr>
      <w:r w:rsidRPr="00256D2B">
        <w:rPr>
          <w:color w:val="000000"/>
          <w:sz w:val="24"/>
          <w:szCs w:val="24"/>
        </w:rPr>
        <w:t>2.</w:t>
      </w:r>
      <w:r w:rsidRPr="00256D2B">
        <w:rPr>
          <w:color w:val="000000"/>
          <w:sz w:val="24"/>
          <w:szCs w:val="24"/>
        </w:rPr>
        <w:t>证券从业的含义遵从行业协会《证券业从业人员资格管理办法》的相关规定。</w:t>
      </w:r>
    </w:p>
    <w:p w:rsidR="00256D2B" w:rsidRPr="00AB67DE" w:rsidRDefault="00B57D67" w:rsidP="00256D2B">
      <w:pPr>
        <w:autoSpaceDE w:val="0"/>
        <w:autoSpaceDN w:val="0"/>
        <w:adjustRightInd w:val="0"/>
        <w:spacing w:line="360" w:lineRule="auto"/>
        <w:jc w:val="left"/>
        <w:rPr>
          <w:rFonts w:ascii="宋体"/>
          <w:b/>
          <w:bCs/>
          <w:color w:val="000000"/>
          <w:sz w:val="24"/>
        </w:rPr>
      </w:pPr>
      <w:r w:rsidRPr="00C646FA">
        <w:rPr>
          <w:rFonts w:asciiTheme="minorEastAsia" w:eastAsiaTheme="minorEastAsia" w:hAnsiTheme="minorEastAsia" w:hint="eastAsia"/>
          <w:b/>
          <w:bCs/>
          <w:color w:val="000000" w:themeColor="text1"/>
          <w:sz w:val="24"/>
        </w:rPr>
        <w:t>4.2</w:t>
      </w:r>
      <w:r w:rsidR="00256D2B">
        <w:rPr>
          <w:rFonts w:cs="Arial" w:hint="eastAsia"/>
          <w:b/>
          <w:color w:val="000000"/>
          <w:kern w:val="0"/>
          <w:sz w:val="24"/>
        </w:rPr>
        <w:t>管理人对</w:t>
      </w:r>
      <w:r w:rsidR="00256D2B" w:rsidRPr="005C41EC">
        <w:rPr>
          <w:rFonts w:ascii="宋体" w:hAnsi="宋体" w:hint="eastAsia"/>
          <w:b/>
          <w:bCs/>
          <w:color w:val="000000"/>
          <w:sz w:val="24"/>
        </w:rPr>
        <w:t>报告期内本基金运作遵规守信情况</w:t>
      </w:r>
      <w:r w:rsidR="00256D2B">
        <w:rPr>
          <w:rFonts w:ascii="宋体" w:hAnsi="宋体" w:hint="eastAsia"/>
          <w:b/>
          <w:bCs/>
          <w:color w:val="000000"/>
          <w:sz w:val="24"/>
        </w:rPr>
        <w:t>的</w:t>
      </w:r>
      <w:r w:rsidR="00256D2B" w:rsidRPr="005C41EC">
        <w:rPr>
          <w:rFonts w:ascii="宋体" w:hAnsi="宋体" w:hint="eastAsia"/>
          <w:b/>
          <w:bCs/>
          <w:color w:val="000000"/>
          <w:sz w:val="24"/>
        </w:rPr>
        <w:t>说明</w:t>
      </w:r>
    </w:p>
    <w:p w:rsidR="00B57D67" w:rsidRPr="00256D2B" w:rsidRDefault="00B57D67" w:rsidP="00256D2B">
      <w:pPr>
        <w:spacing w:line="360" w:lineRule="auto"/>
        <w:ind w:firstLineChars="200" w:firstLine="480"/>
        <w:rPr>
          <w:rFonts w:eastAsiaTheme="minorEastAsia"/>
          <w:color w:val="000000" w:themeColor="text1"/>
          <w:sz w:val="24"/>
          <w:szCs w:val="24"/>
        </w:rPr>
      </w:pPr>
      <w:r w:rsidRPr="00256D2B">
        <w:rPr>
          <w:rFonts w:eastAsiaTheme="minorEastAsia"/>
          <w:color w:val="000000" w:themeColor="text1"/>
          <w:sz w:val="24"/>
          <w:szCs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w:t>
      </w:r>
      <w:proofErr w:type="gramStart"/>
      <w:r w:rsidRPr="00256D2B">
        <w:rPr>
          <w:rFonts w:eastAsiaTheme="minorEastAsia"/>
          <w:color w:val="000000" w:themeColor="text1"/>
          <w:sz w:val="24"/>
          <w:szCs w:val="24"/>
        </w:rPr>
        <w:t>规</w:t>
      </w:r>
      <w:proofErr w:type="gramEnd"/>
      <w:r w:rsidRPr="00256D2B">
        <w:rPr>
          <w:rFonts w:eastAsiaTheme="minorEastAsia"/>
          <w:color w:val="000000" w:themeColor="text1"/>
          <w:sz w:val="24"/>
          <w:szCs w:val="24"/>
        </w:rPr>
        <w:t>，无损害基金份额持有人利益的行为。</w:t>
      </w:r>
    </w:p>
    <w:p w:rsidR="00B57D67" w:rsidRPr="00C646FA" w:rsidRDefault="00B57D67" w:rsidP="00B57D6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C646FA">
        <w:rPr>
          <w:rFonts w:asciiTheme="minorEastAsia" w:eastAsiaTheme="minorEastAsia" w:hAnsiTheme="minorEastAsia" w:cs="Arial"/>
          <w:b/>
          <w:color w:val="000000" w:themeColor="text1"/>
          <w:kern w:val="0"/>
          <w:sz w:val="24"/>
        </w:rPr>
        <w:t xml:space="preserve">4.3 </w:t>
      </w:r>
      <w:r w:rsidRPr="00C646FA">
        <w:rPr>
          <w:rFonts w:asciiTheme="minorEastAsia" w:eastAsiaTheme="minorEastAsia" w:hAnsiTheme="minorEastAsia" w:cs="Arial" w:hint="eastAsia"/>
          <w:b/>
          <w:color w:val="000000" w:themeColor="text1"/>
          <w:kern w:val="0"/>
          <w:sz w:val="24"/>
        </w:rPr>
        <w:t>公平交易专项说明</w:t>
      </w:r>
    </w:p>
    <w:p w:rsidR="00B57D67" w:rsidRPr="001022D7" w:rsidRDefault="00B57D67" w:rsidP="001022D7">
      <w:pPr>
        <w:spacing w:line="360" w:lineRule="auto"/>
        <w:rPr>
          <w:rFonts w:eastAsiaTheme="minorEastAsia"/>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022D7">
          <w:rPr>
            <w:rFonts w:eastAsiaTheme="minorEastAsia"/>
            <w:color w:val="000000" w:themeColor="text1"/>
            <w:sz w:val="24"/>
            <w:szCs w:val="24"/>
          </w:rPr>
          <w:t>4.3.1</w:t>
        </w:r>
      </w:smartTag>
      <w:r w:rsidRPr="001022D7">
        <w:rPr>
          <w:rFonts w:eastAsiaTheme="minorEastAsia"/>
          <w:color w:val="000000" w:themeColor="text1"/>
          <w:sz w:val="24"/>
          <w:szCs w:val="24"/>
        </w:rPr>
        <w:t xml:space="preserve"> </w:t>
      </w:r>
      <w:r w:rsidRPr="001022D7">
        <w:rPr>
          <w:rFonts w:eastAsiaTheme="minorEastAsia"/>
          <w:color w:val="000000" w:themeColor="text1"/>
          <w:sz w:val="24"/>
          <w:szCs w:val="24"/>
        </w:rPr>
        <w:t>公平交易制度的执行情况</w:t>
      </w:r>
    </w:p>
    <w:p w:rsidR="00B57D67" w:rsidRPr="001022D7" w:rsidRDefault="00B57D67" w:rsidP="001022D7">
      <w:pPr>
        <w:spacing w:line="360" w:lineRule="auto"/>
        <w:ind w:firstLineChars="200" w:firstLine="480"/>
        <w:rPr>
          <w:rFonts w:eastAsiaTheme="minorEastAsia"/>
          <w:color w:val="000000" w:themeColor="text1"/>
          <w:sz w:val="24"/>
          <w:szCs w:val="24"/>
        </w:rPr>
      </w:pPr>
      <w:r w:rsidRPr="001022D7">
        <w:rPr>
          <w:rFonts w:eastAsiaTheme="minorEastAsia"/>
          <w:color w:val="000000" w:themeColor="text1"/>
          <w:sz w:val="24"/>
          <w:szCs w:val="24"/>
        </w:rPr>
        <w:t>本基金管理人主要通过建立有纪律、规范化的投资研究和决策流程、交易流程，以及强化事后监控分析来确保公平对待不同投资组合，切实防范利益输送。本基金管理人规定了严格的投资权限管理制度、投资备选库管理制度和集中交易制度等，并重视交易执行环节的公平交易措施，以</w:t>
      </w:r>
      <w:r w:rsidRPr="001022D7">
        <w:rPr>
          <w:rFonts w:eastAsiaTheme="minorEastAsia"/>
          <w:color w:val="000000" w:themeColor="text1"/>
          <w:sz w:val="24"/>
          <w:szCs w:val="24"/>
        </w:rPr>
        <w:t>“</w:t>
      </w:r>
      <w:r w:rsidRPr="001022D7">
        <w:rPr>
          <w:rFonts w:eastAsiaTheme="minorEastAsia"/>
          <w:color w:val="000000" w:themeColor="text1"/>
          <w:sz w:val="24"/>
          <w:szCs w:val="24"/>
        </w:rPr>
        <w:t>时间优先、价格优先</w:t>
      </w:r>
      <w:r w:rsidRPr="001022D7">
        <w:rPr>
          <w:rFonts w:eastAsiaTheme="minorEastAsia"/>
          <w:color w:val="000000" w:themeColor="text1"/>
          <w:sz w:val="24"/>
          <w:szCs w:val="24"/>
        </w:rPr>
        <w:t>”</w:t>
      </w:r>
      <w:r w:rsidRPr="001022D7">
        <w:rPr>
          <w:rFonts w:eastAsiaTheme="minorEastAsia"/>
          <w:color w:val="000000" w:themeColor="text1"/>
          <w:sz w:val="24"/>
          <w:szCs w:val="24"/>
        </w:rPr>
        <w:t>作为执行指令的基本原则，通过投资交易系统中的公平交易模块，以尽可能确保公平对待各投资组合。本报告期内，公平交易制度总体执行情况良好。</w:t>
      </w:r>
    </w:p>
    <w:p w:rsidR="00B57D67" w:rsidRPr="001022D7" w:rsidRDefault="00B57D67" w:rsidP="001022D7">
      <w:pPr>
        <w:spacing w:line="360" w:lineRule="auto"/>
        <w:rPr>
          <w:rFonts w:eastAsiaTheme="minorEastAsia"/>
          <w:color w:val="000000" w:themeColor="text1"/>
          <w:sz w:val="24"/>
          <w:szCs w:val="24"/>
        </w:rPr>
      </w:pPr>
      <w:r w:rsidRPr="001022D7">
        <w:rPr>
          <w:rFonts w:eastAsiaTheme="minorEastAsia"/>
          <w:color w:val="000000" w:themeColor="text1"/>
          <w:sz w:val="24"/>
          <w:szCs w:val="24"/>
        </w:rPr>
        <w:t xml:space="preserve">4.3.2 </w:t>
      </w:r>
      <w:r w:rsidRPr="001022D7">
        <w:rPr>
          <w:rFonts w:eastAsiaTheme="minorEastAsia"/>
          <w:color w:val="000000" w:themeColor="text1"/>
          <w:sz w:val="24"/>
          <w:szCs w:val="24"/>
        </w:rPr>
        <w:t>异常交易行为的专项说明</w:t>
      </w:r>
    </w:p>
    <w:p w:rsidR="0099261D" w:rsidRDefault="001E0F3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本报告期内，公司旗下所有投资组合参与的交易所公开竞价交易中，同日反</w:t>
      </w:r>
      <w:r>
        <w:rPr>
          <w:rFonts w:eastAsiaTheme="minorEastAsia"/>
          <w:color w:val="000000" w:themeColor="text1"/>
          <w:sz w:val="24"/>
          <w:szCs w:val="24"/>
        </w:rPr>
        <w:lastRenderedPageBreak/>
        <w:t>向交易成交较少的单边交易量超过该证券当日成交量的</w:t>
      </w:r>
      <w:r>
        <w:rPr>
          <w:rFonts w:eastAsiaTheme="minorEastAsia"/>
          <w:color w:val="000000" w:themeColor="text1"/>
          <w:sz w:val="24"/>
          <w:szCs w:val="24"/>
        </w:rPr>
        <w:t>5%</w:t>
      </w:r>
      <w:r>
        <w:rPr>
          <w:rFonts w:eastAsiaTheme="minorEastAsia"/>
          <w:color w:val="000000" w:themeColor="text1"/>
          <w:sz w:val="24"/>
          <w:szCs w:val="24"/>
        </w:rPr>
        <w:t>的交易共</w:t>
      </w:r>
      <w:r>
        <w:rPr>
          <w:rFonts w:eastAsiaTheme="minorEastAsia"/>
          <w:color w:val="000000" w:themeColor="text1"/>
          <w:sz w:val="24"/>
          <w:szCs w:val="24"/>
        </w:rPr>
        <w:t>11</w:t>
      </w:r>
      <w:r>
        <w:rPr>
          <w:rFonts w:eastAsiaTheme="minorEastAsia"/>
          <w:color w:val="000000" w:themeColor="text1"/>
          <w:sz w:val="24"/>
          <w:szCs w:val="24"/>
        </w:rPr>
        <w:t>次，皆为指数量化投资</w:t>
      </w:r>
      <w:proofErr w:type="gramStart"/>
      <w:r>
        <w:rPr>
          <w:rFonts w:eastAsiaTheme="minorEastAsia"/>
          <w:color w:val="000000" w:themeColor="text1"/>
          <w:sz w:val="24"/>
          <w:szCs w:val="24"/>
        </w:rPr>
        <w:t>组合因</w:t>
      </w:r>
      <w:proofErr w:type="gramEnd"/>
      <w:r>
        <w:rPr>
          <w:rFonts w:eastAsiaTheme="minorEastAsia"/>
          <w:color w:val="000000" w:themeColor="text1"/>
          <w:sz w:val="24"/>
          <w:szCs w:val="24"/>
        </w:rPr>
        <w:t>投资策略需要和其他组合发生的反向交易。</w:t>
      </w:r>
    </w:p>
    <w:p w:rsidR="00B57D67" w:rsidRPr="001022D7" w:rsidRDefault="00B57D67" w:rsidP="001022D7">
      <w:pPr>
        <w:spacing w:line="360" w:lineRule="auto"/>
        <w:ind w:firstLineChars="200" w:firstLine="480"/>
        <w:rPr>
          <w:rFonts w:eastAsiaTheme="minorEastAsia"/>
          <w:color w:val="000000" w:themeColor="text1"/>
          <w:sz w:val="24"/>
          <w:szCs w:val="24"/>
        </w:rPr>
      </w:pPr>
      <w:r w:rsidRPr="001022D7">
        <w:rPr>
          <w:rFonts w:eastAsiaTheme="minorEastAsia"/>
          <w:color w:val="000000" w:themeColor="text1"/>
          <w:sz w:val="24"/>
          <w:szCs w:val="24"/>
        </w:rPr>
        <w:t>本报告期内，未发现本基金有可能导致不公平交易和利益输送的异常交易。</w:t>
      </w:r>
    </w:p>
    <w:p w:rsidR="00B57D67" w:rsidRPr="003D0154" w:rsidRDefault="00B57D67" w:rsidP="003D0154">
      <w:pPr>
        <w:autoSpaceDE w:val="0"/>
        <w:autoSpaceDN w:val="0"/>
        <w:adjustRightInd w:val="0"/>
        <w:spacing w:line="360" w:lineRule="auto"/>
        <w:jc w:val="left"/>
        <w:rPr>
          <w:rFonts w:eastAsiaTheme="minorEastAsia"/>
          <w:b/>
          <w:color w:val="000000" w:themeColor="text1"/>
          <w:kern w:val="0"/>
          <w:sz w:val="24"/>
          <w:szCs w:val="24"/>
        </w:rPr>
      </w:pPr>
      <w:r w:rsidRPr="003D0154">
        <w:rPr>
          <w:rFonts w:eastAsiaTheme="minorEastAsia"/>
          <w:b/>
          <w:color w:val="000000" w:themeColor="text1"/>
          <w:kern w:val="0"/>
          <w:sz w:val="24"/>
          <w:szCs w:val="24"/>
        </w:rPr>
        <w:t xml:space="preserve">4.4 </w:t>
      </w:r>
      <w:r w:rsidRPr="003D0154">
        <w:rPr>
          <w:rFonts w:eastAsiaTheme="minorEastAsia"/>
          <w:b/>
          <w:color w:val="000000" w:themeColor="text1"/>
          <w:kern w:val="0"/>
          <w:sz w:val="24"/>
          <w:szCs w:val="24"/>
        </w:rPr>
        <w:t>报告期内基金的投资策略和业绩表现说明</w:t>
      </w:r>
    </w:p>
    <w:p w:rsidR="00B57D67" w:rsidRPr="003D0154" w:rsidRDefault="00B57D67" w:rsidP="003D0154">
      <w:pPr>
        <w:spacing w:line="360" w:lineRule="auto"/>
        <w:rPr>
          <w:rFonts w:eastAsiaTheme="minorEastAsia"/>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3D0154">
          <w:rPr>
            <w:rFonts w:eastAsiaTheme="minorEastAsia"/>
            <w:color w:val="000000" w:themeColor="text1"/>
            <w:sz w:val="24"/>
            <w:szCs w:val="24"/>
          </w:rPr>
          <w:t>4.4.1</w:t>
        </w:r>
      </w:smartTag>
      <w:r w:rsidRPr="003D0154">
        <w:rPr>
          <w:rFonts w:eastAsiaTheme="minorEastAsia"/>
          <w:color w:val="000000" w:themeColor="text1"/>
          <w:sz w:val="24"/>
          <w:szCs w:val="24"/>
        </w:rPr>
        <w:t>报告期内基金投资策略和运作分析</w:t>
      </w:r>
    </w:p>
    <w:p w:rsidR="0099261D" w:rsidRDefault="001E0F3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2017</w:t>
      </w:r>
      <w:r>
        <w:rPr>
          <w:rFonts w:eastAsiaTheme="minorEastAsia"/>
          <w:color w:val="000000" w:themeColor="text1"/>
          <w:sz w:val="24"/>
          <w:szCs w:val="24"/>
        </w:rPr>
        <w:t>年一季度上证综指上涨</w:t>
      </w:r>
      <w:r>
        <w:rPr>
          <w:rFonts w:eastAsiaTheme="minorEastAsia"/>
          <w:color w:val="000000" w:themeColor="text1"/>
          <w:sz w:val="24"/>
          <w:szCs w:val="24"/>
        </w:rPr>
        <w:t>3.83%</w:t>
      </w:r>
      <w:r>
        <w:rPr>
          <w:rFonts w:eastAsiaTheme="minorEastAsia"/>
          <w:color w:val="000000" w:themeColor="text1"/>
          <w:sz w:val="24"/>
          <w:szCs w:val="24"/>
        </w:rPr>
        <w:t>，同期创业</w:t>
      </w:r>
      <w:proofErr w:type="gramStart"/>
      <w:r>
        <w:rPr>
          <w:rFonts w:eastAsiaTheme="minorEastAsia"/>
          <w:color w:val="000000" w:themeColor="text1"/>
          <w:sz w:val="24"/>
          <w:szCs w:val="24"/>
        </w:rPr>
        <w:t>板指数</w:t>
      </w:r>
      <w:proofErr w:type="gramEnd"/>
      <w:r>
        <w:rPr>
          <w:rFonts w:eastAsiaTheme="minorEastAsia"/>
          <w:color w:val="000000" w:themeColor="text1"/>
          <w:sz w:val="24"/>
          <w:szCs w:val="24"/>
        </w:rPr>
        <w:t>下跌</w:t>
      </w:r>
      <w:r>
        <w:rPr>
          <w:rFonts w:eastAsiaTheme="minorEastAsia"/>
          <w:color w:val="000000" w:themeColor="text1"/>
          <w:sz w:val="24"/>
          <w:szCs w:val="24"/>
        </w:rPr>
        <w:t>2.79%</w:t>
      </w:r>
      <w:r>
        <w:rPr>
          <w:rFonts w:eastAsiaTheme="minorEastAsia"/>
          <w:color w:val="000000" w:themeColor="text1"/>
          <w:sz w:val="24"/>
          <w:szCs w:val="24"/>
        </w:rPr>
        <w:t>，市场分化较为明显。中信</w:t>
      </w:r>
      <w:proofErr w:type="gramStart"/>
      <w:r>
        <w:rPr>
          <w:rFonts w:eastAsiaTheme="minorEastAsia"/>
          <w:color w:val="000000" w:themeColor="text1"/>
          <w:sz w:val="24"/>
          <w:szCs w:val="24"/>
        </w:rPr>
        <w:t>一级行业</w:t>
      </w:r>
      <w:proofErr w:type="gramEnd"/>
      <w:r>
        <w:rPr>
          <w:rFonts w:eastAsiaTheme="minorEastAsia"/>
          <w:color w:val="000000" w:themeColor="text1"/>
          <w:sz w:val="24"/>
          <w:szCs w:val="24"/>
        </w:rPr>
        <w:t>指数中涨幅最为显著的是家电和食品饮料行业，相关龙头公司估值较低，成长性相对确定，成为市场主流资金的最重要配置方向；此外，钢铁、建筑、建材、有色金属等周期性行业也震荡上行，周期品在</w:t>
      </w:r>
      <w:r>
        <w:rPr>
          <w:rFonts w:eastAsiaTheme="minorEastAsia"/>
          <w:color w:val="000000" w:themeColor="text1"/>
          <w:sz w:val="24"/>
          <w:szCs w:val="24"/>
        </w:rPr>
        <w:t>“</w:t>
      </w:r>
      <w:r>
        <w:rPr>
          <w:rFonts w:eastAsiaTheme="minorEastAsia"/>
          <w:color w:val="000000" w:themeColor="text1"/>
          <w:sz w:val="24"/>
          <w:szCs w:val="24"/>
        </w:rPr>
        <w:t>一带一路</w:t>
      </w:r>
      <w:r>
        <w:rPr>
          <w:rFonts w:eastAsiaTheme="minorEastAsia"/>
          <w:color w:val="000000" w:themeColor="text1"/>
          <w:sz w:val="24"/>
          <w:szCs w:val="24"/>
        </w:rPr>
        <w:t>”</w:t>
      </w:r>
      <w:r>
        <w:rPr>
          <w:rFonts w:eastAsiaTheme="minorEastAsia"/>
          <w:color w:val="000000" w:themeColor="text1"/>
          <w:sz w:val="24"/>
          <w:szCs w:val="24"/>
        </w:rPr>
        <w:t>和资源品价格上涨的双重拉动下走出一波行情。但是此后受到中国及全球经济复苏前景预期的波动和国内地产政策调控、资金面趋紧等多重因素影响，出现较大调整和波动。受到市场整体流动性趋紧的影响，投资者风险偏好下降，估值较高的创业板和中小</w:t>
      </w:r>
      <w:proofErr w:type="gramStart"/>
      <w:r>
        <w:rPr>
          <w:rFonts w:eastAsiaTheme="minorEastAsia"/>
          <w:color w:val="000000" w:themeColor="text1"/>
          <w:sz w:val="24"/>
          <w:szCs w:val="24"/>
        </w:rPr>
        <w:t>板整体</w:t>
      </w:r>
      <w:proofErr w:type="gramEnd"/>
      <w:r>
        <w:rPr>
          <w:rFonts w:eastAsiaTheme="minorEastAsia"/>
          <w:color w:val="000000" w:themeColor="text1"/>
          <w:sz w:val="24"/>
          <w:szCs w:val="24"/>
        </w:rPr>
        <w:t>承压比较明显，只有确定受益于苹果产业链和新能源汽车、业绩成长性显著的优质公司表现出了较好的投资回报。</w:t>
      </w:r>
    </w:p>
    <w:p w:rsidR="00B57D67" w:rsidRPr="003D0154" w:rsidRDefault="00B57D67" w:rsidP="003D0154">
      <w:pPr>
        <w:spacing w:line="360" w:lineRule="auto"/>
        <w:ind w:firstLineChars="200" w:firstLine="480"/>
        <w:rPr>
          <w:rFonts w:eastAsiaTheme="minorEastAsia"/>
          <w:color w:val="000000" w:themeColor="text1"/>
          <w:sz w:val="24"/>
          <w:szCs w:val="24"/>
        </w:rPr>
      </w:pPr>
      <w:r w:rsidRPr="003D0154">
        <w:rPr>
          <w:rFonts w:eastAsiaTheme="minorEastAsia"/>
          <w:color w:val="000000" w:themeColor="text1"/>
          <w:sz w:val="24"/>
          <w:szCs w:val="24"/>
        </w:rPr>
        <w:t>本基金一季度</w:t>
      </w:r>
      <w:proofErr w:type="gramStart"/>
      <w:r w:rsidRPr="003D0154">
        <w:rPr>
          <w:rFonts w:eastAsiaTheme="minorEastAsia"/>
          <w:color w:val="000000" w:themeColor="text1"/>
          <w:sz w:val="24"/>
          <w:szCs w:val="24"/>
        </w:rPr>
        <w:t>处于封转开</w:t>
      </w:r>
      <w:proofErr w:type="gramEnd"/>
      <w:r w:rsidRPr="003D0154">
        <w:rPr>
          <w:rFonts w:eastAsiaTheme="minorEastAsia"/>
          <w:color w:val="000000" w:themeColor="text1"/>
          <w:sz w:val="24"/>
          <w:szCs w:val="24"/>
        </w:rPr>
        <w:t>调整期，总体上保持了较为中性的</w:t>
      </w:r>
      <w:proofErr w:type="gramStart"/>
      <w:r w:rsidRPr="003D0154">
        <w:rPr>
          <w:rFonts w:eastAsiaTheme="minorEastAsia"/>
          <w:color w:val="000000" w:themeColor="text1"/>
          <w:sz w:val="24"/>
          <w:szCs w:val="24"/>
        </w:rPr>
        <w:t>仓位</w:t>
      </w:r>
      <w:proofErr w:type="gramEnd"/>
      <w:r w:rsidRPr="003D0154">
        <w:rPr>
          <w:rFonts w:eastAsiaTheme="minorEastAsia"/>
          <w:color w:val="000000" w:themeColor="text1"/>
          <w:sz w:val="24"/>
          <w:szCs w:val="24"/>
        </w:rPr>
        <w:t>，资产配置倾向于发掘盈利增长确定性高、估值较为合理或者处于底部位置的龙头个股，兼顾配置了盈利改善显著和受益于</w:t>
      </w:r>
      <w:r w:rsidRPr="003D0154">
        <w:rPr>
          <w:rFonts w:eastAsiaTheme="minorEastAsia"/>
          <w:color w:val="000000" w:themeColor="text1"/>
          <w:sz w:val="24"/>
          <w:szCs w:val="24"/>
        </w:rPr>
        <w:t>“</w:t>
      </w:r>
      <w:r w:rsidRPr="003D0154">
        <w:rPr>
          <w:rFonts w:eastAsiaTheme="minorEastAsia"/>
          <w:color w:val="000000" w:themeColor="text1"/>
          <w:sz w:val="24"/>
          <w:szCs w:val="24"/>
        </w:rPr>
        <w:t>去产能</w:t>
      </w:r>
      <w:r w:rsidRPr="003D0154">
        <w:rPr>
          <w:rFonts w:eastAsiaTheme="minorEastAsia"/>
          <w:color w:val="000000" w:themeColor="text1"/>
          <w:sz w:val="24"/>
          <w:szCs w:val="24"/>
        </w:rPr>
        <w:t>”</w:t>
      </w:r>
      <w:r w:rsidRPr="003D0154">
        <w:rPr>
          <w:rFonts w:eastAsiaTheme="minorEastAsia"/>
          <w:color w:val="000000" w:themeColor="text1"/>
          <w:sz w:val="24"/>
          <w:szCs w:val="24"/>
        </w:rPr>
        <w:t>的周期品及一部分低估值的消费、金融公司股票。</w:t>
      </w:r>
    </w:p>
    <w:p w:rsidR="00B57D67" w:rsidRPr="003D0154" w:rsidRDefault="00B57D67" w:rsidP="003D0154">
      <w:pPr>
        <w:spacing w:line="360" w:lineRule="auto"/>
        <w:rPr>
          <w:rFonts w:eastAsiaTheme="minorEastAsia"/>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3D0154">
          <w:rPr>
            <w:rFonts w:eastAsiaTheme="minorEastAsia"/>
            <w:color w:val="000000" w:themeColor="text1"/>
            <w:sz w:val="24"/>
            <w:szCs w:val="24"/>
          </w:rPr>
          <w:t>4.4.2</w:t>
        </w:r>
      </w:smartTag>
      <w:r w:rsidRPr="003D0154">
        <w:rPr>
          <w:rFonts w:eastAsiaTheme="minorEastAsia"/>
          <w:color w:val="000000" w:themeColor="text1"/>
          <w:sz w:val="24"/>
          <w:szCs w:val="24"/>
        </w:rPr>
        <w:t>报告期内基金的业绩表现</w:t>
      </w:r>
    </w:p>
    <w:p w:rsidR="0099261D" w:rsidRDefault="001E0F3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2017</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w:t>
      </w:r>
      <w:r>
        <w:rPr>
          <w:rFonts w:eastAsiaTheme="minorEastAsia"/>
          <w:color w:val="000000" w:themeColor="text1"/>
          <w:sz w:val="24"/>
          <w:szCs w:val="24"/>
        </w:rPr>
        <w:t>31</w:t>
      </w:r>
      <w:r>
        <w:rPr>
          <w:rFonts w:eastAsiaTheme="minorEastAsia"/>
          <w:color w:val="000000" w:themeColor="text1"/>
          <w:sz w:val="24"/>
          <w:szCs w:val="24"/>
        </w:rPr>
        <w:t>日，易方达科瑞灵活配置混合型证券投资基金份额净值为</w:t>
      </w:r>
      <w:r>
        <w:rPr>
          <w:rFonts w:eastAsiaTheme="minorEastAsia"/>
          <w:color w:val="000000" w:themeColor="text1"/>
          <w:sz w:val="24"/>
          <w:szCs w:val="24"/>
        </w:rPr>
        <w:t>0.8653</w:t>
      </w:r>
      <w:r>
        <w:rPr>
          <w:rFonts w:eastAsiaTheme="minorEastAsia"/>
          <w:color w:val="000000" w:themeColor="text1"/>
          <w:sz w:val="24"/>
          <w:szCs w:val="24"/>
        </w:rPr>
        <w:t>元，本报告期</w:t>
      </w:r>
      <w:r>
        <w:rPr>
          <w:rFonts w:eastAsiaTheme="minorEastAsia"/>
          <w:color w:val="000000" w:themeColor="text1"/>
          <w:sz w:val="24"/>
          <w:szCs w:val="24"/>
        </w:rPr>
        <w:t>(2017</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3</w:t>
      </w:r>
      <w:r>
        <w:rPr>
          <w:rFonts w:eastAsiaTheme="minorEastAsia"/>
          <w:color w:val="000000" w:themeColor="text1"/>
          <w:sz w:val="24"/>
          <w:szCs w:val="24"/>
        </w:rPr>
        <w:t>日－</w:t>
      </w:r>
      <w:r>
        <w:rPr>
          <w:rFonts w:eastAsiaTheme="minorEastAsia"/>
          <w:color w:val="000000" w:themeColor="text1"/>
          <w:sz w:val="24"/>
          <w:szCs w:val="24"/>
        </w:rPr>
        <w:t>2017</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w:t>
      </w:r>
      <w:r>
        <w:rPr>
          <w:rFonts w:eastAsiaTheme="minorEastAsia"/>
          <w:color w:val="000000" w:themeColor="text1"/>
          <w:sz w:val="24"/>
          <w:szCs w:val="24"/>
        </w:rPr>
        <w:t>31</w:t>
      </w:r>
      <w:r>
        <w:rPr>
          <w:rFonts w:eastAsiaTheme="minorEastAsia"/>
          <w:color w:val="000000" w:themeColor="text1"/>
          <w:sz w:val="24"/>
          <w:szCs w:val="24"/>
        </w:rPr>
        <w:t>日</w:t>
      </w:r>
      <w:r>
        <w:rPr>
          <w:rFonts w:eastAsiaTheme="minorEastAsia"/>
          <w:color w:val="000000" w:themeColor="text1"/>
          <w:sz w:val="24"/>
          <w:szCs w:val="24"/>
        </w:rPr>
        <w:t xml:space="preserve">) </w:t>
      </w:r>
      <w:r>
        <w:rPr>
          <w:rFonts w:eastAsiaTheme="minorEastAsia"/>
          <w:color w:val="000000" w:themeColor="text1"/>
          <w:sz w:val="24"/>
          <w:szCs w:val="24"/>
        </w:rPr>
        <w:t>份额净值增长率为</w:t>
      </w:r>
      <w:r>
        <w:rPr>
          <w:rFonts w:eastAsiaTheme="minorEastAsia"/>
          <w:color w:val="000000" w:themeColor="text1"/>
          <w:sz w:val="24"/>
          <w:szCs w:val="24"/>
        </w:rPr>
        <w:t>1.32%</w:t>
      </w:r>
      <w:r>
        <w:rPr>
          <w:rFonts w:eastAsiaTheme="minorEastAsia"/>
          <w:color w:val="000000" w:themeColor="text1"/>
          <w:sz w:val="24"/>
          <w:szCs w:val="24"/>
        </w:rPr>
        <w:t>，同期业绩比较基准收益率为</w:t>
      </w:r>
      <w:r>
        <w:rPr>
          <w:rFonts w:eastAsiaTheme="minorEastAsia"/>
          <w:color w:val="000000" w:themeColor="text1"/>
          <w:sz w:val="24"/>
          <w:szCs w:val="24"/>
        </w:rPr>
        <w:t>3.46%</w:t>
      </w:r>
      <w:r>
        <w:rPr>
          <w:rFonts w:eastAsiaTheme="minorEastAsia"/>
          <w:color w:val="000000" w:themeColor="text1"/>
          <w:sz w:val="24"/>
          <w:szCs w:val="24"/>
        </w:rPr>
        <w:t>。</w:t>
      </w:r>
    </w:p>
    <w:p w:rsidR="00B57D67" w:rsidRPr="003D0154" w:rsidRDefault="00B57D67" w:rsidP="003D0154">
      <w:pPr>
        <w:spacing w:line="360" w:lineRule="auto"/>
        <w:ind w:firstLineChars="200" w:firstLine="480"/>
        <w:rPr>
          <w:rFonts w:eastAsiaTheme="minorEastAsia"/>
          <w:color w:val="000000" w:themeColor="text1"/>
          <w:sz w:val="24"/>
          <w:szCs w:val="24"/>
        </w:rPr>
      </w:pPr>
      <w:r w:rsidRPr="003D0154">
        <w:rPr>
          <w:rFonts w:eastAsiaTheme="minorEastAsia"/>
          <w:color w:val="000000" w:themeColor="text1"/>
          <w:sz w:val="24"/>
          <w:szCs w:val="24"/>
        </w:rPr>
        <w:t>2017</w:t>
      </w:r>
      <w:r w:rsidRPr="003D0154">
        <w:rPr>
          <w:rFonts w:eastAsiaTheme="minorEastAsia"/>
          <w:color w:val="000000" w:themeColor="text1"/>
          <w:sz w:val="24"/>
          <w:szCs w:val="24"/>
        </w:rPr>
        <w:t>年</w:t>
      </w:r>
      <w:r w:rsidRPr="003D0154">
        <w:rPr>
          <w:rFonts w:eastAsiaTheme="minorEastAsia"/>
          <w:color w:val="000000" w:themeColor="text1"/>
          <w:sz w:val="24"/>
          <w:szCs w:val="24"/>
        </w:rPr>
        <w:t>1</w:t>
      </w:r>
      <w:r w:rsidRPr="003D0154">
        <w:rPr>
          <w:rFonts w:eastAsiaTheme="minorEastAsia"/>
          <w:color w:val="000000" w:themeColor="text1"/>
          <w:sz w:val="24"/>
          <w:szCs w:val="24"/>
        </w:rPr>
        <w:t>月</w:t>
      </w:r>
      <w:r w:rsidRPr="003D0154">
        <w:rPr>
          <w:rFonts w:eastAsiaTheme="minorEastAsia"/>
          <w:color w:val="000000" w:themeColor="text1"/>
          <w:sz w:val="24"/>
          <w:szCs w:val="24"/>
        </w:rPr>
        <w:t>2</w:t>
      </w:r>
      <w:r w:rsidRPr="003D0154">
        <w:rPr>
          <w:rFonts w:eastAsiaTheme="minorEastAsia"/>
          <w:color w:val="000000" w:themeColor="text1"/>
          <w:sz w:val="24"/>
          <w:szCs w:val="24"/>
        </w:rPr>
        <w:t>日，原科瑞证券投资基金份额净值为</w:t>
      </w:r>
      <w:r w:rsidRPr="003D0154">
        <w:rPr>
          <w:rFonts w:eastAsiaTheme="minorEastAsia"/>
          <w:color w:val="000000" w:themeColor="text1"/>
          <w:sz w:val="24"/>
          <w:szCs w:val="24"/>
        </w:rPr>
        <w:t>0.8540</w:t>
      </w:r>
      <w:r w:rsidRPr="003D0154">
        <w:rPr>
          <w:rFonts w:eastAsiaTheme="minorEastAsia"/>
          <w:color w:val="000000" w:themeColor="text1"/>
          <w:sz w:val="24"/>
          <w:szCs w:val="24"/>
        </w:rPr>
        <w:t>元，本报告期</w:t>
      </w:r>
      <w:r w:rsidRPr="003D0154">
        <w:rPr>
          <w:rFonts w:eastAsiaTheme="minorEastAsia"/>
          <w:color w:val="000000" w:themeColor="text1"/>
          <w:sz w:val="24"/>
          <w:szCs w:val="24"/>
        </w:rPr>
        <w:t>(2017</w:t>
      </w:r>
      <w:r w:rsidRPr="003D0154">
        <w:rPr>
          <w:rFonts w:eastAsiaTheme="minorEastAsia"/>
          <w:color w:val="000000" w:themeColor="text1"/>
          <w:sz w:val="24"/>
          <w:szCs w:val="24"/>
        </w:rPr>
        <w:t>年</w:t>
      </w:r>
      <w:r w:rsidRPr="003D0154">
        <w:rPr>
          <w:rFonts w:eastAsiaTheme="minorEastAsia"/>
          <w:color w:val="000000" w:themeColor="text1"/>
          <w:sz w:val="24"/>
          <w:szCs w:val="24"/>
        </w:rPr>
        <w:t>1</w:t>
      </w:r>
      <w:r w:rsidRPr="003D0154">
        <w:rPr>
          <w:rFonts w:eastAsiaTheme="minorEastAsia"/>
          <w:color w:val="000000" w:themeColor="text1"/>
          <w:sz w:val="24"/>
          <w:szCs w:val="24"/>
        </w:rPr>
        <w:t>月</w:t>
      </w:r>
      <w:r w:rsidRPr="003D0154">
        <w:rPr>
          <w:rFonts w:eastAsiaTheme="minorEastAsia"/>
          <w:color w:val="000000" w:themeColor="text1"/>
          <w:sz w:val="24"/>
          <w:szCs w:val="24"/>
        </w:rPr>
        <w:t>1</w:t>
      </w:r>
      <w:r w:rsidRPr="003D0154">
        <w:rPr>
          <w:rFonts w:eastAsiaTheme="minorEastAsia"/>
          <w:color w:val="000000" w:themeColor="text1"/>
          <w:sz w:val="24"/>
          <w:szCs w:val="24"/>
        </w:rPr>
        <w:t>日－</w:t>
      </w:r>
      <w:r w:rsidRPr="003D0154">
        <w:rPr>
          <w:rFonts w:eastAsiaTheme="minorEastAsia"/>
          <w:color w:val="000000" w:themeColor="text1"/>
          <w:sz w:val="24"/>
          <w:szCs w:val="24"/>
        </w:rPr>
        <w:t>2017</w:t>
      </w:r>
      <w:r w:rsidRPr="003D0154">
        <w:rPr>
          <w:rFonts w:eastAsiaTheme="minorEastAsia"/>
          <w:color w:val="000000" w:themeColor="text1"/>
          <w:sz w:val="24"/>
          <w:szCs w:val="24"/>
        </w:rPr>
        <w:t>年</w:t>
      </w:r>
      <w:r w:rsidRPr="003D0154">
        <w:rPr>
          <w:rFonts w:eastAsiaTheme="minorEastAsia"/>
          <w:color w:val="000000" w:themeColor="text1"/>
          <w:sz w:val="24"/>
          <w:szCs w:val="24"/>
        </w:rPr>
        <w:t>1</w:t>
      </w:r>
      <w:r w:rsidRPr="003D0154">
        <w:rPr>
          <w:rFonts w:eastAsiaTheme="minorEastAsia"/>
          <w:color w:val="000000" w:themeColor="text1"/>
          <w:sz w:val="24"/>
          <w:szCs w:val="24"/>
        </w:rPr>
        <w:t>月</w:t>
      </w:r>
      <w:r w:rsidRPr="003D0154">
        <w:rPr>
          <w:rFonts w:eastAsiaTheme="minorEastAsia"/>
          <w:color w:val="000000" w:themeColor="text1"/>
          <w:sz w:val="24"/>
          <w:szCs w:val="24"/>
        </w:rPr>
        <w:t>2</w:t>
      </w:r>
      <w:r w:rsidRPr="003D0154">
        <w:rPr>
          <w:rFonts w:eastAsiaTheme="minorEastAsia"/>
          <w:color w:val="000000" w:themeColor="text1"/>
          <w:sz w:val="24"/>
          <w:szCs w:val="24"/>
        </w:rPr>
        <w:t>日</w:t>
      </w:r>
      <w:r w:rsidRPr="003D0154">
        <w:rPr>
          <w:rFonts w:eastAsiaTheme="minorEastAsia"/>
          <w:color w:val="000000" w:themeColor="text1"/>
          <w:sz w:val="24"/>
          <w:szCs w:val="24"/>
        </w:rPr>
        <w:t>)</w:t>
      </w:r>
      <w:r w:rsidRPr="003D0154">
        <w:rPr>
          <w:rFonts w:eastAsiaTheme="minorEastAsia"/>
          <w:color w:val="000000" w:themeColor="text1"/>
          <w:sz w:val="24"/>
          <w:szCs w:val="24"/>
        </w:rPr>
        <w:t>份额净值增长率为</w:t>
      </w:r>
      <w:r w:rsidRPr="003D0154">
        <w:rPr>
          <w:rFonts w:eastAsiaTheme="minorEastAsia"/>
          <w:color w:val="000000" w:themeColor="text1"/>
          <w:sz w:val="24"/>
          <w:szCs w:val="24"/>
        </w:rPr>
        <w:t>0.00%</w:t>
      </w:r>
      <w:r w:rsidRPr="003D0154">
        <w:rPr>
          <w:rFonts w:eastAsiaTheme="minorEastAsia"/>
          <w:color w:val="000000" w:themeColor="text1"/>
          <w:sz w:val="24"/>
          <w:szCs w:val="24"/>
        </w:rPr>
        <w:t>。</w:t>
      </w:r>
    </w:p>
    <w:p w:rsidR="00080B96" w:rsidRDefault="004061AC" w:rsidP="00993314">
      <w:pPr>
        <w:pStyle w:val="1"/>
        <w:spacing w:beforeLines="100" w:afterLines="100" w:line="360" w:lineRule="auto"/>
        <w:jc w:val="center"/>
        <w:rPr>
          <w:rFonts w:cs="Arial"/>
          <w:b w:val="0"/>
          <w:color w:val="000000"/>
          <w:kern w:val="0"/>
          <w:sz w:val="24"/>
          <w:szCs w:val="24"/>
        </w:rPr>
      </w:pPr>
      <w:r w:rsidRPr="008D3C75">
        <w:rPr>
          <w:rFonts w:cs="Arial" w:hint="eastAsia"/>
          <w:color w:val="000000"/>
          <w:kern w:val="0"/>
          <w:sz w:val="24"/>
          <w:szCs w:val="24"/>
        </w:rPr>
        <w:t>§</w:t>
      </w:r>
      <w:r w:rsidR="001C0993" w:rsidRPr="008D3C75">
        <w:rPr>
          <w:rFonts w:cs="Arial" w:hint="eastAsia"/>
          <w:color w:val="000000"/>
          <w:kern w:val="0"/>
          <w:sz w:val="24"/>
          <w:szCs w:val="24"/>
        </w:rPr>
        <w:t>5</w:t>
      </w:r>
      <w:r w:rsidRPr="008D3C75">
        <w:rPr>
          <w:rFonts w:cs="Arial"/>
          <w:color w:val="000000"/>
          <w:kern w:val="0"/>
          <w:sz w:val="24"/>
          <w:szCs w:val="24"/>
        </w:rPr>
        <w:t xml:space="preserve">  </w:t>
      </w:r>
      <w:r w:rsidRPr="008D3C75">
        <w:rPr>
          <w:rFonts w:cs="Arial" w:hint="eastAsia"/>
          <w:color w:val="000000"/>
          <w:kern w:val="0"/>
          <w:sz w:val="24"/>
          <w:szCs w:val="24"/>
        </w:rPr>
        <w:t>投资组合报告</w:t>
      </w:r>
    </w:p>
    <w:p w:rsidR="0010032F" w:rsidRPr="008D3C75" w:rsidRDefault="0010032F" w:rsidP="00D10CBF">
      <w:pPr>
        <w:pStyle w:val="2"/>
        <w:numPr>
          <w:ilvl w:val="1"/>
          <w:numId w:val="19"/>
        </w:numPr>
        <w:spacing w:before="0" w:after="0"/>
        <w:rPr>
          <w:b w:val="0"/>
          <w:color w:val="000000"/>
          <w:kern w:val="0"/>
        </w:rPr>
      </w:pPr>
      <w:r w:rsidRPr="008D3C75">
        <w:rPr>
          <w:color w:val="000000"/>
          <w:kern w:val="0"/>
        </w:rPr>
        <w:t>易方达科瑞灵活配置混合型证券投资基金</w:t>
      </w:r>
    </w:p>
    <w:p w:rsidR="00D10CBF" w:rsidRDefault="0010032F" w:rsidP="00D10CBF">
      <w:pPr>
        <w:autoSpaceDE w:val="0"/>
        <w:autoSpaceDN w:val="0"/>
        <w:adjustRightInd w:val="0"/>
        <w:spacing w:before="29" w:line="288" w:lineRule="auto"/>
        <w:ind w:left="15"/>
        <w:jc w:val="left"/>
        <w:rPr>
          <w:rFonts w:cs="Arial"/>
          <w:b/>
          <w:color w:val="000000"/>
          <w:kern w:val="0"/>
          <w:sz w:val="24"/>
          <w:szCs w:val="24"/>
        </w:rPr>
      </w:pPr>
      <w:r w:rsidRPr="008D3C75">
        <w:rPr>
          <w:rFonts w:cs="Arial" w:hint="eastAsia"/>
          <w:b/>
          <w:color w:val="000000"/>
          <w:kern w:val="0"/>
          <w:sz w:val="24"/>
          <w:szCs w:val="24"/>
        </w:rPr>
        <w:t>（报告期：</w:t>
      </w:r>
      <w:r w:rsidRPr="00BB3C5F">
        <w:rPr>
          <w:b/>
          <w:color w:val="000000"/>
          <w:kern w:val="0"/>
          <w:sz w:val="24"/>
          <w:szCs w:val="24"/>
        </w:rPr>
        <w:t>2017</w:t>
      </w:r>
      <w:r w:rsidRPr="00BB3C5F">
        <w:rPr>
          <w:b/>
          <w:color w:val="000000"/>
          <w:kern w:val="0"/>
          <w:sz w:val="24"/>
          <w:szCs w:val="24"/>
        </w:rPr>
        <w:t>年</w:t>
      </w:r>
      <w:r w:rsidRPr="00BB3C5F">
        <w:rPr>
          <w:b/>
          <w:color w:val="000000"/>
          <w:kern w:val="0"/>
          <w:sz w:val="24"/>
          <w:szCs w:val="24"/>
        </w:rPr>
        <w:t>1</w:t>
      </w:r>
      <w:r w:rsidRPr="00BB3C5F">
        <w:rPr>
          <w:b/>
          <w:color w:val="000000"/>
          <w:kern w:val="0"/>
          <w:sz w:val="24"/>
          <w:szCs w:val="24"/>
        </w:rPr>
        <w:t>月</w:t>
      </w:r>
      <w:r w:rsidRPr="00BB3C5F">
        <w:rPr>
          <w:b/>
          <w:color w:val="000000"/>
          <w:kern w:val="0"/>
          <w:sz w:val="24"/>
          <w:szCs w:val="24"/>
        </w:rPr>
        <w:t>3</w:t>
      </w:r>
      <w:r w:rsidRPr="00BB3C5F">
        <w:rPr>
          <w:b/>
          <w:color w:val="000000"/>
          <w:kern w:val="0"/>
          <w:sz w:val="24"/>
          <w:szCs w:val="24"/>
        </w:rPr>
        <w:t>日</w:t>
      </w:r>
      <w:r w:rsidRPr="00BB3C5F">
        <w:rPr>
          <w:b/>
          <w:color w:val="000000"/>
          <w:kern w:val="0"/>
          <w:sz w:val="24"/>
          <w:szCs w:val="24"/>
        </w:rPr>
        <w:t>-2017</w:t>
      </w:r>
      <w:r w:rsidRPr="00BB3C5F">
        <w:rPr>
          <w:b/>
          <w:color w:val="000000"/>
          <w:kern w:val="0"/>
          <w:sz w:val="24"/>
          <w:szCs w:val="24"/>
        </w:rPr>
        <w:t>年</w:t>
      </w:r>
      <w:r w:rsidRPr="00BB3C5F">
        <w:rPr>
          <w:b/>
          <w:color w:val="000000"/>
          <w:kern w:val="0"/>
          <w:sz w:val="24"/>
          <w:szCs w:val="24"/>
        </w:rPr>
        <w:t>3</w:t>
      </w:r>
      <w:r w:rsidRPr="00BB3C5F">
        <w:rPr>
          <w:b/>
          <w:color w:val="000000"/>
          <w:kern w:val="0"/>
          <w:sz w:val="24"/>
          <w:szCs w:val="24"/>
        </w:rPr>
        <w:t>月</w:t>
      </w:r>
      <w:r w:rsidRPr="00BB3C5F">
        <w:rPr>
          <w:b/>
          <w:color w:val="000000"/>
          <w:kern w:val="0"/>
          <w:sz w:val="24"/>
          <w:szCs w:val="24"/>
        </w:rPr>
        <w:t>31</w:t>
      </w:r>
      <w:r w:rsidRPr="00BB3C5F">
        <w:rPr>
          <w:b/>
          <w:color w:val="000000"/>
          <w:kern w:val="0"/>
          <w:sz w:val="24"/>
          <w:szCs w:val="24"/>
        </w:rPr>
        <w:t>日）</w:t>
      </w:r>
    </w:p>
    <w:p w:rsidR="004061AC" w:rsidRPr="00D10CBF" w:rsidRDefault="00D10CBF" w:rsidP="00D10CBF">
      <w:pPr>
        <w:autoSpaceDE w:val="0"/>
        <w:autoSpaceDN w:val="0"/>
        <w:adjustRightInd w:val="0"/>
        <w:spacing w:before="29" w:line="288" w:lineRule="auto"/>
        <w:ind w:left="15"/>
        <w:jc w:val="left"/>
        <w:rPr>
          <w:rFonts w:cs="Arial"/>
          <w:b/>
          <w:color w:val="000000"/>
          <w:kern w:val="0"/>
          <w:sz w:val="24"/>
          <w:szCs w:val="24"/>
        </w:rPr>
      </w:pPr>
      <w:r>
        <w:rPr>
          <w:rFonts w:cs="Arial" w:hint="eastAsia"/>
          <w:b/>
          <w:color w:val="000000"/>
          <w:kern w:val="0"/>
          <w:sz w:val="24"/>
          <w:szCs w:val="24"/>
        </w:rPr>
        <w:t xml:space="preserve">5.1.1 </w:t>
      </w:r>
      <w:r w:rsidR="004061AC" w:rsidRPr="00D10CBF">
        <w:rPr>
          <w:rFonts w:cs="Arial" w:hint="eastAsia"/>
          <w:b/>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lastRenderedPageBreak/>
              <w:t>序号</w:t>
            </w:r>
          </w:p>
        </w:tc>
        <w:tc>
          <w:tcPr>
            <w:tcW w:w="3357"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项目</w:t>
            </w:r>
          </w:p>
        </w:tc>
        <w:tc>
          <w:tcPr>
            <w:tcW w:w="2977"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金额</w:t>
            </w:r>
            <w:r w:rsidR="00D57B7C" w:rsidRPr="00BB3C5F">
              <w:rPr>
                <w:color w:val="000000"/>
                <w:sz w:val="24"/>
                <w:szCs w:val="24"/>
              </w:rPr>
              <w:t>(</w:t>
            </w:r>
            <w:r w:rsidRPr="00BB3C5F">
              <w:rPr>
                <w:color w:val="000000"/>
                <w:sz w:val="24"/>
                <w:szCs w:val="24"/>
              </w:rPr>
              <w:t>元</w:t>
            </w:r>
            <w:r w:rsidR="00D57B7C" w:rsidRPr="00BB3C5F">
              <w:rPr>
                <w:color w:val="000000"/>
                <w:sz w:val="24"/>
                <w:szCs w:val="24"/>
              </w:rPr>
              <w:t>)</w:t>
            </w:r>
          </w:p>
        </w:tc>
        <w:tc>
          <w:tcPr>
            <w:tcW w:w="1843"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占基金总资产的比例</w:t>
            </w:r>
            <w:r w:rsidR="00D57B7C" w:rsidRPr="00BB3C5F">
              <w:rPr>
                <w:color w:val="000000"/>
                <w:sz w:val="24"/>
                <w:szCs w:val="24"/>
              </w:rPr>
              <w:t>(</w:t>
            </w:r>
            <w:r w:rsidRPr="00BB3C5F">
              <w:rPr>
                <w:color w:val="000000"/>
                <w:sz w:val="24"/>
                <w:szCs w:val="24"/>
              </w:rPr>
              <w:t>%</w:t>
            </w:r>
            <w:r w:rsidR="00D57B7C" w:rsidRPr="00BB3C5F">
              <w:rPr>
                <w:color w:val="000000"/>
                <w:sz w:val="24"/>
                <w:szCs w:val="24"/>
              </w:rPr>
              <w:t>)</w:t>
            </w:r>
          </w:p>
        </w:tc>
      </w:tr>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1</w:t>
            </w:r>
          </w:p>
        </w:tc>
        <w:tc>
          <w:tcPr>
            <w:tcW w:w="3357" w:type="dxa"/>
            <w:vAlign w:val="center"/>
          </w:tcPr>
          <w:p w:rsidR="00853140" w:rsidRPr="00BB3C5F" w:rsidRDefault="00853140"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权益投资</w:t>
            </w:r>
          </w:p>
        </w:tc>
        <w:tc>
          <w:tcPr>
            <w:tcW w:w="2977" w:type="dxa"/>
            <w:vAlign w:val="center"/>
          </w:tcPr>
          <w:p w:rsidR="00853140" w:rsidRPr="00BB3C5F" w:rsidRDefault="00C77AEF"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1,121,918,878.38</w:t>
            </w:r>
          </w:p>
        </w:tc>
        <w:tc>
          <w:tcPr>
            <w:tcW w:w="1843"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83.84</w:t>
            </w:r>
          </w:p>
        </w:tc>
      </w:tr>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p>
        </w:tc>
        <w:tc>
          <w:tcPr>
            <w:tcW w:w="3357" w:type="dxa"/>
            <w:vAlign w:val="center"/>
          </w:tcPr>
          <w:p w:rsidR="00853140" w:rsidRPr="00BB3C5F" w:rsidRDefault="00853140"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其中：股票</w:t>
            </w:r>
          </w:p>
        </w:tc>
        <w:tc>
          <w:tcPr>
            <w:tcW w:w="2977"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1,121,918,878.38</w:t>
            </w:r>
          </w:p>
        </w:tc>
        <w:tc>
          <w:tcPr>
            <w:tcW w:w="1843"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83.84</w:t>
            </w:r>
          </w:p>
        </w:tc>
      </w:tr>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2</w:t>
            </w:r>
          </w:p>
        </w:tc>
        <w:tc>
          <w:tcPr>
            <w:tcW w:w="3357" w:type="dxa"/>
            <w:vAlign w:val="center"/>
          </w:tcPr>
          <w:p w:rsidR="00853140" w:rsidRPr="00BB3C5F" w:rsidRDefault="00853140"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固定收益投资</w:t>
            </w:r>
          </w:p>
        </w:tc>
        <w:tc>
          <w:tcPr>
            <w:tcW w:w="2977"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46,160,211.20</w:t>
            </w:r>
          </w:p>
        </w:tc>
        <w:tc>
          <w:tcPr>
            <w:tcW w:w="1843"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3.45</w:t>
            </w:r>
          </w:p>
        </w:tc>
      </w:tr>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p>
        </w:tc>
        <w:tc>
          <w:tcPr>
            <w:tcW w:w="3357" w:type="dxa"/>
            <w:vAlign w:val="center"/>
          </w:tcPr>
          <w:p w:rsidR="00853140" w:rsidRPr="00BB3C5F" w:rsidRDefault="00853140"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其中：债券</w:t>
            </w:r>
          </w:p>
        </w:tc>
        <w:tc>
          <w:tcPr>
            <w:tcW w:w="2977"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46,160,211.20</w:t>
            </w:r>
          </w:p>
        </w:tc>
        <w:tc>
          <w:tcPr>
            <w:tcW w:w="1843"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3.45</w:t>
            </w:r>
          </w:p>
        </w:tc>
      </w:tr>
      <w:tr w:rsidR="00220C32" w:rsidRPr="00BB3C5F" w:rsidTr="003D1DFA">
        <w:trPr>
          <w:jc w:val="center"/>
        </w:trPr>
        <w:tc>
          <w:tcPr>
            <w:tcW w:w="720" w:type="dxa"/>
            <w:vAlign w:val="center"/>
          </w:tcPr>
          <w:p w:rsidR="00853140" w:rsidRPr="00BB3C5F" w:rsidRDefault="00853140" w:rsidP="008D3C75">
            <w:pPr>
              <w:autoSpaceDE w:val="0"/>
              <w:autoSpaceDN w:val="0"/>
              <w:adjustRightInd w:val="0"/>
              <w:spacing w:before="29" w:line="288" w:lineRule="auto"/>
              <w:ind w:left="15"/>
              <w:jc w:val="center"/>
              <w:rPr>
                <w:color w:val="000000"/>
                <w:sz w:val="24"/>
                <w:szCs w:val="24"/>
              </w:rPr>
            </w:pPr>
          </w:p>
        </w:tc>
        <w:tc>
          <w:tcPr>
            <w:tcW w:w="3357" w:type="dxa"/>
            <w:vAlign w:val="center"/>
          </w:tcPr>
          <w:p w:rsidR="00853140" w:rsidRPr="00BB3C5F" w:rsidRDefault="00853140" w:rsidP="008D3C75">
            <w:pPr>
              <w:autoSpaceDE w:val="0"/>
              <w:autoSpaceDN w:val="0"/>
              <w:adjustRightInd w:val="0"/>
              <w:spacing w:before="29" w:line="288" w:lineRule="auto"/>
              <w:ind w:left="15" w:firstLineChars="250" w:firstLine="600"/>
              <w:jc w:val="left"/>
              <w:rPr>
                <w:color w:val="000000"/>
                <w:sz w:val="24"/>
                <w:szCs w:val="24"/>
              </w:rPr>
            </w:pPr>
            <w:r w:rsidRPr="00BB3C5F">
              <w:rPr>
                <w:color w:val="000000"/>
                <w:sz w:val="24"/>
                <w:szCs w:val="24"/>
              </w:rPr>
              <w:t>资产支持证券</w:t>
            </w:r>
          </w:p>
        </w:tc>
        <w:tc>
          <w:tcPr>
            <w:tcW w:w="2977"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c>
          <w:tcPr>
            <w:tcW w:w="1843" w:type="dxa"/>
            <w:vAlign w:val="center"/>
          </w:tcPr>
          <w:p w:rsidR="00853140" w:rsidRPr="00BB3C5F" w:rsidRDefault="001675CD"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3</w:t>
            </w:r>
          </w:p>
        </w:tc>
        <w:tc>
          <w:tcPr>
            <w:tcW w:w="3357" w:type="dxa"/>
            <w:vAlign w:val="center"/>
          </w:tcPr>
          <w:p w:rsidR="001D63BB" w:rsidRPr="00BB3C5F" w:rsidRDefault="001D63BB" w:rsidP="008D3C75">
            <w:pPr>
              <w:autoSpaceDE w:val="0"/>
              <w:autoSpaceDN w:val="0"/>
              <w:adjustRightInd w:val="0"/>
              <w:spacing w:before="29" w:line="288" w:lineRule="auto"/>
              <w:rPr>
                <w:color w:val="000000"/>
                <w:sz w:val="24"/>
                <w:szCs w:val="24"/>
              </w:rPr>
            </w:pPr>
            <w:r w:rsidRPr="00BB3C5F">
              <w:rPr>
                <w:color w:val="000000"/>
                <w:sz w:val="24"/>
                <w:szCs w:val="24"/>
              </w:rPr>
              <w:t>贵金属投资</w:t>
            </w:r>
          </w:p>
        </w:tc>
        <w:tc>
          <w:tcPr>
            <w:tcW w:w="2977"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c>
          <w:tcPr>
            <w:tcW w:w="1843"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4</w:t>
            </w:r>
          </w:p>
        </w:tc>
        <w:tc>
          <w:tcPr>
            <w:tcW w:w="3357" w:type="dxa"/>
            <w:vAlign w:val="center"/>
          </w:tcPr>
          <w:p w:rsidR="001D63BB" w:rsidRPr="00BB3C5F" w:rsidRDefault="001D63BB"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金融衍生</w:t>
            </w:r>
            <w:proofErr w:type="gramStart"/>
            <w:r w:rsidRPr="00BB3C5F">
              <w:rPr>
                <w:color w:val="000000"/>
                <w:sz w:val="24"/>
                <w:szCs w:val="24"/>
              </w:rPr>
              <w:t>品投资</w:t>
            </w:r>
            <w:proofErr w:type="gramEnd"/>
          </w:p>
        </w:tc>
        <w:tc>
          <w:tcPr>
            <w:tcW w:w="2977"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c>
          <w:tcPr>
            <w:tcW w:w="1843"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5</w:t>
            </w:r>
          </w:p>
        </w:tc>
        <w:tc>
          <w:tcPr>
            <w:tcW w:w="3357" w:type="dxa"/>
            <w:vAlign w:val="center"/>
          </w:tcPr>
          <w:p w:rsidR="001D63BB" w:rsidRPr="00BB3C5F" w:rsidRDefault="001D63BB"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买入返售金融资产</w:t>
            </w:r>
          </w:p>
        </w:tc>
        <w:tc>
          <w:tcPr>
            <w:tcW w:w="2977"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c>
          <w:tcPr>
            <w:tcW w:w="1843"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p>
        </w:tc>
        <w:tc>
          <w:tcPr>
            <w:tcW w:w="3357" w:type="dxa"/>
            <w:vAlign w:val="center"/>
          </w:tcPr>
          <w:p w:rsidR="001D63BB" w:rsidRPr="00BB3C5F" w:rsidRDefault="001D63BB"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其中：买断式回购的买入返售金融资产</w:t>
            </w:r>
          </w:p>
        </w:tc>
        <w:tc>
          <w:tcPr>
            <w:tcW w:w="2977"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c>
          <w:tcPr>
            <w:tcW w:w="1843"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6</w:t>
            </w:r>
          </w:p>
        </w:tc>
        <w:tc>
          <w:tcPr>
            <w:tcW w:w="3357" w:type="dxa"/>
            <w:vAlign w:val="center"/>
          </w:tcPr>
          <w:p w:rsidR="001D63BB" w:rsidRPr="00BB3C5F" w:rsidRDefault="001D63BB" w:rsidP="008D3C75">
            <w:pPr>
              <w:autoSpaceDE w:val="0"/>
              <w:autoSpaceDN w:val="0"/>
              <w:adjustRightInd w:val="0"/>
              <w:spacing w:before="29" w:line="288" w:lineRule="auto"/>
              <w:ind w:left="15"/>
              <w:jc w:val="left"/>
              <w:rPr>
                <w:color w:val="000000"/>
                <w:sz w:val="24"/>
                <w:szCs w:val="24"/>
              </w:rPr>
            </w:pPr>
            <w:r w:rsidRPr="00BB3C5F">
              <w:rPr>
                <w:color w:val="000000"/>
                <w:sz w:val="24"/>
                <w:szCs w:val="24"/>
              </w:rPr>
              <w:t>银行存款和结算备付金合计</w:t>
            </w:r>
          </w:p>
        </w:tc>
        <w:tc>
          <w:tcPr>
            <w:tcW w:w="2977"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157,623,294.11</w:t>
            </w:r>
          </w:p>
        </w:tc>
        <w:tc>
          <w:tcPr>
            <w:tcW w:w="1843" w:type="dxa"/>
            <w:vAlign w:val="center"/>
          </w:tcPr>
          <w:p w:rsidR="001D63BB" w:rsidRPr="00BB3C5F" w:rsidRDefault="001D63BB" w:rsidP="008D3C75">
            <w:pPr>
              <w:autoSpaceDE w:val="0"/>
              <w:autoSpaceDN w:val="0"/>
              <w:adjustRightInd w:val="0"/>
              <w:spacing w:before="29" w:line="288" w:lineRule="auto"/>
              <w:ind w:left="15"/>
              <w:jc w:val="right"/>
              <w:rPr>
                <w:color w:val="000000"/>
                <w:sz w:val="24"/>
                <w:szCs w:val="24"/>
              </w:rPr>
            </w:pPr>
            <w:r w:rsidRPr="00BB3C5F">
              <w:rPr>
                <w:color w:val="000000"/>
                <w:sz w:val="24"/>
                <w:szCs w:val="24"/>
              </w:rPr>
              <w:t>11.78</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7</w:t>
            </w:r>
          </w:p>
        </w:tc>
        <w:tc>
          <w:tcPr>
            <w:tcW w:w="3357" w:type="dxa"/>
            <w:vAlign w:val="center"/>
          </w:tcPr>
          <w:p w:rsidR="001D63BB" w:rsidRPr="00BB3C5F" w:rsidRDefault="001D63BB" w:rsidP="00623598">
            <w:pPr>
              <w:autoSpaceDE w:val="0"/>
              <w:autoSpaceDN w:val="0"/>
              <w:adjustRightInd w:val="0"/>
              <w:spacing w:line="288" w:lineRule="auto"/>
              <w:ind w:left="15"/>
              <w:jc w:val="left"/>
              <w:rPr>
                <w:color w:val="000000"/>
                <w:sz w:val="24"/>
                <w:szCs w:val="24"/>
              </w:rPr>
            </w:pPr>
            <w:r w:rsidRPr="00BB3C5F">
              <w:rPr>
                <w:color w:val="000000"/>
                <w:sz w:val="24"/>
                <w:szCs w:val="24"/>
              </w:rPr>
              <w:t>其他资产</w:t>
            </w:r>
          </w:p>
        </w:tc>
        <w:tc>
          <w:tcPr>
            <w:tcW w:w="2977" w:type="dxa"/>
            <w:vAlign w:val="center"/>
          </w:tcPr>
          <w:p w:rsidR="001D63BB" w:rsidRPr="00BB3C5F" w:rsidRDefault="001D63BB" w:rsidP="008D3C75">
            <w:pPr>
              <w:autoSpaceDE w:val="0"/>
              <w:autoSpaceDN w:val="0"/>
              <w:adjustRightInd w:val="0"/>
              <w:spacing w:line="288" w:lineRule="auto"/>
              <w:ind w:left="15"/>
              <w:jc w:val="right"/>
              <w:rPr>
                <w:color w:val="000000"/>
                <w:sz w:val="24"/>
                <w:szCs w:val="24"/>
              </w:rPr>
            </w:pPr>
            <w:r w:rsidRPr="00BB3C5F">
              <w:rPr>
                <w:color w:val="000000"/>
                <w:sz w:val="24"/>
                <w:szCs w:val="24"/>
              </w:rPr>
              <w:t>12,510,852.15</w:t>
            </w:r>
          </w:p>
        </w:tc>
        <w:tc>
          <w:tcPr>
            <w:tcW w:w="1843" w:type="dxa"/>
            <w:vAlign w:val="center"/>
          </w:tcPr>
          <w:p w:rsidR="001D63BB" w:rsidRPr="00BB3C5F" w:rsidRDefault="001D63BB" w:rsidP="008D3C75">
            <w:pPr>
              <w:autoSpaceDE w:val="0"/>
              <w:autoSpaceDN w:val="0"/>
              <w:adjustRightInd w:val="0"/>
              <w:spacing w:line="288" w:lineRule="auto"/>
              <w:ind w:left="15"/>
              <w:jc w:val="right"/>
              <w:rPr>
                <w:color w:val="000000"/>
                <w:sz w:val="24"/>
                <w:szCs w:val="24"/>
              </w:rPr>
            </w:pPr>
            <w:r w:rsidRPr="00BB3C5F">
              <w:rPr>
                <w:color w:val="000000"/>
                <w:sz w:val="24"/>
                <w:szCs w:val="24"/>
              </w:rPr>
              <w:t>0.93</w:t>
            </w:r>
          </w:p>
        </w:tc>
      </w:tr>
      <w:tr w:rsidR="00220C32" w:rsidRPr="00BB3C5F" w:rsidTr="003D1DFA">
        <w:trPr>
          <w:jc w:val="center"/>
        </w:trPr>
        <w:tc>
          <w:tcPr>
            <w:tcW w:w="720" w:type="dxa"/>
            <w:vAlign w:val="center"/>
          </w:tcPr>
          <w:p w:rsidR="001D63BB" w:rsidRPr="00BB3C5F" w:rsidRDefault="001D63BB" w:rsidP="008D3C75">
            <w:pPr>
              <w:autoSpaceDE w:val="0"/>
              <w:autoSpaceDN w:val="0"/>
              <w:adjustRightInd w:val="0"/>
              <w:spacing w:before="29" w:line="288" w:lineRule="auto"/>
              <w:ind w:left="15"/>
              <w:jc w:val="center"/>
              <w:rPr>
                <w:color w:val="000000"/>
                <w:sz w:val="24"/>
                <w:szCs w:val="24"/>
              </w:rPr>
            </w:pPr>
            <w:r w:rsidRPr="00BB3C5F">
              <w:rPr>
                <w:color w:val="000000"/>
                <w:sz w:val="24"/>
                <w:szCs w:val="24"/>
              </w:rPr>
              <w:t>8</w:t>
            </w:r>
          </w:p>
        </w:tc>
        <w:tc>
          <w:tcPr>
            <w:tcW w:w="3357" w:type="dxa"/>
            <w:vAlign w:val="center"/>
          </w:tcPr>
          <w:p w:rsidR="001D63BB" w:rsidRPr="00BB3C5F" w:rsidRDefault="001D63BB" w:rsidP="008D3C75">
            <w:pPr>
              <w:autoSpaceDE w:val="0"/>
              <w:autoSpaceDN w:val="0"/>
              <w:adjustRightInd w:val="0"/>
              <w:spacing w:line="288" w:lineRule="auto"/>
              <w:ind w:left="15"/>
              <w:jc w:val="left"/>
              <w:rPr>
                <w:color w:val="000000"/>
                <w:sz w:val="24"/>
                <w:szCs w:val="24"/>
              </w:rPr>
            </w:pPr>
            <w:r w:rsidRPr="00BB3C5F">
              <w:rPr>
                <w:color w:val="000000"/>
                <w:sz w:val="24"/>
                <w:szCs w:val="24"/>
              </w:rPr>
              <w:t>合计</w:t>
            </w:r>
          </w:p>
        </w:tc>
        <w:tc>
          <w:tcPr>
            <w:tcW w:w="2977" w:type="dxa"/>
            <w:vAlign w:val="center"/>
          </w:tcPr>
          <w:p w:rsidR="001D63BB" w:rsidRPr="00BB3C5F" w:rsidRDefault="001D63BB" w:rsidP="008D3C75">
            <w:pPr>
              <w:autoSpaceDE w:val="0"/>
              <w:autoSpaceDN w:val="0"/>
              <w:adjustRightInd w:val="0"/>
              <w:spacing w:line="288" w:lineRule="auto"/>
              <w:ind w:left="15"/>
              <w:jc w:val="right"/>
              <w:rPr>
                <w:color w:val="000000"/>
                <w:sz w:val="24"/>
                <w:szCs w:val="24"/>
              </w:rPr>
            </w:pPr>
            <w:r w:rsidRPr="00BB3C5F">
              <w:rPr>
                <w:color w:val="000000"/>
                <w:sz w:val="24"/>
                <w:szCs w:val="24"/>
              </w:rPr>
              <w:t>1,338,213,235.84</w:t>
            </w:r>
          </w:p>
        </w:tc>
        <w:tc>
          <w:tcPr>
            <w:tcW w:w="1843" w:type="dxa"/>
            <w:vAlign w:val="center"/>
          </w:tcPr>
          <w:p w:rsidR="001D63BB" w:rsidRPr="00BB3C5F" w:rsidRDefault="001D63BB" w:rsidP="008D3C75">
            <w:pPr>
              <w:autoSpaceDE w:val="0"/>
              <w:autoSpaceDN w:val="0"/>
              <w:adjustRightInd w:val="0"/>
              <w:spacing w:line="288" w:lineRule="auto"/>
              <w:ind w:left="15"/>
              <w:jc w:val="right"/>
              <w:rPr>
                <w:color w:val="000000"/>
                <w:sz w:val="24"/>
                <w:szCs w:val="24"/>
              </w:rPr>
            </w:pPr>
            <w:r w:rsidRPr="00BB3C5F">
              <w:rPr>
                <w:color w:val="000000"/>
                <w:sz w:val="24"/>
                <w:szCs w:val="24"/>
              </w:rPr>
              <w:t>100.00</w:t>
            </w:r>
          </w:p>
        </w:tc>
      </w:tr>
    </w:tbl>
    <w:p w:rsidR="004061AC" w:rsidRPr="00843986" w:rsidRDefault="004061AC" w:rsidP="00843986">
      <w:pPr>
        <w:pStyle w:val="afa"/>
        <w:numPr>
          <w:ilvl w:val="2"/>
          <w:numId w:val="39"/>
        </w:numPr>
        <w:autoSpaceDE w:val="0"/>
        <w:autoSpaceDN w:val="0"/>
        <w:adjustRightInd w:val="0"/>
        <w:spacing w:before="29" w:line="288" w:lineRule="auto"/>
        <w:ind w:firstLineChars="0"/>
        <w:jc w:val="left"/>
        <w:rPr>
          <w:rFonts w:cs="Arial"/>
          <w:b/>
          <w:color w:val="000000"/>
          <w:kern w:val="0"/>
          <w:sz w:val="24"/>
          <w:szCs w:val="24"/>
        </w:rPr>
      </w:pPr>
      <w:r w:rsidRPr="00843986">
        <w:rPr>
          <w:rFonts w:cs="Arial" w:hint="eastAsia"/>
          <w:b/>
          <w:color w:val="000000"/>
          <w:kern w:val="0"/>
          <w:sz w:val="24"/>
          <w:szCs w:val="24"/>
        </w:rPr>
        <w:t>报告期末按行业分类的股票投资组合</w:t>
      </w:r>
    </w:p>
    <w:p w:rsidR="007E1F08" w:rsidRPr="00043844" w:rsidRDefault="00043844" w:rsidP="00043844">
      <w:pPr>
        <w:autoSpaceDE w:val="0"/>
        <w:autoSpaceDN w:val="0"/>
        <w:adjustRightInd w:val="0"/>
        <w:spacing w:line="360" w:lineRule="auto"/>
        <w:jc w:val="left"/>
        <w:rPr>
          <w:b/>
          <w:color w:val="000000"/>
          <w:kern w:val="0"/>
          <w:sz w:val="24"/>
          <w:szCs w:val="24"/>
        </w:rPr>
      </w:pPr>
      <w:r w:rsidRPr="00043844">
        <w:rPr>
          <w:rFonts w:hint="eastAsia"/>
          <w:b/>
          <w:color w:val="000000" w:themeColor="text1"/>
          <w:sz w:val="24"/>
          <w:szCs w:val="24"/>
        </w:rPr>
        <w:t>5.1.2.1</w:t>
      </w:r>
      <w:r w:rsidR="007E1F08" w:rsidRPr="00043844">
        <w:rPr>
          <w:rFonts w:eastAsiaTheme="minorEastAsia"/>
          <w:b/>
          <w:color w:val="000000" w:themeColor="text1"/>
          <w:kern w:val="0"/>
          <w:sz w:val="24"/>
          <w:szCs w:val="24"/>
        </w:rPr>
        <w:t>报告期末按行业分类的境内股票投资组合</w:t>
      </w:r>
    </w:p>
    <w:tbl>
      <w:tblPr>
        <w:tblW w:w="8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986"/>
        <w:gridCol w:w="2551"/>
        <w:gridCol w:w="1780"/>
      </w:tblGrid>
      <w:tr w:rsidR="00220C32" w:rsidRPr="00BB3C5F" w:rsidTr="003D1DFA">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代码</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行业类别</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公允价值（元）</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占基金资产净值比例（％）</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A</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农、林、牧、渔业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adjustRightInd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B</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2E594D">
            <w:pPr>
              <w:autoSpaceDE w:val="0"/>
              <w:autoSpaceDN w:val="0"/>
              <w:adjustRightInd w:val="0"/>
              <w:spacing w:before="29" w:line="288" w:lineRule="auto"/>
              <w:ind w:left="15"/>
              <w:jc w:val="left"/>
              <w:rPr>
                <w:color w:val="000000"/>
                <w:kern w:val="0"/>
                <w:sz w:val="24"/>
                <w:szCs w:val="24"/>
              </w:rPr>
            </w:pPr>
            <w:r w:rsidRPr="00BB3C5F">
              <w:rPr>
                <w:color w:val="000000"/>
                <w:kern w:val="0"/>
                <w:sz w:val="24"/>
                <w:szCs w:val="24"/>
              </w:rPr>
              <w:t>采矿业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60084E">
            <w:pPr>
              <w:autoSpaceDE w:val="0"/>
              <w:autoSpaceDN w:val="0"/>
              <w:adjustRightInd w:val="0"/>
              <w:spacing w:before="29" w:line="288" w:lineRule="auto"/>
              <w:ind w:left="15"/>
              <w:jc w:val="right"/>
              <w:rPr>
                <w:color w:val="000000"/>
                <w:kern w:val="0"/>
                <w:sz w:val="24"/>
                <w:szCs w:val="24"/>
              </w:rPr>
            </w:pPr>
            <w:r w:rsidRPr="00BB3C5F">
              <w:rPr>
                <w:color w:val="000000"/>
                <w:kern w:val="0"/>
                <w:sz w:val="24"/>
                <w:szCs w:val="24"/>
              </w:rPr>
              <w:t>154,637,787.60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60084E">
            <w:pPr>
              <w:autoSpaceDE w:val="0"/>
              <w:autoSpaceDN w:val="0"/>
              <w:adjustRightInd w:val="0"/>
              <w:spacing w:before="29" w:line="288" w:lineRule="auto"/>
              <w:ind w:left="15"/>
              <w:jc w:val="right"/>
              <w:rPr>
                <w:color w:val="000000"/>
                <w:kern w:val="0"/>
                <w:sz w:val="24"/>
                <w:szCs w:val="24"/>
              </w:rPr>
            </w:pPr>
            <w:r w:rsidRPr="00BB3C5F">
              <w:rPr>
                <w:color w:val="000000"/>
                <w:kern w:val="0"/>
                <w:sz w:val="24"/>
                <w:szCs w:val="24"/>
              </w:rPr>
              <w:t>11.66</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C</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制造业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764,992,153.78</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57.69</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D</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电力、热力、燃气及水生产和供应业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E</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建筑业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17,950,000.00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1.35</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F</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批发和零售业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23,605,364.16</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1.78</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G</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交通运输、仓储和邮政业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7,095,990.00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0.54</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H</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住宿和餐饮业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I</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60084E">
            <w:pPr>
              <w:autoSpaceDE w:val="0"/>
              <w:autoSpaceDN w:val="0"/>
              <w:adjustRightInd w:val="0"/>
              <w:spacing w:before="29" w:line="288" w:lineRule="auto"/>
              <w:ind w:left="15"/>
              <w:rPr>
                <w:color w:val="000000"/>
                <w:kern w:val="0"/>
                <w:sz w:val="24"/>
                <w:szCs w:val="24"/>
              </w:rPr>
            </w:pPr>
            <w:r w:rsidRPr="00BB3C5F">
              <w:rPr>
                <w:color w:val="000000"/>
                <w:kern w:val="0"/>
                <w:sz w:val="24"/>
                <w:szCs w:val="24"/>
              </w:rPr>
              <w:t>信息传输、软件和信息技术服务业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78,790,978.00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5.94</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J</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金融业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60,535,674.68</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4.57</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K</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房地产业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14,294,000.00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1.08</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L</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租赁和商务服务业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M</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科学研究和技术服务业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16,930.16</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0.00</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N</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水利、环境和公共设施管理业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lastRenderedPageBreak/>
              <w:t>O</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居民服务、修理和其他服务业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P</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教育</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Q</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卫生和社会工作</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R</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文化、体育和娱乐业</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r w:rsidRPr="00BB3C5F">
              <w:rPr>
                <w:color w:val="000000"/>
                <w:kern w:val="0"/>
                <w:sz w:val="24"/>
                <w:szCs w:val="24"/>
              </w:rPr>
              <w:t>S</w:t>
            </w: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综合</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w:t>
            </w:r>
          </w:p>
        </w:tc>
      </w:tr>
      <w:tr w:rsidR="00220C32" w:rsidRPr="00BB3C5F" w:rsidTr="003D1DFA">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jc w:val="center"/>
              <w:rPr>
                <w:color w:val="000000"/>
                <w:kern w:val="0"/>
                <w:sz w:val="24"/>
                <w:szCs w:val="24"/>
              </w:rPr>
            </w:pPr>
          </w:p>
        </w:tc>
        <w:tc>
          <w:tcPr>
            <w:tcW w:w="39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BB3C5F" w:rsidRDefault="00531F10" w:rsidP="00B46334">
            <w:pPr>
              <w:autoSpaceDE w:val="0"/>
              <w:autoSpaceDN w:val="0"/>
              <w:adjustRightInd w:val="0"/>
              <w:spacing w:before="29" w:line="288" w:lineRule="auto"/>
              <w:ind w:left="15"/>
              <w:rPr>
                <w:color w:val="000000"/>
                <w:kern w:val="0"/>
                <w:sz w:val="24"/>
                <w:szCs w:val="24"/>
              </w:rPr>
            </w:pPr>
            <w:r w:rsidRPr="00BB3C5F">
              <w:rPr>
                <w:color w:val="000000"/>
                <w:kern w:val="0"/>
                <w:sz w:val="24"/>
                <w:szCs w:val="24"/>
              </w:rPr>
              <w:t>合计</w:t>
            </w:r>
          </w:p>
        </w:tc>
        <w:tc>
          <w:tcPr>
            <w:tcW w:w="2551" w:type="dxa"/>
            <w:tcBorders>
              <w:top w:val="single" w:sz="4" w:space="0" w:color="000000"/>
              <w:left w:val="single" w:sz="4" w:space="0" w:color="auto"/>
              <w:bottom w:val="single" w:sz="4" w:space="0" w:color="000000"/>
              <w:right w:val="single" w:sz="4" w:space="0" w:color="000000"/>
            </w:tcBorders>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1,121,918,878.38</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BB3C5F" w:rsidRDefault="00531F10" w:rsidP="00B46334">
            <w:pPr>
              <w:autoSpaceDE w:val="0"/>
              <w:autoSpaceDN w:val="0"/>
              <w:spacing w:before="29" w:line="288" w:lineRule="auto"/>
              <w:ind w:left="15"/>
              <w:jc w:val="right"/>
              <w:rPr>
                <w:color w:val="000000"/>
                <w:kern w:val="0"/>
                <w:sz w:val="24"/>
                <w:szCs w:val="24"/>
              </w:rPr>
            </w:pPr>
            <w:r w:rsidRPr="00BB3C5F">
              <w:rPr>
                <w:color w:val="000000"/>
                <w:kern w:val="0"/>
                <w:sz w:val="24"/>
                <w:szCs w:val="24"/>
              </w:rPr>
              <w:t>84.61</w:t>
            </w:r>
          </w:p>
        </w:tc>
      </w:tr>
    </w:tbl>
    <w:p w:rsidR="004061AC" w:rsidRPr="00D10CBF" w:rsidRDefault="00D10CBF" w:rsidP="00D10CBF">
      <w:pPr>
        <w:autoSpaceDE w:val="0"/>
        <w:autoSpaceDN w:val="0"/>
        <w:adjustRightInd w:val="0"/>
        <w:spacing w:before="29" w:line="288" w:lineRule="auto"/>
        <w:jc w:val="left"/>
        <w:rPr>
          <w:b/>
          <w:color w:val="000000"/>
          <w:kern w:val="0"/>
          <w:sz w:val="24"/>
          <w:szCs w:val="24"/>
        </w:rPr>
      </w:pPr>
      <w:r w:rsidRPr="00D10CBF">
        <w:rPr>
          <w:rFonts w:hint="eastAsia"/>
          <w:b/>
          <w:color w:val="000000"/>
          <w:kern w:val="0"/>
          <w:sz w:val="24"/>
          <w:szCs w:val="24"/>
        </w:rPr>
        <w:t xml:space="preserve">5.1.3 </w:t>
      </w:r>
      <w:r w:rsidR="004061AC" w:rsidRPr="00D10CBF">
        <w:rPr>
          <w:b/>
          <w:color w:val="000000"/>
          <w:kern w:val="0"/>
          <w:sz w:val="24"/>
          <w:szCs w:val="24"/>
        </w:rPr>
        <w:t>报告期末按公允价值占基金资产净值比例大小排序的前十名股票投资明细</w:t>
      </w:r>
    </w:p>
    <w:tbl>
      <w:tblPr>
        <w:tblStyle w:val="af7"/>
        <w:tblW w:w="0" w:type="auto"/>
        <w:tblInd w:w="-318" w:type="dxa"/>
        <w:tblLayout w:type="fixed"/>
        <w:tblLook w:val="04A0"/>
      </w:tblPr>
      <w:tblGrid>
        <w:gridCol w:w="852"/>
        <w:gridCol w:w="1417"/>
        <w:gridCol w:w="1701"/>
        <w:gridCol w:w="1276"/>
        <w:gridCol w:w="1701"/>
        <w:gridCol w:w="1701"/>
      </w:tblGrid>
      <w:tr w:rsidR="00220C32" w:rsidRPr="00BB3C5F" w:rsidTr="003D1DFA">
        <w:tc>
          <w:tcPr>
            <w:tcW w:w="852"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序号</w:t>
            </w:r>
          </w:p>
        </w:tc>
        <w:tc>
          <w:tcPr>
            <w:tcW w:w="1417"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股票代码</w:t>
            </w:r>
          </w:p>
        </w:tc>
        <w:tc>
          <w:tcPr>
            <w:tcW w:w="1701"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股票名称</w:t>
            </w:r>
          </w:p>
        </w:tc>
        <w:tc>
          <w:tcPr>
            <w:tcW w:w="1276"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数量</w:t>
            </w:r>
            <w:r w:rsidR="00D57B7C" w:rsidRPr="00BB3C5F">
              <w:rPr>
                <w:color w:val="000000"/>
                <w:sz w:val="24"/>
                <w:szCs w:val="24"/>
              </w:rPr>
              <w:t>(</w:t>
            </w:r>
            <w:r w:rsidRPr="00BB3C5F">
              <w:rPr>
                <w:color w:val="000000"/>
                <w:sz w:val="24"/>
                <w:szCs w:val="24"/>
              </w:rPr>
              <w:t>股</w:t>
            </w:r>
            <w:r w:rsidR="00D57B7C" w:rsidRPr="00BB3C5F">
              <w:rPr>
                <w:color w:val="000000"/>
                <w:sz w:val="24"/>
                <w:szCs w:val="24"/>
              </w:rPr>
              <w:t>)</w:t>
            </w:r>
          </w:p>
        </w:tc>
        <w:tc>
          <w:tcPr>
            <w:tcW w:w="1701"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公允价值</w:t>
            </w:r>
            <w:r w:rsidRPr="00BB3C5F">
              <w:rPr>
                <w:color w:val="000000"/>
                <w:sz w:val="24"/>
                <w:szCs w:val="24"/>
              </w:rPr>
              <w:t>(</w:t>
            </w:r>
            <w:r w:rsidRPr="00BB3C5F">
              <w:rPr>
                <w:color w:val="000000"/>
                <w:sz w:val="24"/>
                <w:szCs w:val="24"/>
              </w:rPr>
              <w:t>元</w:t>
            </w:r>
            <w:r w:rsidRPr="00BB3C5F">
              <w:rPr>
                <w:color w:val="000000"/>
                <w:sz w:val="24"/>
                <w:szCs w:val="24"/>
              </w:rPr>
              <w:t>)</w:t>
            </w:r>
          </w:p>
        </w:tc>
        <w:tc>
          <w:tcPr>
            <w:tcW w:w="1701" w:type="dxa"/>
            <w:vAlign w:val="center"/>
          </w:tcPr>
          <w:p w:rsidR="00853140" w:rsidRPr="00BB3C5F" w:rsidRDefault="00853140"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占基金资产净值比例</w:t>
            </w:r>
            <w:r w:rsidR="00D57B7C" w:rsidRPr="00BB3C5F">
              <w:rPr>
                <w:color w:val="000000"/>
                <w:sz w:val="24"/>
                <w:szCs w:val="24"/>
              </w:rPr>
              <w:t>(</w:t>
            </w:r>
            <w:r w:rsidRPr="00BB3C5F">
              <w:rPr>
                <w:color w:val="000000"/>
                <w:sz w:val="24"/>
                <w:szCs w:val="24"/>
              </w:rPr>
              <w:t>％</w:t>
            </w:r>
            <w:r w:rsidR="00D57B7C" w:rsidRPr="00BB3C5F">
              <w:rPr>
                <w:color w:val="000000"/>
                <w:sz w:val="24"/>
                <w:szCs w:val="24"/>
              </w:rPr>
              <w:t>)</w:t>
            </w:r>
          </w:p>
        </w:tc>
      </w:tr>
      <w:tr w:rsidR="0099261D">
        <w:tc>
          <w:tcPr>
            <w:tcW w:w="852" w:type="dxa"/>
            <w:vAlign w:val="center"/>
          </w:tcPr>
          <w:p w:rsidR="0099261D" w:rsidRDefault="001E0F38">
            <w:pPr>
              <w:jc w:val="center"/>
            </w:pPr>
            <w:r>
              <w:rPr>
                <w:color w:val="000000"/>
                <w:sz w:val="24"/>
                <w:szCs w:val="24"/>
              </w:rPr>
              <w:t>1</w:t>
            </w:r>
          </w:p>
        </w:tc>
        <w:tc>
          <w:tcPr>
            <w:tcW w:w="1417" w:type="dxa"/>
            <w:vAlign w:val="center"/>
          </w:tcPr>
          <w:p w:rsidR="0099261D" w:rsidRDefault="001E0F38">
            <w:pPr>
              <w:jc w:val="center"/>
            </w:pPr>
            <w:r>
              <w:rPr>
                <w:color w:val="000000"/>
                <w:sz w:val="24"/>
                <w:szCs w:val="24"/>
              </w:rPr>
              <w:t>300365</w:t>
            </w:r>
          </w:p>
        </w:tc>
        <w:tc>
          <w:tcPr>
            <w:tcW w:w="1701" w:type="dxa"/>
            <w:vAlign w:val="center"/>
          </w:tcPr>
          <w:p w:rsidR="0099261D" w:rsidRDefault="001E0F38">
            <w:pPr>
              <w:jc w:val="center"/>
            </w:pPr>
            <w:r>
              <w:rPr>
                <w:color w:val="000000"/>
                <w:sz w:val="24"/>
                <w:szCs w:val="24"/>
              </w:rPr>
              <w:t>恒华科技</w:t>
            </w:r>
          </w:p>
        </w:tc>
        <w:tc>
          <w:tcPr>
            <w:tcW w:w="1276" w:type="dxa"/>
            <w:vAlign w:val="center"/>
          </w:tcPr>
          <w:p w:rsidR="0099261D" w:rsidRDefault="001E0F38">
            <w:pPr>
              <w:jc w:val="right"/>
            </w:pPr>
            <w:r>
              <w:rPr>
                <w:color w:val="000000"/>
                <w:sz w:val="24"/>
                <w:szCs w:val="24"/>
              </w:rPr>
              <w:t>1,240,000</w:t>
            </w:r>
          </w:p>
        </w:tc>
        <w:tc>
          <w:tcPr>
            <w:tcW w:w="1701" w:type="dxa"/>
            <w:vAlign w:val="center"/>
          </w:tcPr>
          <w:p w:rsidR="0099261D" w:rsidRDefault="001E0F38">
            <w:pPr>
              <w:jc w:val="right"/>
            </w:pPr>
            <w:r>
              <w:rPr>
                <w:color w:val="000000"/>
                <w:sz w:val="24"/>
                <w:szCs w:val="24"/>
              </w:rPr>
              <w:t>46,500,000.00</w:t>
            </w:r>
          </w:p>
        </w:tc>
        <w:tc>
          <w:tcPr>
            <w:tcW w:w="1701" w:type="dxa"/>
            <w:vAlign w:val="center"/>
          </w:tcPr>
          <w:p w:rsidR="0099261D" w:rsidRDefault="001E0F38">
            <w:pPr>
              <w:jc w:val="right"/>
            </w:pPr>
            <w:r>
              <w:rPr>
                <w:color w:val="000000"/>
                <w:sz w:val="24"/>
                <w:szCs w:val="24"/>
              </w:rPr>
              <w:t>3.51</w:t>
            </w:r>
          </w:p>
        </w:tc>
      </w:tr>
      <w:tr w:rsidR="0099261D">
        <w:tc>
          <w:tcPr>
            <w:tcW w:w="852" w:type="dxa"/>
            <w:vAlign w:val="center"/>
          </w:tcPr>
          <w:p w:rsidR="0099261D" w:rsidRDefault="001E0F38">
            <w:pPr>
              <w:jc w:val="center"/>
            </w:pPr>
            <w:r>
              <w:rPr>
                <w:color w:val="000000"/>
                <w:sz w:val="24"/>
                <w:szCs w:val="24"/>
              </w:rPr>
              <w:t>2</w:t>
            </w:r>
          </w:p>
        </w:tc>
        <w:tc>
          <w:tcPr>
            <w:tcW w:w="1417" w:type="dxa"/>
            <w:vAlign w:val="center"/>
          </w:tcPr>
          <w:p w:rsidR="0099261D" w:rsidRDefault="001E0F38">
            <w:pPr>
              <w:jc w:val="center"/>
            </w:pPr>
            <w:r>
              <w:rPr>
                <w:color w:val="000000"/>
                <w:sz w:val="24"/>
                <w:szCs w:val="24"/>
              </w:rPr>
              <w:t>600519</w:t>
            </w:r>
          </w:p>
        </w:tc>
        <w:tc>
          <w:tcPr>
            <w:tcW w:w="1701" w:type="dxa"/>
            <w:vAlign w:val="center"/>
          </w:tcPr>
          <w:p w:rsidR="0099261D" w:rsidRDefault="001E0F38">
            <w:pPr>
              <w:jc w:val="center"/>
            </w:pPr>
            <w:r>
              <w:rPr>
                <w:color w:val="000000"/>
                <w:sz w:val="24"/>
                <w:szCs w:val="24"/>
              </w:rPr>
              <w:t>贵州茅台</w:t>
            </w:r>
          </w:p>
        </w:tc>
        <w:tc>
          <w:tcPr>
            <w:tcW w:w="1276" w:type="dxa"/>
            <w:vAlign w:val="center"/>
          </w:tcPr>
          <w:p w:rsidR="0099261D" w:rsidRDefault="001E0F38">
            <w:pPr>
              <w:jc w:val="right"/>
            </w:pPr>
            <w:r>
              <w:rPr>
                <w:color w:val="000000"/>
                <w:sz w:val="24"/>
                <w:szCs w:val="24"/>
              </w:rPr>
              <w:t>119,900</w:t>
            </w:r>
          </w:p>
        </w:tc>
        <w:tc>
          <w:tcPr>
            <w:tcW w:w="1701" w:type="dxa"/>
            <w:vAlign w:val="center"/>
          </w:tcPr>
          <w:p w:rsidR="0099261D" w:rsidRDefault="001E0F38">
            <w:pPr>
              <w:jc w:val="right"/>
            </w:pPr>
            <w:r>
              <w:rPr>
                <w:color w:val="000000"/>
                <w:sz w:val="24"/>
                <w:szCs w:val="24"/>
              </w:rPr>
              <w:t>46,324,564.00</w:t>
            </w:r>
          </w:p>
        </w:tc>
        <w:tc>
          <w:tcPr>
            <w:tcW w:w="1701" w:type="dxa"/>
            <w:vAlign w:val="center"/>
          </w:tcPr>
          <w:p w:rsidR="0099261D" w:rsidRDefault="001E0F38">
            <w:pPr>
              <w:jc w:val="right"/>
            </w:pPr>
            <w:r>
              <w:rPr>
                <w:color w:val="000000"/>
                <w:sz w:val="24"/>
                <w:szCs w:val="24"/>
              </w:rPr>
              <w:t>3.49</w:t>
            </w:r>
          </w:p>
        </w:tc>
      </w:tr>
      <w:tr w:rsidR="0099261D">
        <w:tc>
          <w:tcPr>
            <w:tcW w:w="852" w:type="dxa"/>
            <w:vAlign w:val="center"/>
          </w:tcPr>
          <w:p w:rsidR="0099261D" w:rsidRDefault="001E0F38">
            <w:pPr>
              <w:jc w:val="center"/>
            </w:pPr>
            <w:r>
              <w:rPr>
                <w:color w:val="000000"/>
                <w:sz w:val="24"/>
                <w:szCs w:val="24"/>
              </w:rPr>
              <w:t>3</w:t>
            </w:r>
          </w:p>
        </w:tc>
        <w:tc>
          <w:tcPr>
            <w:tcW w:w="1417" w:type="dxa"/>
            <w:vAlign w:val="center"/>
          </w:tcPr>
          <w:p w:rsidR="0099261D" w:rsidRDefault="001E0F38">
            <w:pPr>
              <w:jc w:val="center"/>
            </w:pPr>
            <w:r>
              <w:rPr>
                <w:color w:val="000000"/>
                <w:sz w:val="24"/>
                <w:szCs w:val="24"/>
              </w:rPr>
              <w:t>601225</w:t>
            </w:r>
          </w:p>
        </w:tc>
        <w:tc>
          <w:tcPr>
            <w:tcW w:w="1701" w:type="dxa"/>
            <w:vAlign w:val="center"/>
          </w:tcPr>
          <w:p w:rsidR="0099261D" w:rsidRDefault="001E0F38">
            <w:pPr>
              <w:jc w:val="center"/>
            </w:pPr>
            <w:r>
              <w:rPr>
                <w:color w:val="000000"/>
                <w:sz w:val="24"/>
                <w:szCs w:val="24"/>
              </w:rPr>
              <w:t>陕西煤业</w:t>
            </w:r>
          </w:p>
        </w:tc>
        <w:tc>
          <w:tcPr>
            <w:tcW w:w="1276" w:type="dxa"/>
            <w:vAlign w:val="center"/>
          </w:tcPr>
          <w:p w:rsidR="0099261D" w:rsidRDefault="001E0F38">
            <w:pPr>
              <w:jc w:val="right"/>
            </w:pPr>
            <w:r>
              <w:rPr>
                <w:color w:val="000000"/>
                <w:sz w:val="24"/>
                <w:szCs w:val="24"/>
              </w:rPr>
              <w:t>7,465,134</w:t>
            </w:r>
          </w:p>
        </w:tc>
        <w:tc>
          <w:tcPr>
            <w:tcW w:w="1701" w:type="dxa"/>
            <w:vAlign w:val="center"/>
          </w:tcPr>
          <w:p w:rsidR="0099261D" w:rsidRDefault="001E0F38">
            <w:pPr>
              <w:jc w:val="right"/>
            </w:pPr>
            <w:r>
              <w:rPr>
                <w:color w:val="000000"/>
                <w:sz w:val="24"/>
                <w:szCs w:val="24"/>
              </w:rPr>
              <w:t>46,134,528.12</w:t>
            </w:r>
          </w:p>
        </w:tc>
        <w:tc>
          <w:tcPr>
            <w:tcW w:w="1701" w:type="dxa"/>
            <w:vAlign w:val="center"/>
          </w:tcPr>
          <w:p w:rsidR="0099261D" w:rsidRDefault="001E0F38">
            <w:pPr>
              <w:jc w:val="right"/>
            </w:pPr>
            <w:r>
              <w:rPr>
                <w:color w:val="000000"/>
                <w:sz w:val="24"/>
                <w:szCs w:val="24"/>
              </w:rPr>
              <w:t>3.48</w:t>
            </w:r>
          </w:p>
        </w:tc>
      </w:tr>
      <w:tr w:rsidR="0099261D">
        <w:tc>
          <w:tcPr>
            <w:tcW w:w="852" w:type="dxa"/>
            <w:vAlign w:val="center"/>
          </w:tcPr>
          <w:p w:rsidR="0099261D" w:rsidRDefault="001E0F38">
            <w:pPr>
              <w:jc w:val="center"/>
            </w:pPr>
            <w:r>
              <w:rPr>
                <w:color w:val="000000"/>
                <w:sz w:val="24"/>
                <w:szCs w:val="24"/>
              </w:rPr>
              <w:t>4</w:t>
            </w:r>
          </w:p>
        </w:tc>
        <w:tc>
          <w:tcPr>
            <w:tcW w:w="1417" w:type="dxa"/>
            <w:vAlign w:val="center"/>
          </w:tcPr>
          <w:p w:rsidR="0099261D" w:rsidRDefault="001E0F38">
            <w:pPr>
              <w:jc w:val="center"/>
            </w:pPr>
            <w:r>
              <w:rPr>
                <w:color w:val="000000"/>
                <w:sz w:val="24"/>
                <w:szCs w:val="24"/>
              </w:rPr>
              <w:t>300223</w:t>
            </w:r>
          </w:p>
        </w:tc>
        <w:tc>
          <w:tcPr>
            <w:tcW w:w="1701" w:type="dxa"/>
            <w:vAlign w:val="center"/>
          </w:tcPr>
          <w:p w:rsidR="0099261D" w:rsidRDefault="001E0F38">
            <w:pPr>
              <w:jc w:val="center"/>
            </w:pPr>
            <w:r>
              <w:rPr>
                <w:color w:val="000000"/>
                <w:sz w:val="24"/>
                <w:szCs w:val="24"/>
              </w:rPr>
              <w:t>北京君正</w:t>
            </w:r>
          </w:p>
        </w:tc>
        <w:tc>
          <w:tcPr>
            <w:tcW w:w="1276" w:type="dxa"/>
            <w:vAlign w:val="center"/>
          </w:tcPr>
          <w:p w:rsidR="0099261D" w:rsidRDefault="001E0F38">
            <w:pPr>
              <w:jc w:val="right"/>
            </w:pPr>
            <w:r>
              <w:rPr>
                <w:color w:val="000000"/>
                <w:sz w:val="24"/>
                <w:szCs w:val="24"/>
              </w:rPr>
              <w:t>832,859</w:t>
            </w:r>
          </w:p>
        </w:tc>
        <w:tc>
          <w:tcPr>
            <w:tcW w:w="1701" w:type="dxa"/>
            <w:vAlign w:val="center"/>
          </w:tcPr>
          <w:p w:rsidR="0099261D" w:rsidRDefault="001E0F38">
            <w:pPr>
              <w:jc w:val="right"/>
            </w:pPr>
            <w:r>
              <w:rPr>
                <w:color w:val="000000"/>
                <w:sz w:val="24"/>
                <w:szCs w:val="24"/>
              </w:rPr>
              <w:t>40,310,375.60</w:t>
            </w:r>
          </w:p>
        </w:tc>
        <w:tc>
          <w:tcPr>
            <w:tcW w:w="1701" w:type="dxa"/>
            <w:vAlign w:val="center"/>
          </w:tcPr>
          <w:p w:rsidR="0099261D" w:rsidRDefault="001E0F38">
            <w:pPr>
              <w:jc w:val="right"/>
            </w:pPr>
            <w:r>
              <w:rPr>
                <w:color w:val="000000"/>
                <w:sz w:val="24"/>
                <w:szCs w:val="24"/>
              </w:rPr>
              <w:t>3.04</w:t>
            </w:r>
          </w:p>
        </w:tc>
      </w:tr>
      <w:tr w:rsidR="0099261D">
        <w:tc>
          <w:tcPr>
            <w:tcW w:w="852" w:type="dxa"/>
            <w:vAlign w:val="center"/>
          </w:tcPr>
          <w:p w:rsidR="0099261D" w:rsidRDefault="001E0F38">
            <w:pPr>
              <w:jc w:val="center"/>
            </w:pPr>
            <w:r>
              <w:rPr>
                <w:color w:val="000000"/>
                <w:sz w:val="24"/>
                <w:szCs w:val="24"/>
              </w:rPr>
              <w:t>5</w:t>
            </w:r>
          </w:p>
        </w:tc>
        <w:tc>
          <w:tcPr>
            <w:tcW w:w="1417" w:type="dxa"/>
            <w:vAlign w:val="center"/>
          </w:tcPr>
          <w:p w:rsidR="0099261D" w:rsidRDefault="001E0F38">
            <w:pPr>
              <w:jc w:val="center"/>
            </w:pPr>
            <w:r>
              <w:rPr>
                <w:color w:val="000000"/>
                <w:sz w:val="24"/>
                <w:szCs w:val="24"/>
              </w:rPr>
              <w:t>002384</w:t>
            </w:r>
          </w:p>
        </w:tc>
        <w:tc>
          <w:tcPr>
            <w:tcW w:w="1701" w:type="dxa"/>
            <w:vAlign w:val="center"/>
          </w:tcPr>
          <w:p w:rsidR="0099261D" w:rsidRDefault="001E0F38">
            <w:pPr>
              <w:jc w:val="center"/>
            </w:pPr>
            <w:r>
              <w:rPr>
                <w:color w:val="000000"/>
                <w:sz w:val="24"/>
                <w:szCs w:val="24"/>
              </w:rPr>
              <w:t>东山精密</w:t>
            </w:r>
          </w:p>
        </w:tc>
        <w:tc>
          <w:tcPr>
            <w:tcW w:w="1276" w:type="dxa"/>
            <w:vAlign w:val="center"/>
          </w:tcPr>
          <w:p w:rsidR="0099261D" w:rsidRDefault="001E0F38">
            <w:pPr>
              <w:jc w:val="right"/>
            </w:pPr>
            <w:r>
              <w:rPr>
                <w:color w:val="000000"/>
                <w:sz w:val="24"/>
                <w:szCs w:val="24"/>
              </w:rPr>
              <w:t>1,700,000</w:t>
            </w:r>
          </w:p>
        </w:tc>
        <w:tc>
          <w:tcPr>
            <w:tcW w:w="1701" w:type="dxa"/>
            <w:vAlign w:val="center"/>
          </w:tcPr>
          <w:p w:rsidR="0099261D" w:rsidRDefault="001E0F38">
            <w:pPr>
              <w:jc w:val="right"/>
            </w:pPr>
            <w:r>
              <w:rPr>
                <w:color w:val="000000"/>
                <w:sz w:val="24"/>
                <w:szCs w:val="24"/>
              </w:rPr>
              <w:t>37,536,000.00</w:t>
            </w:r>
          </w:p>
        </w:tc>
        <w:tc>
          <w:tcPr>
            <w:tcW w:w="1701" w:type="dxa"/>
            <w:vAlign w:val="center"/>
          </w:tcPr>
          <w:p w:rsidR="0099261D" w:rsidRDefault="001E0F38">
            <w:pPr>
              <w:jc w:val="right"/>
            </w:pPr>
            <w:r>
              <w:rPr>
                <w:color w:val="000000"/>
                <w:sz w:val="24"/>
                <w:szCs w:val="24"/>
              </w:rPr>
              <w:t>2.83</w:t>
            </w:r>
          </w:p>
        </w:tc>
      </w:tr>
      <w:tr w:rsidR="0099261D">
        <w:tc>
          <w:tcPr>
            <w:tcW w:w="852" w:type="dxa"/>
            <w:vAlign w:val="center"/>
          </w:tcPr>
          <w:p w:rsidR="0099261D" w:rsidRDefault="001E0F38">
            <w:pPr>
              <w:jc w:val="center"/>
            </w:pPr>
            <w:r>
              <w:rPr>
                <w:color w:val="000000"/>
                <w:sz w:val="24"/>
                <w:szCs w:val="24"/>
              </w:rPr>
              <w:t>6</w:t>
            </w:r>
          </w:p>
        </w:tc>
        <w:tc>
          <w:tcPr>
            <w:tcW w:w="1417" w:type="dxa"/>
            <w:vAlign w:val="center"/>
          </w:tcPr>
          <w:p w:rsidR="0099261D" w:rsidRDefault="001E0F38">
            <w:pPr>
              <w:jc w:val="center"/>
            </w:pPr>
            <w:r>
              <w:rPr>
                <w:color w:val="000000"/>
                <w:sz w:val="24"/>
                <w:szCs w:val="24"/>
              </w:rPr>
              <w:t>002035</w:t>
            </w:r>
          </w:p>
        </w:tc>
        <w:tc>
          <w:tcPr>
            <w:tcW w:w="1701" w:type="dxa"/>
            <w:vAlign w:val="center"/>
          </w:tcPr>
          <w:p w:rsidR="0099261D" w:rsidRDefault="001E0F38">
            <w:pPr>
              <w:jc w:val="center"/>
            </w:pPr>
            <w:r>
              <w:rPr>
                <w:color w:val="000000"/>
                <w:sz w:val="24"/>
                <w:szCs w:val="24"/>
              </w:rPr>
              <w:t>华</w:t>
            </w:r>
            <w:proofErr w:type="gramStart"/>
            <w:r>
              <w:rPr>
                <w:color w:val="000000"/>
                <w:sz w:val="24"/>
                <w:szCs w:val="24"/>
              </w:rPr>
              <w:t>帝股份</w:t>
            </w:r>
            <w:proofErr w:type="gramEnd"/>
          </w:p>
        </w:tc>
        <w:tc>
          <w:tcPr>
            <w:tcW w:w="1276" w:type="dxa"/>
            <w:vAlign w:val="center"/>
          </w:tcPr>
          <w:p w:rsidR="0099261D" w:rsidRDefault="001E0F38">
            <w:pPr>
              <w:jc w:val="right"/>
            </w:pPr>
            <w:r>
              <w:rPr>
                <w:color w:val="000000"/>
                <w:sz w:val="24"/>
                <w:szCs w:val="24"/>
              </w:rPr>
              <w:t>960,000</w:t>
            </w:r>
          </w:p>
        </w:tc>
        <w:tc>
          <w:tcPr>
            <w:tcW w:w="1701" w:type="dxa"/>
            <w:vAlign w:val="center"/>
          </w:tcPr>
          <w:p w:rsidR="0099261D" w:rsidRDefault="001E0F38">
            <w:pPr>
              <w:jc w:val="right"/>
            </w:pPr>
            <w:r>
              <w:rPr>
                <w:color w:val="000000"/>
                <w:sz w:val="24"/>
                <w:szCs w:val="24"/>
              </w:rPr>
              <w:t>32,044,800.00</w:t>
            </w:r>
          </w:p>
        </w:tc>
        <w:tc>
          <w:tcPr>
            <w:tcW w:w="1701" w:type="dxa"/>
            <w:vAlign w:val="center"/>
          </w:tcPr>
          <w:p w:rsidR="0099261D" w:rsidRDefault="001E0F38">
            <w:pPr>
              <w:jc w:val="right"/>
            </w:pPr>
            <w:r>
              <w:rPr>
                <w:color w:val="000000"/>
                <w:sz w:val="24"/>
                <w:szCs w:val="24"/>
              </w:rPr>
              <w:t>2.42</w:t>
            </w:r>
          </w:p>
        </w:tc>
      </w:tr>
      <w:tr w:rsidR="0099261D">
        <w:tc>
          <w:tcPr>
            <w:tcW w:w="852" w:type="dxa"/>
            <w:vAlign w:val="center"/>
          </w:tcPr>
          <w:p w:rsidR="0099261D" w:rsidRDefault="001E0F38">
            <w:pPr>
              <w:jc w:val="center"/>
            </w:pPr>
            <w:r>
              <w:rPr>
                <w:color w:val="000000"/>
                <w:sz w:val="24"/>
                <w:szCs w:val="24"/>
              </w:rPr>
              <w:t>7</w:t>
            </w:r>
          </w:p>
        </w:tc>
        <w:tc>
          <w:tcPr>
            <w:tcW w:w="1417" w:type="dxa"/>
            <w:vAlign w:val="center"/>
          </w:tcPr>
          <w:p w:rsidR="0099261D" w:rsidRDefault="001E0F38">
            <w:pPr>
              <w:jc w:val="center"/>
            </w:pPr>
            <w:r>
              <w:rPr>
                <w:color w:val="000000"/>
                <w:sz w:val="24"/>
                <w:szCs w:val="24"/>
              </w:rPr>
              <w:t>601818</w:t>
            </w:r>
          </w:p>
        </w:tc>
        <w:tc>
          <w:tcPr>
            <w:tcW w:w="1701" w:type="dxa"/>
            <w:vAlign w:val="center"/>
          </w:tcPr>
          <w:p w:rsidR="0099261D" w:rsidRDefault="001E0F38">
            <w:pPr>
              <w:jc w:val="center"/>
            </w:pPr>
            <w:r>
              <w:rPr>
                <w:color w:val="000000"/>
                <w:sz w:val="24"/>
                <w:szCs w:val="24"/>
              </w:rPr>
              <w:t>光大银行</w:t>
            </w:r>
          </w:p>
        </w:tc>
        <w:tc>
          <w:tcPr>
            <w:tcW w:w="1276" w:type="dxa"/>
            <w:vAlign w:val="center"/>
          </w:tcPr>
          <w:p w:rsidR="0099261D" w:rsidRDefault="001E0F38">
            <w:pPr>
              <w:jc w:val="right"/>
            </w:pPr>
            <w:r>
              <w:rPr>
                <w:color w:val="000000"/>
                <w:sz w:val="24"/>
                <w:szCs w:val="24"/>
              </w:rPr>
              <w:t>7,700,000</w:t>
            </w:r>
          </w:p>
        </w:tc>
        <w:tc>
          <w:tcPr>
            <w:tcW w:w="1701" w:type="dxa"/>
            <w:vAlign w:val="center"/>
          </w:tcPr>
          <w:p w:rsidR="0099261D" w:rsidRDefault="001E0F38">
            <w:pPr>
              <w:jc w:val="right"/>
            </w:pPr>
            <w:r>
              <w:rPr>
                <w:color w:val="000000"/>
                <w:sz w:val="24"/>
                <w:szCs w:val="24"/>
              </w:rPr>
              <w:t>31,647,000.00</w:t>
            </w:r>
          </w:p>
        </w:tc>
        <w:tc>
          <w:tcPr>
            <w:tcW w:w="1701" w:type="dxa"/>
            <w:vAlign w:val="center"/>
          </w:tcPr>
          <w:p w:rsidR="0099261D" w:rsidRDefault="001E0F38">
            <w:pPr>
              <w:jc w:val="right"/>
            </w:pPr>
            <w:r>
              <w:rPr>
                <w:color w:val="000000"/>
                <w:sz w:val="24"/>
                <w:szCs w:val="24"/>
              </w:rPr>
              <w:t>2.39</w:t>
            </w:r>
          </w:p>
        </w:tc>
      </w:tr>
      <w:tr w:rsidR="0099261D">
        <w:tc>
          <w:tcPr>
            <w:tcW w:w="852" w:type="dxa"/>
            <w:vAlign w:val="center"/>
          </w:tcPr>
          <w:p w:rsidR="0099261D" w:rsidRDefault="001E0F38">
            <w:pPr>
              <w:jc w:val="center"/>
            </w:pPr>
            <w:r>
              <w:rPr>
                <w:color w:val="000000"/>
                <w:sz w:val="24"/>
                <w:szCs w:val="24"/>
              </w:rPr>
              <w:t>8</w:t>
            </w:r>
          </w:p>
        </w:tc>
        <w:tc>
          <w:tcPr>
            <w:tcW w:w="1417" w:type="dxa"/>
            <w:vAlign w:val="center"/>
          </w:tcPr>
          <w:p w:rsidR="0099261D" w:rsidRDefault="001E0F38">
            <w:pPr>
              <w:jc w:val="center"/>
            </w:pPr>
            <w:r>
              <w:rPr>
                <w:color w:val="000000"/>
                <w:sz w:val="24"/>
                <w:szCs w:val="24"/>
              </w:rPr>
              <w:t>000049</w:t>
            </w:r>
          </w:p>
        </w:tc>
        <w:tc>
          <w:tcPr>
            <w:tcW w:w="1701" w:type="dxa"/>
            <w:vAlign w:val="center"/>
          </w:tcPr>
          <w:p w:rsidR="0099261D" w:rsidRDefault="001E0F38">
            <w:pPr>
              <w:jc w:val="center"/>
            </w:pPr>
            <w:r>
              <w:rPr>
                <w:color w:val="000000"/>
                <w:sz w:val="24"/>
                <w:szCs w:val="24"/>
              </w:rPr>
              <w:t>德赛电池</w:t>
            </w:r>
          </w:p>
        </w:tc>
        <w:tc>
          <w:tcPr>
            <w:tcW w:w="1276" w:type="dxa"/>
            <w:vAlign w:val="center"/>
          </w:tcPr>
          <w:p w:rsidR="0099261D" w:rsidRDefault="001E0F38">
            <w:pPr>
              <w:jc w:val="right"/>
            </w:pPr>
            <w:r>
              <w:rPr>
                <w:color w:val="000000"/>
                <w:sz w:val="24"/>
                <w:szCs w:val="24"/>
              </w:rPr>
              <w:t>606,800</w:t>
            </w:r>
          </w:p>
        </w:tc>
        <w:tc>
          <w:tcPr>
            <w:tcW w:w="1701" w:type="dxa"/>
            <w:vAlign w:val="center"/>
          </w:tcPr>
          <w:p w:rsidR="0099261D" w:rsidRDefault="001E0F38">
            <w:pPr>
              <w:jc w:val="right"/>
            </w:pPr>
            <w:r>
              <w:rPr>
                <w:color w:val="000000"/>
                <w:sz w:val="24"/>
                <w:szCs w:val="24"/>
              </w:rPr>
              <w:t>31,189,520.00</w:t>
            </w:r>
          </w:p>
        </w:tc>
        <w:tc>
          <w:tcPr>
            <w:tcW w:w="1701" w:type="dxa"/>
            <w:vAlign w:val="center"/>
          </w:tcPr>
          <w:p w:rsidR="0099261D" w:rsidRDefault="001E0F38">
            <w:pPr>
              <w:jc w:val="right"/>
            </w:pPr>
            <w:r>
              <w:rPr>
                <w:color w:val="000000"/>
                <w:sz w:val="24"/>
                <w:szCs w:val="24"/>
              </w:rPr>
              <w:t>2.35</w:t>
            </w:r>
          </w:p>
        </w:tc>
      </w:tr>
      <w:tr w:rsidR="0099261D">
        <w:tc>
          <w:tcPr>
            <w:tcW w:w="852" w:type="dxa"/>
            <w:vAlign w:val="center"/>
          </w:tcPr>
          <w:p w:rsidR="0099261D" w:rsidRDefault="001E0F38">
            <w:pPr>
              <w:jc w:val="center"/>
            </w:pPr>
            <w:r>
              <w:rPr>
                <w:color w:val="000000"/>
                <w:sz w:val="24"/>
                <w:szCs w:val="24"/>
              </w:rPr>
              <w:t>9</w:t>
            </w:r>
          </w:p>
        </w:tc>
        <w:tc>
          <w:tcPr>
            <w:tcW w:w="1417" w:type="dxa"/>
            <w:vAlign w:val="center"/>
          </w:tcPr>
          <w:p w:rsidR="0099261D" w:rsidRDefault="001E0F38">
            <w:pPr>
              <w:jc w:val="center"/>
            </w:pPr>
            <w:r>
              <w:rPr>
                <w:color w:val="000000"/>
                <w:sz w:val="24"/>
                <w:szCs w:val="24"/>
              </w:rPr>
              <w:t>600123</w:t>
            </w:r>
          </w:p>
        </w:tc>
        <w:tc>
          <w:tcPr>
            <w:tcW w:w="1701" w:type="dxa"/>
            <w:vAlign w:val="center"/>
          </w:tcPr>
          <w:p w:rsidR="0099261D" w:rsidRDefault="001E0F38">
            <w:pPr>
              <w:jc w:val="center"/>
            </w:pPr>
            <w:proofErr w:type="gramStart"/>
            <w:r>
              <w:rPr>
                <w:color w:val="000000"/>
                <w:sz w:val="24"/>
                <w:szCs w:val="24"/>
              </w:rPr>
              <w:t>兰花科创</w:t>
            </w:r>
            <w:proofErr w:type="gramEnd"/>
          </w:p>
        </w:tc>
        <w:tc>
          <w:tcPr>
            <w:tcW w:w="1276" w:type="dxa"/>
            <w:vAlign w:val="center"/>
          </w:tcPr>
          <w:p w:rsidR="0099261D" w:rsidRDefault="001E0F38">
            <w:pPr>
              <w:jc w:val="right"/>
            </w:pPr>
            <w:r>
              <w:rPr>
                <w:color w:val="000000"/>
                <w:sz w:val="24"/>
                <w:szCs w:val="24"/>
              </w:rPr>
              <w:t>4,000,000</w:t>
            </w:r>
          </w:p>
        </w:tc>
        <w:tc>
          <w:tcPr>
            <w:tcW w:w="1701" w:type="dxa"/>
            <w:vAlign w:val="center"/>
          </w:tcPr>
          <w:p w:rsidR="0099261D" w:rsidRDefault="001E0F38">
            <w:pPr>
              <w:jc w:val="right"/>
            </w:pPr>
            <w:r>
              <w:rPr>
                <w:color w:val="000000"/>
                <w:sz w:val="24"/>
                <w:szCs w:val="24"/>
              </w:rPr>
              <w:t>31,120,000.00</w:t>
            </w:r>
          </w:p>
        </w:tc>
        <w:tc>
          <w:tcPr>
            <w:tcW w:w="1701" w:type="dxa"/>
            <w:vAlign w:val="center"/>
          </w:tcPr>
          <w:p w:rsidR="0099261D" w:rsidRDefault="001E0F38">
            <w:pPr>
              <w:jc w:val="right"/>
            </w:pPr>
            <w:r>
              <w:rPr>
                <w:color w:val="000000"/>
                <w:sz w:val="24"/>
                <w:szCs w:val="24"/>
              </w:rPr>
              <w:t>2.35</w:t>
            </w:r>
          </w:p>
        </w:tc>
      </w:tr>
      <w:tr w:rsidR="0099261D">
        <w:tc>
          <w:tcPr>
            <w:tcW w:w="852" w:type="dxa"/>
            <w:vAlign w:val="center"/>
          </w:tcPr>
          <w:p w:rsidR="0099261D" w:rsidRDefault="001E0F38">
            <w:pPr>
              <w:jc w:val="center"/>
            </w:pPr>
            <w:r>
              <w:rPr>
                <w:color w:val="000000"/>
                <w:sz w:val="24"/>
                <w:szCs w:val="24"/>
              </w:rPr>
              <w:t>10</w:t>
            </w:r>
          </w:p>
        </w:tc>
        <w:tc>
          <w:tcPr>
            <w:tcW w:w="1417" w:type="dxa"/>
            <w:vAlign w:val="center"/>
          </w:tcPr>
          <w:p w:rsidR="0099261D" w:rsidRDefault="001E0F38">
            <w:pPr>
              <w:jc w:val="center"/>
            </w:pPr>
            <w:r>
              <w:rPr>
                <w:color w:val="000000"/>
                <w:sz w:val="24"/>
                <w:szCs w:val="24"/>
              </w:rPr>
              <w:t>000568</w:t>
            </w:r>
          </w:p>
        </w:tc>
        <w:tc>
          <w:tcPr>
            <w:tcW w:w="1701" w:type="dxa"/>
            <w:vAlign w:val="center"/>
          </w:tcPr>
          <w:p w:rsidR="0099261D" w:rsidRDefault="001E0F38">
            <w:pPr>
              <w:jc w:val="center"/>
            </w:pPr>
            <w:r>
              <w:rPr>
                <w:color w:val="000000"/>
                <w:sz w:val="24"/>
                <w:szCs w:val="24"/>
              </w:rPr>
              <w:t>泸州老窖</w:t>
            </w:r>
          </w:p>
        </w:tc>
        <w:tc>
          <w:tcPr>
            <w:tcW w:w="1276" w:type="dxa"/>
            <w:vAlign w:val="center"/>
          </w:tcPr>
          <w:p w:rsidR="0099261D" w:rsidRDefault="001E0F38">
            <w:pPr>
              <w:jc w:val="right"/>
            </w:pPr>
            <w:r>
              <w:rPr>
                <w:color w:val="000000"/>
                <w:sz w:val="24"/>
                <w:szCs w:val="24"/>
              </w:rPr>
              <w:t>729,367</w:t>
            </w:r>
          </w:p>
        </w:tc>
        <w:tc>
          <w:tcPr>
            <w:tcW w:w="1701" w:type="dxa"/>
            <w:vAlign w:val="center"/>
          </w:tcPr>
          <w:p w:rsidR="0099261D" w:rsidRDefault="001E0F38">
            <w:pPr>
              <w:jc w:val="right"/>
            </w:pPr>
            <w:r>
              <w:rPr>
                <w:color w:val="000000"/>
                <w:sz w:val="24"/>
                <w:szCs w:val="24"/>
              </w:rPr>
              <w:t>30,771,993.73</w:t>
            </w:r>
          </w:p>
        </w:tc>
        <w:tc>
          <w:tcPr>
            <w:tcW w:w="1701" w:type="dxa"/>
            <w:vAlign w:val="center"/>
          </w:tcPr>
          <w:p w:rsidR="0099261D" w:rsidRDefault="001E0F38">
            <w:pPr>
              <w:jc w:val="right"/>
            </w:pPr>
            <w:r>
              <w:rPr>
                <w:color w:val="000000"/>
                <w:sz w:val="24"/>
                <w:szCs w:val="24"/>
              </w:rPr>
              <w:t>2.32</w:t>
            </w:r>
          </w:p>
        </w:tc>
      </w:tr>
    </w:tbl>
    <w:p w:rsidR="004061AC" w:rsidRPr="003C26D3" w:rsidRDefault="003C26D3" w:rsidP="003C26D3">
      <w:pPr>
        <w:autoSpaceDE w:val="0"/>
        <w:autoSpaceDN w:val="0"/>
        <w:adjustRightInd w:val="0"/>
        <w:spacing w:before="29" w:line="288" w:lineRule="auto"/>
        <w:ind w:left="15"/>
        <w:jc w:val="left"/>
        <w:rPr>
          <w:color w:val="000000"/>
          <w:sz w:val="24"/>
          <w:szCs w:val="24"/>
        </w:rPr>
      </w:pPr>
      <w:r w:rsidRPr="003C26D3">
        <w:rPr>
          <w:rFonts w:hint="eastAsia"/>
          <w:b/>
          <w:color w:val="000000"/>
          <w:sz w:val="24"/>
          <w:szCs w:val="24"/>
        </w:rPr>
        <w:t>5.1.4</w:t>
      </w:r>
      <w:r>
        <w:rPr>
          <w:rFonts w:hint="eastAsia"/>
          <w:b/>
          <w:color w:val="000000"/>
          <w:sz w:val="24"/>
          <w:szCs w:val="24"/>
        </w:rPr>
        <w:t xml:space="preserve"> </w:t>
      </w:r>
      <w:r w:rsidR="004061AC" w:rsidRPr="003C26D3">
        <w:rPr>
          <w:rFonts w:hint="eastAsia"/>
          <w:b/>
          <w:color w:val="000000"/>
          <w:kern w:val="0"/>
          <w:sz w:val="24"/>
          <w:szCs w:val="24"/>
        </w:rPr>
        <w:t>报告期末按债券品种分类的债券投资组合</w:t>
      </w:r>
    </w:p>
    <w:tbl>
      <w:tblPr>
        <w:tblStyle w:val="af7"/>
        <w:tblW w:w="8755" w:type="dxa"/>
        <w:jc w:val="right"/>
        <w:tblLayout w:type="fixed"/>
        <w:tblLook w:val="04A0"/>
      </w:tblPr>
      <w:tblGrid>
        <w:gridCol w:w="817"/>
        <w:gridCol w:w="3260"/>
        <w:gridCol w:w="2949"/>
        <w:gridCol w:w="1729"/>
      </w:tblGrid>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序号</w:t>
            </w:r>
          </w:p>
        </w:tc>
        <w:tc>
          <w:tcPr>
            <w:tcW w:w="3260"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债券品种</w:t>
            </w:r>
          </w:p>
        </w:tc>
        <w:tc>
          <w:tcPr>
            <w:tcW w:w="2949"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公允价值</w:t>
            </w:r>
            <w:r w:rsidR="00D57B7C" w:rsidRPr="00B46334">
              <w:rPr>
                <w:rFonts w:cs="Arial" w:hint="eastAsia"/>
                <w:color w:val="000000"/>
                <w:sz w:val="24"/>
                <w:szCs w:val="24"/>
              </w:rPr>
              <w:t>(</w:t>
            </w:r>
            <w:r w:rsidRPr="00B46334">
              <w:rPr>
                <w:rFonts w:cs="Arial" w:hint="eastAsia"/>
                <w:color w:val="000000"/>
                <w:sz w:val="24"/>
                <w:szCs w:val="24"/>
              </w:rPr>
              <w:t>元</w:t>
            </w:r>
            <w:r w:rsidR="00D57B7C" w:rsidRPr="00B46334">
              <w:rPr>
                <w:rFonts w:cs="Arial" w:hint="eastAsia"/>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占基金资产净值比例</w:t>
            </w:r>
            <w:r w:rsidR="00D57B7C" w:rsidRPr="00B46334">
              <w:rPr>
                <w:rFonts w:cs="Arial" w:hint="eastAsia"/>
                <w:color w:val="000000"/>
                <w:sz w:val="24"/>
                <w:szCs w:val="24"/>
              </w:rPr>
              <w:t>(</w:t>
            </w:r>
            <w:r w:rsidRPr="00B46334">
              <w:rPr>
                <w:rFonts w:cs="Arial" w:hint="eastAsia"/>
                <w:color w:val="000000"/>
                <w:sz w:val="24"/>
                <w:szCs w:val="24"/>
              </w:rPr>
              <w:t>％</w:t>
            </w:r>
            <w:r w:rsidR="00D57B7C" w:rsidRPr="00B46334">
              <w:rPr>
                <w:rFonts w:cs="Arial" w:hint="eastAsia"/>
                <w:color w:val="000000"/>
                <w:sz w:val="24"/>
                <w:szCs w:val="24"/>
              </w:rPr>
              <w:t>)</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1</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国家债券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2,179,211.20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0.16</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2</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央行票据</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3</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金融债券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40,012,000.00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3.02</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其中：政策性金融债</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40,012,000.00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3.02</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4</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企业债券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3D1DFA">
        <w:trPr>
          <w:jc w:val="right"/>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5</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企业短期融资</w:t>
            </w:r>
            <w:proofErr w:type="gramStart"/>
            <w:r w:rsidR="00963F40" w:rsidRPr="00B46334">
              <w:rPr>
                <w:rFonts w:cs="Arial" w:hint="eastAsia"/>
                <w:color w:val="000000"/>
                <w:sz w:val="24"/>
                <w:szCs w:val="24"/>
              </w:rPr>
              <w:t>券</w:t>
            </w:r>
            <w:proofErr w:type="gramEnd"/>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3D1DFA">
        <w:trPr>
          <w:jc w:val="right"/>
        </w:trPr>
        <w:tc>
          <w:tcPr>
            <w:tcW w:w="817" w:type="dxa"/>
            <w:vAlign w:val="center"/>
          </w:tcPr>
          <w:p w:rsidR="00FB41D3" w:rsidRPr="00B46334" w:rsidRDefault="00FB41D3"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6</w:t>
            </w:r>
          </w:p>
        </w:tc>
        <w:tc>
          <w:tcPr>
            <w:tcW w:w="3260" w:type="dxa"/>
            <w:vAlign w:val="center"/>
          </w:tcPr>
          <w:p w:rsidR="00FB41D3" w:rsidRPr="00B46334" w:rsidRDefault="00FB41D3"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中期票据</w:t>
            </w:r>
          </w:p>
        </w:tc>
        <w:tc>
          <w:tcPr>
            <w:tcW w:w="2949" w:type="dxa"/>
            <w:vAlign w:val="center"/>
          </w:tcPr>
          <w:p w:rsidR="00FB41D3" w:rsidRPr="00B46334" w:rsidRDefault="00FB41D3" w:rsidP="00B46334">
            <w:pPr>
              <w:autoSpaceDE w:val="0"/>
              <w:autoSpaceDN w:val="0"/>
              <w:adjustRightInd w:val="0"/>
              <w:spacing w:before="29" w:line="288" w:lineRule="auto"/>
              <w:ind w:left="15"/>
              <w:jc w:val="right"/>
              <w:rPr>
                <w:rFonts w:cs="Arial"/>
                <w:color w:val="000000"/>
                <w:sz w:val="24"/>
                <w:szCs w:val="24"/>
              </w:rPr>
            </w:pPr>
            <w:r w:rsidRPr="00B46334">
              <w:rPr>
                <w:rFonts w:cs="Arial" w:hint="eastAsia"/>
                <w:color w:val="000000"/>
                <w:sz w:val="24"/>
                <w:szCs w:val="24"/>
              </w:rPr>
              <w:t>-</w:t>
            </w:r>
          </w:p>
        </w:tc>
        <w:tc>
          <w:tcPr>
            <w:tcW w:w="1729" w:type="dxa"/>
            <w:vAlign w:val="center"/>
          </w:tcPr>
          <w:p w:rsidR="00FB41D3" w:rsidRPr="00B46334" w:rsidRDefault="00FB41D3" w:rsidP="00B46334">
            <w:pPr>
              <w:autoSpaceDE w:val="0"/>
              <w:autoSpaceDN w:val="0"/>
              <w:adjustRightInd w:val="0"/>
              <w:spacing w:before="29" w:line="288" w:lineRule="auto"/>
              <w:ind w:left="15"/>
              <w:jc w:val="right"/>
              <w:rPr>
                <w:rFonts w:cs="Arial"/>
                <w:color w:val="000000"/>
                <w:sz w:val="24"/>
                <w:szCs w:val="24"/>
              </w:rPr>
            </w:pPr>
            <w:r w:rsidRPr="00B46334">
              <w:rPr>
                <w:rFonts w:cs="Arial" w:hint="eastAsia"/>
                <w:color w:val="000000"/>
                <w:sz w:val="24"/>
                <w:szCs w:val="24"/>
              </w:rPr>
              <w:t>-</w:t>
            </w:r>
          </w:p>
        </w:tc>
      </w:tr>
      <w:tr w:rsidR="00220C32" w:rsidRPr="00220C32" w:rsidTr="003D1DFA">
        <w:trPr>
          <w:jc w:val="right"/>
        </w:trPr>
        <w:tc>
          <w:tcPr>
            <w:tcW w:w="817" w:type="dxa"/>
            <w:vAlign w:val="center"/>
          </w:tcPr>
          <w:p w:rsidR="00AC592E" w:rsidRPr="00B46334" w:rsidRDefault="00FB41D3"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7</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可转债</w:t>
            </w:r>
            <w:r w:rsidR="005C51F7" w:rsidRPr="004B5343">
              <w:rPr>
                <w:rFonts w:eastAsiaTheme="minorEastAsia" w:hint="eastAsia"/>
                <w:color w:val="000000" w:themeColor="text1"/>
                <w:sz w:val="24"/>
                <w:szCs w:val="24"/>
              </w:rPr>
              <w:t>（可交换债）</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3,969,000.00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0.30</w:t>
            </w:r>
          </w:p>
        </w:tc>
      </w:tr>
      <w:tr w:rsidR="005C51F7" w:rsidRPr="00220C32" w:rsidTr="003D1DFA">
        <w:trPr>
          <w:jc w:val="right"/>
        </w:trPr>
        <w:tc>
          <w:tcPr>
            <w:tcW w:w="817" w:type="dxa"/>
            <w:vAlign w:val="center"/>
          </w:tcPr>
          <w:p w:rsidR="005C51F7" w:rsidRPr="00283CAD" w:rsidRDefault="005C51F7" w:rsidP="00CA469C">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8</w:t>
            </w:r>
          </w:p>
        </w:tc>
        <w:tc>
          <w:tcPr>
            <w:tcW w:w="3260" w:type="dxa"/>
            <w:vAlign w:val="center"/>
          </w:tcPr>
          <w:p w:rsidR="005C51F7" w:rsidRPr="00283CAD" w:rsidRDefault="005C51F7" w:rsidP="00CA469C">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同业存单</w:t>
            </w:r>
          </w:p>
        </w:tc>
        <w:tc>
          <w:tcPr>
            <w:tcW w:w="2949" w:type="dxa"/>
            <w:vAlign w:val="center"/>
          </w:tcPr>
          <w:p w:rsidR="005C51F7" w:rsidRPr="00283CAD" w:rsidRDefault="005C51F7" w:rsidP="00CA469C">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5C51F7" w:rsidRPr="00283CAD" w:rsidRDefault="005C51F7" w:rsidP="00CA469C">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5C51F7" w:rsidRPr="00220C32" w:rsidTr="003D1DFA">
        <w:trPr>
          <w:jc w:val="right"/>
        </w:trPr>
        <w:tc>
          <w:tcPr>
            <w:tcW w:w="817" w:type="dxa"/>
            <w:vAlign w:val="center"/>
          </w:tcPr>
          <w:p w:rsidR="005C51F7" w:rsidRPr="00B46334" w:rsidRDefault="005C51F7" w:rsidP="005C51F7">
            <w:pPr>
              <w:autoSpaceDE w:val="0"/>
              <w:autoSpaceDN w:val="0"/>
              <w:adjustRightInd w:val="0"/>
              <w:spacing w:before="29" w:line="288" w:lineRule="auto"/>
              <w:ind w:left="15"/>
              <w:jc w:val="center"/>
              <w:rPr>
                <w:rFonts w:cs="Arial"/>
                <w:color w:val="000000"/>
                <w:sz w:val="24"/>
                <w:szCs w:val="24"/>
              </w:rPr>
            </w:pPr>
            <w:r w:rsidRPr="00B46334">
              <w:rPr>
                <w:rFonts w:cs="Arial"/>
                <w:color w:val="000000"/>
                <w:sz w:val="24"/>
                <w:szCs w:val="24"/>
              </w:rPr>
              <w:t>9</w:t>
            </w:r>
          </w:p>
        </w:tc>
        <w:tc>
          <w:tcPr>
            <w:tcW w:w="3260" w:type="dxa"/>
            <w:vAlign w:val="center"/>
          </w:tcPr>
          <w:p w:rsidR="005C51F7" w:rsidRPr="00B46334" w:rsidRDefault="005C51F7"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其他</w:t>
            </w:r>
          </w:p>
        </w:tc>
        <w:tc>
          <w:tcPr>
            <w:tcW w:w="2949" w:type="dxa"/>
            <w:vAlign w:val="center"/>
          </w:tcPr>
          <w:p w:rsidR="005C51F7" w:rsidRPr="00B46334" w:rsidRDefault="005C51F7"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5C51F7" w:rsidRPr="00B46334" w:rsidRDefault="005C51F7"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5C51F7" w:rsidRPr="00220C32" w:rsidTr="003D1DFA">
        <w:trPr>
          <w:jc w:val="right"/>
        </w:trPr>
        <w:tc>
          <w:tcPr>
            <w:tcW w:w="817" w:type="dxa"/>
            <w:vAlign w:val="center"/>
          </w:tcPr>
          <w:p w:rsidR="005C51F7" w:rsidRPr="00B46334" w:rsidRDefault="005C51F7" w:rsidP="005C51F7">
            <w:pPr>
              <w:autoSpaceDE w:val="0"/>
              <w:autoSpaceDN w:val="0"/>
              <w:adjustRightInd w:val="0"/>
              <w:spacing w:before="29" w:line="288" w:lineRule="auto"/>
              <w:ind w:left="15"/>
              <w:jc w:val="center"/>
              <w:rPr>
                <w:rFonts w:cs="Arial"/>
                <w:color w:val="000000"/>
                <w:sz w:val="24"/>
                <w:szCs w:val="24"/>
              </w:rPr>
            </w:pPr>
            <w:r w:rsidRPr="00B46334">
              <w:rPr>
                <w:rFonts w:cs="Arial"/>
                <w:color w:val="000000"/>
                <w:sz w:val="24"/>
                <w:szCs w:val="24"/>
              </w:rPr>
              <w:t>10</w:t>
            </w:r>
          </w:p>
        </w:tc>
        <w:tc>
          <w:tcPr>
            <w:tcW w:w="3260" w:type="dxa"/>
            <w:vAlign w:val="center"/>
          </w:tcPr>
          <w:p w:rsidR="005C51F7" w:rsidRPr="00B46334" w:rsidRDefault="005C51F7"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合计</w:t>
            </w:r>
          </w:p>
        </w:tc>
        <w:tc>
          <w:tcPr>
            <w:tcW w:w="2949" w:type="dxa"/>
            <w:vAlign w:val="center"/>
          </w:tcPr>
          <w:p w:rsidR="005C51F7" w:rsidRPr="00B46334" w:rsidRDefault="005C51F7"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46,160,211.20</w:t>
            </w:r>
          </w:p>
        </w:tc>
        <w:tc>
          <w:tcPr>
            <w:tcW w:w="1729" w:type="dxa"/>
            <w:vAlign w:val="center"/>
          </w:tcPr>
          <w:p w:rsidR="005C51F7" w:rsidRPr="00B46334" w:rsidRDefault="005C51F7"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3.48</w:t>
            </w:r>
          </w:p>
        </w:tc>
      </w:tr>
    </w:tbl>
    <w:p w:rsidR="004061AC" w:rsidRPr="003C26D3" w:rsidRDefault="003C26D3" w:rsidP="003C26D3">
      <w:pPr>
        <w:autoSpaceDE w:val="0"/>
        <w:autoSpaceDN w:val="0"/>
        <w:adjustRightInd w:val="0"/>
        <w:spacing w:before="29" w:line="288" w:lineRule="auto"/>
        <w:jc w:val="left"/>
        <w:rPr>
          <w:b/>
          <w:color w:val="000000"/>
          <w:kern w:val="0"/>
          <w:sz w:val="24"/>
          <w:szCs w:val="24"/>
        </w:rPr>
      </w:pPr>
      <w:r>
        <w:rPr>
          <w:rFonts w:hint="eastAsia"/>
          <w:b/>
          <w:color w:val="000000"/>
          <w:kern w:val="0"/>
          <w:sz w:val="24"/>
          <w:szCs w:val="24"/>
        </w:rPr>
        <w:t xml:space="preserve">5.1.5 </w:t>
      </w:r>
      <w:r w:rsidR="004061AC" w:rsidRPr="003C26D3">
        <w:rPr>
          <w:b/>
          <w:color w:val="000000"/>
          <w:kern w:val="0"/>
          <w:sz w:val="24"/>
          <w:szCs w:val="24"/>
        </w:rPr>
        <w:t>报告期末按公允价值占基金资产净值比例大小排</w:t>
      </w:r>
      <w:r w:rsidR="001D63BB" w:rsidRPr="003C26D3">
        <w:rPr>
          <w:b/>
          <w:color w:val="000000"/>
          <w:kern w:val="0"/>
          <w:sz w:val="24"/>
          <w:szCs w:val="24"/>
        </w:rPr>
        <w:t>序</w:t>
      </w:r>
      <w:r w:rsidR="004061AC" w:rsidRPr="003C26D3">
        <w:rPr>
          <w:b/>
          <w:color w:val="000000"/>
          <w:kern w:val="0"/>
          <w:sz w:val="24"/>
          <w:szCs w:val="24"/>
        </w:rPr>
        <w:t>的前五名债券投资明细</w:t>
      </w:r>
    </w:p>
    <w:tbl>
      <w:tblPr>
        <w:tblStyle w:val="af7"/>
        <w:tblW w:w="0" w:type="auto"/>
        <w:jc w:val="center"/>
        <w:tblLayout w:type="fixed"/>
        <w:tblLook w:val="04A0"/>
      </w:tblPr>
      <w:tblGrid>
        <w:gridCol w:w="817"/>
        <w:gridCol w:w="1276"/>
        <w:gridCol w:w="1559"/>
        <w:gridCol w:w="1418"/>
        <w:gridCol w:w="1846"/>
        <w:gridCol w:w="1612"/>
      </w:tblGrid>
      <w:tr w:rsidR="00220C32" w:rsidRPr="00BB3C5F" w:rsidTr="003D1DFA">
        <w:trPr>
          <w:jc w:val="center"/>
        </w:trPr>
        <w:tc>
          <w:tcPr>
            <w:tcW w:w="817"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序号</w:t>
            </w:r>
          </w:p>
        </w:tc>
        <w:tc>
          <w:tcPr>
            <w:tcW w:w="1276"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债券代码</w:t>
            </w:r>
          </w:p>
        </w:tc>
        <w:tc>
          <w:tcPr>
            <w:tcW w:w="1559"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债券名称</w:t>
            </w:r>
          </w:p>
        </w:tc>
        <w:tc>
          <w:tcPr>
            <w:tcW w:w="1418"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数量</w:t>
            </w:r>
            <w:r w:rsidR="00D57B7C" w:rsidRPr="00BB3C5F">
              <w:rPr>
                <w:color w:val="000000"/>
                <w:sz w:val="24"/>
                <w:szCs w:val="24"/>
              </w:rPr>
              <w:t>(</w:t>
            </w:r>
            <w:r w:rsidRPr="00BB3C5F">
              <w:rPr>
                <w:color w:val="000000"/>
                <w:sz w:val="24"/>
                <w:szCs w:val="24"/>
              </w:rPr>
              <w:t>张</w:t>
            </w:r>
            <w:r w:rsidR="00D57B7C" w:rsidRPr="00BB3C5F">
              <w:rPr>
                <w:color w:val="000000"/>
                <w:sz w:val="24"/>
                <w:szCs w:val="24"/>
              </w:rPr>
              <w:t>)</w:t>
            </w:r>
          </w:p>
        </w:tc>
        <w:tc>
          <w:tcPr>
            <w:tcW w:w="1846"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公允价值</w:t>
            </w:r>
            <w:r w:rsidRPr="00BB3C5F">
              <w:rPr>
                <w:color w:val="000000"/>
                <w:sz w:val="24"/>
                <w:szCs w:val="24"/>
              </w:rPr>
              <w:t>(</w:t>
            </w:r>
            <w:r w:rsidRPr="00BB3C5F">
              <w:rPr>
                <w:color w:val="000000"/>
                <w:sz w:val="24"/>
                <w:szCs w:val="24"/>
              </w:rPr>
              <w:t>元</w:t>
            </w:r>
            <w:r w:rsidRPr="00BB3C5F">
              <w:rPr>
                <w:color w:val="000000"/>
                <w:sz w:val="24"/>
                <w:szCs w:val="24"/>
              </w:rPr>
              <w:t>)</w:t>
            </w:r>
          </w:p>
        </w:tc>
        <w:tc>
          <w:tcPr>
            <w:tcW w:w="1612" w:type="dxa"/>
            <w:vAlign w:val="center"/>
          </w:tcPr>
          <w:p w:rsidR="003E62FB" w:rsidRPr="00BB3C5F" w:rsidRDefault="003E62FB" w:rsidP="00B46334">
            <w:pPr>
              <w:autoSpaceDE w:val="0"/>
              <w:autoSpaceDN w:val="0"/>
              <w:adjustRightInd w:val="0"/>
              <w:spacing w:before="29" w:line="288" w:lineRule="auto"/>
              <w:ind w:left="15"/>
              <w:jc w:val="center"/>
              <w:rPr>
                <w:color w:val="000000"/>
                <w:sz w:val="24"/>
                <w:szCs w:val="24"/>
              </w:rPr>
            </w:pPr>
            <w:r w:rsidRPr="00BB3C5F">
              <w:rPr>
                <w:color w:val="000000"/>
                <w:sz w:val="24"/>
                <w:szCs w:val="24"/>
              </w:rPr>
              <w:t>占基金资产</w:t>
            </w:r>
            <w:r w:rsidRPr="00BB3C5F">
              <w:rPr>
                <w:color w:val="000000"/>
                <w:sz w:val="24"/>
                <w:szCs w:val="24"/>
              </w:rPr>
              <w:lastRenderedPageBreak/>
              <w:t>净值比例</w:t>
            </w:r>
            <w:r w:rsidR="00D57B7C" w:rsidRPr="00BB3C5F">
              <w:rPr>
                <w:color w:val="000000"/>
                <w:sz w:val="24"/>
                <w:szCs w:val="24"/>
              </w:rPr>
              <w:t>(</w:t>
            </w:r>
            <w:r w:rsidRPr="00BB3C5F">
              <w:rPr>
                <w:color w:val="000000"/>
                <w:sz w:val="24"/>
                <w:szCs w:val="24"/>
              </w:rPr>
              <w:t>％</w:t>
            </w:r>
            <w:r w:rsidR="00D57B7C" w:rsidRPr="00BB3C5F">
              <w:rPr>
                <w:color w:val="000000"/>
                <w:sz w:val="24"/>
                <w:szCs w:val="24"/>
              </w:rPr>
              <w:t>)</w:t>
            </w:r>
          </w:p>
        </w:tc>
      </w:tr>
      <w:tr w:rsidR="0099261D">
        <w:trPr>
          <w:jc w:val="center"/>
        </w:trPr>
        <w:tc>
          <w:tcPr>
            <w:tcW w:w="817" w:type="dxa"/>
            <w:vAlign w:val="center"/>
          </w:tcPr>
          <w:p w:rsidR="0099261D" w:rsidRDefault="001E0F38">
            <w:pPr>
              <w:jc w:val="center"/>
            </w:pPr>
            <w:r>
              <w:rPr>
                <w:color w:val="000000"/>
                <w:sz w:val="24"/>
                <w:szCs w:val="24"/>
              </w:rPr>
              <w:lastRenderedPageBreak/>
              <w:t>1</w:t>
            </w:r>
          </w:p>
        </w:tc>
        <w:tc>
          <w:tcPr>
            <w:tcW w:w="1276" w:type="dxa"/>
            <w:vAlign w:val="center"/>
          </w:tcPr>
          <w:p w:rsidR="0099261D" w:rsidRDefault="001E0F38">
            <w:pPr>
              <w:jc w:val="center"/>
            </w:pPr>
            <w:r>
              <w:rPr>
                <w:color w:val="000000"/>
                <w:sz w:val="24"/>
                <w:szCs w:val="24"/>
              </w:rPr>
              <w:t>140208</w:t>
            </w:r>
          </w:p>
        </w:tc>
        <w:tc>
          <w:tcPr>
            <w:tcW w:w="1559" w:type="dxa"/>
            <w:vAlign w:val="center"/>
          </w:tcPr>
          <w:p w:rsidR="0099261D" w:rsidRDefault="001E0F38">
            <w:pPr>
              <w:jc w:val="center"/>
            </w:pPr>
            <w:r>
              <w:rPr>
                <w:color w:val="000000"/>
                <w:sz w:val="24"/>
                <w:szCs w:val="24"/>
              </w:rPr>
              <w:t>14</w:t>
            </w:r>
            <w:r>
              <w:rPr>
                <w:color w:val="000000"/>
                <w:sz w:val="24"/>
                <w:szCs w:val="24"/>
              </w:rPr>
              <w:t>国开</w:t>
            </w:r>
            <w:r>
              <w:rPr>
                <w:color w:val="000000"/>
                <w:sz w:val="24"/>
                <w:szCs w:val="24"/>
              </w:rPr>
              <w:t>08</w:t>
            </w:r>
          </w:p>
        </w:tc>
        <w:tc>
          <w:tcPr>
            <w:tcW w:w="1418" w:type="dxa"/>
            <w:vAlign w:val="center"/>
          </w:tcPr>
          <w:p w:rsidR="0099261D" w:rsidRDefault="001E0F38">
            <w:pPr>
              <w:jc w:val="right"/>
            </w:pPr>
            <w:r>
              <w:rPr>
                <w:color w:val="000000"/>
                <w:sz w:val="24"/>
                <w:szCs w:val="24"/>
              </w:rPr>
              <w:t>400,000</w:t>
            </w:r>
          </w:p>
        </w:tc>
        <w:tc>
          <w:tcPr>
            <w:tcW w:w="1846" w:type="dxa"/>
            <w:vAlign w:val="center"/>
          </w:tcPr>
          <w:p w:rsidR="0099261D" w:rsidRDefault="001E0F38">
            <w:pPr>
              <w:jc w:val="right"/>
            </w:pPr>
            <w:r>
              <w:rPr>
                <w:color w:val="000000"/>
                <w:sz w:val="24"/>
                <w:szCs w:val="24"/>
              </w:rPr>
              <w:t>40,012,000.00</w:t>
            </w:r>
          </w:p>
        </w:tc>
        <w:tc>
          <w:tcPr>
            <w:tcW w:w="1612" w:type="dxa"/>
            <w:vAlign w:val="center"/>
          </w:tcPr>
          <w:p w:rsidR="0099261D" w:rsidRDefault="001E0F38">
            <w:pPr>
              <w:jc w:val="right"/>
            </w:pPr>
            <w:r>
              <w:rPr>
                <w:color w:val="000000"/>
                <w:sz w:val="24"/>
                <w:szCs w:val="24"/>
              </w:rPr>
              <w:t>3.02</w:t>
            </w:r>
          </w:p>
        </w:tc>
      </w:tr>
      <w:tr w:rsidR="0099261D">
        <w:trPr>
          <w:jc w:val="center"/>
        </w:trPr>
        <w:tc>
          <w:tcPr>
            <w:tcW w:w="817" w:type="dxa"/>
            <w:vAlign w:val="center"/>
          </w:tcPr>
          <w:p w:rsidR="0099261D" w:rsidRDefault="001E0F38">
            <w:pPr>
              <w:jc w:val="center"/>
            </w:pPr>
            <w:r>
              <w:rPr>
                <w:color w:val="000000"/>
                <w:sz w:val="24"/>
                <w:szCs w:val="24"/>
              </w:rPr>
              <w:t>2</w:t>
            </w:r>
          </w:p>
        </w:tc>
        <w:tc>
          <w:tcPr>
            <w:tcW w:w="1276" w:type="dxa"/>
            <w:vAlign w:val="center"/>
          </w:tcPr>
          <w:p w:rsidR="0099261D" w:rsidRDefault="001E0F38">
            <w:pPr>
              <w:jc w:val="center"/>
            </w:pPr>
            <w:r>
              <w:rPr>
                <w:color w:val="000000"/>
                <w:sz w:val="24"/>
                <w:szCs w:val="24"/>
              </w:rPr>
              <w:t>113011</w:t>
            </w:r>
          </w:p>
        </w:tc>
        <w:tc>
          <w:tcPr>
            <w:tcW w:w="1559" w:type="dxa"/>
            <w:vAlign w:val="center"/>
          </w:tcPr>
          <w:p w:rsidR="0099261D" w:rsidRDefault="001E0F38">
            <w:pPr>
              <w:jc w:val="center"/>
            </w:pPr>
            <w:r>
              <w:rPr>
                <w:color w:val="000000"/>
                <w:sz w:val="24"/>
                <w:szCs w:val="24"/>
              </w:rPr>
              <w:t>光大转债</w:t>
            </w:r>
          </w:p>
        </w:tc>
        <w:tc>
          <w:tcPr>
            <w:tcW w:w="1418" w:type="dxa"/>
            <w:vAlign w:val="center"/>
          </w:tcPr>
          <w:p w:rsidR="0099261D" w:rsidRDefault="001E0F38">
            <w:pPr>
              <w:jc w:val="right"/>
            </w:pPr>
            <w:r>
              <w:rPr>
                <w:color w:val="000000"/>
                <w:sz w:val="24"/>
                <w:szCs w:val="24"/>
              </w:rPr>
              <w:t>27,860</w:t>
            </w:r>
          </w:p>
        </w:tc>
        <w:tc>
          <w:tcPr>
            <w:tcW w:w="1846" w:type="dxa"/>
            <w:vAlign w:val="center"/>
          </w:tcPr>
          <w:p w:rsidR="0099261D" w:rsidRDefault="001E0F38">
            <w:pPr>
              <w:jc w:val="right"/>
            </w:pPr>
            <w:r>
              <w:rPr>
                <w:color w:val="000000"/>
                <w:sz w:val="24"/>
                <w:szCs w:val="24"/>
              </w:rPr>
              <w:t>2,786,000.00</w:t>
            </w:r>
          </w:p>
        </w:tc>
        <w:tc>
          <w:tcPr>
            <w:tcW w:w="1612" w:type="dxa"/>
            <w:vAlign w:val="center"/>
          </w:tcPr>
          <w:p w:rsidR="0099261D" w:rsidRDefault="001E0F38">
            <w:pPr>
              <w:jc w:val="right"/>
            </w:pPr>
            <w:r>
              <w:rPr>
                <w:color w:val="000000"/>
                <w:sz w:val="24"/>
                <w:szCs w:val="24"/>
              </w:rPr>
              <w:t>0.21</w:t>
            </w:r>
          </w:p>
        </w:tc>
      </w:tr>
      <w:tr w:rsidR="0099261D">
        <w:trPr>
          <w:jc w:val="center"/>
        </w:trPr>
        <w:tc>
          <w:tcPr>
            <w:tcW w:w="817" w:type="dxa"/>
            <w:vAlign w:val="center"/>
          </w:tcPr>
          <w:p w:rsidR="0099261D" w:rsidRDefault="001E0F38">
            <w:pPr>
              <w:jc w:val="center"/>
            </w:pPr>
            <w:r>
              <w:rPr>
                <w:color w:val="000000"/>
                <w:sz w:val="24"/>
                <w:szCs w:val="24"/>
              </w:rPr>
              <w:t>3</w:t>
            </w:r>
          </w:p>
        </w:tc>
        <w:tc>
          <w:tcPr>
            <w:tcW w:w="1276" w:type="dxa"/>
            <w:vAlign w:val="center"/>
          </w:tcPr>
          <w:p w:rsidR="0099261D" w:rsidRDefault="001E0F38">
            <w:pPr>
              <w:jc w:val="center"/>
            </w:pPr>
            <w:r>
              <w:rPr>
                <w:color w:val="000000"/>
                <w:sz w:val="24"/>
                <w:szCs w:val="24"/>
              </w:rPr>
              <w:t>010107</w:t>
            </w:r>
          </w:p>
        </w:tc>
        <w:tc>
          <w:tcPr>
            <w:tcW w:w="1559" w:type="dxa"/>
            <w:vAlign w:val="center"/>
          </w:tcPr>
          <w:p w:rsidR="0099261D" w:rsidRDefault="001E0F38">
            <w:pPr>
              <w:jc w:val="center"/>
            </w:pPr>
            <w:r>
              <w:rPr>
                <w:color w:val="000000"/>
                <w:sz w:val="24"/>
                <w:szCs w:val="24"/>
              </w:rPr>
              <w:t>21</w:t>
            </w:r>
            <w:r>
              <w:rPr>
                <w:color w:val="000000"/>
                <w:sz w:val="24"/>
                <w:szCs w:val="24"/>
              </w:rPr>
              <w:t>国债</w:t>
            </w:r>
            <w:r>
              <w:rPr>
                <w:color w:val="000000"/>
                <w:sz w:val="24"/>
                <w:szCs w:val="24"/>
              </w:rPr>
              <w:t>⑺</w:t>
            </w:r>
          </w:p>
        </w:tc>
        <w:tc>
          <w:tcPr>
            <w:tcW w:w="1418" w:type="dxa"/>
            <w:vAlign w:val="center"/>
          </w:tcPr>
          <w:p w:rsidR="0099261D" w:rsidRDefault="001E0F38">
            <w:pPr>
              <w:jc w:val="right"/>
            </w:pPr>
            <w:r>
              <w:rPr>
                <w:color w:val="000000"/>
                <w:sz w:val="24"/>
                <w:szCs w:val="24"/>
              </w:rPr>
              <w:t>20,960</w:t>
            </w:r>
          </w:p>
        </w:tc>
        <w:tc>
          <w:tcPr>
            <w:tcW w:w="1846" w:type="dxa"/>
            <w:vAlign w:val="center"/>
          </w:tcPr>
          <w:p w:rsidR="0099261D" w:rsidRDefault="001E0F38">
            <w:pPr>
              <w:jc w:val="right"/>
            </w:pPr>
            <w:r>
              <w:rPr>
                <w:color w:val="000000"/>
                <w:sz w:val="24"/>
                <w:szCs w:val="24"/>
              </w:rPr>
              <w:t>2,179,211.20</w:t>
            </w:r>
          </w:p>
        </w:tc>
        <w:tc>
          <w:tcPr>
            <w:tcW w:w="1612" w:type="dxa"/>
            <w:vAlign w:val="center"/>
          </w:tcPr>
          <w:p w:rsidR="0099261D" w:rsidRDefault="001E0F38">
            <w:pPr>
              <w:jc w:val="right"/>
            </w:pPr>
            <w:r>
              <w:rPr>
                <w:color w:val="000000"/>
                <w:sz w:val="24"/>
                <w:szCs w:val="24"/>
              </w:rPr>
              <w:t>0.16</w:t>
            </w:r>
          </w:p>
        </w:tc>
      </w:tr>
      <w:tr w:rsidR="0099261D">
        <w:trPr>
          <w:jc w:val="center"/>
        </w:trPr>
        <w:tc>
          <w:tcPr>
            <w:tcW w:w="817" w:type="dxa"/>
            <w:vAlign w:val="center"/>
          </w:tcPr>
          <w:p w:rsidR="0099261D" w:rsidRDefault="001E0F38">
            <w:pPr>
              <w:jc w:val="center"/>
            </w:pPr>
            <w:r>
              <w:rPr>
                <w:color w:val="000000"/>
                <w:sz w:val="24"/>
                <w:szCs w:val="24"/>
              </w:rPr>
              <w:t>4</w:t>
            </w:r>
          </w:p>
        </w:tc>
        <w:tc>
          <w:tcPr>
            <w:tcW w:w="1276" w:type="dxa"/>
            <w:vAlign w:val="center"/>
          </w:tcPr>
          <w:p w:rsidR="0099261D" w:rsidRDefault="001E0F38">
            <w:pPr>
              <w:jc w:val="center"/>
            </w:pPr>
            <w:r>
              <w:rPr>
                <w:color w:val="000000"/>
                <w:sz w:val="24"/>
                <w:szCs w:val="24"/>
              </w:rPr>
              <w:t>113012</w:t>
            </w:r>
          </w:p>
        </w:tc>
        <w:tc>
          <w:tcPr>
            <w:tcW w:w="1559" w:type="dxa"/>
            <w:vAlign w:val="center"/>
          </w:tcPr>
          <w:p w:rsidR="0099261D" w:rsidRDefault="001E0F38">
            <w:pPr>
              <w:jc w:val="center"/>
            </w:pPr>
            <w:r>
              <w:rPr>
                <w:color w:val="000000"/>
                <w:sz w:val="24"/>
                <w:szCs w:val="24"/>
              </w:rPr>
              <w:t>骆驼转债</w:t>
            </w:r>
          </w:p>
        </w:tc>
        <w:tc>
          <w:tcPr>
            <w:tcW w:w="1418" w:type="dxa"/>
            <w:vAlign w:val="center"/>
          </w:tcPr>
          <w:p w:rsidR="0099261D" w:rsidRDefault="001E0F38">
            <w:pPr>
              <w:jc w:val="right"/>
            </w:pPr>
            <w:r>
              <w:rPr>
                <w:color w:val="000000"/>
                <w:sz w:val="24"/>
                <w:szCs w:val="24"/>
              </w:rPr>
              <w:t>11,830</w:t>
            </w:r>
          </w:p>
        </w:tc>
        <w:tc>
          <w:tcPr>
            <w:tcW w:w="1846" w:type="dxa"/>
            <w:vAlign w:val="center"/>
          </w:tcPr>
          <w:p w:rsidR="0099261D" w:rsidRDefault="001E0F38">
            <w:pPr>
              <w:jc w:val="right"/>
            </w:pPr>
            <w:r>
              <w:rPr>
                <w:color w:val="000000"/>
                <w:sz w:val="24"/>
                <w:szCs w:val="24"/>
              </w:rPr>
              <w:t>1,183,000.00</w:t>
            </w:r>
          </w:p>
        </w:tc>
        <w:tc>
          <w:tcPr>
            <w:tcW w:w="1612" w:type="dxa"/>
            <w:vAlign w:val="center"/>
          </w:tcPr>
          <w:p w:rsidR="0099261D" w:rsidRDefault="001E0F38">
            <w:pPr>
              <w:jc w:val="right"/>
            </w:pPr>
            <w:r>
              <w:rPr>
                <w:color w:val="000000"/>
                <w:sz w:val="24"/>
                <w:szCs w:val="24"/>
              </w:rPr>
              <w:t>0.09</w:t>
            </w:r>
          </w:p>
        </w:tc>
      </w:tr>
    </w:tbl>
    <w:p w:rsidR="004061AC" w:rsidRPr="003C26D3" w:rsidRDefault="003C26D3" w:rsidP="003C26D3">
      <w:pPr>
        <w:autoSpaceDE w:val="0"/>
        <w:autoSpaceDN w:val="0"/>
        <w:adjustRightInd w:val="0"/>
        <w:spacing w:line="360" w:lineRule="auto"/>
        <w:ind w:left="17"/>
        <w:jc w:val="left"/>
        <w:rPr>
          <w:color w:val="000000"/>
          <w:sz w:val="24"/>
          <w:szCs w:val="24"/>
        </w:rPr>
      </w:pPr>
      <w:r w:rsidRPr="003C26D3">
        <w:rPr>
          <w:rFonts w:hint="eastAsia"/>
          <w:b/>
          <w:color w:val="000000"/>
          <w:sz w:val="24"/>
          <w:szCs w:val="24"/>
        </w:rPr>
        <w:t xml:space="preserve">5.1.6 </w:t>
      </w:r>
      <w:r w:rsidR="004061AC" w:rsidRPr="003C26D3">
        <w:rPr>
          <w:rFonts w:hint="eastAsia"/>
          <w:b/>
          <w:color w:val="000000"/>
          <w:kern w:val="0"/>
          <w:sz w:val="24"/>
          <w:szCs w:val="24"/>
        </w:rPr>
        <w:t>报告期末按公允价值占基金资产净值比例大小排</w:t>
      </w:r>
      <w:r w:rsidR="001D63BB" w:rsidRPr="003C26D3">
        <w:rPr>
          <w:rFonts w:hint="eastAsia"/>
          <w:b/>
          <w:color w:val="000000"/>
          <w:kern w:val="0"/>
          <w:sz w:val="24"/>
          <w:szCs w:val="24"/>
        </w:rPr>
        <w:t>序</w:t>
      </w:r>
      <w:r w:rsidR="004061AC" w:rsidRPr="003C26D3">
        <w:rPr>
          <w:rFonts w:hint="eastAsia"/>
          <w:b/>
          <w:color w:val="000000"/>
          <w:kern w:val="0"/>
          <w:sz w:val="24"/>
          <w:szCs w:val="24"/>
        </w:rPr>
        <w:t>的前十名资产支持证券投资明细</w:t>
      </w:r>
    </w:p>
    <w:p w:rsidR="003C26D3" w:rsidRDefault="004061AC" w:rsidP="003C26D3">
      <w:pPr>
        <w:autoSpaceDE w:val="0"/>
        <w:autoSpaceDN w:val="0"/>
        <w:adjustRightInd w:val="0"/>
        <w:spacing w:line="360" w:lineRule="auto"/>
        <w:ind w:left="17"/>
        <w:jc w:val="left"/>
        <w:rPr>
          <w:color w:val="000000"/>
          <w:sz w:val="24"/>
          <w:szCs w:val="24"/>
        </w:rPr>
      </w:pPr>
      <w:r w:rsidRPr="00BB3C5F">
        <w:rPr>
          <w:color w:val="000000"/>
          <w:sz w:val="24"/>
          <w:szCs w:val="24"/>
        </w:rPr>
        <w:t>本基金本报告期末未持有资产支持证券。</w:t>
      </w:r>
    </w:p>
    <w:p w:rsidR="001D63BB" w:rsidRPr="003C26D3" w:rsidRDefault="003C26D3" w:rsidP="003C26D3">
      <w:pPr>
        <w:autoSpaceDE w:val="0"/>
        <w:autoSpaceDN w:val="0"/>
        <w:adjustRightInd w:val="0"/>
        <w:spacing w:line="360" w:lineRule="auto"/>
        <w:ind w:left="17"/>
        <w:jc w:val="left"/>
        <w:rPr>
          <w:color w:val="000000"/>
          <w:sz w:val="24"/>
          <w:szCs w:val="24"/>
        </w:rPr>
      </w:pPr>
      <w:r w:rsidRPr="003C26D3">
        <w:rPr>
          <w:rFonts w:hint="eastAsia"/>
          <w:b/>
          <w:color w:val="000000"/>
          <w:sz w:val="24"/>
          <w:szCs w:val="24"/>
        </w:rPr>
        <w:t xml:space="preserve">5.1.7 </w:t>
      </w:r>
      <w:r w:rsidR="001D63BB" w:rsidRPr="003C26D3">
        <w:rPr>
          <w:rFonts w:hint="eastAsia"/>
          <w:b/>
          <w:color w:val="000000"/>
          <w:kern w:val="0"/>
          <w:sz w:val="24"/>
          <w:szCs w:val="24"/>
        </w:rPr>
        <w:t>报告期末按公允价值占基金资产净值比例大小排序的前五名贵金属投资明细</w:t>
      </w:r>
    </w:p>
    <w:p w:rsidR="003C26D3" w:rsidRDefault="001D63BB" w:rsidP="003C26D3">
      <w:pPr>
        <w:autoSpaceDE w:val="0"/>
        <w:autoSpaceDN w:val="0"/>
        <w:adjustRightInd w:val="0"/>
        <w:spacing w:line="360" w:lineRule="auto"/>
        <w:ind w:left="17"/>
        <w:jc w:val="left"/>
        <w:rPr>
          <w:color w:val="000000"/>
          <w:sz w:val="24"/>
          <w:szCs w:val="24"/>
        </w:rPr>
      </w:pPr>
      <w:r w:rsidRPr="00BB3C5F">
        <w:rPr>
          <w:color w:val="000000"/>
          <w:sz w:val="24"/>
          <w:szCs w:val="24"/>
        </w:rPr>
        <w:t>本基金本报告期末未持有贵金属。</w:t>
      </w:r>
    </w:p>
    <w:p w:rsidR="004061AC" w:rsidRPr="003C26D3" w:rsidRDefault="003C26D3" w:rsidP="003C26D3">
      <w:pPr>
        <w:autoSpaceDE w:val="0"/>
        <w:autoSpaceDN w:val="0"/>
        <w:adjustRightInd w:val="0"/>
        <w:spacing w:line="360" w:lineRule="auto"/>
        <w:ind w:left="17"/>
        <w:jc w:val="left"/>
        <w:rPr>
          <w:color w:val="000000"/>
          <w:sz w:val="24"/>
          <w:szCs w:val="24"/>
        </w:rPr>
      </w:pPr>
      <w:r w:rsidRPr="003C26D3">
        <w:rPr>
          <w:rFonts w:hint="eastAsia"/>
          <w:b/>
          <w:color w:val="000000"/>
          <w:sz w:val="24"/>
          <w:szCs w:val="24"/>
        </w:rPr>
        <w:t xml:space="preserve">5.1.8 </w:t>
      </w:r>
      <w:r w:rsidR="004061AC" w:rsidRPr="003C26D3">
        <w:rPr>
          <w:b/>
          <w:color w:val="000000"/>
          <w:kern w:val="0"/>
          <w:sz w:val="24"/>
          <w:szCs w:val="24"/>
        </w:rPr>
        <w:t>报告期末按公允价值占基金资产净值比例大小排</w:t>
      </w:r>
      <w:r w:rsidR="001D63BB" w:rsidRPr="003C26D3">
        <w:rPr>
          <w:b/>
          <w:color w:val="000000"/>
          <w:kern w:val="0"/>
          <w:sz w:val="24"/>
          <w:szCs w:val="24"/>
        </w:rPr>
        <w:t>序</w:t>
      </w:r>
      <w:r w:rsidR="004061AC" w:rsidRPr="003C26D3">
        <w:rPr>
          <w:b/>
          <w:color w:val="000000"/>
          <w:kern w:val="0"/>
          <w:sz w:val="24"/>
          <w:szCs w:val="24"/>
        </w:rPr>
        <w:t>的前五名权证投资明细</w:t>
      </w:r>
    </w:p>
    <w:p w:rsidR="004061AC" w:rsidRPr="00274FD9" w:rsidRDefault="004061AC" w:rsidP="00274FD9">
      <w:pPr>
        <w:autoSpaceDE w:val="0"/>
        <w:autoSpaceDN w:val="0"/>
        <w:adjustRightInd w:val="0"/>
        <w:spacing w:line="360" w:lineRule="auto"/>
        <w:ind w:left="17"/>
        <w:jc w:val="left"/>
        <w:rPr>
          <w:color w:val="000000"/>
          <w:sz w:val="24"/>
          <w:szCs w:val="24"/>
        </w:rPr>
      </w:pPr>
      <w:r w:rsidRPr="00274FD9">
        <w:rPr>
          <w:color w:val="000000"/>
          <w:sz w:val="24"/>
          <w:szCs w:val="24"/>
        </w:rPr>
        <w:t>本基金本报告期末未持有权证。</w:t>
      </w:r>
    </w:p>
    <w:p w:rsidR="00275745" w:rsidRPr="003C26D3" w:rsidRDefault="00554594" w:rsidP="003C26D3">
      <w:pPr>
        <w:autoSpaceDE w:val="0"/>
        <w:autoSpaceDN w:val="0"/>
        <w:adjustRightInd w:val="0"/>
        <w:spacing w:before="29" w:line="288" w:lineRule="auto"/>
        <w:jc w:val="left"/>
        <w:rPr>
          <w:b/>
          <w:color w:val="000000"/>
          <w:kern w:val="0"/>
          <w:sz w:val="24"/>
          <w:szCs w:val="24"/>
        </w:rPr>
      </w:pPr>
      <w:r>
        <w:rPr>
          <w:rFonts w:hint="eastAsia"/>
          <w:b/>
          <w:color w:val="000000"/>
          <w:kern w:val="0"/>
          <w:sz w:val="24"/>
          <w:szCs w:val="24"/>
        </w:rPr>
        <w:t>5.1.</w:t>
      </w:r>
      <w:r w:rsidR="00117F2F">
        <w:rPr>
          <w:rFonts w:hint="eastAsia"/>
          <w:b/>
          <w:color w:val="000000"/>
          <w:kern w:val="0"/>
          <w:sz w:val="24"/>
          <w:szCs w:val="24"/>
        </w:rPr>
        <w:t xml:space="preserve">9 </w:t>
      </w:r>
      <w:r w:rsidR="00275745" w:rsidRPr="003C26D3">
        <w:rPr>
          <w:rFonts w:hint="eastAsia"/>
          <w:b/>
          <w:color w:val="000000"/>
          <w:kern w:val="0"/>
          <w:sz w:val="24"/>
          <w:szCs w:val="24"/>
        </w:rPr>
        <w:t>报告期末本基金投资的股指期货交易情况说明</w:t>
      </w:r>
    </w:p>
    <w:p w:rsidR="00275745" w:rsidRPr="00B46334" w:rsidRDefault="00AA3A38" w:rsidP="00274FD9">
      <w:pPr>
        <w:autoSpaceDE w:val="0"/>
        <w:autoSpaceDN w:val="0"/>
        <w:adjustRightInd w:val="0"/>
        <w:spacing w:line="360" w:lineRule="auto"/>
        <w:ind w:left="17"/>
        <w:jc w:val="left"/>
        <w:rPr>
          <w:rFonts w:ascii="宋体" w:hAnsi="宋体" w:cs="STSong-Light"/>
          <w:color w:val="000000"/>
          <w:sz w:val="24"/>
          <w:szCs w:val="24"/>
        </w:rPr>
      </w:pPr>
      <w:r w:rsidRPr="00274FD9">
        <w:rPr>
          <w:color w:val="000000"/>
          <w:sz w:val="24"/>
          <w:szCs w:val="24"/>
        </w:rPr>
        <w:t>本基金本报告期末未投资股指期货。</w:t>
      </w:r>
    </w:p>
    <w:p w:rsidR="00312A9F" w:rsidRPr="00554594" w:rsidRDefault="00554594" w:rsidP="00554594">
      <w:pPr>
        <w:autoSpaceDE w:val="0"/>
        <w:autoSpaceDN w:val="0"/>
        <w:adjustRightInd w:val="0"/>
        <w:spacing w:before="29" w:line="288" w:lineRule="auto"/>
        <w:jc w:val="left"/>
        <w:rPr>
          <w:b/>
          <w:color w:val="000000"/>
          <w:kern w:val="0"/>
          <w:sz w:val="24"/>
          <w:szCs w:val="24"/>
        </w:rPr>
      </w:pPr>
      <w:r w:rsidRPr="00554594">
        <w:rPr>
          <w:b/>
          <w:color w:val="000000"/>
          <w:kern w:val="0"/>
          <w:sz w:val="24"/>
        </w:rPr>
        <w:t>5.1</w:t>
      </w:r>
      <w:r w:rsidRPr="00554594">
        <w:rPr>
          <w:rFonts w:hint="eastAsia"/>
          <w:b/>
          <w:color w:val="000000"/>
          <w:kern w:val="0"/>
          <w:sz w:val="24"/>
        </w:rPr>
        <w:t>.</w:t>
      </w:r>
      <w:r w:rsidRPr="00554594">
        <w:rPr>
          <w:b/>
          <w:bCs/>
          <w:color w:val="000000"/>
          <w:kern w:val="0"/>
          <w:sz w:val="24"/>
        </w:rPr>
        <w:t>10</w:t>
      </w:r>
      <w:r>
        <w:rPr>
          <w:rFonts w:hint="eastAsia"/>
          <w:b/>
          <w:bCs/>
          <w:color w:val="000000"/>
          <w:kern w:val="0"/>
          <w:sz w:val="24"/>
        </w:rPr>
        <w:t xml:space="preserve"> </w:t>
      </w:r>
      <w:r w:rsidR="00312A9F" w:rsidRPr="00554594">
        <w:rPr>
          <w:rFonts w:hint="eastAsia"/>
          <w:b/>
          <w:color w:val="000000"/>
          <w:kern w:val="0"/>
          <w:sz w:val="24"/>
          <w:szCs w:val="24"/>
        </w:rPr>
        <w:t>报告期末本基金投资的国债期货交易情况说明</w:t>
      </w:r>
    </w:p>
    <w:p w:rsidR="00312A9F" w:rsidRPr="00274FD9" w:rsidRDefault="00312A9F" w:rsidP="00274FD9">
      <w:pPr>
        <w:autoSpaceDE w:val="0"/>
        <w:autoSpaceDN w:val="0"/>
        <w:adjustRightInd w:val="0"/>
        <w:spacing w:line="360" w:lineRule="auto"/>
        <w:ind w:left="17"/>
        <w:jc w:val="left"/>
        <w:rPr>
          <w:color w:val="000000"/>
          <w:sz w:val="24"/>
          <w:szCs w:val="24"/>
        </w:rPr>
      </w:pPr>
      <w:r w:rsidRPr="00274FD9">
        <w:rPr>
          <w:color w:val="000000"/>
          <w:sz w:val="24"/>
          <w:szCs w:val="24"/>
        </w:rPr>
        <w:t>本基金本报告期末未投资国债期货。</w:t>
      </w:r>
    </w:p>
    <w:p w:rsidR="004061AC" w:rsidRPr="00CA0CC0" w:rsidRDefault="00CA0CC0" w:rsidP="00CA0CC0">
      <w:pPr>
        <w:autoSpaceDE w:val="0"/>
        <w:autoSpaceDN w:val="0"/>
        <w:adjustRightInd w:val="0"/>
        <w:spacing w:before="29" w:line="288" w:lineRule="auto"/>
        <w:jc w:val="left"/>
        <w:rPr>
          <w:b/>
          <w:color w:val="000000"/>
          <w:kern w:val="0"/>
          <w:sz w:val="24"/>
          <w:szCs w:val="24"/>
        </w:rPr>
      </w:pPr>
      <w:r w:rsidRPr="00CA0CC0">
        <w:rPr>
          <w:rFonts w:hint="eastAsia"/>
          <w:b/>
          <w:color w:val="000000"/>
          <w:kern w:val="0"/>
          <w:sz w:val="24"/>
          <w:szCs w:val="24"/>
        </w:rPr>
        <w:t>5.1.11</w:t>
      </w:r>
      <w:r w:rsidR="003D1DFA">
        <w:rPr>
          <w:rFonts w:hint="eastAsia"/>
          <w:b/>
          <w:color w:val="000000"/>
          <w:kern w:val="0"/>
          <w:sz w:val="24"/>
          <w:szCs w:val="24"/>
        </w:rPr>
        <w:t xml:space="preserve"> </w:t>
      </w:r>
      <w:r w:rsidR="004061AC" w:rsidRPr="00CA0CC0">
        <w:rPr>
          <w:rFonts w:hint="eastAsia"/>
          <w:b/>
          <w:color w:val="000000"/>
          <w:kern w:val="0"/>
          <w:sz w:val="24"/>
          <w:szCs w:val="24"/>
        </w:rPr>
        <w:t>投资组合报告附注</w:t>
      </w:r>
    </w:p>
    <w:p w:rsidR="004061AC" w:rsidRPr="00943F12" w:rsidRDefault="00943F12" w:rsidP="00943F12">
      <w:pPr>
        <w:autoSpaceDE w:val="0"/>
        <w:autoSpaceDN w:val="0"/>
        <w:adjustRightInd w:val="0"/>
        <w:spacing w:line="360" w:lineRule="auto"/>
        <w:jc w:val="left"/>
        <w:rPr>
          <w:color w:val="000000"/>
          <w:sz w:val="24"/>
          <w:szCs w:val="24"/>
        </w:rPr>
      </w:pPr>
      <w:r>
        <w:rPr>
          <w:rFonts w:hint="eastAsia"/>
          <w:color w:val="000000"/>
          <w:sz w:val="24"/>
          <w:szCs w:val="24"/>
        </w:rPr>
        <w:t>5.1.11.1</w:t>
      </w:r>
      <w:r w:rsidR="004061AC" w:rsidRPr="00943F12">
        <w:rPr>
          <w:color w:val="000000"/>
          <w:sz w:val="24"/>
          <w:szCs w:val="24"/>
        </w:rPr>
        <w:t>本基金投资的前十名证券的发行主体本期没有出现被监管部门立案调查，或在报告编制日前一年内受到公开谴责、处罚的情形。</w:t>
      </w:r>
    </w:p>
    <w:p w:rsidR="004061AC" w:rsidRPr="00943F12" w:rsidRDefault="00943F12" w:rsidP="00943F12">
      <w:pPr>
        <w:autoSpaceDE w:val="0"/>
        <w:autoSpaceDN w:val="0"/>
        <w:adjustRightInd w:val="0"/>
        <w:spacing w:line="360" w:lineRule="auto"/>
        <w:ind w:left="15"/>
        <w:jc w:val="left"/>
        <w:rPr>
          <w:color w:val="000000"/>
          <w:sz w:val="24"/>
          <w:szCs w:val="24"/>
        </w:rPr>
      </w:pPr>
      <w:r>
        <w:rPr>
          <w:rFonts w:hint="eastAsia"/>
          <w:color w:val="000000"/>
          <w:sz w:val="24"/>
          <w:szCs w:val="24"/>
        </w:rPr>
        <w:t>5.1.11.2</w:t>
      </w:r>
      <w:r w:rsidR="004061AC" w:rsidRPr="00943F12">
        <w:rPr>
          <w:color w:val="000000"/>
          <w:sz w:val="24"/>
          <w:szCs w:val="24"/>
        </w:rPr>
        <w:t>本基金投资的前十名股票没有超出基金合同规定的备选股票库。</w:t>
      </w:r>
    </w:p>
    <w:p w:rsidR="004061AC" w:rsidRPr="00943F12" w:rsidRDefault="00943F12" w:rsidP="00943F12">
      <w:pPr>
        <w:autoSpaceDE w:val="0"/>
        <w:autoSpaceDN w:val="0"/>
        <w:adjustRightInd w:val="0"/>
        <w:spacing w:line="360" w:lineRule="auto"/>
        <w:ind w:left="15"/>
        <w:jc w:val="left"/>
        <w:rPr>
          <w:rFonts w:cs="Arial"/>
          <w:color w:val="000000"/>
          <w:kern w:val="0"/>
          <w:sz w:val="24"/>
          <w:szCs w:val="24"/>
        </w:rPr>
      </w:pPr>
      <w:r>
        <w:rPr>
          <w:rFonts w:cs="Arial" w:hint="eastAsia"/>
          <w:color w:val="000000"/>
          <w:kern w:val="0"/>
          <w:sz w:val="24"/>
          <w:szCs w:val="24"/>
        </w:rPr>
        <w:t>5.1.11.3</w:t>
      </w:r>
      <w:r w:rsidR="004061AC" w:rsidRPr="00943F12">
        <w:rPr>
          <w:rFonts w:cs="Arial" w:hint="eastAsia"/>
          <w:color w:val="000000"/>
          <w:kern w:val="0"/>
          <w:sz w:val="24"/>
          <w:szCs w:val="24"/>
        </w:rPr>
        <w:t>其他各项资产构成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序号</w:t>
            </w:r>
          </w:p>
        </w:tc>
        <w:tc>
          <w:tcPr>
            <w:tcW w:w="2470"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名称</w:t>
            </w:r>
          </w:p>
        </w:tc>
        <w:tc>
          <w:tcPr>
            <w:tcW w:w="4808"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金额</w:t>
            </w:r>
            <w:r w:rsidRPr="004D493E">
              <w:rPr>
                <w:rFonts w:cs="Arial" w:hint="eastAsia"/>
                <w:color w:val="000000"/>
                <w:sz w:val="24"/>
                <w:szCs w:val="24"/>
              </w:rPr>
              <w:t>(</w:t>
            </w:r>
            <w:r w:rsidRPr="004D493E">
              <w:rPr>
                <w:rFonts w:cs="Arial" w:hint="eastAsia"/>
                <w:color w:val="000000"/>
                <w:sz w:val="24"/>
                <w:szCs w:val="24"/>
              </w:rPr>
              <w:t>元</w:t>
            </w:r>
            <w:r w:rsidRPr="004D493E">
              <w:rPr>
                <w:rFonts w:cs="Arial" w:hint="eastAsia"/>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1</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存出保证金</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379,752.74</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2</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应收证券清算款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9,989,509.99</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3</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应收股利</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4</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应收利息</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2,111,389.06</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5</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应收申购款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30,200.36</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6</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其他应收款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EB2C07" w:rsidRPr="004D493E" w:rsidRDefault="00EB2C07"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7</w:t>
            </w:r>
          </w:p>
        </w:tc>
        <w:tc>
          <w:tcPr>
            <w:tcW w:w="2470" w:type="dxa"/>
            <w:vAlign w:val="center"/>
          </w:tcPr>
          <w:p w:rsidR="00EB2C07" w:rsidRPr="004D493E" w:rsidRDefault="00EB2C07"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待摊费用</w:t>
            </w:r>
          </w:p>
        </w:tc>
        <w:tc>
          <w:tcPr>
            <w:tcW w:w="4808" w:type="dxa"/>
            <w:vAlign w:val="center"/>
          </w:tcPr>
          <w:p w:rsidR="00EB2C07" w:rsidRPr="004D493E" w:rsidRDefault="00EB2C07" w:rsidP="004D493E">
            <w:pPr>
              <w:autoSpaceDE w:val="0"/>
              <w:autoSpaceDN w:val="0"/>
              <w:adjustRightInd w:val="0"/>
              <w:spacing w:before="29" w:line="288" w:lineRule="auto"/>
              <w:ind w:left="15"/>
              <w:jc w:val="right"/>
              <w:rPr>
                <w:rFonts w:cs="Arial"/>
                <w:color w:val="000000"/>
                <w:sz w:val="24"/>
                <w:szCs w:val="24"/>
              </w:rPr>
            </w:pPr>
            <w:r w:rsidRPr="004D493E">
              <w:rPr>
                <w:rFonts w:cs="Arial" w:hint="eastAsia"/>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8</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其他</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lastRenderedPageBreak/>
              <w:t>9</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合计</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12,510,852.15</w:t>
            </w:r>
          </w:p>
        </w:tc>
      </w:tr>
    </w:tbl>
    <w:p w:rsidR="004061AC" w:rsidRPr="00943F12" w:rsidRDefault="00943F12" w:rsidP="00943F12">
      <w:pPr>
        <w:autoSpaceDE w:val="0"/>
        <w:autoSpaceDN w:val="0"/>
        <w:adjustRightInd w:val="0"/>
        <w:spacing w:line="360" w:lineRule="auto"/>
        <w:jc w:val="left"/>
        <w:rPr>
          <w:rFonts w:cs="Arial"/>
          <w:color w:val="000000"/>
          <w:kern w:val="0"/>
          <w:sz w:val="24"/>
          <w:szCs w:val="24"/>
        </w:rPr>
      </w:pPr>
      <w:r>
        <w:rPr>
          <w:rFonts w:cs="Arial" w:hint="eastAsia"/>
          <w:color w:val="000000"/>
          <w:kern w:val="0"/>
          <w:sz w:val="24"/>
          <w:szCs w:val="24"/>
        </w:rPr>
        <w:t>5.1.11.4</w:t>
      </w:r>
      <w:r w:rsidR="004061AC" w:rsidRPr="00943F12">
        <w:rPr>
          <w:rFonts w:cs="Arial" w:hint="eastAsia"/>
          <w:color w:val="000000"/>
          <w:kern w:val="0"/>
          <w:sz w:val="24"/>
          <w:szCs w:val="24"/>
        </w:rPr>
        <w:t>报告期末持有的处于转股期的可转换债券明细</w:t>
      </w:r>
    </w:p>
    <w:p w:rsidR="004061AC" w:rsidRPr="00274FD9" w:rsidRDefault="004061AC" w:rsidP="00274FD9">
      <w:pPr>
        <w:autoSpaceDE w:val="0"/>
        <w:autoSpaceDN w:val="0"/>
        <w:adjustRightInd w:val="0"/>
        <w:spacing w:line="360" w:lineRule="auto"/>
        <w:ind w:left="17"/>
        <w:jc w:val="left"/>
        <w:rPr>
          <w:color w:val="000000"/>
          <w:sz w:val="24"/>
          <w:szCs w:val="24"/>
        </w:rPr>
      </w:pPr>
      <w:r w:rsidRPr="00274FD9">
        <w:rPr>
          <w:color w:val="000000"/>
          <w:sz w:val="24"/>
          <w:szCs w:val="24"/>
        </w:rPr>
        <w:t>本基金本报告期末未持有处于转股期的可转换债券。</w:t>
      </w:r>
    </w:p>
    <w:p w:rsidR="004061AC" w:rsidRPr="00943F12" w:rsidRDefault="00943F12" w:rsidP="00943F12">
      <w:pPr>
        <w:autoSpaceDE w:val="0"/>
        <w:autoSpaceDN w:val="0"/>
        <w:adjustRightInd w:val="0"/>
        <w:spacing w:line="360" w:lineRule="auto"/>
        <w:jc w:val="left"/>
        <w:rPr>
          <w:rFonts w:cs="Arial"/>
          <w:color w:val="000000"/>
          <w:kern w:val="0"/>
          <w:sz w:val="24"/>
          <w:szCs w:val="24"/>
        </w:rPr>
      </w:pPr>
      <w:r w:rsidRPr="00943F12">
        <w:rPr>
          <w:rFonts w:cs="Arial" w:hint="eastAsia"/>
          <w:color w:val="000000"/>
          <w:kern w:val="0"/>
          <w:sz w:val="24"/>
          <w:szCs w:val="24"/>
        </w:rPr>
        <w:t>5.1</w:t>
      </w:r>
      <w:r>
        <w:rPr>
          <w:rFonts w:cs="Arial" w:hint="eastAsia"/>
          <w:color w:val="000000"/>
          <w:kern w:val="0"/>
          <w:sz w:val="24"/>
          <w:szCs w:val="24"/>
        </w:rPr>
        <w:t>.11.5</w:t>
      </w:r>
      <w:r w:rsidR="004061AC" w:rsidRPr="00943F12">
        <w:rPr>
          <w:rFonts w:cs="Arial" w:hint="eastAsia"/>
          <w:color w:val="000000"/>
          <w:kern w:val="0"/>
          <w:sz w:val="24"/>
          <w:szCs w:val="24"/>
        </w:rPr>
        <w:t>报告</w:t>
      </w:r>
      <w:proofErr w:type="gramStart"/>
      <w:r w:rsidR="004061AC" w:rsidRPr="00943F12">
        <w:rPr>
          <w:rFonts w:cs="Arial" w:hint="eastAsia"/>
          <w:color w:val="000000"/>
          <w:kern w:val="0"/>
          <w:sz w:val="24"/>
          <w:szCs w:val="24"/>
        </w:rPr>
        <w:t>期末前</w:t>
      </w:r>
      <w:proofErr w:type="gramEnd"/>
      <w:r w:rsidR="004061AC" w:rsidRPr="00943F12">
        <w:rPr>
          <w:rFonts w:cs="Arial" w:hint="eastAsia"/>
          <w:color w:val="000000"/>
          <w:kern w:val="0"/>
          <w:sz w:val="24"/>
          <w:szCs w:val="24"/>
        </w:rPr>
        <w:t>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220C32" w:rsidTr="00BD7703">
        <w:tc>
          <w:tcPr>
            <w:tcW w:w="1083"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序号</w:t>
            </w:r>
          </w:p>
        </w:tc>
        <w:tc>
          <w:tcPr>
            <w:tcW w:w="1302"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股票代码</w:t>
            </w:r>
          </w:p>
        </w:tc>
        <w:tc>
          <w:tcPr>
            <w:tcW w:w="1301"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股票名称</w:t>
            </w:r>
          </w:p>
        </w:tc>
        <w:tc>
          <w:tcPr>
            <w:tcW w:w="1805"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流通受限部分的公允价值</w:t>
            </w:r>
            <w:r w:rsidRPr="004D493E">
              <w:rPr>
                <w:rFonts w:cs="Arial"/>
                <w:color w:val="000000"/>
                <w:sz w:val="24"/>
                <w:szCs w:val="24"/>
              </w:rPr>
              <w:t>(</w:t>
            </w:r>
            <w:r w:rsidRPr="004D493E">
              <w:rPr>
                <w:rFonts w:cs="Arial" w:hint="eastAsia"/>
                <w:color w:val="000000"/>
                <w:sz w:val="24"/>
                <w:szCs w:val="24"/>
              </w:rPr>
              <w:t>元</w:t>
            </w:r>
            <w:r w:rsidRPr="004D493E">
              <w:rPr>
                <w:rFonts w:cs="Arial"/>
                <w:color w:val="000000"/>
                <w:sz w:val="24"/>
                <w:szCs w:val="24"/>
              </w:rPr>
              <w:t>)</w:t>
            </w:r>
          </w:p>
        </w:tc>
        <w:tc>
          <w:tcPr>
            <w:tcW w:w="1655"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占基金资产净值比例</w:t>
            </w:r>
            <w:r w:rsidRPr="004D493E">
              <w:rPr>
                <w:rFonts w:cs="Arial"/>
                <w:color w:val="000000"/>
                <w:sz w:val="24"/>
                <w:szCs w:val="24"/>
              </w:rPr>
              <w:t>(%)</w:t>
            </w:r>
          </w:p>
        </w:tc>
        <w:tc>
          <w:tcPr>
            <w:tcW w:w="1367" w:type="dxa"/>
            <w:vAlign w:val="center"/>
          </w:tcPr>
          <w:p w:rsidR="003E62FB" w:rsidRPr="004D493E" w:rsidRDefault="003E62FB"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流通受限情况说明</w:t>
            </w:r>
          </w:p>
        </w:tc>
      </w:tr>
      <w:tr w:rsidR="0099261D">
        <w:tc>
          <w:tcPr>
            <w:tcW w:w="1083" w:type="dxa"/>
            <w:vAlign w:val="center"/>
          </w:tcPr>
          <w:p w:rsidR="0099261D" w:rsidRDefault="001E0F38">
            <w:pPr>
              <w:jc w:val="center"/>
            </w:pPr>
            <w:r>
              <w:rPr>
                <w:rFonts w:cs="Arial"/>
                <w:color w:val="000000"/>
                <w:sz w:val="24"/>
                <w:szCs w:val="24"/>
              </w:rPr>
              <w:t>1</w:t>
            </w:r>
          </w:p>
        </w:tc>
        <w:tc>
          <w:tcPr>
            <w:tcW w:w="1302" w:type="dxa"/>
            <w:vAlign w:val="center"/>
          </w:tcPr>
          <w:p w:rsidR="0099261D" w:rsidRDefault="001E0F38">
            <w:pPr>
              <w:jc w:val="center"/>
            </w:pPr>
            <w:r>
              <w:rPr>
                <w:rFonts w:cs="Arial"/>
                <w:color w:val="000000"/>
                <w:sz w:val="24"/>
                <w:szCs w:val="24"/>
              </w:rPr>
              <w:t>300223</w:t>
            </w:r>
          </w:p>
        </w:tc>
        <w:tc>
          <w:tcPr>
            <w:tcW w:w="1301" w:type="dxa"/>
            <w:vAlign w:val="center"/>
          </w:tcPr>
          <w:p w:rsidR="0099261D" w:rsidRDefault="001E0F38">
            <w:pPr>
              <w:jc w:val="center"/>
            </w:pPr>
            <w:r>
              <w:rPr>
                <w:rFonts w:cs="Arial"/>
                <w:color w:val="000000"/>
                <w:sz w:val="24"/>
                <w:szCs w:val="24"/>
              </w:rPr>
              <w:t>北京君正</w:t>
            </w:r>
          </w:p>
        </w:tc>
        <w:tc>
          <w:tcPr>
            <w:tcW w:w="1805" w:type="dxa"/>
            <w:vAlign w:val="center"/>
          </w:tcPr>
          <w:p w:rsidR="0099261D" w:rsidRDefault="001E0F38">
            <w:pPr>
              <w:jc w:val="right"/>
            </w:pPr>
            <w:r>
              <w:rPr>
                <w:rFonts w:cs="Arial"/>
                <w:color w:val="000000"/>
                <w:sz w:val="24"/>
                <w:szCs w:val="24"/>
              </w:rPr>
              <w:t>40,310,375.60</w:t>
            </w:r>
          </w:p>
        </w:tc>
        <w:tc>
          <w:tcPr>
            <w:tcW w:w="1655" w:type="dxa"/>
            <w:vAlign w:val="center"/>
          </w:tcPr>
          <w:p w:rsidR="0099261D" w:rsidRDefault="001E0F38">
            <w:pPr>
              <w:jc w:val="right"/>
            </w:pPr>
            <w:r>
              <w:rPr>
                <w:rFonts w:cs="Arial"/>
                <w:color w:val="000000"/>
                <w:sz w:val="24"/>
                <w:szCs w:val="24"/>
              </w:rPr>
              <w:t>3.04</w:t>
            </w:r>
          </w:p>
        </w:tc>
        <w:tc>
          <w:tcPr>
            <w:tcW w:w="1367" w:type="dxa"/>
            <w:vAlign w:val="center"/>
          </w:tcPr>
          <w:p w:rsidR="0099261D" w:rsidRDefault="001E0F38">
            <w:pPr>
              <w:jc w:val="right"/>
            </w:pPr>
            <w:r>
              <w:rPr>
                <w:rFonts w:cs="Arial"/>
                <w:color w:val="000000"/>
                <w:sz w:val="24"/>
                <w:szCs w:val="24"/>
              </w:rPr>
              <w:t>重大事项停牌</w:t>
            </w:r>
          </w:p>
        </w:tc>
      </w:tr>
    </w:tbl>
    <w:p w:rsidR="00937387" w:rsidRPr="00C427F1" w:rsidRDefault="00937387" w:rsidP="00993314">
      <w:pPr>
        <w:pStyle w:val="2"/>
        <w:spacing w:beforeLines="100" w:after="0"/>
        <w:rPr>
          <w:rFonts w:ascii="Times New Roman" w:hAnsi="Times New Roman" w:cs="Times New Roman"/>
          <w:b w:val="0"/>
          <w:color w:val="000000"/>
          <w:kern w:val="0"/>
        </w:rPr>
      </w:pPr>
      <w:r w:rsidRPr="00C427F1">
        <w:rPr>
          <w:rFonts w:ascii="Times New Roman" w:hAnsi="Times New Roman" w:cs="Times New Roman"/>
          <w:color w:val="000000"/>
          <w:kern w:val="0"/>
        </w:rPr>
        <w:t xml:space="preserve">5.2 </w:t>
      </w:r>
      <w:r w:rsidRPr="00C427F1">
        <w:rPr>
          <w:rFonts w:ascii="Times New Roman" w:hAnsi="Times New Roman" w:cs="Times New Roman"/>
          <w:color w:val="000000"/>
          <w:kern w:val="0"/>
        </w:rPr>
        <w:t>科瑞证券投资基金</w:t>
      </w:r>
    </w:p>
    <w:p w:rsidR="00937387" w:rsidRPr="00C427F1" w:rsidRDefault="00937387" w:rsidP="00937387">
      <w:pPr>
        <w:autoSpaceDE w:val="0"/>
        <w:autoSpaceDN w:val="0"/>
        <w:adjustRightInd w:val="0"/>
        <w:spacing w:before="29" w:line="288" w:lineRule="auto"/>
        <w:ind w:left="15"/>
        <w:jc w:val="left"/>
        <w:rPr>
          <w:b/>
          <w:color w:val="000000"/>
          <w:kern w:val="0"/>
          <w:sz w:val="24"/>
          <w:szCs w:val="24"/>
        </w:rPr>
      </w:pPr>
      <w:r w:rsidRPr="00C427F1">
        <w:rPr>
          <w:b/>
          <w:color w:val="000000"/>
          <w:kern w:val="0"/>
          <w:sz w:val="24"/>
          <w:szCs w:val="24"/>
        </w:rPr>
        <w:t>（报告期：</w:t>
      </w:r>
      <w:r w:rsidRPr="00C427F1">
        <w:rPr>
          <w:b/>
          <w:color w:val="000000"/>
          <w:kern w:val="0"/>
          <w:sz w:val="24"/>
          <w:szCs w:val="24"/>
        </w:rPr>
        <w:t>2017</w:t>
      </w:r>
      <w:r w:rsidRPr="00C427F1">
        <w:rPr>
          <w:b/>
          <w:color w:val="000000"/>
          <w:kern w:val="0"/>
          <w:sz w:val="24"/>
          <w:szCs w:val="24"/>
        </w:rPr>
        <w:t>年</w:t>
      </w:r>
      <w:r w:rsidRPr="00C427F1">
        <w:rPr>
          <w:b/>
          <w:color w:val="000000"/>
          <w:kern w:val="0"/>
          <w:sz w:val="24"/>
          <w:szCs w:val="24"/>
        </w:rPr>
        <w:t>1</w:t>
      </w:r>
      <w:r w:rsidRPr="00C427F1">
        <w:rPr>
          <w:b/>
          <w:color w:val="000000"/>
          <w:kern w:val="0"/>
          <w:sz w:val="24"/>
          <w:szCs w:val="24"/>
        </w:rPr>
        <w:t>月</w:t>
      </w:r>
      <w:r w:rsidRPr="00C427F1">
        <w:rPr>
          <w:b/>
          <w:color w:val="000000"/>
          <w:kern w:val="0"/>
          <w:sz w:val="24"/>
          <w:szCs w:val="24"/>
        </w:rPr>
        <w:t>1</w:t>
      </w:r>
      <w:r w:rsidRPr="00C427F1">
        <w:rPr>
          <w:b/>
          <w:color w:val="000000"/>
          <w:kern w:val="0"/>
          <w:sz w:val="24"/>
          <w:szCs w:val="24"/>
        </w:rPr>
        <w:t>日</w:t>
      </w:r>
      <w:r w:rsidRPr="00C427F1">
        <w:rPr>
          <w:b/>
          <w:color w:val="000000"/>
          <w:kern w:val="0"/>
          <w:sz w:val="24"/>
          <w:szCs w:val="24"/>
        </w:rPr>
        <w:t>-2017</w:t>
      </w:r>
      <w:r w:rsidRPr="00C427F1">
        <w:rPr>
          <w:b/>
          <w:color w:val="000000"/>
          <w:kern w:val="0"/>
          <w:sz w:val="24"/>
          <w:szCs w:val="24"/>
        </w:rPr>
        <w:t>年</w:t>
      </w:r>
      <w:r w:rsidRPr="00C427F1">
        <w:rPr>
          <w:b/>
          <w:color w:val="000000"/>
          <w:kern w:val="0"/>
          <w:sz w:val="24"/>
          <w:szCs w:val="24"/>
        </w:rPr>
        <w:t>1</w:t>
      </w:r>
      <w:r w:rsidRPr="00C427F1">
        <w:rPr>
          <w:b/>
          <w:color w:val="000000"/>
          <w:kern w:val="0"/>
          <w:sz w:val="24"/>
          <w:szCs w:val="24"/>
        </w:rPr>
        <w:t>月</w:t>
      </w:r>
      <w:r w:rsidRPr="00C427F1">
        <w:rPr>
          <w:b/>
          <w:color w:val="000000"/>
          <w:kern w:val="0"/>
          <w:sz w:val="24"/>
          <w:szCs w:val="24"/>
        </w:rPr>
        <w:t>2</w:t>
      </w:r>
      <w:r w:rsidRPr="00C427F1">
        <w:rPr>
          <w:b/>
          <w:color w:val="000000"/>
          <w:kern w:val="0"/>
          <w:sz w:val="24"/>
          <w:szCs w:val="24"/>
        </w:rPr>
        <w:t>日）</w:t>
      </w:r>
    </w:p>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5.2.1</w:t>
      </w:r>
      <w:r w:rsidR="00CA0CC0" w:rsidRPr="00843986">
        <w:rPr>
          <w:rFonts w:hint="eastAsia"/>
          <w:b/>
          <w:color w:val="000000"/>
          <w:kern w:val="0"/>
          <w:sz w:val="24"/>
          <w:szCs w:val="24"/>
        </w:rPr>
        <w:t xml:space="preserve"> </w:t>
      </w:r>
      <w:r w:rsidR="00937387" w:rsidRPr="00843986">
        <w:rPr>
          <w:b/>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335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项目</w:t>
            </w:r>
          </w:p>
        </w:tc>
        <w:tc>
          <w:tcPr>
            <w:tcW w:w="297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金额</w:t>
            </w:r>
            <w:r w:rsidRPr="002C4B83">
              <w:rPr>
                <w:rFonts w:cs="Arial" w:hint="eastAsia"/>
                <w:color w:val="000000"/>
                <w:sz w:val="24"/>
                <w:szCs w:val="24"/>
              </w:rPr>
              <w:t>(</w:t>
            </w:r>
            <w:r w:rsidRPr="002C4B83">
              <w:rPr>
                <w:rFonts w:cs="Arial" w:hint="eastAsia"/>
                <w:color w:val="000000"/>
                <w:sz w:val="24"/>
                <w:szCs w:val="24"/>
              </w:rPr>
              <w:t>元</w:t>
            </w: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占基金总资产的比例</w:t>
            </w:r>
            <w:r w:rsidRPr="002C4B83">
              <w:rPr>
                <w:rFonts w:cs="Arial" w:hint="eastAsia"/>
                <w:color w:val="000000"/>
                <w:sz w:val="24"/>
                <w:szCs w:val="24"/>
              </w:rPr>
              <w:t>(</w:t>
            </w:r>
            <w:r w:rsidRPr="002C4B83">
              <w:rPr>
                <w:rFonts w:cs="Arial"/>
                <w:color w:val="000000"/>
                <w:sz w:val="24"/>
                <w:szCs w:val="24"/>
              </w:rPr>
              <w:t>%</w:t>
            </w: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1</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权益投资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1,712,131,464.20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66.50</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其中：股票</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1,712,131,464.20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66.50</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2</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固定收益投资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545,775,040.00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21.20</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其中：债券</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545,775,040.00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21.20</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firstLineChars="250" w:firstLine="600"/>
              <w:jc w:val="left"/>
              <w:rPr>
                <w:rFonts w:cs="Arial"/>
                <w:color w:val="000000"/>
                <w:sz w:val="24"/>
                <w:szCs w:val="24"/>
              </w:rPr>
            </w:pPr>
            <w:r w:rsidRPr="002C4B83">
              <w:rPr>
                <w:rFonts w:cs="Arial" w:hint="eastAsia"/>
                <w:color w:val="000000"/>
                <w:sz w:val="24"/>
                <w:szCs w:val="24"/>
              </w:rPr>
              <w:t>资产支持证券</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3</w:t>
            </w:r>
          </w:p>
        </w:tc>
        <w:tc>
          <w:tcPr>
            <w:tcW w:w="3357" w:type="dxa"/>
          </w:tcPr>
          <w:p w:rsidR="00937387" w:rsidRPr="002C4B83" w:rsidRDefault="00937387" w:rsidP="002C4B83">
            <w:pPr>
              <w:autoSpaceDE w:val="0"/>
              <w:autoSpaceDN w:val="0"/>
              <w:adjustRightInd w:val="0"/>
              <w:spacing w:before="29" w:line="288" w:lineRule="auto"/>
              <w:ind w:leftChars="50" w:left="105"/>
              <w:rPr>
                <w:rFonts w:cs="Arial"/>
                <w:color w:val="000000"/>
                <w:sz w:val="24"/>
                <w:szCs w:val="24"/>
              </w:rPr>
            </w:pPr>
            <w:r w:rsidRPr="002C4B83">
              <w:rPr>
                <w:rFonts w:cs="Arial" w:hint="eastAsia"/>
                <w:color w:val="000000"/>
                <w:sz w:val="24"/>
                <w:szCs w:val="24"/>
              </w:rPr>
              <w:t>贵金属投资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4</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金融衍生</w:t>
            </w:r>
            <w:proofErr w:type="gramStart"/>
            <w:r w:rsidRPr="002C4B83">
              <w:rPr>
                <w:rFonts w:cs="Arial" w:hint="eastAsia"/>
                <w:color w:val="000000"/>
                <w:sz w:val="24"/>
                <w:szCs w:val="24"/>
              </w:rPr>
              <w:t>品投资</w:t>
            </w:r>
            <w:proofErr w:type="gramEnd"/>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5</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买入返售金融资产</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199,975,499.96</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7.77</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其中：买断式回购的买入返售金融资产</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6</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银行存款和结算备付金合计</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96,221,584.53</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3.74</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7</w:t>
            </w:r>
          </w:p>
        </w:tc>
        <w:tc>
          <w:tcPr>
            <w:tcW w:w="3357" w:type="dxa"/>
            <w:vAlign w:val="center"/>
          </w:tcPr>
          <w:p w:rsidR="00937387" w:rsidRPr="002C4B83" w:rsidRDefault="00943F12" w:rsidP="002C4B83">
            <w:pPr>
              <w:autoSpaceDE w:val="0"/>
              <w:autoSpaceDN w:val="0"/>
              <w:adjustRightInd w:val="0"/>
              <w:spacing w:line="288" w:lineRule="auto"/>
              <w:ind w:left="15"/>
              <w:jc w:val="left"/>
              <w:rPr>
                <w:rFonts w:cs="Arial"/>
                <w:color w:val="000000"/>
                <w:sz w:val="24"/>
                <w:szCs w:val="24"/>
              </w:rPr>
            </w:pPr>
            <w:r>
              <w:rPr>
                <w:rFonts w:cs="Arial" w:hint="eastAsia"/>
                <w:color w:val="000000"/>
                <w:sz w:val="24"/>
                <w:szCs w:val="24"/>
              </w:rPr>
              <w:t>其他</w:t>
            </w:r>
            <w:r w:rsidR="00937387" w:rsidRPr="002C4B83">
              <w:rPr>
                <w:rFonts w:cs="Arial" w:hint="eastAsia"/>
                <w:color w:val="000000"/>
                <w:sz w:val="24"/>
                <w:szCs w:val="24"/>
              </w:rPr>
              <w:t>资产</w:t>
            </w:r>
          </w:p>
        </w:tc>
        <w:tc>
          <w:tcPr>
            <w:tcW w:w="2977"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20,667,966.47</w:t>
            </w:r>
          </w:p>
        </w:tc>
        <w:tc>
          <w:tcPr>
            <w:tcW w:w="1843"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0.80</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8</w:t>
            </w:r>
          </w:p>
        </w:tc>
        <w:tc>
          <w:tcPr>
            <w:tcW w:w="3357" w:type="dxa"/>
            <w:vAlign w:val="center"/>
          </w:tcPr>
          <w:p w:rsidR="00937387" w:rsidRPr="002C4B83" w:rsidRDefault="00937387" w:rsidP="002C4B83">
            <w:pPr>
              <w:autoSpaceDE w:val="0"/>
              <w:autoSpaceDN w:val="0"/>
              <w:adjustRightInd w:val="0"/>
              <w:spacing w:line="288" w:lineRule="auto"/>
              <w:ind w:left="15"/>
              <w:jc w:val="left"/>
              <w:rPr>
                <w:rFonts w:cs="Arial"/>
                <w:color w:val="000000"/>
                <w:sz w:val="24"/>
                <w:szCs w:val="24"/>
              </w:rPr>
            </w:pPr>
            <w:r w:rsidRPr="002C4B83">
              <w:rPr>
                <w:rFonts w:cs="Arial" w:hint="eastAsia"/>
                <w:color w:val="000000"/>
                <w:sz w:val="24"/>
                <w:szCs w:val="24"/>
              </w:rPr>
              <w:t>合计</w:t>
            </w:r>
          </w:p>
        </w:tc>
        <w:tc>
          <w:tcPr>
            <w:tcW w:w="2977"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2,574,771,555.16</w:t>
            </w:r>
          </w:p>
        </w:tc>
        <w:tc>
          <w:tcPr>
            <w:tcW w:w="1843"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100.00</w:t>
            </w:r>
          </w:p>
        </w:tc>
      </w:tr>
    </w:tbl>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5.2.2</w:t>
      </w:r>
      <w:r w:rsidR="00CA0CC0" w:rsidRPr="00843986">
        <w:rPr>
          <w:rFonts w:hint="eastAsia"/>
          <w:b/>
          <w:color w:val="000000"/>
          <w:kern w:val="0"/>
          <w:sz w:val="24"/>
          <w:szCs w:val="24"/>
        </w:rPr>
        <w:t xml:space="preserve"> </w:t>
      </w:r>
      <w:r w:rsidR="00937387" w:rsidRPr="00843986">
        <w:rPr>
          <w:b/>
          <w:color w:val="000000"/>
          <w:kern w:val="0"/>
          <w:sz w:val="24"/>
          <w:szCs w:val="24"/>
        </w:rPr>
        <w:t>报告期末按行业分类的股票投资组合</w:t>
      </w:r>
    </w:p>
    <w:p w:rsidR="007E1F08" w:rsidRPr="00943F12" w:rsidRDefault="00943F12" w:rsidP="00943F12">
      <w:pPr>
        <w:autoSpaceDE w:val="0"/>
        <w:autoSpaceDN w:val="0"/>
        <w:adjustRightInd w:val="0"/>
        <w:spacing w:line="360" w:lineRule="auto"/>
        <w:jc w:val="left"/>
        <w:rPr>
          <w:rFonts w:eastAsiaTheme="minorEastAsia"/>
          <w:b/>
          <w:color w:val="000000"/>
          <w:kern w:val="0"/>
          <w:sz w:val="24"/>
          <w:szCs w:val="24"/>
        </w:rPr>
      </w:pPr>
      <w:r>
        <w:rPr>
          <w:rFonts w:hint="eastAsia"/>
          <w:b/>
          <w:color w:val="000000" w:themeColor="text1"/>
          <w:sz w:val="24"/>
          <w:szCs w:val="24"/>
        </w:rPr>
        <w:t>5.2.2.1</w:t>
      </w:r>
      <w:r w:rsidR="007E1F08" w:rsidRPr="00943F12">
        <w:rPr>
          <w:rFonts w:eastAsiaTheme="minorEastAsia"/>
          <w:b/>
          <w:color w:val="000000" w:themeColor="text1"/>
          <w:kern w:val="0"/>
          <w:sz w:val="24"/>
          <w:szCs w:val="24"/>
        </w:rPr>
        <w:t>报告期末按行业分类的境内股票投资组合</w:t>
      </w:r>
    </w:p>
    <w:tbl>
      <w:tblPr>
        <w:tblW w:w="8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4128"/>
        <w:gridCol w:w="2551"/>
        <w:gridCol w:w="1638"/>
      </w:tblGrid>
      <w:tr w:rsidR="00937387" w:rsidRPr="00220C32" w:rsidTr="00B946BD">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代码</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行业类别</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占基金资产净值比例（％）</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A</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农、林、牧、渔业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adjustRightInd w:val="0"/>
              <w:spacing w:before="29" w:line="288" w:lineRule="auto"/>
              <w:ind w:left="15"/>
              <w:jc w:val="right"/>
              <w:rPr>
                <w:rFonts w:cs="Arial"/>
                <w:color w:val="000000"/>
                <w:kern w:val="0"/>
                <w:sz w:val="24"/>
                <w:szCs w:val="24"/>
              </w:rPr>
            </w:pPr>
            <w:r w:rsidRPr="002C4B83">
              <w:rPr>
                <w:rFonts w:cs="Arial"/>
                <w:color w:val="000000"/>
                <w:kern w:val="0"/>
                <w:sz w:val="24"/>
                <w:szCs w:val="24"/>
              </w:rPr>
              <w:t>35,066,179.78</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right"/>
              <w:rPr>
                <w:rFonts w:cs="Arial"/>
                <w:color w:val="000000"/>
                <w:kern w:val="0"/>
                <w:sz w:val="24"/>
                <w:szCs w:val="24"/>
              </w:rPr>
            </w:pPr>
            <w:r w:rsidRPr="002C4B83">
              <w:rPr>
                <w:rFonts w:cs="Arial"/>
                <w:color w:val="000000"/>
                <w:kern w:val="0"/>
                <w:sz w:val="24"/>
                <w:szCs w:val="24"/>
              </w:rPr>
              <w:t>1.37</w:t>
            </w:r>
          </w:p>
        </w:tc>
      </w:tr>
      <w:tr w:rsidR="00937387" w:rsidRPr="0094026A"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lastRenderedPageBreak/>
              <w:t>B</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94026A">
            <w:pPr>
              <w:autoSpaceDE w:val="0"/>
              <w:autoSpaceDN w:val="0"/>
              <w:adjustRightInd w:val="0"/>
              <w:spacing w:before="29" w:line="288" w:lineRule="auto"/>
              <w:ind w:left="15"/>
              <w:jc w:val="left"/>
              <w:rPr>
                <w:rFonts w:cs="Arial"/>
                <w:color w:val="000000"/>
                <w:kern w:val="0"/>
                <w:sz w:val="24"/>
                <w:szCs w:val="24"/>
              </w:rPr>
            </w:pPr>
            <w:r w:rsidRPr="002C4B83">
              <w:rPr>
                <w:rFonts w:cs="Arial" w:hint="eastAsia"/>
                <w:color w:val="000000"/>
                <w:kern w:val="0"/>
                <w:sz w:val="24"/>
                <w:szCs w:val="24"/>
              </w:rPr>
              <w:t>采矿业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B946BD">
            <w:pPr>
              <w:autoSpaceDE w:val="0"/>
              <w:autoSpaceDN w:val="0"/>
              <w:adjustRightInd w:val="0"/>
              <w:spacing w:before="29" w:line="288" w:lineRule="auto"/>
              <w:ind w:left="15"/>
              <w:jc w:val="right"/>
              <w:rPr>
                <w:rFonts w:cs="Arial"/>
                <w:color w:val="000000"/>
                <w:kern w:val="0"/>
                <w:sz w:val="24"/>
                <w:szCs w:val="24"/>
              </w:rPr>
            </w:pPr>
            <w:r w:rsidRPr="002C4B83">
              <w:rPr>
                <w:rFonts w:cs="Arial" w:hint="eastAsia"/>
                <w:color w:val="000000"/>
                <w:kern w:val="0"/>
                <w:sz w:val="24"/>
                <w:szCs w:val="24"/>
              </w:rPr>
              <w:t>85,132,888.73</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B946BD">
            <w:pPr>
              <w:autoSpaceDE w:val="0"/>
              <w:autoSpaceDN w:val="0"/>
              <w:adjustRightInd w:val="0"/>
              <w:spacing w:before="29" w:line="288" w:lineRule="auto"/>
              <w:ind w:left="15"/>
              <w:jc w:val="right"/>
              <w:rPr>
                <w:rFonts w:cs="Arial"/>
                <w:color w:val="000000"/>
                <w:kern w:val="0"/>
                <w:sz w:val="24"/>
                <w:szCs w:val="24"/>
              </w:rPr>
            </w:pPr>
            <w:r w:rsidRPr="002C4B83">
              <w:rPr>
                <w:rFonts w:cs="Arial" w:hint="eastAsia"/>
                <w:color w:val="000000"/>
                <w:kern w:val="0"/>
                <w:sz w:val="24"/>
                <w:szCs w:val="24"/>
              </w:rPr>
              <w:t>3.32</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C</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制造业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hint="eastAsia"/>
                <w:color w:val="000000"/>
                <w:kern w:val="0"/>
                <w:sz w:val="24"/>
                <w:szCs w:val="24"/>
              </w:rPr>
              <w:t>1,134,343,494.72</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hint="eastAsia"/>
                <w:color w:val="000000"/>
                <w:kern w:val="0"/>
                <w:sz w:val="24"/>
                <w:szCs w:val="24"/>
              </w:rPr>
              <w:t>44.27</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D</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电力、热力、燃气及水生产和供应业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hint="eastAsia"/>
                <w:color w:val="000000"/>
                <w:kern w:val="0"/>
                <w:sz w:val="24"/>
                <w:szCs w:val="24"/>
              </w:rPr>
              <w:t>6,872,000.00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0.27</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E</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建筑业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16,468,400.00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0.64</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F</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批发和零售业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82,175,423.94</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3.21</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G</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交通运输、仓储和邮政业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11,200,000.00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0.44</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H</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住宿和餐饮业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I</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B946BD">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信息传输、软件和信息技术服务业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172,326,167.00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6.73</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J</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金融业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78,375,000.00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3.06</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K</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房地产业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73,683,800.00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2.88</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L</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租赁和商务服务业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10,340,000.00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0.40</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M</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科学研究和技术服务业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59,895.03</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0.00</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N</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水利、环境和公共设施管理业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O</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居民服务、修理和其他服务业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P</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教育</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Q</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卫生和社会工作</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R</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文化、体育和娱乐业</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6,088,215.00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0.24</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r w:rsidRPr="002C4B83">
              <w:rPr>
                <w:rFonts w:cs="Arial" w:hint="eastAsia"/>
                <w:color w:val="000000"/>
                <w:kern w:val="0"/>
                <w:sz w:val="24"/>
                <w:szCs w:val="24"/>
              </w:rPr>
              <w:t>S</w:t>
            </w: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综合</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w:t>
            </w:r>
          </w:p>
        </w:tc>
      </w:tr>
      <w:tr w:rsidR="00937387" w:rsidRPr="00220C32" w:rsidTr="00B946BD">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jc w:val="center"/>
              <w:rPr>
                <w:rFonts w:cs="Arial"/>
                <w:color w:val="000000"/>
                <w:kern w:val="0"/>
                <w:sz w:val="24"/>
                <w:szCs w:val="24"/>
              </w:rPr>
            </w:pPr>
          </w:p>
        </w:tc>
        <w:tc>
          <w:tcPr>
            <w:tcW w:w="412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37387" w:rsidRPr="002C4B83" w:rsidRDefault="00937387" w:rsidP="002C4B83">
            <w:pPr>
              <w:autoSpaceDE w:val="0"/>
              <w:autoSpaceDN w:val="0"/>
              <w:adjustRightInd w:val="0"/>
              <w:spacing w:before="29" w:line="288" w:lineRule="auto"/>
              <w:ind w:left="15"/>
              <w:rPr>
                <w:rFonts w:cs="Arial"/>
                <w:color w:val="000000"/>
                <w:kern w:val="0"/>
                <w:sz w:val="24"/>
                <w:szCs w:val="24"/>
              </w:rPr>
            </w:pPr>
            <w:r w:rsidRPr="002C4B83">
              <w:rPr>
                <w:rFonts w:cs="Arial" w:hint="eastAsia"/>
                <w:color w:val="000000"/>
                <w:kern w:val="0"/>
                <w:sz w:val="24"/>
                <w:szCs w:val="24"/>
              </w:rPr>
              <w:t>合计</w:t>
            </w:r>
          </w:p>
        </w:tc>
        <w:tc>
          <w:tcPr>
            <w:tcW w:w="2551" w:type="dxa"/>
            <w:tcBorders>
              <w:top w:val="single" w:sz="4" w:space="0" w:color="000000"/>
              <w:left w:val="single" w:sz="4" w:space="0" w:color="auto"/>
              <w:bottom w:val="single" w:sz="4" w:space="0" w:color="000000"/>
              <w:right w:val="single" w:sz="4" w:space="0" w:color="000000"/>
            </w:tcBorders>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1,712,131,464.20</w:t>
            </w:r>
          </w:p>
        </w:tc>
        <w:tc>
          <w:tcPr>
            <w:tcW w:w="16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37387" w:rsidRPr="002C4B83" w:rsidRDefault="00937387" w:rsidP="002C4B83">
            <w:pPr>
              <w:autoSpaceDE w:val="0"/>
              <w:autoSpaceDN w:val="0"/>
              <w:spacing w:before="29" w:line="288" w:lineRule="auto"/>
              <w:ind w:left="15"/>
              <w:jc w:val="right"/>
              <w:rPr>
                <w:rFonts w:cs="Arial"/>
                <w:color w:val="000000"/>
                <w:kern w:val="0"/>
                <w:sz w:val="24"/>
                <w:szCs w:val="24"/>
              </w:rPr>
            </w:pPr>
            <w:r w:rsidRPr="002C4B83">
              <w:rPr>
                <w:rFonts w:cs="Arial"/>
                <w:color w:val="000000"/>
                <w:kern w:val="0"/>
                <w:sz w:val="24"/>
                <w:szCs w:val="24"/>
              </w:rPr>
              <w:t>66.83</w:t>
            </w:r>
          </w:p>
        </w:tc>
      </w:tr>
    </w:tbl>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 xml:space="preserve">5.2.3 </w:t>
      </w:r>
      <w:r w:rsidR="00937387" w:rsidRPr="00843986">
        <w:rPr>
          <w:rFonts w:hint="eastAsia"/>
          <w:b/>
          <w:color w:val="000000"/>
          <w:kern w:val="0"/>
          <w:sz w:val="24"/>
          <w:szCs w:val="24"/>
        </w:rPr>
        <w:t>报告期末按公允价值占基金资产净值比例大小排序的前十名股票投资明细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559"/>
        <w:gridCol w:w="1418"/>
        <w:gridCol w:w="1701"/>
        <w:gridCol w:w="1842"/>
      </w:tblGrid>
      <w:tr w:rsidR="00702CC5" w:rsidRPr="00702CC5" w:rsidTr="003D1DFA">
        <w:tc>
          <w:tcPr>
            <w:tcW w:w="993" w:type="dxa"/>
            <w:vAlign w:val="center"/>
          </w:tcPr>
          <w:p w:rsidR="00702CC5" w:rsidRPr="00702CC5" w:rsidRDefault="00702CC5" w:rsidP="00804256">
            <w:pPr>
              <w:spacing w:before="29" w:line="360" w:lineRule="auto"/>
              <w:ind w:left="17"/>
              <w:jc w:val="center"/>
              <w:rPr>
                <w:sz w:val="24"/>
              </w:rPr>
            </w:pPr>
            <w:r w:rsidRPr="00702CC5">
              <w:rPr>
                <w:sz w:val="24"/>
              </w:rPr>
              <w:t>序号</w:t>
            </w:r>
          </w:p>
        </w:tc>
        <w:tc>
          <w:tcPr>
            <w:tcW w:w="1276" w:type="dxa"/>
            <w:vAlign w:val="center"/>
          </w:tcPr>
          <w:p w:rsidR="00702CC5" w:rsidRPr="00702CC5" w:rsidRDefault="00702CC5" w:rsidP="00804256">
            <w:pPr>
              <w:spacing w:before="29" w:line="360" w:lineRule="auto"/>
              <w:ind w:left="17"/>
              <w:jc w:val="center"/>
              <w:rPr>
                <w:sz w:val="24"/>
              </w:rPr>
            </w:pPr>
            <w:r w:rsidRPr="00702CC5">
              <w:rPr>
                <w:sz w:val="24"/>
              </w:rPr>
              <w:t>股票代码</w:t>
            </w:r>
          </w:p>
        </w:tc>
        <w:tc>
          <w:tcPr>
            <w:tcW w:w="1559" w:type="dxa"/>
            <w:vAlign w:val="center"/>
          </w:tcPr>
          <w:p w:rsidR="00702CC5" w:rsidRPr="00702CC5" w:rsidRDefault="00702CC5" w:rsidP="00804256">
            <w:pPr>
              <w:spacing w:before="29" w:line="360" w:lineRule="auto"/>
              <w:ind w:left="17"/>
              <w:jc w:val="center"/>
              <w:rPr>
                <w:sz w:val="24"/>
              </w:rPr>
            </w:pPr>
            <w:r w:rsidRPr="00702CC5">
              <w:rPr>
                <w:sz w:val="24"/>
              </w:rPr>
              <w:t>股票名称</w:t>
            </w:r>
          </w:p>
        </w:tc>
        <w:tc>
          <w:tcPr>
            <w:tcW w:w="1418" w:type="dxa"/>
            <w:vAlign w:val="center"/>
          </w:tcPr>
          <w:p w:rsidR="00702CC5" w:rsidRPr="00702CC5" w:rsidRDefault="00702CC5" w:rsidP="00804256">
            <w:pPr>
              <w:spacing w:before="29" w:line="360" w:lineRule="auto"/>
              <w:ind w:left="17"/>
              <w:jc w:val="center"/>
              <w:rPr>
                <w:sz w:val="24"/>
              </w:rPr>
            </w:pPr>
            <w:r w:rsidRPr="00702CC5">
              <w:rPr>
                <w:sz w:val="24"/>
              </w:rPr>
              <w:t>数量</w:t>
            </w:r>
            <w:r w:rsidRPr="00702CC5">
              <w:rPr>
                <w:sz w:val="24"/>
              </w:rPr>
              <w:t>(</w:t>
            </w:r>
            <w:r w:rsidRPr="00702CC5">
              <w:rPr>
                <w:sz w:val="24"/>
              </w:rPr>
              <w:t>股</w:t>
            </w:r>
            <w:r w:rsidRPr="00702CC5">
              <w:rPr>
                <w:sz w:val="24"/>
              </w:rPr>
              <w:t>)</w:t>
            </w:r>
          </w:p>
        </w:tc>
        <w:tc>
          <w:tcPr>
            <w:tcW w:w="1701" w:type="dxa"/>
            <w:vAlign w:val="center"/>
          </w:tcPr>
          <w:p w:rsidR="00702CC5" w:rsidRPr="00702CC5" w:rsidRDefault="00702CC5" w:rsidP="00804256">
            <w:pPr>
              <w:autoSpaceDE w:val="0"/>
              <w:autoSpaceDN w:val="0"/>
              <w:adjustRightInd w:val="0"/>
              <w:spacing w:before="29" w:line="360" w:lineRule="auto"/>
              <w:ind w:left="17"/>
              <w:jc w:val="center"/>
              <w:rPr>
                <w:sz w:val="24"/>
              </w:rPr>
            </w:pPr>
            <w:r w:rsidRPr="00702CC5">
              <w:rPr>
                <w:sz w:val="24"/>
              </w:rPr>
              <w:t>公允价值</w:t>
            </w:r>
            <w:r w:rsidR="00D64712">
              <w:rPr>
                <w:rFonts w:hint="eastAsia"/>
                <w:sz w:val="24"/>
              </w:rPr>
              <w:t>(</w:t>
            </w:r>
            <w:r w:rsidR="00D64712">
              <w:rPr>
                <w:rFonts w:hint="eastAsia"/>
                <w:sz w:val="24"/>
              </w:rPr>
              <w:t>元</w:t>
            </w:r>
            <w:r w:rsidR="00D64712">
              <w:rPr>
                <w:rFonts w:hint="eastAsia"/>
                <w:sz w:val="24"/>
              </w:rPr>
              <w:t>)</w:t>
            </w:r>
          </w:p>
        </w:tc>
        <w:tc>
          <w:tcPr>
            <w:tcW w:w="1842" w:type="dxa"/>
            <w:vAlign w:val="center"/>
          </w:tcPr>
          <w:p w:rsidR="00702CC5" w:rsidRPr="00702CC5" w:rsidRDefault="00702CC5" w:rsidP="00804256">
            <w:pPr>
              <w:spacing w:before="29" w:line="360" w:lineRule="auto"/>
              <w:ind w:left="17"/>
              <w:jc w:val="center"/>
              <w:rPr>
                <w:sz w:val="24"/>
              </w:rPr>
            </w:pPr>
            <w:r w:rsidRPr="00702CC5">
              <w:rPr>
                <w:sz w:val="24"/>
              </w:rPr>
              <w:t>占基金资产净值比例</w:t>
            </w:r>
            <w:r w:rsidRPr="00702CC5">
              <w:rPr>
                <w:sz w:val="24"/>
              </w:rPr>
              <w:t>(</w:t>
            </w:r>
            <w:r w:rsidRPr="00702CC5">
              <w:rPr>
                <w:sz w:val="24"/>
              </w:rPr>
              <w:t>％</w:t>
            </w:r>
            <w:r w:rsidRPr="00702CC5">
              <w:rPr>
                <w:sz w:val="24"/>
              </w:rPr>
              <w:t>)</w:t>
            </w:r>
          </w:p>
        </w:tc>
      </w:tr>
      <w:tr w:rsidR="0099261D">
        <w:tc>
          <w:tcPr>
            <w:tcW w:w="993" w:type="dxa"/>
            <w:vAlign w:val="center"/>
          </w:tcPr>
          <w:p w:rsidR="0099261D" w:rsidRDefault="001E0F38">
            <w:pPr>
              <w:jc w:val="center"/>
            </w:pPr>
            <w:r>
              <w:rPr>
                <w:sz w:val="24"/>
              </w:rPr>
              <w:t>1</w:t>
            </w:r>
          </w:p>
        </w:tc>
        <w:tc>
          <w:tcPr>
            <w:tcW w:w="1276" w:type="dxa"/>
            <w:vAlign w:val="center"/>
          </w:tcPr>
          <w:p w:rsidR="0099261D" w:rsidRDefault="001E0F38">
            <w:pPr>
              <w:jc w:val="center"/>
            </w:pPr>
            <w:r>
              <w:rPr>
                <w:sz w:val="24"/>
              </w:rPr>
              <w:t>300365</w:t>
            </w:r>
          </w:p>
        </w:tc>
        <w:tc>
          <w:tcPr>
            <w:tcW w:w="1559" w:type="dxa"/>
            <w:vAlign w:val="center"/>
          </w:tcPr>
          <w:p w:rsidR="0099261D" w:rsidRDefault="001E0F38">
            <w:pPr>
              <w:jc w:val="center"/>
            </w:pPr>
            <w:r>
              <w:rPr>
                <w:sz w:val="24"/>
              </w:rPr>
              <w:t>恒华科技</w:t>
            </w:r>
          </w:p>
        </w:tc>
        <w:tc>
          <w:tcPr>
            <w:tcW w:w="1418" w:type="dxa"/>
            <w:vAlign w:val="center"/>
          </w:tcPr>
          <w:p w:rsidR="0099261D" w:rsidRDefault="001E0F38">
            <w:pPr>
              <w:jc w:val="right"/>
            </w:pPr>
            <w:r>
              <w:rPr>
                <w:sz w:val="24"/>
              </w:rPr>
              <w:t>2,140,000</w:t>
            </w:r>
          </w:p>
        </w:tc>
        <w:tc>
          <w:tcPr>
            <w:tcW w:w="1701" w:type="dxa"/>
            <w:vAlign w:val="center"/>
          </w:tcPr>
          <w:p w:rsidR="0099261D" w:rsidRDefault="001E0F38">
            <w:pPr>
              <w:jc w:val="right"/>
            </w:pPr>
            <w:r>
              <w:rPr>
                <w:sz w:val="24"/>
              </w:rPr>
              <w:t>88,810,000.00</w:t>
            </w:r>
          </w:p>
        </w:tc>
        <w:tc>
          <w:tcPr>
            <w:tcW w:w="1842" w:type="dxa"/>
            <w:vAlign w:val="center"/>
          </w:tcPr>
          <w:p w:rsidR="0099261D" w:rsidRDefault="001E0F38">
            <w:pPr>
              <w:jc w:val="right"/>
            </w:pPr>
            <w:r>
              <w:rPr>
                <w:sz w:val="24"/>
              </w:rPr>
              <w:t>3.47</w:t>
            </w:r>
          </w:p>
        </w:tc>
      </w:tr>
      <w:tr w:rsidR="0099261D">
        <w:tc>
          <w:tcPr>
            <w:tcW w:w="993" w:type="dxa"/>
            <w:vAlign w:val="center"/>
          </w:tcPr>
          <w:p w:rsidR="0099261D" w:rsidRDefault="001E0F38">
            <w:pPr>
              <w:jc w:val="center"/>
            </w:pPr>
            <w:r>
              <w:rPr>
                <w:sz w:val="24"/>
              </w:rPr>
              <w:t>2</w:t>
            </w:r>
          </w:p>
        </w:tc>
        <w:tc>
          <w:tcPr>
            <w:tcW w:w="1276" w:type="dxa"/>
            <w:vAlign w:val="center"/>
          </w:tcPr>
          <w:p w:rsidR="0099261D" w:rsidRDefault="001E0F38">
            <w:pPr>
              <w:jc w:val="center"/>
            </w:pPr>
            <w:r>
              <w:rPr>
                <w:sz w:val="24"/>
              </w:rPr>
              <w:t>002077</w:t>
            </w:r>
          </w:p>
        </w:tc>
        <w:tc>
          <w:tcPr>
            <w:tcW w:w="1559" w:type="dxa"/>
            <w:vAlign w:val="center"/>
          </w:tcPr>
          <w:p w:rsidR="0099261D" w:rsidRDefault="001E0F38">
            <w:pPr>
              <w:jc w:val="center"/>
            </w:pPr>
            <w:r>
              <w:rPr>
                <w:sz w:val="24"/>
              </w:rPr>
              <w:t>大港股份</w:t>
            </w:r>
          </w:p>
        </w:tc>
        <w:tc>
          <w:tcPr>
            <w:tcW w:w="1418" w:type="dxa"/>
            <w:vAlign w:val="center"/>
          </w:tcPr>
          <w:p w:rsidR="0099261D" w:rsidRDefault="001E0F38">
            <w:pPr>
              <w:jc w:val="right"/>
            </w:pPr>
            <w:r>
              <w:rPr>
                <w:sz w:val="24"/>
              </w:rPr>
              <w:t>4,100,000</w:t>
            </w:r>
          </w:p>
        </w:tc>
        <w:tc>
          <w:tcPr>
            <w:tcW w:w="1701" w:type="dxa"/>
            <w:vAlign w:val="center"/>
          </w:tcPr>
          <w:p w:rsidR="0099261D" w:rsidRDefault="001E0F38">
            <w:pPr>
              <w:jc w:val="right"/>
            </w:pPr>
            <w:r>
              <w:rPr>
                <w:sz w:val="24"/>
              </w:rPr>
              <w:t>73,308,000.00</w:t>
            </w:r>
          </w:p>
        </w:tc>
        <w:tc>
          <w:tcPr>
            <w:tcW w:w="1842" w:type="dxa"/>
            <w:vAlign w:val="center"/>
          </w:tcPr>
          <w:p w:rsidR="0099261D" w:rsidRDefault="001E0F38">
            <w:pPr>
              <w:jc w:val="right"/>
            </w:pPr>
            <w:r>
              <w:rPr>
                <w:sz w:val="24"/>
              </w:rPr>
              <w:t>2.86</w:t>
            </w:r>
          </w:p>
        </w:tc>
      </w:tr>
      <w:tr w:rsidR="0099261D">
        <w:tc>
          <w:tcPr>
            <w:tcW w:w="993" w:type="dxa"/>
            <w:vAlign w:val="center"/>
          </w:tcPr>
          <w:p w:rsidR="0099261D" w:rsidRDefault="001E0F38">
            <w:pPr>
              <w:jc w:val="center"/>
            </w:pPr>
            <w:r>
              <w:rPr>
                <w:sz w:val="24"/>
              </w:rPr>
              <w:t>3</w:t>
            </w:r>
          </w:p>
        </w:tc>
        <w:tc>
          <w:tcPr>
            <w:tcW w:w="1276" w:type="dxa"/>
            <w:vAlign w:val="center"/>
          </w:tcPr>
          <w:p w:rsidR="0099261D" w:rsidRDefault="001E0F38">
            <w:pPr>
              <w:jc w:val="center"/>
            </w:pPr>
            <w:r>
              <w:rPr>
                <w:sz w:val="24"/>
              </w:rPr>
              <w:t>002035</w:t>
            </w:r>
          </w:p>
        </w:tc>
        <w:tc>
          <w:tcPr>
            <w:tcW w:w="1559" w:type="dxa"/>
            <w:vAlign w:val="center"/>
          </w:tcPr>
          <w:p w:rsidR="0099261D" w:rsidRDefault="001E0F38">
            <w:pPr>
              <w:jc w:val="center"/>
            </w:pPr>
            <w:r>
              <w:rPr>
                <w:sz w:val="24"/>
              </w:rPr>
              <w:t>华</w:t>
            </w:r>
            <w:proofErr w:type="gramStart"/>
            <w:r>
              <w:rPr>
                <w:sz w:val="24"/>
              </w:rPr>
              <w:t>帝股份</w:t>
            </w:r>
            <w:proofErr w:type="gramEnd"/>
          </w:p>
        </w:tc>
        <w:tc>
          <w:tcPr>
            <w:tcW w:w="1418" w:type="dxa"/>
            <w:vAlign w:val="center"/>
          </w:tcPr>
          <w:p w:rsidR="0099261D" w:rsidRDefault="001E0F38">
            <w:pPr>
              <w:jc w:val="right"/>
            </w:pPr>
            <w:r>
              <w:rPr>
                <w:sz w:val="24"/>
              </w:rPr>
              <w:t>2,750,000</w:t>
            </w:r>
          </w:p>
        </w:tc>
        <w:tc>
          <w:tcPr>
            <w:tcW w:w="1701" w:type="dxa"/>
            <w:vAlign w:val="center"/>
          </w:tcPr>
          <w:p w:rsidR="0099261D" w:rsidRDefault="001E0F38">
            <w:pPr>
              <w:jc w:val="right"/>
            </w:pPr>
            <w:r>
              <w:rPr>
                <w:sz w:val="24"/>
              </w:rPr>
              <w:t>71,362,500.00</w:t>
            </w:r>
          </w:p>
        </w:tc>
        <w:tc>
          <w:tcPr>
            <w:tcW w:w="1842" w:type="dxa"/>
            <w:vAlign w:val="center"/>
          </w:tcPr>
          <w:p w:rsidR="0099261D" w:rsidRDefault="001E0F38">
            <w:pPr>
              <w:jc w:val="right"/>
            </w:pPr>
            <w:r>
              <w:rPr>
                <w:sz w:val="24"/>
              </w:rPr>
              <w:t>2.79</w:t>
            </w:r>
          </w:p>
        </w:tc>
      </w:tr>
      <w:tr w:rsidR="0099261D">
        <w:tc>
          <w:tcPr>
            <w:tcW w:w="993" w:type="dxa"/>
            <w:vAlign w:val="center"/>
          </w:tcPr>
          <w:p w:rsidR="0099261D" w:rsidRDefault="001E0F38">
            <w:pPr>
              <w:jc w:val="center"/>
            </w:pPr>
            <w:r>
              <w:rPr>
                <w:sz w:val="24"/>
              </w:rPr>
              <w:t>4</w:t>
            </w:r>
          </w:p>
        </w:tc>
        <w:tc>
          <w:tcPr>
            <w:tcW w:w="1276" w:type="dxa"/>
            <w:vAlign w:val="center"/>
          </w:tcPr>
          <w:p w:rsidR="0099261D" w:rsidRDefault="001E0F38">
            <w:pPr>
              <w:jc w:val="center"/>
            </w:pPr>
            <w:r>
              <w:rPr>
                <w:sz w:val="24"/>
              </w:rPr>
              <w:t>600519</w:t>
            </w:r>
          </w:p>
        </w:tc>
        <w:tc>
          <w:tcPr>
            <w:tcW w:w="1559" w:type="dxa"/>
            <w:vAlign w:val="center"/>
          </w:tcPr>
          <w:p w:rsidR="0099261D" w:rsidRDefault="001E0F38">
            <w:pPr>
              <w:jc w:val="center"/>
            </w:pPr>
            <w:r>
              <w:rPr>
                <w:sz w:val="24"/>
              </w:rPr>
              <w:t>贵州茅台</w:t>
            </w:r>
          </w:p>
        </w:tc>
        <w:tc>
          <w:tcPr>
            <w:tcW w:w="1418" w:type="dxa"/>
            <w:vAlign w:val="center"/>
          </w:tcPr>
          <w:p w:rsidR="0099261D" w:rsidRDefault="001E0F38">
            <w:pPr>
              <w:jc w:val="right"/>
            </w:pPr>
            <w:r>
              <w:rPr>
                <w:sz w:val="24"/>
              </w:rPr>
              <w:t>212,000</w:t>
            </w:r>
          </w:p>
        </w:tc>
        <w:tc>
          <w:tcPr>
            <w:tcW w:w="1701" w:type="dxa"/>
            <w:vAlign w:val="center"/>
          </w:tcPr>
          <w:p w:rsidR="0099261D" w:rsidRDefault="001E0F38">
            <w:pPr>
              <w:jc w:val="right"/>
            </w:pPr>
            <w:r>
              <w:rPr>
                <w:sz w:val="24"/>
              </w:rPr>
              <w:t>70,839,800.00</w:t>
            </w:r>
          </w:p>
        </w:tc>
        <w:tc>
          <w:tcPr>
            <w:tcW w:w="1842" w:type="dxa"/>
            <w:vAlign w:val="center"/>
          </w:tcPr>
          <w:p w:rsidR="0099261D" w:rsidRDefault="001E0F38">
            <w:pPr>
              <w:jc w:val="right"/>
            </w:pPr>
            <w:r>
              <w:rPr>
                <w:sz w:val="24"/>
              </w:rPr>
              <w:t>2.76</w:t>
            </w:r>
          </w:p>
        </w:tc>
      </w:tr>
      <w:tr w:rsidR="0099261D">
        <w:tc>
          <w:tcPr>
            <w:tcW w:w="993" w:type="dxa"/>
            <w:vAlign w:val="center"/>
          </w:tcPr>
          <w:p w:rsidR="0099261D" w:rsidRDefault="001E0F38">
            <w:pPr>
              <w:jc w:val="center"/>
            </w:pPr>
            <w:r>
              <w:rPr>
                <w:sz w:val="24"/>
              </w:rPr>
              <w:t>5</w:t>
            </w:r>
          </w:p>
        </w:tc>
        <w:tc>
          <w:tcPr>
            <w:tcW w:w="1276" w:type="dxa"/>
            <w:vAlign w:val="center"/>
          </w:tcPr>
          <w:p w:rsidR="0099261D" w:rsidRDefault="001E0F38">
            <w:pPr>
              <w:jc w:val="center"/>
            </w:pPr>
            <w:r>
              <w:rPr>
                <w:sz w:val="24"/>
              </w:rPr>
              <w:t>002384</w:t>
            </w:r>
          </w:p>
        </w:tc>
        <w:tc>
          <w:tcPr>
            <w:tcW w:w="1559" w:type="dxa"/>
            <w:vAlign w:val="center"/>
          </w:tcPr>
          <w:p w:rsidR="0099261D" w:rsidRDefault="001E0F38">
            <w:pPr>
              <w:jc w:val="center"/>
            </w:pPr>
            <w:r>
              <w:rPr>
                <w:sz w:val="24"/>
              </w:rPr>
              <w:t>东山精密</w:t>
            </w:r>
          </w:p>
        </w:tc>
        <w:tc>
          <w:tcPr>
            <w:tcW w:w="1418" w:type="dxa"/>
            <w:vAlign w:val="center"/>
          </w:tcPr>
          <w:p w:rsidR="0099261D" w:rsidRDefault="001E0F38">
            <w:pPr>
              <w:jc w:val="right"/>
            </w:pPr>
            <w:r>
              <w:rPr>
                <w:sz w:val="24"/>
              </w:rPr>
              <w:t>3,249,887</w:t>
            </w:r>
          </w:p>
        </w:tc>
        <w:tc>
          <w:tcPr>
            <w:tcW w:w="1701" w:type="dxa"/>
            <w:vAlign w:val="center"/>
          </w:tcPr>
          <w:p w:rsidR="0099261D" w:rsidRDefault="001E0F38">
            <w:pPr>
              <w:jc w:val="right"/>
            </w:pPr>
            <w:r>
              <w:rPr>
                <w:sz w:val="24"/>
              </w:rPr>
              <w:t>63,730,284.07</w:t>
            </w:r>
          </w:p>
        </w:tc>
        <w:tc>
          <w:tcPr>
            <w:tcW w:w="1842" w:type="dxa"/>
            <w:vAlign w:val="center"/>
          </w:tcPr>
          <w:p w:rsidR="0099261D" w:rsidRDefault="001E0F38">
            <w:pPr>
              <w:jc w:val="right"/>
            </w:pPr>
            <w:r>
              <w:rPr>
                <w:sz w:val="24"/>
              </w:rPr>
              <w:t>2.49</w:t>
            </w:r>
          </w:p>
        </w:tc>
      </w:tr>
      <w:tr w:rsidR="0099261D">
        <w:tc>
          <w:tcPr>
            <w:tcW w:w="993" w:type="dxa"/>
            <w:vAlign w:val="center"/>
          </w:tcPr>
          <w:p w:rsidR="0099261D" w:rsidRDefault="001E0F38">
            <w:pPr>
              <w:jc w:val="center"/>
            </w:pPr>
            <w:r>
              <w:rPr>
                <w:sz w:val="24"/>
              </w:rPr>
              <w:t>6</w:t>
            </w:r>
          </w:p>
        </w:tc>
        <w:tc>
          <w:tcPr>
            <w:tcW w:w="1276" w:type="dxa"/>
            <w:vAlign w:val="center"/>
          </w:tcPr>
          <w:p w:rsidR="0099261D" w:rsidRDefault="001E0F38">
            <w:pPr>
              <w:jc w:val="center"/>
            </w:pPr>
            <w:r>
              <w:rPr>
                <w:sz w:val="24"/>
              </w:rPr>
              <w:t>000333</w:t>
            </w:r>
          </w:p>
        </w:tc>
        <w:tc>
          <w:tcPr>
            <w:tcW w:w="1559" w:type="dxa"/>
            <w:vAlign w:val="center"/>
          </w:tcPr>
          <w:p w:rsidR="0099261D" w:rsidRDefault="001E0F38">
            <w:pPr>
              <w:jc w:val="center"/>
            </w:pPr>
            <w:r>
              <w:rPr>
                <w:sz w:val="24"/>
              </w:rPr>
              <w:t>美的集团</w:t>
            </w:r>
          </w:p>
        </w:tc>
        <w:tc>
          <w:tcPr>
            <w:tcW w:w="1418" w:type="dxa"/>
            <w:vAlign w:val="center"/>
          </w:tcPr>
          <w:p w:rsidR="0099261D" w:rsidRDefault="001E0F38">
            <w:pPr>
              <w:jc w:val="right"/>
            </w:pPr>
            <w:r>
              <w:rPr>
                <w:sz w:val="24"/>
              </w:rPr>
              <w:t>1,800,000</w:t>
            </w:r>
          </w:p>
        </w:tc>
        <w:tc>
          <w:tcPr>
            <w:tcW w:w="1701" w:type="dxa"/>
            <w:vAlign w:val="center"/>
          </w:tcPr>
          <w:p w:rsidR="0099261D" w:rsidRDefault="001E0F38">
            <w:pPr>
              <w:jc w:val="right"/>
            </w:pPr>
            <w:r>
              <w:rPr>
                <w:sz w:val="24"/>
              </w:rPr>
              <w:t>50,706,000.00</w:t>
            </w:r>
          </w:p>
        </w:tc>
        <w:tc>
          <w:tcPr>
            <w:tcW w:w="1842" w:type="dxa"/>
            <w:vAlign w:val="center"/>
          </w:tcPr>
          <w:p w:rsidR="0099261D" w:rsidRDefault="001E0F38">
            <w:pPr>
              <w:jc w:val="right"/>
            </w:pPr>
            <w:r>
              <w:rPr>
                <w:sz w:val="24"/>
              </w:rPr>
              <w:t>1.98</w:t>
            </w:r>
          </w:p>
        </w:tc>
      </w:tr>
      <w:tr w:rsidR="0099261D">
        <w:tc>
          <w:tcPr>
            <w:tcW w:w="993" w:type="dxa"/>
            <w:vAlign w:val="center"/>
          </w:tcPr>
          <w:p w:rsidR="0099261D" w:rsidRDefault="001E0F38">
            <w:pPr>
              <w:jc w:val="center"/>
            </w:pPr>
            <w:r>
              <w:rPr>
                <w:sz w:val="24"/>
              </w:rPr>
              <w:t>7</w:t>
            </w:r>
          </w:p>
        </w:tc>
        <w:tc>
          <w:tcPr>
            <w:tcW w:w="1276" w:type="dxa"/>
            <w:vAlign w:val="center"/>
          </w:tcPr>
          <w:p w:rsidR="0099261D" w:rsidRDefault="001E0F38">
            <w:pPr>
              <w:jc w:val="center"/>
            </w:pPr>
            <w:r>
              <w:rPr>
                <w:sz w:val="24"/>
              </w:rPr>
              <w:t>300231</w:t>
            </w:r>
          </w:p>
        </w:tc>
        <w:tc>
          <w:tcPr>
            <w:tcW w:w="1559" w:type="dxa"/>
            <w:vAlign w:val="center"/>
          </w:tcPr>
          <w:p w:rsidR="0099261D" w:rsidRDefault="001E0F38">
            <w:pPr>
              <w:jc w:val="center"/>
            </w:pPr>
            <w:r>
              <w:rPr>
                <w:sz w:val="24"/>
              </w:rPr>
              <w:t>银信科技</w:t>
            </w:r>
          </w:p>
        </w:tc>
        <w:tc>
          <w:tcPr>
            <w:tcW w:w="1418" w:type="dxa"/>
            <w:vAlign w:val="center"/>
          </w:tcPr>
          <w:p w:rsidR="0099261D" w:rsidRDefault="001E0F38">
            <w:pPr>
              <w:jc w:val="right"/>
            </w:pPr>
            <w:r>
              <w:rPr>
                <w:sz w:val="24"/>
              </w:rPr>
              <w:t>2,489,500</w:t>
            </w:r>
          </w:p>
        </w:tc>
        <w:tc>
          <w:tcPr>
            <w:tcW w:w="1701" w:type="dxa"/>
            <w:vAlign w:val="center"/>
          </w:tcPr>
          <w:p w:rsidR="0099261D" w:rsidRDefault="001E0F38">
            <w:pPr>
              <w:jc w:val="right"/>
            </w:pPr>
            <w:r>
              <w:rPr>
                <w:sz w:val="24"/>
              </w:rPr>
              <w:t>46,080,645.00</w:t>
            </w:r>
          </w:p>
        </w:tc>
        <w:tc>
          <w:tcPr>
            <w:tcW w:w="1842" w:type="dxa"/>
            <w:vAlign w:val="center"/>
          </w:tcPr>
          <w:p w:rsidR="0099261D" w:rsidRDefault="001E0F38">
            <w:pPr>
              <w:jc w:val="right"/>
            </w:pPr>
            <w:r>
              <w:rPr>
                <w:sz w:val="24"/>
              </w:rPr>
              <w:t>1.80</w:t>
            </w:r>
          </w:p>
        </w:tc>
      </w:tr>
      <w:tr w:rsidR="0099261D">
        <w:tc>
          <w:tcPr>
            <w:tcW w:w="993" w:type="dxa"/>
            <w:vAlign w:val="center"/>
          </w:tcPr>
          <w:p w:rsidR="0099261D" w:rsidRDefault="001E0F38">
            <w:pPr>
              <w:jc w:val="center"/>
            </w:pPr>
            <w:r>
              <w:rPr>
                <w:sz w:val="24"/>
              </w:rPr>
              <w:t>8</w:t>
            </w:r>
          </w:p>
        </w:tc>
        <w:tc>
          <w:tcPr>
            <w:tcW w:w="1276" w:type="dxa"/>
            <w:vAlign w:val="center"/>
          </w:tcPr>
          <w:p w:rsidR="0099261D" w:rsidRDefault="001E0F38">
            <w:pPr>
              <w:jc w:val="center"/>
            </w:pPr>
            <w:r>
              <w:rPr>
                <w:sz w:val="24"/>
              </w:rPr>
              <w:t>300223</w:t>
            </w:r>
          </w:p>
        </w:tc>
        <w:tc>
          <w:tcPr>
            <w:tcW w:w="1559" w:type="dxa"/>
            <w:vAlign w:val="center"/>
          </w:tcPr>
          <w:p w:rsidR="0099261D" w:rsidRDefault="001E0F38">
            <w:pPr>
              <w:jc w:val="center"/>
            </w:pPr>
            <w:r>
              <w:rPr>
                <w:sz w:val="24"/>
              </w:rPr>
              <w:t>北京君正</w:t>
            </w:r>
          </w:p>
        </w:tc>
        <w:tc>
          <w:tcPr>
            <w:tcW w:w="1418" w:type="dxa"/>
            <w:vAlign w:val="center"/>
          </w:tcPr>
          <w:p w:rsidR="0099261D" w:rsidRDefault="001E0F38">
            <w:pPr>
              <w:jc w:val="right"/>
            </w:pPr>
            <w:r>
              <w:rPr>
                <w:sz w:val="24"/>
              </w:rPr>
              <w:t>832,859</w:t>
            </w:r>
          </w:p>
        </w:tc>
        <w:tc>
          <w:tcPr>
            <w:tcW w:w="1701" w:type="dxa"/>
            <w:vAlign w:val="center"/>
          </w:tcPr>
          <w:p w:rsidR="0099261D" w:rsidRDefault="001E0F38">
            <w:pPr>
              <w:jc w:val="right"/>
            </w:pPr>
            <w:r>
              <w:rPr>
                <w:sz w:val="24"/>
              </w:rPr>
              <w:t>40,310,375.60</w:t>
            </w:r>
          </w:p>
        </w:tc>
        <w:tc>
          <w:tcPr>
            <w:tcW w:w="1842" w:type="dxa"/>
            <w:vAlign w:val="center"/>
          </w:tcPr>
          <w:p w:rsidR="0099261D" w:rsidRDefault="001E0F38">
            <w:pPr>
              <w:jc w:val="right"/>
            </w:pPr>
            <w:r>
              <w:rPr>
                <w:sz w:val="24"/>
              </w:rPr>
              <w:t>1.57</w:t>
            </w:r>
          </w:p>
        </w:tc>
      </w:tr>
      <w:tr w:rsidR="0099261D">
        <w:tc>
          <w:tcPr>
            <w:tcW w:w="993" w:type="dxa"/>
            <w:vAlign w:val="center"/>
          </w:tcPr>
          <w:p w:rsidR="0099261D" w:rsidRDefault="001E0F38">
            <w:pPr>
              <w:jc w:val="center"/>
            </w:pPr>
            <w:r>
              <w:rPr>
                <w:sz w:val="24"/>
              </w:rPr>
              <w:t>9</w:t>
            </w:r>
          </w:p>
        </w:tc>
        <w:tc>
          <w:tcPr>
            <w:tcW w:w="1276" w:type="dxa"/>
            <w:vAlign w:val="center"/>
          </w:tcPr>
          <w:p w:rsidR="0099261D" w:rsidRDefault="001E0F38">
            <w:pPr>
              <w:jc w:val="center"/>
            </w:pPr>
            <w:r>
              <w:rPr>
                <w:sz w:val="24"/>
              </w:rPr>
              <w:t>600426</w:t>
            </w:r>
          </w:p>
        </w:tc>
        <w:tc>
          <w:tcPr>
            <w:tcW w:w="1559" w:type="dxa"/>
            <w:vAlign w:val="center"/>
          </w:tcPr>
          <w:p w:rsidR="0099261D" w:rsidRDefault="001E0F38">
            <w:pPr>
              <w:jc w:val="center"/>
            </w:pPr>
            <w:proofErr w:type="gramStart"/>
            <w:r>
              <w:rPr>
                <w:sz w:val="24"/>
              </w:rPr>
              <w:t>华鲁恒升</w:t>
            </w:r>
            <w:proofErr w:type="gramEnd"/>
          </w:p>
        </w:tc>
        <w:tc>
          <w:tcPr>
            <w:tcW w:w="1418" w:type="dxa"/>
            <w:vAlign w:val="center"/>
          </w:tcPr>
          <w:p w:rsidR="0099261D" w:rsidRDefault="001E0F38">
            <w:pPr>
              <w:jc w:val="right"/>
            </w:pPr>
            <w:r>
              <w:rPr>
                <w:sz w:val="24"/>
              </w:rPr>
              <w:t>2,949,913</w:t>
            </w:r>
          </w:p>
        </w:tc>
        <w:tc>
          <w:tcPr>
            <w:tcW w:w="1701" w:type="dxa"/>
            <w:vAlign w:val="center"/>
          </w:tcPr>
          <w:p w:rsidR="0099261D" w:rsidRDefault="001E0F38">
            <w:pPr>
              <w:jc w:val="right"/>
            </w:pPr>
            <w:r>
              <w:rPr>
                <w:sz w:val="24"/>
              </w:rPr>
              <w:t>39,086,347.25</w:t>
            </w:r>
          </w:p>
        </w:tc>
        <w:tc>
          <w:tcPr>
            <w:tcW w:w="1842" w:type="dxa"/>
            <w:vAlign w:val="center"/>
          </w:tcPr>
          <w:p w:rsidR="0099261D" w:rsidRDefault="001E0F38">
            <w:pPr>
              <w:jc w:val="right"/>
            </w:pPr>
            <w:r>
              <w:rPr>
                <w:sz w:val="24"/>
              </w:rPr>
              <w:t>1.53</w:t>
            </w:r>
          </w:p>
        </w:tc>
      </w:tr>
      <w:tr w:rsidR="0099261D">
        <w:tc>
          <w:tcPr>
            <w:tcW w:w="993" w:type="dxa"/>
            <w:vAlign w:val="center"/>
          </w:tcPr>
          <w:p w:rsidR="0099261D" w:rsidRDefault="001E0F38">
            <w:pPr>
              <w:jc w:val="center"/>
            </w:pPr>
            <w:r>
              <w:rPr>
                <w:sz w:val="24"/>
              </w:rPr>
              <w:t>10</w:t>
            </w:r>
          </w:p>
        </w:tc>
        <w:tc>
          <w:tcPr>
            <w:tcW w:w="1276" w:type="dxa"/>
            <w:vAlign w:val="center"/>
          </w:tcPr>
          <w:p w:rsidR="0099261D" w:rsidRDefault="001E0F38">
            <w:pPr>
              <w:jc w:val="center"/>
            </w:pPr>
            <w:r>
              <w:rPr>
                <w:sz w:val="24"/>
              </w:rPr>
              <w:t>300062</w:t>
            </w:r>
          </w:p>
        </w:tc>
        <w:tc>
          <w:tcPr>
            <w:tcW w:w="1559" w:type="dxa"/>
            <w:vAlign w:val="center"/>
          </w:tcPr>
          <w:p w:rsidR="0099261D" w:rsidRDefault="001E0F38">
            <w:pPr>
              <w:jc w:val="center"/>
            </w:pPr>
            <w:r>
              <w:rPr>
                <w:sz w:val="24"/>
              </w:rPr>
              <w:t>中能电气</w:t>
            </w:r>
          </w:p>
        </w:tc>
        <w:tc>
          <w:tcPr>
            <w:tcW w:w="1418" w:type="dxa"/>
            <w:vAlign w:val="center"/>
          </w:tcPr>
          <w:p w:rsidR="0099261D" w:rsidRDefault="001E0F38">
            <w:pPr>
              <w:jc w:val="right"/>
            </w:pPr>
            <w:r>
              <w:rPr>
                <w:sz w:val="24"/>
              </w:rPr>
              <w:t>1,140,000</w:t>
            </w:r>
          </w:p>
        </w:tc>
        <w:tc>
          <w:tcPr>
            <w:tcW w:w="1701" w:type="dxa"/>
            <w:vAlign w:val="center"/>
          </w:tcPr>
          <w:p w:rsidR="0099261D" w:rsidRDefault="001E0F38">
            <w:pPr>
              <w:jc w:val="right"/>
            </w:pPr>
            <w:r>
              <w:rPr>
                <w:sz w:val="24"/>
              </w:rPr>
              <w:t>37,414,800.00</w:t>
            </w:r>
          </w:p>
        </w:tc>
        <w:tc>
          <w:tcPr>
            <w:tcW w:w="1842" w:type="dxa"/>
            <w:vAlign w:val="center"/>
          </w:tcPr>
          <w:p w:rsidR="0099261D" w:rsidRDefault="001E0F38">
            <w:pPr>
              <w:jc w:val="right"/>
            </w:pPr>
            <w:r>
              <w:rPr>
                <w:sz w:val="24"/>
              </w:rPr>
              <w:t>1.46</w:t>
            </w:r>
          </w:p>
        </w:tc>
      </w:tr>
    </w:tbl>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5.2.4</w:t>
      </w:r>
      <w:r w:rsidR="00937387" w:rsidRPr="00843986">
        <w:rPr>
          <w:rFonts w:hint="eastAsia"/>
          <w:b/>
          <w:color w:val="000000"/>
          <w:kern w:val="0"/>
          <w:sz w:val="24"/>
          <w:szCs w:val="24"/>
        </w:rPr>
        <w:t>报告期末按债券品种分类的债券投资组合</w:t>
      </w:r>
    </w:p>
    <w:tbl>
      <w:tblPr>
        <w:tblStyle w:val="af7"/>
        <w:tblW w:w="8817" w:type="dxa"/>
        <w:jc w:val="center"/>
        <w:tblLayout w:type="fixed"/>
        <w:tblLook w:val="04A0"/>
      </w:tblPr>
      <w:tblGrid>
        <w:gridCol w:w="879"/>
        <w:gridCol w:w="3260"/>
        <w:gridCol w:w="2949"/>
        <w:gridCol w:w="1729"/>
      </w:tblGrid>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326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债券品种</w:t>
            </w:r>
          </w:p>
        </w:tc>
        <w:tc>
          <w:tcPr>
            <w:tcW w:w="294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公允价值</w:t>
            </w:r>
            <w:r w:rsidRPr="002C4B83">
              <w:rPr>
                <w:rFonts w:cs="Arial" w:hint="eastAsia"/>
                <w:color w:val="000000"/>
                <w:sz w:val="24"/>
                <w:szCs w:val="24"/>
              </w:rPr>
              <w:t>(</w:t>
            </w:r>
            <w:r w:rsidRPr="002C4B83">
              <w:rPr>
                <w:rFonts w:cs="Arial" w:hint="eastAsia"/>
                <w:color w:val="000000"/>
                <w:sz w:val="24"/>
                <w:szCs w:val="24"/>
              </w:rPr>
              <w:t>元</w:t>
            </w:r>
            <w:r w:rsidRPr="002C4B83">
              <w:rPr>
                <w:rFonts w:cs="Arial" w:hint="eastAsia"/>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占基金资产净</w:t>
            </w:r>
            <w:r w:rsidRPr="002C4B83">
              <w:rPr>
                <w:rFonts w:cs="Arial" w:hint="eastAsia"/>
                <w:color w:val="000000"/>
                <w:sz w:val="24"/>
                <w:szCs w:val="24"/>
              </w:rPr>
              <w:lastRenderedPageBreak/>
              <w:t>值比例</w:t>
            </w:r>
            <w:r w:rsidRPr="002C4B83">
              <w:rPr>
                <w:rFonts w:cs="Arial" w:hint="eastAsia"/>
                <w:color w:val="000000"/>
                <w:sz w:val="24"/>
                <w:szCs w:val="24"/>
              </w:rPr>
              <w:t>(</w:t>
            </w:r>
            <w:r w:rsidRPr="002C4B83">
              <w:rPr>
                <w:rFonts w:cs="Arial" w:hint="eastAsia"/>
                <w:color w:val="000000"/>
                <w:sz w:val="24"/>
                <w:szCs w:val="24"/>
              </w:rPr>
              <w:t>％</w:t>
            </w:r>
            <w:r w:rsidRPr="002C4B83">
              <w:rPr>
                <w:rFonts w:cs="Arial" w:hint="eastAsia"/>
                <w:color w:val="000000"/>
                <w:sz w:val="24"/>
                <w:szCs w:val="24"/>
              </w:rPr>
              <w:t>)</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lastRenderedPageBreak/>
              <w:t>1</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国家债券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2,206,040.00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0.09</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2</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央行票据</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3</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金融债券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543,569,000.00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21.22</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其中：政策性金融债</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543,569,000.00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21.22</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4</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企业债券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5</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企业短期融资</w:t>
            </w:r>
            <w:proofErr w:type="gramStart"/>
            <w:r w:rsidRPr="002C4B83">
              <w:rPr>
                <w:rFonts w:cs="Arial" w:hint="eastAsia"/>
                <w:color w:val="000000"/>
                <w:sz w:val="24"/>
                <w:szCs w:val="24"/>
              </w:rPr>
              <w:t>券</w:t>
            </w:r>
            <w:proofErr w:type="gramEnd"/>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6</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中期票据</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C6082E">
        <w:trPr>
          <w:jc w:val="center"/>
        </w:trPr>
        <w:tc>
          <w:tcPr>
            <w:tcW w:w="87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7</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可转债</w:t>
            </w:r>
            <w:r w:rsidR="00C6082E" w:rsidRPr="004B5343">
              <w:rPr>
                <w:rFonts w:eastAsiaTheme="minorEastAsia" w:hint="eastAsia"/>
                <w:color w:val="000000" w:themeColor="text1"/>
                <w:sz w:val="24"/>
                <w:szCs w:val="24"/>
              </w:rPr>
              <w:t>（可交换债）</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C6082E" w:rsidRPr="00220C32" w:rsidTr="00C6082E">
        <w:trPr>
          <w:jc w:val="center"/>
        </w:trPr>
        <w:tc>
          <w:tcPr>
            <w:tcW w:w="879" w:type="dxa"/>
            <w:vAlign w:val="center"/>
          </w:tcPr>
          <w:p w:rsidR="00C6082E" w:rsidRPr="00283CAD" w:rsidRDefault="00C6082E" w:rsidP="00CA469C">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8</w:t>
            </w:r>
          </w:p>
        </w:tc>
        <w:tc>
          <w:tcPr>
            <w:tcW w:w="3260" w:type="dxa"/>
            <w:vAlign w:val="center"/>
          </w:tcPr>
          <w:p w:rsidR="00C6082E" w:rsidRPr="00283CAD" w:rsidRDefault="00C6082E" w:rsidP="00CA469C">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同业存单</w:t>
            </w:r>
          </w:p>
        </w:tc>
        <w:tc>
          <w:tcPr>
            <w:tcW w:w="2949" w:type="dxa"/>
            <w:vAlign w:val="center"/>
          </w:tcPr>
          <w:p w:rsidR="00C6082E" w:rsidRPr="00283CAD" w:rsidRDefault="00C6082E" w:rsidP="00CA469C">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6082E" w:rsidRPr="00283CAD" w:rsidRDefault="00C6082E" w:rsidP="00CA469C">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6082E" w:rsidRPr="00220C32" w:rsidTr="00C6082E">
        <w:trPr>
          <w:jc w:val="center"/>
        </w:trPr>
        <w:tc>
          <w:tcPr>
            <w:tcW w:w="879" w:type="dxa"/>
            <w:vAlign w:val="center"/>
          </w:tcPr>
          <w:p w:rsidR="00C6082E" w:rsidRPr="002C4B83" w:rsidRDefault="00C6082E" w:rsidP="00C6082E">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9</w:t>
            </w:r>
          </w:p>
        </w:tc>
        <w:tc>
          <w:tcPr>
            <w:tcW w:w="3260" w:type="dxa"/>
            <w:vAlign w:val="center"/>
          </w:tcPr>
          <w:p w:rsidR="00C6082E" w:rsidRPr="002C4B83" w:rsidRDefault="00C6082E"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其他</w:t>
            </w:r>
          </w:p>
        </w:tc>
        <w:tc>
          <w:tcPr>
            <w:tcW w:w="2949" w:type="dxa"/>
            <w:vAlign w:val="center"/>
          </w:tcPr>
          <w:p w:rsidR="00C6082E" w:rsidRPr="002C4B83" w:rsidRDefault="00C6082E"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C6082E" w:rsidRPr="002C4B83" w:rsidRDefault="00C6082E"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C6082E" w:rsidRPr="00220C32" w:rsidTr="00C6082E">
        <w:trPr>
          <w:jc w:val="center"/>
        </w:trPr>
        <w:tc>
          <w:tcPr>
            <w:tcW w:w="879" w:type="dxa"/>
            <w:vAlign w:val="center"/>
          </w:tcPr>
          <w:p w:rsidR="00C6082E" w:rsidRPr="002C4B83" w:rsidRDefault="00C6082E" w:rsidP="00C6082E">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10</w:t>
            </w:r>
          </w:p>
        </w:tc>
        <w:tc>
          <w:tcPr>
            <w:tcW w:w="3260" w:type="dxa"/>
            <w:vAlign w:val="center"/>
          </w:tcPr>
          <w:p w:rsidR="00C6082E" w:rsidRPr="002C4B83" w:rsidRDefault="00C6082E"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合计</w:t>
            </w:r>
          </w:p>
        </w:tc>
        <w:tc>
          <w:tcPr>
            <w:tcW w:w="2949" w:type="dxa"/>
            <w:vAlign w:val="center"/>
          </w:tcPr>
          <w:p w:rsidR="00C6082E" w:rsidRPr="002C4B83" w:rsidRDefault="00C6082E"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545,775,040.00</w:t>
            </w:r>
          </w:p>
        </w:tc>
        <w:tc>
          <w:tcPr>
            <w:tcW w:w="1729" w:type="dxa"/>
            <w:vAlign w:val="center"/>
          </w:tcPr>
          <w:p w:rsidR="00C6082E" w:rsidRPr="002C4B83" w:rsidRDefault="00C6082E"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21.30</w:t>
            </w:r>
          </w:p>
        </w:tc>
      </w:tr>
    </w:tbl>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5.2.5</w:t>
      </w:r>
      <w:r w:rsidR="00937387" w:rsidRPr="00843986">
        <w:rPr>
          <w:rFonts w:hint="eastAsia"/>
          <w:b/>
          <w:color w:val="000000"/>
          <w:kern w:val="0"/>
          <w:sz w:val="24"/>
          <w:szCs w:val="24"/>
        </w:rPr>
        <w:t>报告期末按公允价值占基金资产净值比例大小排序的前五名债券投资明细</w:t>
      </w:r>
    </w:p>
    <w:tbl>
      <w:tblPr>
        <w:tblStyle w:val="af7"/>
        <w:tblW w:w="8789" w:type="dxa"/>
        <w:tblInd w:w="-176" w:type="dxa"/>
        <w:tblLayout w:type="fixed"/>
        <w:tblLook w:val="04A0"/>
      </w:tblPr>
      <w:tblGrid>
        <w:gridCol w:w="851"/>
        <w:gridCol w:w="1276"/>
        <w:gridCol w:w="1559"/>
        <w:gridCol w:w="1418"/>
        <w:gridCol w:w="1843"/>
        <w:gridCol w:w="1842"/>
      </w:tblGrid>
      <w:tr w:rsidR="00937387" w:rsidRPr="00220C32" w:rsidTr="003D1DFA">
        <w:tc>
          <w:tcPr>
            <w:tcW w:w="851"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1276"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债券代码</w:t>
            </w:r>
          </w:p>
        </w:tc>
        <w:tc>
          <w:tcPr>
            <w:tcW w:w="155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债券名称</w:t>
            </w:r>
          </w:p>
        </w:tc>
        <w:tc>
          <w:tcPr>
            <w:tcW w:w="1418"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数量</w:t>
            </w:r>
            <w:r w:rsidRPr="002C4B83">
              <w:rPr>
                <w:rFonts w:cs="Arial" w:hint="eastAsia"/>
                <w:color w:val="000000"/>
                <w:sz w:val="24"/>
                <w:szCs w:val="24"/>
              </w:rPr>
              <w:t>(</w:t>
            </w:r>
            <w:r w:rsidRPr="002C4B83">
              <w:rPr>
                <w:rFonts w:cs="Arial" w:hint="eastAsia"/>
                <w:color w:val="000000"/>
                <w:sz w:val="24"/>
                <w:szCs w:val="24"/>
              </w:rPr>
              <w:t>张</w:t>
            </w: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公允价值</w:t>
            </w:r>
            <w:r w:rsidRPr="002C4B83">
              <w:rPr>
                <w:rFonts w:cs="Arial"/>
                <w:color w:val="000000"/>
                <w:sz w:val="24"/>
                <w:szCs w:val="24"/>
              </w:rPr>
              <w:t>(</w:t>
            </w:r>
            <w:r w:rsidRPr="002C4B83">
              <w:rPr>
                <w:rFonts w:cs="Arial" w:hint="eastAsia"/>
                <w:color w:val="000000"/>
                <w:sz w:val="24"/>
                <w:szCs w:val="24"/>
              </w:rPr>
              <w:t>元</w:t>
            </w:r>
            <w:r w:rsidRPr="002C4B83">
              <w:rPr>
                <w:rFonts w:cs="Arial"/>
                <w:color w:val="000000"/>
                <w:sz w:val="24"/>
                <w:szCs w:val="24"/>
              </w:rPr>
              <w:t>)</w:t>
            </w:r>
          </w:p>
        </w:tc>
        <w:tc>
          <w:tcPr>
            <w:tcW w:w="1842"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占基金资产净值比例</w:t>
            </w:r>
            <w:r w:rsidRPr="002C4B83">
              <w:rPr>
                <w:rFonts w:cs="Arial" w:hint="eastAsia"/>
                <w:color w:val="000000"/>
                <w:sz w:val="24"/>
                <w:szCs w:val="24"/>
              </w:rPr>
              <w:t>(</w:t>
            </w:r>
            <w:r w:rsidRPr="002C4B83">
              <w:rPr>
                <w:rFonts w:cs="Arial" w:hint="eastAsia"/>
                <w:color w:val="000000"/>
                <w:sz w:val="24"/>
                <w:szCs w:val="24"/>
              </w:rPr>
              <w:t>％</w:t>
            </w:r>
            <w:r w:rsidRPr="002C4B83">
              <w:rPr>
                <w:rFonts w:cs="Arial" w:hint="eastAsia"/>
                <w:color w:val="000000"/>
                <w:sz w:val="24"/>
                <w:szCs w:val="24"/>
              </w:rPr>
              <w:t>)</w:t>
            </w:r>
          </w:p>
        </w:tc>
      </w:tr>
      <w:tr w:rsidR="0099261D">
        <w:tc>
          <w:tcPr>
            <w:tcW w:w="851" w:type="dxa"/>
            <w:vAlign w:val="center"/>
          </w:tcPr>
          <w:p w:rsidR="0099261D" w:rsidRDefault="001E0F38">
            <w:pPr>
              <w:jc w:val="center"/>
            </w:pPr>
            <w:r>
              <w:rPr>
                <w:rFonts w:cs="Arial"/>
                <w:color w:val="000000"/>
                <w:sz w:val="24"/>
                <w:szCs w:val="24"/>
              </w:rPr>
              <w:t>1</w:t>
            </w:r>
          </w:p>
        </w:tc>
        <w:tc>
          <w:tcPr>
            <w:tcW w:w="1276" w:type="dxa"/>
            <w:vAlign w:val="center"/>
          </w:tcPr>
          <w:p w:rsidR="0099261D" w:rsidRDefault="001E0F38">
            <w:pPr>
              <w:jc w:val="center"/>
            </w:pPr>
            <w:r>
              <w:rPr>
                <w:rFonts w:cs="Arial"/>
                <w:color w:val="000000"/>
                <w:sz w:val="24"/>
                <w:szCs w:val="24"/>
              </w:rPr>
              <w:t>150207</w:t>
            </w:r>
          </w:p>
        </w:tc>
        <w:tc>
          <w:tcPr>
            <w:tcW w:w="1559" w:type="dxa"/>
            <w:vAlign w:val="center"/>
          </w:tcPr>
          <w:p w:rsidR="0099261D" w:rsidRDefault="001E0F38">
            <w:pPr>
              <w:jc w:val="center"/>
            </w:pPr>
            <w:r>
              <w:rPr>
                <w:rFonts w:cs="Arial"/>
                <w:color w:val="000000"/>
                <w:sz w:val="24"/>
                <w:szCs w:val="24"/>
              </w:rPr>
              <w:t>15</w:t>
            </w:r>
            <w:r>
              <w:rPr>
                <w:rFonts w:cs="Arial"/>
                <w:color w:val="000000"/>
                <w:sz w:val="24"/>
                <w:szCs w:val="24"/>
              </w:rPr>
              <w:t>国开</w:t>
            </w:r>
            <w:r>
              <w:rPr>
                <w:rFonts w:cs="Arial"/>
                <w:color w:val="000000"/>
                <w:sz w:val="24"/>
                <w:szCs w:val="24"/>
              </w:rPr>
              <w:t>07</w:t>
            </w:r>
          </w:p>
        </w:tc>
        <w:tc>
          <w:tcPr>
            <w:tcW w:w="1418" w:type="dxa"/>
            <w:vAlign w:val="center"/>
          </w:tcPr>
          <w:p w:rsidR="0099261D" w:rsidRDefault="001E0F38">
            <w:pPr>
              <w:jc w:val="right"/>
            </w:pPr>
            <w:r>
              <w:rPr>
                <w:rFonts w:cs="Arial"/>
                <w:color w:val="000000"/>
                <w:sz w:val="24"/>
                <w:szCs w:val="24"/>
              </w:rPr>
              <w:t>1,800,000</w:t>
            </w:r>
          </w:p>
        </w:tc>
        <w:tc>
          <w:tcPr>
            <w:tcW w:w="1843" w:type="dxa"/>
            <w:vAlign w:val="center"/>
          </w:tcPr>
          <w:p w:rsidR="0099261D" w:rsidRDefault="001E0F38">
            <w:pPr>
              <w:jc w:val="right"/>
            </w:pPr>
            <w:r>
              <w:rPr>
                <w:rFonts w:cs="Arial"/>
                <w:color w:val="000000"/>
                <w:sz w:val="24"/>
                <w:szCs w:val="24"/>
              </w:rPr>
              <w:t>181,638,000.00</w:t>
            </w:r>
          </w:p>
        </w:tc>
        <w:tc>
          <w:tcPr>
            <w:tcW w:w="1842" w:type="dxa"/>
            <w:vAlign w:val="center"/>
          </w:tcPr>
          <w:p w:rsidR="0099261D" w:rsidRDefault="001E0F38">
            <w:pPr>
              <w:jc w:val="right"/>
            </w:pPr>
            <w:r>
              <w:rPr>
                <w:rFonts w:cs="Arial"/>
                <w:color w:val="000000"/>
                <w:sz w:val="24"/>
                <w:szCs w:val="24"/>
              </w:rPr>
              <w:t>7.09</w:t>
            </w:r>
          </w:p>
        </w:tc>
      </w:tr>
      <w:tr w:rsidR="0099261D">
        <w:tc>
          <w:tcPr>
            <w:tcW w:w="851" w:type="dxa"/>
            <w:vAlign w:val="center"/>
          </w:tcPr>
          <w:p w:rsidR="0099261D" w:rsidRDefault="001E0F38">
            <w:pPr>
              <w:jc w:val="center"/>
            </w:pPr>
            <w:r>
              <w:rPr>
                <w:rFonts w:cs="Arial"/>
                <w:color w:val="000000"/>
                <w:sz w:val="24"/>
                <w:szCs w:val="24"/>
              </w:rPr>
              <w:t>2</w:t>
            </w:r>
          </w:p>
        </w:tc>
        <w:tc>
          <w:tcPr>
            <w:tcW w:w="1276" w:type="dxa"/>
            <w:vAlign w:val="center"/>
          </w:tcPr>
          <w:p w:rsidR="0099261D" w:rsidRDefault="001E0F38">
            <w:pPr>
              <w:jc w:val="center"/>
            </w:pPr>
            <w:r>
              <w:rPr>
                <w:rFonts w:cs="Arial"/>
                <w:color w:val="000000"/>
                <w:sz w:val="24"/>
                <w:szCs w:val="24"/>
              </w:rPr>
              <w:t>140208</w:t>
            </w:r>
          </w:p>
        </w:tc>
        <w:tc>
          <w:tcPr>
            <w:tcW w:w="1559" w:type="dxa"/>
            <w:vAlign w:val="center"/>
          </w:tcPr>
          <w:p w:rsidR="0099261D" w:rsidRDefault="001E0F38">
            <w:pPr>
              <w:jc w:val="center"/>
            </w:pPr>
            <w:r>
              <w:rPr>
                <w:rFonts w:cs="Arial"/>
                <w:color w:val="000000"/>
                <w:sz w:val="24"/>
                <w:szCs w:val="24"/>
              </w:rPr>
              <w:t>14</w:t>
            </w:r>
            <w:r>
              <w:rPr>
                <w:rFonts w:cs="Arial"/>
                <w:color w:val="000000"/>
                <w:sz w:val="24"/>
                <w:szCs w:val="24"/>
              </w:rPr>
              <w:t>国开</w:t>
            </w:r>
            <w:r>
              <w:rPr>
                <w:rFonts w:cs="Arial"/>
                <w:color w:val="000000"/>
                <w:sz w:val="24"/>
                <w:szCs w:val="24"/>
              </w:rPr>
              <w:t>08</w:t>
            </w:r>
          </w:p>
        </w:tc>
        <w:tc>
          <w:tcPr>
            <w:tcW w:w="1418" w:type="dxa"/>
            <w:vAlign w:val="center"/>
          </w:tcPr>
          <w:p w:rsidR="0099261D" w:rsidRDefault="001E0F38">
            <w:pPr>
              <w:jc w:val="right"/>
            </w:pPr>
            <w:r>
              <w:rPr>
                <w:rFonts w:cs="Arial"/>
                <w:color w:val="000000"/>
                <w:sz w:val="24"/>
                <w:szCs w:val="24"/>
              </w:rPr>
              <w:t>1,300,000</w:t>
            </w:r>
          </w:p>
        </w:tc>
        <w:tc>
          <w:tcPr>
            <w:tcW w:w="1843" w:type="dxa"/>
            <w:vAlign w:val="center"/>
          </w:tcPr>
          <w:p w:rsidR="0099261D" w:rsidRDefault="001E0F38">
            <w:pPr>
              <w:jc w:val="right"/>
            </w:pPr>
            <w:r>
              <w:rPr>
                <w:rFonts w:cs="Arial"/>
                <w:color w:val="000000"/>
                <w:sz w:val="24"/>
                <w:szCs w:val="24"/>
              </w:rPr>
              <w:t>130,780,000.00</w:t>
            </w:r>
          </w:p>
        </w:tc>
        <w:tc>
          <w:tcPr>
            <w:tcW w:w="1842" w:type="dxa"/>
            <w:vAlign w:val="center"/>
          </w:tcPr>
          <w:p w:rsidR="0099261D" w:rsidRDefault="001E0F38">
            <w:pPr>
              <w:jc w:val="right"/>
            </w:pPr>
            <w:r>
              <w:rPr>
                <w:rFonts w:cs="Arial"/>
                <w:color w:val="000000"/>
                <w:sz w:val="24"/>
                <w:szCs w:val="24"/>
              </w:rPr>
              <w:t>5.10</w:t>
            </w:r>
          </w:p>
        </w:tc>
      </w:tr>
      <w:tr w:rsidR="0099261D">
        <w:tc>
          <w:tcPr>
            <w:tcW w:w="851" w:type="dxa"/>
            <w:vAlign w:val="center"/>
          </w:tcPr>
          <w:p w:rsidR="0099261D" w:rsidRDefault="001E0F38">
            <w:pPr>
              <w:jc w:val="center"/>
            </w:pPr>
            <w:r>
              <w:rPr>
                <w:rFonts w:cs="Arial"/>
                <w:color w:val="000000"/>
                <w:sz w:val="24"/>
                <w:szCs w:val="24"/>
              </w:rPr>
              <w:t>3</w:t>
            </w:r>
          </w:p>
        </w:tc>
        <w:tc>
          <w:tcPr>
            <w:tcW w:w="1276" w:type="dxa"/>
            <w:vAlign w:val="center"/>
          </w:tcPr>
          <w:p w:rsidR="0099261D" w:rsidRDefault="001E0F38">
            <w:pPr>
              <w:jc w:val="center"/>
            </w:pPr>
            <w:r>
              <w:rPr>
                <w:rFonts w:cs="Arial"/>
                <w:color w:val="000000"/>
                <w:sz w:val="24"/>
                <w:szCs w:val="24"/>
              </w:rPr>
              <w:t>140201</w:t>
            </w:r>
          </w:p>
        </w:tc>
        <w:tc>
          <w:tcPr>
            <w:tcW w:w="1559" w:type="dxa"/>
            <w:vAlign w:val="center"/>
          </w:tcPr>
          <w:p w:rsidR="0099261D" w:rsidRDefault="001E0F38">
            <w:pPr>
              <w:jc w:val="center"/>
            </w:pPr>
            <w:r>
              <w:rPr>
                <w:rFonts w:cs="Arial"/>
                <w:color w:val="000000"/>
                <w:sz w:val="24"/>
                <w:szCs w:val="24"/>
              </w:rPr>
              <w:t>14</w:t>
            </w:r>
            <w:r>
              <w:rPr>
                <w:rFonts w:cs="Arial"/>
                <w:color w:val="000000"/>
                <w:sz w:val="24"/>
                <w:szCs w:val="24"/>
              </w:rPr>
              <w:t>国开</w:t>
            </w:r>
            <w:r>
              <w:rPr>
                <w:rFonts w:cs="Arial"/>
                <w:color w:val="000000"/>
                <w:sz w:val="24"/>
                <w:szCs w:val="24"/>
              </w:rPr>
              <w:t>01</w:t>
            </w:r>
          </w:p>
        </w:tc>
        <w:tc>
          <w:tcPr>
            <w:tcW w:w="1418" w:type="dxa"/>
            <w:vAlign w:val="center"/>
          </w:tcPr>
          <w:p w:rsidR="0099261D" w:rsidRDefault="001E0F38">
            <w:pPr>
              <w:jc w:val="right"/>
            </w:pPr>
            <w:r>
              <w:rPr>
                <w:rFonts w:cs="Arial"/>
                <w:color w:val="000000"/>
                <w:sz w:val="24"/>
                <w:szCs w:val="24"/>
              </w:rPr>
              <w:t>1,100,000</w:t>
            </w:r>
          </w:p>
        </w:tc>
        <w:tc>
          <w:tcPr>
            <w:tcW w:w="1843" w:type="dxa"/>
            <w:vAlign w:val="center"/>
          </w:tcPr>
          <w:p w:rsidR="0099261D" w:rsidRDefault="001E0F38">
            <w:pPr>
              <w:jc w:val="right"/>
            </w:pPr>
            <w:r>
              <w:rPr>
                <w:rFonts w:cs="Arial"/>
                <w:color w:val="000000"/>
                <w:sz w:val="24"/>
                <w:szCs w:val="24"/>
              </w:rPr>
              <w:t>110,121,000.00</w:t>
            </w:r>
          </w:p>
        </w:tc>
        <w:tc>
          <w:tcPr>
            <w:tcW w:w="1842" w:type="dxa"/>
            <w:vAlign w:val="center"/>
          </w:tcPr>
          <w:p w:rsidR="0099261D" w:rsidRDefault="001E0F38">
            <w:pPr>
              <w:jc w:val="right"/>
            </w:pPr>
            <w:r>
              <w:rPr>
                <w:rFonts w:cs="Arial"/>
                <w:color w:val="000000"/>
                <w:sz w:val="24"/>
                <w:szCs w:val="24"/>
              </w:rPr>
              <w:t>4.30</w:t>
            </w:r>
          </w:p>
        </w:tc>
      </w:tr>
      <w:tr w:rsidR="0099261D">
        <w:tc>
          <w:tcPr>
            <w:tcW w:w="851" w:type="dxa"/>
            <w:vAlign w:val="center"/>
          </w:tcPr>
          <w:p w:rsidR="0099261D" w:rsidRDefault="001E0F38">
            <w:pPr>
              <w:jc w:val="center"/>
            </w:pPr>
            <w:r>
              <w:rPr>
                <w:rFonts w:cs="Arial"/>
                <w:color w:val="000000"/>
                <w:sz w:val="24"/>
                <w:szCs w:val="24"/>
              </w:rPr>
              <w:t>4</w:t>
            </w:r>
          </w:p>
        </w:tc>
        <w:tc>
          <w:tcPr>
            <w:tcW w:w="1276" w:type="dxa"/>
            <w:vAlign w:val="center"/>
          </w:tcPr>
          <w:p w:rsidR="0099261D" w:rsidRDefault="001E0F38">
            <w:pPr>
              <w:jc w:val="center"/>
            </w:pPr>
            <w:r>
              <w:rPr>
                <w:rFonts w:cs="Arial"/>
                <w:color w:val="000000"/>
                <w:sz w:val="24"/>
                <w:szCs w:val="24"/>
              </w:rPr>
              <w:t>130425</w:t>
            </w:r>
          </w:p>
        </w:tc>
        <w:tc>
          <w:tcPr>
            <w:tcW w:w="1559" w:type="dxa"/>
            <w:vAlign w:val="center"/>
          </w:tcPr>
          <w:p w:rsidR="0099261D" w:rsidRDefault="001E0F38">
            <w:pPr>
              <w:jc w:val="center"/>
            </w:pPr>
            <w:r>
              <w:rPr>
                <w:rFonts w:cs="Arial"/>
                <w:color w:val="000000"/>
                <w:sz w:val="24"/>
                <w:szCs w:val="24"/>
              </w:rPr>
              <w:t>13</w:t>
            </w:r>
            <w:r>
              <w:rPr>
                <w:rFonts w:cs="Arial"/>
                <w:color w:val="000000"/>
                <w:sz w:val="24"/>
                <w:szCs w:val="24"/>
              </w:rPr>
              <w:t>农发</w:t>
            </w:r>
            <w:r>
              <w:rPr>
                <w:rFonts w:cs="Arial"/>
                <w:color w:val="000000"/>
                <w:sz w:val="24"/>
                <w:szCs w:val="24"/>
              </w:rPr>
              <w:t>25</w:t>
            </w:r>
          </w:p>
        </w:tc>
        <w:tc>
          <w:tcPr>
            <w:tcW w:w="1418" w:type="dxa"/>
            <w:vAlign w:val="center"/>
          </w:tcPr>
          <w:p w:rsidR="0099261D" w:rsidRDefault="001E0F38">
            <w:pPr>
              <w:jc w:val="right"/>
            </w:pPr>
            <w:r>
              <w:rPr>
                <w:rFonts w:cs="Arial"/>
                <w:color w:val="000000"/>
                <w:sz w:val="24"/>
                <w:szCs w:val="24"/>
              </w:rPr>
              <w:t>500,000</w:t>
            </w:r>
          </w:p>
        </w:tc>
        <w:tc>
          <w:tcPr>
            <w:tcW w:w="1843" w:type="dxa"/>
            <w:vAlign w:val="center"/>
          </w:tcPr>
          <w:p w:rsidR="0099261D" w:rsidRDefault="001E0F38">
            <w:pPr>
              <w:jc w:val="right"/>
            </w:pPr>
            <w:r>
              <w:rPr>
                <w:rFonts w:cs="Arial"/>
                <w:color w:val="000000"/>
                <w:sz w:val="24"/>
                <w:szCs w:val="24"/>
              </w:rPr>
              <w:t>51,060,000.00</w:t>
            </w:r>
          </w:p>
        </w:tc>
        <w:tc>
          <w:tcPr>
            <w:tcW w:w="1842" w:type="dxa"/>
            <w:vAlign w:val="center"/>
          </w:tcPr>
          <w:p w:rsidR="0099261D" w:rsidRDefault="001E0F38">
            <w:pPr>
              <w:jc w:val="right"/>
            </w:pPr>
            <w:r>
              <w:rPr>
                <w:rFonts w:cs="Arial"/>
                <w:color w:val="000000"/>
                <w:sz w:val="24"/>
                <w:szCs w:val="24"/>
              </w:rPr>
              <w:t>1.99</w:t>
            </w:r>
          </w:p>
        </w:tc>
      </w:tr>
      <w:tr w:rsidR="0099261D">
        <w:tc>
          <w:tcPr>
            <w:tcW w:w="851" w:type="dxa"/>
            <w:vAlign w:val="center"/>
          </w:tcPr>
          <w:p w:rsidR="0099261D" w:rsidRDefault="001E0F38">
            <w:pPr>
              <w:jc w:val="center"/>
            </w:pPr>
            <w:r>
              <w:rPr>
                <w:rFonts w:cs="Arial"/>
                <w:color w:val="000000"/>
                <w:sz w:val="24"/>
                <w:szCs w:val="24"/>
              </w:rPr>
              <w:t>5</w:t>
            </w:r>
          </w:p>
        </w:tc>
        <w:tc>
          <w:tcPr>
            <w:tcW w:w="1276" w:type="dxa"/>
            <w:vAlign w:val="center"/>
          </w:tcPr>
          <w:p w:rsidR="0099261D" w:rsidRDefault="001E0F38">
            <w:pPr>
              <w:jc w:val="center"/>
            </w:pPr>
            <w:r>
              <w:rPr>
                <w:rFonts w:cs="Arial"/>
                <w:color w:val="000000"/>
                <w:sz w:val="24"/>
                <w:szCs w:val="24"/>
              </w:rPr>
              <w:t>160206</w:t>
            </w:r>
          </w:p>
        </w:tc>
        <w:tc>
          <w:tcPr>
            <w:tcW w:w="1559" w:type="dxa"/>
            <w:vAlign w:val="center"/>
          </w:tcPr>
          <w:p w:rsidR="0099261D" w:rsidRDefault="001E0F38">
            <w:pPr>
              <w:jc w:val="center"/>
            </w:pPr>
            <w:r>
              <w:rPr>
                <w:rFonts w:cs="Arial"/>
                <w:color w:val="000000"/>
                <w:sz w:val="24"/>
                <w:szCs w:val="24"/>
              </w:rPr>
              <w:t>16</w:t>
            </w:r>
            <w:r>
              <w:rPr>
                <w:rFonts w:cs="Arial"/>
                <w:color w:val="000000"/>
                <w:sz w:val="24"/>
                <w:szCs w:val="24"/>
              </w:rPr>
              <w:t>国开</w:t>
            </w:r>
            <w:r>
              <w:rPr>
                <w:rFonts w:cs="Arial"/>
                <w:color w:val="000000"/>
                <w:sz w:val="24"/>
                <w:szCs w:val="24"/>
              </w:rPr>
              <w:t>06</w:t>
            </w:r>
          </w:p>
        </w:tc>
        <w:tc>
          <w:tcPr>
            <w:tcW w:w="1418" w:type="dxa"/>
            <w:vAlign w:val="center"/>
          </w:tcPr>
          <w:p w:rsidR="0099261D" w:rsidRDefault="001E0F38">
            <w:pPr>
              <w:jc w:val="right"/>
            </w:pPr>
            <w:r>
              <w:rPr>
                <w:rFonts w:cs="Arial"/>
                <w:color w:val="000000"/>
                <w:sz w:val="24"/>
                <w:szCs w:val="24"/>
              </w:rPr>
              <w:t>400,000</w:t>
            </w:r>
          </w:p>
        </w:tc>
        <w:tc>
          <w:tcPr>
            <w:tcW w:w="1843" w:type="dxa"/>
            <w:vAlign w:val="center"/>
          </w:tcPr>
          <w:p w:rsidR="0099261D" w:rsidRDefault="001E0F38">
            <w:pPr>
              <w:jc w:val="right"/>
            </w:pPr>
            <w:r>
              <w:rPr>
                <w:rFonts w:cs="Arial"/>
                <w:color w:val="000000"/>
                <w:sz w:val="24"/>
                <w:szCs w:val="24"/>
              </w:rPr>
              <w:t>38,976,000.00</w:t>
            </w:r>
          </w:p>
        </w:tc>
        <w:tc>
          <w:tcPr>
            <w:tcW w:w="1842" w:type="dxa"/>
            <w:vAlign w:val="center"/>
          </w:tcPr>
          <w:p w:rsidR="0099261D" w:rsidRDefault="001E0F38">
            <w:pPr>
              <w:jc w:val="right"/>
            </w:pPr>
            <w:r>
              <w:rPr>
                <w:rFonts w:cs="Arial"/>
                <w:color w:val="000000"/>
                <w:sz w:val="24"/>
                <w:szCs w:val="24"/>
              </w:rPr>
              <w:t>1.52</w:t>
            </w:r>
          </w:p>
        </w:tc>
      </w:tr>
    </w:tbl>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5.2.6</w:t>
      </w:r>
      <w:r w:rsidR="00937387" w:rsidRPr="00843986">
        <w:rPr>
          <w:rFonts w:hint="eastAsia"/>
          <w:b/>
          <w:color w:val="000000"/>
          <w:kern w:val="0"/>
          <w:sz w:val="24"/>
          <w:szCs w:val="24"/>
        </w:rPr>
        <w:t>报告期末按公允价值占基金资产净值比例大小排序的前十名资产支持证券投资明细</w:t>
      </w:r>
    </w:p>
    <w:p w:rsidR="00937387" w:rsidRPr="00725474" w:rsidRDefault="00937387" w:rsidP="00725474">
      <w:pPr>
        <w:adjustRightInd w:val="0"/>
        <w:spacing w:line="360" w:lineRule="auto"/>
        <w:rPr>
          <w:bCs/>
          <w:color w:val="000000"/>
          <w:sz w:val="24"/>
          <w:szCs w:val="24"/>
        </w:rPr>
      </w:pPr>
      <w:r w:rsidRPr="00725474">
        <w:rPr>
          <w:bCs/>
          <w:color w:val="000000"/>
          <w:sz w:val="24"/>
          <w:szCs w:val="24"/>
        </w:rPr>
        <w:t>本基金本报告期末未持有资产支持证券。</w:t>
      </w:r>
    </w:p>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5.2.7</w:t>
      </w:r>
      <w:r w:rsidR="00937387" w:rsidRPr="00843986">
        <w:rPr>
          <w:rFonts w:hint="eastAsia"/>
          <w:b/>
          <w:color w:val="000000"/>
          <w:kern w:val="0"/>
          <w:sz w:val="24"/>
          <w:szCs w:val="24"/>
        </w:rPr>
        <w:t>报告期末按公允价值占基金资产净值比例大小排序的前五名贵金属投资明细</w:t>
      </w:r>
    </w:p>
    <w:p w:rsidR="00937387" w:rsidRPr="00725474" w:rsidRDefault="00937387" w:rsidP="00725474">
      <w:pPr>
        <w:adjustRightInd w:val="0"/>
        <w:spacing w:line="360" w:lineRule="auto"/>
        <w:rPr>
          <w:bCs/>
          <w:color w:val="000000"/>
          <w:sz w:val="24"/>
          <w:szCs w:val="24"/>
        </w:rPr>
      </w:pPr>
      <w:r w:rsidRPr="00725474">
        <w:rPr>
          <w:bCs/>
          <w:color w:val="000000"/>
          <w:sz w:val="24"/>
          <w:szCs w:val="24"/>
        </w:rPr>
        <w:t>本基金本报告期末未持有贵金属。</w:t>
      </w:r>
    </w:p>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t>5.2.8</w:t>
      </w:r>
      <w:r w:rsidR="00937387" w:rsidRPr="00843986">
        <w:rPr>
          <w:rFonts w:hint="eastAsia"/>
          <w:b/>
          <w:color w:val="000000"/>
          <w:kern w:val="0"/>
          <w:sz w:val="24"/>
          <w:szCs w:val="24"/>
        </w:rPr>
        <w:t>报告期末按公允价值占基金资产净值比例大小排序的前五名权证投资明细</w:t>
      </w:r>
    </w:p>
    <w:p w:rsidR="000B6217" w:rsidRDefault="000B6217" w:rsidP="000B6217">
      <w:pPr>
        <w:adjustRightInd w:val="0"/>
        <w:spacing w:line="360" w:lineRule="auto"/>
        <w:rPr>
          <w:bCs/>
          <w:color w:val="000000"/>
          <w:sz w:val="24"/>
          <w:szCs w:val="24"/>
        </w:rPr>
      </w:pPr>
      <w:r>
        <w:rPr>
          <w:bCs/>
          <w:color w:val="000000"/>
          <w:sz w:val="24"/>
          <w:szCs w:val="24"/>
        </w:rPr>
        <w:t>本基金本报告期末未持有权证。</w:t>
      </w:r>
    </w:p>
    <w:p w:rsidR="0069458F" w:rsidRPr="00843986" w:rsidRDefault="00843986" w:rsidP="00993314">
      <w:pPr>
        <w:autoSpaceDE w:val="0"/>
        <w:autoSpaceDN w:val="0"/>
        <w:adjustRightInd w:val="0"/>
        <w:spacing w:beforeLines="50" w:line="360" w:lineRule="auto"/>
        <w:jc w:val="left"/>
        <w:rPr>
          <w:b/>
          <w:color w:val="000000"/>
          <w:kern w:val="0"/>
          <w:sz w:val="24"/>
        </w:rPr>
      </w:pPr>
      <w:r>
        <w:rPr>
          <w:rFonts w:hint="eastAsia"/>
          <w:b/>
          <w:color w:val="000000"/>
          <w:kern w:val="0"/>
          <w:sz w:val="24"/>
        </w:rPr>
        <w:t>5.2.9</w:t>
      </w:r>
      <w:r w:rsidR="0069458F" w:rsidRPr="00843986">
        <w:rPr>
          <w:b/>
          <w:color w:val="000000"/>
          <w:kern w:val="0"/>
          <w:sz w:val="24"/>
        </w:rPr>
        <w:t>报告期末本基金投资的股指期货交易情况说明</w:t>
      </w:r>
    </w:p>
    <w:p w:rsidR="0069458F" w:rsidRPr="005011BB" w:rsidRDefault="0069458F" w:rsidP="0069458F">
      <w:pPr>
        <w:autoSpaceDE w:val="0"/>
        <w:autoSpaceDN w:val="0"/>
        <w:adjustRightInd w:val="0"/>
        <w:spacing w:line="360" w:lineRule="auto"/>
        <w:ind w:left="17"/>
        <w:jc w:val="left"/>
        <w:rPr>
          <w:color w:val="000000"/>
          <w:sz w:val="24"/>
        </w:rPr>
      </w:pPr>
      <w:r w:rsidRPr="005011BB">
        <w:rPr>
          <w:color w:val="000000"/>
          <w:sz w:val="24"/>
        </w:rPr>
        <w:t>本基金本报告期末未投资股指期货。</w:t>
      </w:r>
    </w:p>
    <w:p w:rsidR="0069458F" w:rsidRPr="00843986" w:rsidRDefault="00843986" w:rsidP="00993314">
      <w:pPr>
        <w:autoSpaceDE w:val="0"/>
        <w:autoSpaceDN w:val="0"/>
        <w:adjustRightInd w:val="0"/>
        <w:spacing w:beforeLines="50" w:line="360" w:lineRule="auto"/>
        <w:jc w:val="left"/>
        <w:rPr>
          <w:b/>
          <w:color w:val="000000"/>
          <w:kern w:val="0"/>
          <w:sz w:val="24"/>
        </w:rPr>
      </w:pPr>
      <w:r>
        <w:rPr>
          <w:rFonts w:hint="eastAsia"/>
          <w:b/>
          <w:color w:val="000000"/>
          <w:kern w:val="0"/>
          <w:sz w:val="24"/>
        </w:rPr>
        <w:t>5.2.10</w:t>
      </w:r>
      <w:r w:rsidR="0069458F" w:rsidRPr="00843986">
        <w:rPr>
          <w:b/>
          <w:color w:val="000000"/>
          <w:kern w:val="0"/>
          <w:sz w:val="24"/>
        </w:rPr>
        <w:t>报告期末本基金投资的国债期货交易情况说明</w:t>
      </w:r>
    </w:p>
    <w:p w:rsidR="0069458F" w:rsidRPr="005011BB" w:rsidRDefault="0069458F" w:rsidP="0069458F">
      <w:pPr>
        <w:autoSpaceDE w:val="0"/>
        <w:autoSpaceDN w:val="0"/>
        <w:adjustRightInd w:val="0"/>
        <w:spacing w:line="360" w:lineRule="auto"/>
        <w:ind w:left="17"/>
        <w:jc w:val="left"/>
        <w:rPr>
          <w:color w:val="000000"/>
          <w:sz w:val="24"/>
        </w:rPr>
      </w:pPr>
      <w:r w:rsidRPr="005011BB">
        <w:rPr>
          <w:color w:val="000000"/>
          <w:sz w:val="24"/>
        </w:rPr>
        <w:t>本基金本报告期末未投资国债期货。</w:t>
      </w:r>
    </w:p>
    <w:p w:rsidR="00937387" w:rsidRPr="00843986" w:rsidRDefault="00843986" w:rsidP="00843986">
      <w:pPr>
        <w:autoSpaceDE w:val="0"/>
        <w:autoSpaceDN w:val="0"/>
        <w:adjustRightInd w:val="0"/>
        <w:spacing w:line="360" w:lineRule="auto"/>
        <w:jc w:val="left"/>
        <w:rPr>
          <w:b/>
          <w:color w:val="000000"/>
          <w:kern w:val="0"/>
          <w:sz w:val="24"/>
          <w:szCs w:val="24"/>
        </w:rPr>
      </w:pPr>
      <w:r>
        <w:rPr>
          <w:rFonts w:hint="eastAsia"/>
          <w:b/>
          <w:color w:val="000000"/>
          <w:kern w:val="0"/>
          <w:sz w:val="24"/>
          <w:szCs w:val="24"/>
        </w:rPr>
        <w:lastRenderedPageBreak/>
        <w:t>5.2.11</w:t>
      </w:r>
      <w:r w:rsidR="00937387" w:rsidRPr="00843986">
        <w:rPr>
          <w:rFonts w:hint="eastAsia"/>
          <w:b/>
          <w:color w:val="000000"/>
          <w:kern w:val="0"/>
          <w:sz w:val="24"/>
          <w:szCs w:val="24"/>
        </w:rPr>
        <w:t>投资组合报告附注</w:t>
      </w:r>
    </w:p>
    <w:p w:rsidR="00937387" w:rsidRPr="00943F12" w:rsidRDefault="00943F12" w:rsidP="00943F12">
      <w:pPr>
        <w:adjustRightInd w:val="0"/>
        <w:spacing w:line="360" w:lineRule="auto"/>
        <w:rPr>
          <w:bCs/>
          <w:color w:val="000000"/>
          <w:sz w:val="24"/>
          <w:szCs w:val="24"/>
        </w:rPr>
      </w:pPr>
      <w:r>
        <w:rPr>
          <w:rFonts w:hint="eastAsia"/>
          <w:bCs/>
          <w:color w:val="000000"/>
          <w:sz w:val="24"/>
          <w:szCs w:val="24"/>
        </w:rPr>
        <w:t>5.2.11.1</w:t>
      </w:r>
      <w:r w:rsidR="00937387" w:rsidRPr="00943F12">
        <w:rPr>
          <w:bCs/>
          <w:color w:val="000000"/>
          <w:sz w:val="24"/>
          <w:szCs w:val="24"/>
        </w:rPr>
        <w:t>本基金投资的前十名证券的发行主体本期没有出现被监管部门立案调查，或在报告编制日前一年内受到公开谴责、处罚的情形。</w:t>
      </w:r>
    </w:p>
    <w:p w:rsidR="00937387" w:rsidRPr="00943F12" w:rsidRDefault="00943F12" w:rsidP="00943F12">
      <w:pPr>
        <w:adjustRightInd w:val="0"/>
        <w:spacing w:line="360" w:lineRule="auto"/>
        <w:rPr>
          <w:bCs/>
          <w:color w:val="000000"/>
          <w:sz w:val="24"/>
          <w:szCs w:val="24"/>
        </w:rPr>
      </w:pPr>
      <w:r>
        <w:rPr>
          <w:rFonts w:hint="eastAsia"/>
          <w:bCs/>
          <w:color w:val="000000"/>
          <w:sz w:val="24"/>
          <w:szCs w:val="24"/>
        </w:rPr>
        <w:t>5.2.11.2</w:t>
      </w:r>
      <w:r w:rsidR="00937387" w:rsidRPr="00943F12">
        <w:rPr>
          <w:bCs/>
          <w:color w:val="000000"/>
          <w:sz w:val="24"/>
          <w:szCs w:val="24"/>
        </w:rPr>
        <w:t>本基金投资的前十名股票没有超出基金合同规定的备选股票库。</w:t>
      </w:r>
    </w:p>
    <w:p w:rsidR="00937387" w:rsidRPr="00943F12" w:rsidRDefault="00943F12" w:rsidP="00943F12">
      <w:pPr>
        <w:adjustRightInd w:val="0"/>
        <w:spacing w:line="360" w:lineRule="auto"/>
        <w:rPr>
          <w:bCs/>
          <w:color w:val="000000"/>
          <w:sz w:val="24"/>
          <w:szCs w:val="24"/>
        </w:rPr>
      </w:pPr>
      <w:r>
        <w:rPr>
          <w:rFonts w:hint="eastAsia"/>
          <w:bCs/>
          <w:color w:val="000000"/>
          <w:sz w:val="24"/>
          <w:szCs w:val="24"/>
        </w:rPr>
        <w:t>5.2.11.3</w:t>
      </w:r>
      <w:r w:rsidR="00937387" w:rsidRPr="00943F12">
        <w:rPr>
          <w:rFonts w:hint="eastAsia"/>
          <w:bCs/>
          <w:color w:val="000000"/>
          <w:sz w:val="24"/>
          <w:szCs w:val="24"/>
        </w:rPr>
        <w:t>其他各项资产构成</w:t>
      </w:r>
    </w:p>
    <w:tbl>
      <w:tblPr>
        <w:tblStyle w:val="af7"/>
        <w:tblW w:w="0" w:type="auto"/>
        <w:tblInd w:w="15" w:type="dxa"/>
        <w:tblLook w:val="04A0"/>
      </w:tblPr>
      <w:tblGrid>
        <w:gridCol w:w="1235"/>
        <w:gridCol w:w="2470"/>
        <w:gridCol w:w="4808"/>
      </w:tblGrid>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序号</w:t>
            </w:r>
          </w:p>
        </w:tc>
        <w:tc>
          <w:tcPr>
            <w:tcW w:w="2470"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名称</w:t>
            </w:r>
          </w:p>
        </w:tc>
        <w:tc>
          <w:tcPr>
            <w:tcW w:w="4808"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金额</w:t>
            </w:r>
            <w:r w:rsidRPr="007A5438">
              <w:rPr>
                <w:rFonts w:cs="Arial" w:hint="eastAsia"/>
                <w:color w:val="000000"/>
                <w:sz w:val="24"/>
                <w:szCs w:val="24"/>
              </w:rPr>
              <w:t>(</w:t>
            </w:r>
            <w:r w:rsidRPr="007A5438">
              <w:rPr>
                <w:rFonts w:cs="Arial" w:hint="eastAsia"/>
                <w:color w:val="000000"/>
                <w:sz w:val="24"/>
                <w:szCs w:val="24"/>
              </w:rPr>
              <w:t>元</w:t>
            </w:r>
            <w:r w:rsidRPr="007A5438">
              <w:rPr>
                <w:rFonts w:cs="Arial" w:hint="eastAsia"/>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1</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存出保证金</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1,093,888.75</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2</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应收证券清算款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3</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应收股利</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4</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应收利息</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19,574,077.72</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5</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应收申购款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6</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其他应收款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7</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待摊费用</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hint="eastAsia"/>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8</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其他</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9</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合计</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20,667,966.47</w:t>
            </w:r>
          </w:p>
        </w:tc>
      </w:tr>
    </w:tbl>
    <w:p w:rsidR="00937387" w:rsidRPr="00943F12" w:rsidRDefault="00943F12" w:rsidP="00943F12">
      <w:pPr>
        <w:adjustRightInd w:val="0"/>
        <w:spacing w:line="360" w:lineRule="auto"/>
        <w:rPr>
          <w:bCs/>
          <w:color w:val="000000"/>
          <w:sz w:val="24"/>
          <w:szCs w:val="24"/>
        </w:rPr>
      </w:pPr>
      <w:r>
        <w:rPr>
          <w:rFonts w:hint="eastAsia"/>
          <w:bCs/>
          <w:color w:val="000000"/>
          <w:sz w:val="24"/>
          <w:szCs w:val="24"/>
        </w:rPr>
        <w:t>5.2.11.4</w:t>
      </w:r>
      <w:r w:rsidR="00937387" w:rsidRPr="00943F12">
        <w:rPr>
          <w:rFonts w:hint="eastAsia"/>
          <w:bCs/>
          <w:color w:val="000000"/>
          <w:sz w:val="24"/>
          <w:szCs w:val="24"/>
        </w:rPr>
        <w:t>报告期末持有的处于转股期的可转换债券明细</w:t>
      </w:r>
    </w:p>
    <w:p w:rsidR="00937387" w:rsidRPr="00725474" w:rsidRDefault="00937387" w:rsidP="00725474">
      <w:pPr>
        <w:adjustRightInd w:val="0"/>
        <w:spacing w:line="360" w:lineRule="auto"/>
        <w:rPr>
          <w:bCs/>
          <w:color w:val="000000"/>
          <w:sz w:val="24"/>
          <w:szCs w:val="24"/>
        </w:rPr>
      </w:pPr>
      <w:r w:rsidRPr="00725474">
        <w:rPr>
          <w:bCs/>
          <w:color w:val="000000"/>
          <w:sz w:val="24"/>
          <w:szCs w:val="24"/>
        </w:rPr>
        <w:t>本基金本报告期末未持有处于转股期的可转换债券。</w:t>
      </w:r>
    </w:p>
    <w:p w:rsidR="00937387" w:rsidRPr="00943F12" w:rsidRDefault="00943F12" w:rsidP="00943F12">
      <w:pPr>
        <w:adjustRightInd w:val="0"/>
        <w:spacing w:line="360" w:lineRule="auto"/>
        <w:rPr>
          <w:bCs/>
          <w:color w:val="000000"/>
          <w:sz w:val="24"/>
          <w:szCs w:val="24"/>
        </w:rPr>
      </w:pPr>
      <w:r>
        <w:rPr>
          <w:rFonts w:hint="eastAsia"/>
          <w:bCs/>
          <w:color w:val="000000"/>
          <w:sz w:val="24"/>
          <w:szCs w:val="24"/>
        </w:rPr>
        <w:t>5.2.11.5</w:t>
      </w:r>
      <w:r w:rsidR="00937387" w:rsidRPr="00943F12">
        <w:rPr>
          <w:rFonts w:hint="eastAsia"/>
          <w:bCs/>
          <w:color w:val="000000"/>
          <w:sz w:val="24"/>
          <w:szCs w:val="24"/>
        </w:rPr>
        <w:t>报告</w:t>
      </w:r>
      <w:proofErr w:type="gramStart"/>
      <w:r w:rsidR="00937387" w:rsidRPr="00943F12">
        <w:rPr>
          <w:rFonts w:hint="eastAsia"/>
          <w:bCs/>
          <w:color w:val="000000"/>
          <w:sz w:val="24"/>
          <w:szCs w:val="24"/>
        </w:rPr>
        <w:t>期末前</w:t>
      </w:r>
      <w:proofErr w:type="gramEnd"/>
      <w:r w:rsidR="00937387" w:rsidRPr="00943F12">
        <w:rPr>
          <w:rFonts w:hint="eastAsia"/>
          <w:bCs/>
          <w:color w:val="000000"/>
          <w:sz w:val="24"/>
          <w:szCs w:val="24"/>
        </w:rPr>
        <w:t>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937387" w:rsidRPr="00220C32" w:rsidTr="00496743">
        <w:tc>
          <w:tcPr>
            <w:tcW w:w="1083"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序号</w:t>
            </w:r>
          </w:p>
        </w:tc>
        <w:tc>
          <w:tcPr>
            <w:tcW w:w="1302"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股票代码</w:t>
            </w:r>
          </w:p>
        </w:tc>
        <w:tc>
          <w:tcPr>
            <w:tcW w:w="1301"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股票名称</w:t>
            </w:r>
          </w:p>
        </w:tc>
        <w:tc>
          <w:tcPr>
            <w:tcW w:w="180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流通受限部分的公允价值</w:t>
            </w:r>
            <w:r w:rsidRPr="007A5438">
              <w:rPr>
                <w:rFonts w:cs="Arial"/>
                <w:color w:val="000000"/>
                <w:sz w:val="24"/>
                <w:szCs w:val="24"/>
              </w:rPr>
              <w:t>(</w:t>
            </w:r>
            <w:r w:rsidRPr="007A5438">
              <w:rPr>
                <w:rFonts w:cs="Arial" w:hint="eastAsia"/>
                <w:color w:val="000000"/>
                <w:sz w:val="24"/>
                <w:szCs w:val="24"/>
              </w:rPr>
              <w:t>元</w:t>
            </w:r>
            <w:r w:rsidRPr="007A5438">
              <w:rPr>
                <w:rFonts w:cs="Arial"/>
                <w:color w:val="000000"/>
                <w:sz w:val="24"/>
                <w:szCs w:val="24"/>
              </w:rPr>
              <w:t>)</w:t>
            </w:r>
          </w:p>
        </w:tc>
        <w:tc>
          <w:tcPr>
            <w:tcW w:w="165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占基金资产净值比例</w:t>
            </w:r>
            <w:r w:rsidRPr="007A5438">
              <w:rPr>
                <w:rFonts w:cs="Arial"/>
                <w:color w:val="000000"/>
                <w:sz w:val="24"/>
                <w:szCs w:val="24"/>
              </w:rPr>
              <w:t>(%)</w:t>
            </w:r>
          </w:p>
        </w:tc>
        <w:tc>
          <w:tcPr>
            <w:tcW w:w="1367"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流通受限情况说明</w:t>
            </w:r>
          </w:p>
        </w:tc>
      </w:tr>
      <w:tr w:rsidR="0099261D">
        <w:tc>
          <w:tcPr>
            <w:tcW w:w="1083" w:type="dxa"/>
            <w:vAlign w:val="center"/>
          </w:tcPr>
          <w:p w:rsidR="0099261D" w:rsidRDefault="001E0F38">
            <w:pPr>
              <w:jc w:val="center"/>
            </w:pPr>
            <w:r>
              <w:rPr>
                <w:rFonts w:cs="Arial"/>
                <w:color w:val="000000"/>
                <w:sz w:val="24"/>
                <w:szCs w:val="24"/>
              </w:rPr>
              <w:t>1</w:t>
            </w:r>
          </w:p>
        </w:tc>
        <w:tc>
          <w:tcPr>
            <w:tcW w:w="1302" w:type="dxa"/>
            <w:vAlign w:val="center"/>
          </w:tcPr>
          <w:p w:rsidR="0099261D" w:rsidRDefault="001E0F38">
            <w:pPr>
              <w:jc w:val="center"/>
            </w:pPr>
            <w:r>
              <w:rPr>
                <w:rFonts w:cs="Arial"/>
                <w:color w:val="000000"/>
                <w:sz w:val="24"/>
                <w:szCs w:val="24"/>
              </w:rPr>
              <w:t>300223</w:t>
            </w:r>
          </w:p>
        </w:tc>
        <w:tc>
          <w:tcPr>
            <w:tcW w:w="1301" w:type="dxa"/>
            <w:vAlign w:val="center"/>
          </w:tcPr>
          <w:p w:rsidR="0099261D" w:rsidRDefault="001E0F38">
            <w:pPr>
              <w:jc w:val="center"/>
            </w:pPr>
            <w:r>
              <w:rPr>
                <w:rFonts w:cs="Arial"/>
                <w:color w:val="000000"/>
                <w:sz w:val="24"/>
                <w:szCs w:val="24"/>
              </w:rPr>
              <w:t>北京君正</w:t>
            </w:r>
          </w:p>
        </w:tc>
        <w:tc>
          <w:tcPr>
            <w:tcW w:w="1805" w:type="dxa"/>
            <w:vAlign w:val="center"/>
          </w:tcPr>
          <w:p w:rsidR="0099261D" w:rsidRDefault="001E0F38">
            <w:pPr>
              <w:jc w:val="right"/>
            </w:pPr>
            <w:r>
              <w:rPr>
                <w:rFonts w:cs="Arial"/>
                <w:color w:val="000000"/>
                <w:sz w:val="24"/>
                <w:szCs w:val="24"/>
              </w:rPr>
              <w:t>40,310,375.60</w:t>
            </w:r>
          </w:p>
        </w:tc>
        <w:tc>
          <w:tcPr>
            <w:tcW w:w="1655" w:type="dxa"/>
            <w:vAlign w:val="center"/>
          </w:tcPr>
          <w:p w:rsidR="0099261D" w:rsidRDefault="001E0F38">
            <w:pPr>
              <w:jc w:val="right"/>
            </w:pPr>
            <w:r>
              <w:rPr>
                <w:rFonts w:cs="Arial"/>
                <w:color w:val="000000"/>
                <w:sz w:val="24"/>
                <w:szCs w:val="24"/>
              </w:rPr>
              <w:t>1.57</w:t>
            </w:r>
          </w:p>
        </w:tc>
        <w:tc>
          <w:tcPr>
            <w:tcW w:w="1367" w:type="dxa"/>
            <w:vAlign w:val="center"/>
          </w:tcPr>
          <w:p w:rsidR="0099261D" w:rsidRDefault="001E0F38">
            <w:pPr>
              <w:jc w:val="right"/>
            </w:pPr>
            <w:r>
              <w:rPr>
                <w:rFonts w:cs="Arial"/>
                <w:color w:val="000000"/>
                <w:sz w:val="24"/>
                <w:szCs w:val="24"/>
              </w:rPr>
              <w:t>重大事项停牌</w:t>
            </w:r>
          </w:p>
        </w:tc>
      </w:tr>
    </w:tbl>
    <w:p w:rsidR="004061AC" w:rsidRPr="00220C32" w:rsidRDefault="004061AC" w:rsidP="00B57D67">
      <w:pPr>
        <w:pStyle w:val="1"/>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ED461C" w:rsidRPr="005D6378" w:rsidRDefault="00ED461C" w:rsidP="005D6378">
      <w:pPr>
        <w:autoSpaceDE w:val="0"/>
        <w:autoSpaceDN w:val="0"/>
        <w:adjustRightInd w:val="0"/>
        <w:spacing w:line="360" w:lineRule="auto"/>
        <w:ind w:left="17"/>
        <w:jc w:val="right"/>
        <w:rPr>
          <w:rFonts w:ascii="宋体" w:hAnsi="宋体" w:cs="STSong-Light"/>
          <w:color w:val="000000"/>
        </w:rPr>
      </w:pPr>
      <w:r w:rsidRPr="005D6378">
        <w:rPr>
          <w:rFonts w:ascii="宋体" w:hAnsi="宋体" w:cs="STSong-Light" w:hint="eastAsia"/>
          <w:color w:val="000000"/>
        </w:rPr>
        <w:t>单位：份</w:t>
      </w:r>
    </w:p>
    <w:tbl>
      <w:tblPr>
        <w:tblW w:w="0" w:type="auto"/>
        <w:tblInd w:w="-106" w:type="dxa"/>
        <w:tblLayout w:type="fixed"/>
        <w:tblLook w:val="0000"/>
      </w:tblPr>
      <w:tblGrid>
        <w:gridCol w:w="4609"/>
        <w:gridCol w:w="4025"/>
      </w:tblGrid>
      <w:tr w:rsidR="00692E3C" w:rsidRPr="00035A79"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rPr>
                <w:rFonts w:eastAsiaTheme="minorEastAsia"/>
                <w:color w:val="000000" w:themeColor="text1"/>
                <w:kern w:val="0"/>
                <w:sz w:val="24"/>
                <w:szCs w:val="24"/>
              </w:rPr>
            </w:pPr>
            <w:r w:rsidRPr="00035A79">
              <w:rPr>
                <w:rFonts w:eastAsiaTheme="minorEastAsia"/>
                <w:color w:val="000000" w:themeColor="text1"/>
                <w:kern w:val="0"/>
                <w:sz w:val="24"/>
                <w:szCs w:val="24"/>
              </w:rPr>
              <w:t>基金合同生效日基金份额总额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jc w:val="right"/>
              <w:rPr>
                <w:rFonts w:eastAsiaTheme="minorEastAsia"/>
                <w:color w:val="000000" w:themeColor="text1"/>
                <w:kern w:val="0"/>
                <w:sz w:val="24"/>
                <w:szCs w:val="24"/>
              </w:rPr>
            </w:pPr>
            <w:r w:rsidRPr="00035A79">
              <w:rPr>
                <w:rFonts w:eastAsiaTheme="minorEastAsia"/>
                <w:color w:val="000000" w:themeColor="text1"/>
                <w:kern w:val="0"/>
                <w:sz w:val="24"/>
                <w:szCs w:val="24"/>
              </w:rPr>
              <w:t>3,000,000,000.00</w:t>
            </w:r>
          </w:p>
        </w:tc>
      </w:tr>
      <w:tr w:rsidR="00692E3C" w:rsidRPr="00035A79"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rPr>
                <w:rFonts w:eastAsiaTheme="minorEastAsia"/>
                <w:color w:val="000000" w:themeColor="text1"/>
                <w:kern w:val="0"/>
                <w:sz w:val="24"/>
                <w:szCs w:val="24"/>
              </w:rPr>
            </w:pPr>
            <w:r w:rsidRPr="00035A79">
              <w:rPr>
                <w:rFonts w:eastAsiaTheme="minorEastAsia"/>
                <w:color w:val="000000" w:themeColor="text1"/>
                <w:kern w:val="0"/>
                <w:sz w:val="24"/>
                <w:szCs w:val="24"/>
              </w:rPr>
              <w:t>基金合同生效日起</w:t>
            </w:r>
            <w:proofErr w:type="gramStart"/>
            <w:r w:rsidRPr="00035A79">
              <w:rPr>
                <w:rFonts w:eastAsiaTheme="minorEastAsia"/>
                <w:color w:val="000000" w:themeColor="text1"/>
                <w:kern w:val="0"/>
                <w:sz w:val="24"/>
                <w:szCs w:val="24"/>
              </w:rPr>
              <w:t>至报告</w:t>
            </w:r>
            <w:proofErr w:type="gramEnd"/>
            <w:r w:rsidRPr="00035A79">
              <w:rPr>
                <w:rFonts w:eastAsiaTheme="minorEastAsia"/>
                <w:color w:val="000000" w:themeColor="text1"/>
                <w:kern w:val="0"/>
                <w:sz w:val="24"/>
                <w:szCs w:val="24"/>
              </w:rPr>
              <w:t>期期末基金总申购份额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jc w:val="right"/>
              <w:rPr>
                <w:rFonts w:eastAsiaTheme="minorEastAsia"/>
                <w:color w:val="000000" w:themeColor="text1"/>
                <w:kern w:val="0"/>
                <w:sz w:val="24"/>
                <w:szCs w:val="24"/>
              </w:rPr>
            </w:pPr>
            <w:r w:rsidRPr="00035A79">
              <w:rPr>
                <w:rFonts w:eastAsiaTheme="minorEastAsia"/>
                <w:color w:val="000000" w:themeColor="text1"/>
                <w:kern w:val="0"/>
                <w:sz w:val="24"/>
                <w:szCs w:val="24"/>
              </w:rPr>
              <w:t>4,124,644.22</w:t>
            </w:r>
          </w:p>
        </w:tc>
      </w:tr>
      <w:tr w:rsidR="00692E3C" w:rsidRPr="00035A79"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rPr>
                <w:rFonts w:eastAsiaTheme="minorEastAsia"/>
                <w:color w:val="000000" w:themeColor="text1"/>
                <w:kern w:val="0"/>
                <w:sz w:val="24"/>
                <w:szCs w:val="24"/>
              </w:rPr>
            </w:pPr>
            <w:r w:rsidRPr="00035A79">
              <w:rPr>
                <w:rFonts w:eastAsiaTheme="minorEastAsia"/>
                <w:color w:val="000000" w:themeColor="text1"/>
                <w:kern w:val="0"/>
                <w:sz w:val="24"/>
                <w:szCs w:val="24"/>
              </w:rPr>
              <w:t>减：基金合同生效日起</w:t>
            </w:r>
            <w:proofErr w:type="gramStart"/>
            <w:r w:rsidRPr="00035A79">
              <w:rPr>
                <w:rFonts w:eastAsiaTheme="minorEastAsia"/>
                <w:color w:val="000000" w:themeColor="text1"/>
                <w:kern w:val="0"/>
                <w:sz w:val="24"/>
                <w:szCs w:val="24"/>
              </w:rPr>
              <w:t>至报告</w:t>
            </w:r>
            <w:proofErr w:type="gramEnd"/>
            <w:r w:rsidRPr="00035A79">
              <w:rPr>
                <w:rFonts w:eastAsiaTheme="minorEastAsia"/>
                <w:color w:val="000000" w:themeColor="text1"/>
                <w:kern w:val="0"/>
                <w:sz w:val="24"/>
                <w:szCs w:val="24"/>
              </w:rPr>
              <w:t>期期末基金</w:t>
            </w:r>
            <w:r w:rsidRPr="00035A79">
              <w:rPr>
                <w:rFonts w:eastAsiaTheme="minorEastAsia"/>
                <w:color w:val="000000" w:themeColor="text1"/>
                <w:kern w:val="0"/>
                <w:sz w:val="24"/>
                <w:szCs w:val="24"/>
              </w:rPr>
              <w:lastRenderedPageBreak/>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jc w:val="right"/>
              <w:rPr>
                <w:rFonts w:eastAsiaTheme="minorEastAsia"/>
                <w:color w:val="000000" w:themeColor="text1"/>
                <w:kern w:val="0"/>
                <w:sz w:val="24"/>
                <w:szCs w:val="24"/>
              </w:rPr>
            </w:pPr>
            <w:r w:rsidRPr="00035A79">
              <w:rPr>
                <w:rFonts w:eastAsiaTheme="minorEastAsia"/>
                <w:color w:val="000000" w:themeColor="text1"/>
                <w:kern w:val="0"/>
                <w:sz w:val="24"/>
                <w:szCs w:val="24"/>
              </w:rPr>
              <w:lastRenderedPageBreak/>
              <w:t>1,471,740,742.14</w:t>
            </w:r>
          </w:p>
        </w:tc>
      </w:tr>
      <w:tr w:rsidR="00692E3C" w:rsidRPr="00035A79"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rPr>
                <w:rFonts w:eastAsiaTheme="minorEastAsia"/>
                <w:color w:val="000000" w:themeColor="text1"/>
                <w:kern w:val="0"/>
                <w:sz w:val="24"/>
                <w:szCs w:val="24"/>
              </w:rPr>
            </w:pPr>
            <w:r w:rsidRPr="00035A79">
              <w:rPr>
                <w:rFonts w:eastAsiaTheme="minorEastAsia"/>
                <w:color w:val="000000" w:themeColor="text1"/>
                <w:kern w:val="0"/>
                <w:sz w:val="24"/>
                <w:szCs w:val="24"/>
              </w:rPr>
              <w:lastRenderedPageBreak/>
              <w:t>基金合同生效日起</w:t>
            </w:r>
            <w:proofErr w:type="gramStart"/>
            <w:r w:rsidRPr="00035A79">
              <w:rPr>
                <w:rFonts w:eastAsiaTheme="minorEastAsia"/>
                <w:color w:val="000000" w:themeColor="text1"/>
                <w:kern w:val="0"/>
                <w:sz w:val="24"/>
                <w:szCs w:val="24"/>
              </w:rPr>
              <w:t>至报告</w:t>
            </w:r>
            <w:proofErr w:type="gramEnd"/>
            <w:r w:rsidRPr="00035A79">
              <w:rPr>
                <w:rFonts w:eastAsiaTheme="minorEastAsia"/>
                <w:color w:val="000000" w:themeColor="text1"/>
                <w:kern w:val="0"/>
                <w:sz w:val="24"/>
                <w:szCs w:val="24"/>
              </w:rPr>
              <w:t>期期末基金拆分变动份额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jc w:val="right"/>
              <w:rPr>
                <w:rFonts w:eastAsiaTheme="minorEastAsia"/>
                <w:color w:val="000000" w:themeColor="text1"/>
                <w:kern w:val="0"/>
                <w:sz w:val="24"/>
                <w:szCs w:val="24"/>
              </w:rPr>
            </w:pPr>
            <w:r w:rsidRPr="00035A79">
              <w:rPr>
                <w:rFonts w:eastAsiaTheme="minorEastAsia"/>
                <w:color w:val="000000" w:themeColor="text1"/>
                <w:kern w:val="0"/>
                <w:sz w:val="24"/>
                <w:szCs w:val="24"/>
              </w:rPr>
              <w:t>-</w:t>
            </w:r>
          </w:p>
        </w:tc>
      </w:tr>
      <w:tr w:rsidR="00692E3C" w:rsidRPr="00035A79"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rPr>
                <w:rFonts w:eastAsiaTheme="minorEastAsia"/>
                <w:color w:val="000000" w:themeColor="text1"/>
                <w:kern w:val="0"/>
                <w:sz w:val="24"/>
                <w:szCs w:val="24"/>
              </w:rPr>
            </w:pPr>
            <w:r w:rsidRPr="00035A79">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035A79" w:rsidRDefault="00692E3C" w:rsidP="00AB3C3F">
            <w:pPr>
              <w:autoSpaceDE w:val="0"/>
              <w:autoSpaceDN w:val="0"/>
              <w:adjustRightInd w:val="0"/>
              <w:spacing w:before="29" w:line="360" w:lineRule="auto"/>
              <w:ind w:left="17"/>
              <w:jc w:val="right"/>
              <w:rPr>
                <w:rFonts w:eastAsiaTheme="minorEastAsia"/>
                <w:color w:val="000000" w:themeColor="text1"/>
                <w:kern w:val="0"/>
                <w:sz w:val="24"/>
                <w:szCs w:val="24"/>
              </w:rPr>
            </w:pPr>
            <w:r w:rsidRPr="00035A79">
              <w:rPr>
                <w:rFonts w:eastAsiaTheme="minorEastAsia"/>
                <w:color w:val="000000" w:themeColor="text1"/>
                <w:kern w:val="0"/>
                <w:sz w:val="24"/>
                <w:szCs w:val="24"/>
              </w:rPr>
              <w:t>1,532,383,902.08</w:t>
            </w:r>
          </w:p>
        </w:tc>
      </w:tr>
    </w:tbl>
    <w:p w:rsidR="00ED461C" w:rsidRPr="00035A79" w:rsidRDefault="00ED461C" w:rsidP="00ED461C">
      <w:pPr>
        <w:autoSpaceDE w:val="0"/>
        <w:autoSpaceDN w:val="0"/>
        <w:adjustRightInd w:val="0"/>
        <w:spacing w:line="360" w:lineRule="auto"/>
        <w:jc w:val="left"/>
        <w:rPr>
          <w:color w:val="000000"/>
          <w:sz w:val="24"/>
          <w:szCs w:val="24"/>
        </w:rPr>
      </w:pPr>
      <w:r w:rsidRPr="00035A79">
        <w:rPr>
          <w:color w:val="000000"/>
          <w:sz w:val="24"/>
          <w:szCs w:val="24"/>
        </w:rPr>
        <w:t>注：自</w:t>
      </w:r>
      <w:r w:rsidRPr="00035A79">
        <w:rPr>
          <w:color w:val="000000"/>
          <w:sz w:val="24"/>
          <w:szCs w:val="24"/>
        </w:rPr>
        <w:t>2017</w:t>
      </w:r>
      <w:r w:rsidRPr="00035A79">
        <w:rPr>
          <w:color w:val="000000"/>
          <w:sz w:val="24"/>
          <w:szCs w:val="24"/>
        </w:rPr>
        <w:t>年</w:t>
      </w:r>
      <w:r w:rsidRPr="00035A79">
        <w:rPr>
          <w:color w:val="000000"/>
          <w:sz w:val="24"/>
          <w:szCs w:val="24"/>
        </w:rPr>
        <w:t>1</w:t>
      </w:r>
      <w:r w:rsidRPr="00035A79">
        <w:rPr>
          <w:color w:val="000000"/>
          <w:sz w:val="24"/>
          <w:szCs w:val="24"/>
        </w:rPr>
        <w:t>月</w:t>
      </w:r>
      <w:r w:rsidRPr="00035A79">
        <w:rPr>
          <w:color w:val="000000"/>
          <w:sz w:val="24"/>
          <w:szCs w:val="24"/>
        </w:rPr>
        <w:t>3</w:t>
      </w:r>
      <w:r w:rsidRPr="00035A79">
        <w:rPr>
          <w:color w:val="000000"/>
          <w:sz w:val="24"/>
          <w:szCs w:val="24"/>
        </w:rPr>
        <w:t>日科瑞证券投资基金终止上市之日起，原科瑞证券投资基金转型为易方达科瑞</w:t>
      </w:r>
      <w:r w:rsidR="00A90892" w:rsidRPr="00A90892">
        <w:rPr>
          <w:rFonts w:hint="eastAsia"/>
          <w:color w:val="000000"/>
          <w:sz w:val="24"/>
          <w:szCs w:val="24"/>
        </w:rPr>
        <w:t>灵活配置</w:t>
      </w:r>
      <w:r w:rsidRPr="00035A79">
        <w:rPr>
          <w:color w:val="000000"/>
          <w:sz w:val="24"/>
          <w:szCs w:val="24"/>
        </w:rPr>
        <w:t>混合型证券投资基金。本报告期自</w:t>
      </w:r>
      <w:r w:rsidRPr="00035A79">
        <w:rPr>
          <w:color w:val="000000"/>
          <w:sz w:val="24"/>
          <w:szCs w:val="24"/>
        </w:rPr>
        <w:t>2017</w:t>
      </w:r>
      <w:r w:rsidRPr="00035A79">
        <w:rPr>
          <w:color w:val="000000"/>
          <w:sz w:val="24"/>
          <w:szCs w:val="24"/>
        </w:rPr>
        <w:t>年</w:t>
      </w:r>
      <w:r w:rsidRPr="00035A79">
        <w:rPr>
          <w:color w:val="000000"/>
          <w:sz w:val="24"/>
          <w:szCs w:val="24"/>
        </w:rPr>
        <w:t>1</w:t>
      </w:r>
      <w:r w:rsidRPr="00035A79">
        <w:rPr>
          <w:color w:val="000000"/>
          <w:sz w:val="24"/>
          <w:szCs w:val="24"/>
        </w:rPr>
        <w:t>月</w:t>
      </w:r>
      <w:r w:rsidRPr="00035A79">
        <w:rPr>
          <w:color w:val="000000"/>
          <w:sz w:val="24"/>
          <w:szCs w:val="24"/>
        </w:rPr>
        <w:t>3</w:t>
      </w:r>
      <w:r w:rsidRPr="00035A79">
        <w:rPr>
          <w:color w:val="000000"/>
          <w:sz w:val="24"/>
          <w:szCs w:val="24"/>
        </w:rPr>
        <w:t>日至</w:t>
      </w:r>
      <w:r w:rsidRPr="00035A79">
        <w:rPr>
          <w:color w:val="000000"/>
          <w:sz w:val="24"/>
          <w:szCs w:val="24"/>
        </w:rPr>
        <w:t>2017</w:t>
      </w:r>
      <w:r w:rsidRPr="00035A79">
        <w:rPr>
          <w:color w:val="000000"/>
          <w:sz w:val="24"/>
          <w:szCs w:val="24"/>
        </w:rPr>
        <w:t>年</w:t>
      </w:r>
      <w:r w:rsidRPr="00035A79">
        <w:rPr>
          <w:color w:val="000000"/>
          <w:sz w:val="24"/>
          <w:szCs w:val="24"/>
        </w:rPr>
        <w:t>3</w:t>
      </w:r>
      <w:r w:rsidRPr="00035A79">
        <w:rPr>
          <w:color w:val="000000"/>
          <w:sz w:val="24"/>
          <w:szCs w:val="24"/>
        </w:rPr>
        <w:t>月</w:t>
      </w:r>
      <w:r w:rsidRPr="00035A79">
        <w:rPr>
          <w:color w:val="000000"/>
          <w:sz w:val="24"/>
          <w:szCs w:val="24"/>
        </w:rPr>
        <w:t>31</w:t>
      </w:r>
      <w:r w:rsidRPr="00035A79">
        <w:rPr>
          <w:color w:val="000000"/>
          <w:sz w:val="24"/>
          <w:szCs w:val="24"/>
        </w:rPr>
        <w:t>日止。</w:t>
      </w:r>
    </w:p>
    <w:p w:rsidR="00EB374A" w:rsidRPr="00DA2AF2" w:rsidRDefault="00EB374A" w:rsidP="00993314">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w:t>
      </w:r>
      <w:proofErr w:type="gramStart"/>
      <w:r w:rsidRPr="00220C32">
        <w:rPr>
          <w:rFonts w:ascii="方正仿宋简体" w:hint="eastAsia"/>
          <w:color w:val="000000" w:themeColor="text1"/>
          <w:sz w:val="24"/>
          <w:szCs w:val="24"/>
        </w:rPr>
        <w:t>固有资金</w:t>
      </w:r>
      <w:proofErr w:type="gramEnd"/>
      <w:r w:rsidRPr="00220C32">
        <w:rPr>
          <w:rFonts w:ascii="方正仿宋简体" w:hint="eastAsia"/>
          <w:color w:val="000000" w:themeColor="text1"/>
          <w:sz w:val="24"/>
          <w:szCs w:val="24"/>
        </w:rPr>
        <w:t>投资本基金情况</w:t>
      </w:r>
    </w:p>
    <w:p w:rsidR="00DA2AF2" w:rsidRPr="00035A79" w:rsidRDefault="00DA2AF2" w:rsidP="00035A79">
      <w:pPr>
        <w:pStyle w:val="a0"/>
        <w:spacing w:line="360" w:lineRule="auto"/>
        <w:ind w:firstLineChars="0" w:firstLine="0"/>
        <w:rPr>
          <w:b/>
          <w:sz w:val="24"/>
          <w:szCs w:val="24"/>
        </w:rPr>
      </w:pPr>
      <w:r w:rsidRPr="00035A79">
        <w:rPr>
          <w:b/>
          <w:color w:val="000000"/>
          <w:kern w:val="0"/>
          <w:sz w:val="24"/>
          <w:szCs w:val="24"/>
        </w:rPr>
        <w:t xml:space="preserve">7.1 </w:t>
      </w:r>
      <w:r w:rsidRPr="00035A79">
        <w:rPr>
          <w:b/>
          <w:color w:val="000000"/>
          <w:kern w:val="0"/>
          <w:sz w:val="24"/>
          <w:szCs w:val="24"/>
        </w:rPr>
        <w:t>基金管理人持有本基金份额变动情况</w:t>
      </w:r>
    </w:p>
    <w:p w:rsidR="00D26653" w:rsidRPr="00035A79" w:rsidRDefault="00D26653" w:rsidP="00035A79">
      <w:pPr>
        <w:autoSpaceDE w:val="0"/>
        <w:autoSpaceDN w:val="0"/>
        <w:adjustRightInd w:val="0"/>
        <w:spacing w:line="360" w:lineRule="auto"/>
        <w:ind w:left="15"/>
        <w:jc w:val="right"/>
        <w:rPr>
          <w:rFonts w:eastAsiaTheme="minorEastAsia"/>
          <w:color w:val="000000" w:themeColor="text1"/>
          <w:kern w:val="0"/>
        </w:rPr>
      </w:pPr>
      <w:r w:rsidRPr="00035A79">
        <w:rPr>
          <w:rFonts w:eastAsiaTheme="minorEastAsia"/>
          <w:color w:val="000000" w:themeColor="text1"/>
          <w:kern w:val="0"/>
        </w:rPr>
        <w:t>单位：份</w:t>
      </w:r>
    </w:p>
    <w:tbl>
      <w:tblPr>
        <w:tblW w:w="7938" w:type="dxa"/>
        <w:tblInd w:w="108" w:type="dxa"/>
        <w:tblLayout w:type="fixed"/>
        <w:tblLook w:val="04A0"/>
      </w:tblPr>
      <w:tblGrid>
        <w:gridCol w:w="2694"/>
        <w:gridCol w:w="2622"/>
        <w:gridCol w:w="2622"/>
      </w:tblGrid>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pStyle w:val="ad"/>
              <w:adjustRightInd w:val="0"/>
              <w:snapToGrid w:val="0"/>
              <w:spacing w:line="360" w:lineRule="exact"/>
              <w:jc w:val="center"/>
              <w:rPr>
                <w:color w:val="000000" w:themeColor="text1"/>
              </w:rPr>
            </w:pPr>
            <w:r w:rsidRPr="008658FD">
              <w:rPr>
                <w:color w:val="000000" w:themeColor="text1"/>
              </w:rPr>
              <w:t>项目</w:t>
            </w:r>
          </w:p>
        </w:tc>
        <w:tc>
          <w:tcPr>
            <w:tcW w:w="2622" w:type="dxa"/>
            <w:tcBorders>
              <w:top w:val="single" w:sz="4" w:space="0" w:color="auto"/>
              <w:left w:val="single" w:sz="8" w:space="0" w:color="000000"/>
              <w:bottom w:val="single" w:sz="4" w:space="0" w:color="auto"/>
              <w:right w:val="single" w:sz="4" w:space="0" w:color="auto"/>
            </w:tcBorders>
            <w:vAlign w:val="center"/>
            <w:hideMark/>
          </w:tcPr>
          <w:p w:rsidR="008658FD" w:rsidRPr="008658FD" w:rsidRDefault="008658FD" w:rsidP="00DA5906">
            <w:pPr>
              <w:adjustRightInd w:val="0"/>
              <w:spacing w:before="29" w:line="360" w:lineRule="auto"/>
              <w:ind w:left="17"/>
              <w:jc w:val="center"/>
              <w:rPr>
                <w:rFonts w:eastAsiaTheme="minorEastAsia"/>
                <w:color w:val="000000" w:themeColor="text1"/>
                <w:sz w:val="24"/>
                <w:szCs w:val="24"/>
              </w:rPr>
            </w:pPr>
            <w:r w:rsidRPr="008658FD">
              <w:rPr>
                <w:rFonts w:eastAsiaTheme="minorEastAsia"/>
                <w:color w:val="000000" w:themeColor="text1"/>
                <w:sz w:val="24"/>
                <w:szCs w:val="24"/>
              </w:rPr>
              <w:t>报告期</w:t>
            </w:r>
          </w:p>
          <w:p w:rsidR="008658FD" w:rsidRPr="008658FD" w:rsidRDefault="008658FD" w:rsidP="00DA5906">
            <w:pPr>
              <w:adjustRightInd w:val="0"/>
              <w:spacing w:before="29" w:line="360" w:lineRule="auto"/>
              <w:ind w:left="17"/>
              <w:jc w:val="center"/>
              <w:rPr>
                <w:rFonts w:eastAsiaTheme="minorEastAsia"/>
                <w:color w:val="000000" w:themeColor="text1"/>
                <w:sz w:val="24"/>
                <w:szCs w:val="24"/>
              </w:rPr>
            </w:pPr>
            <w:r w:rsidRPr="008658FD">
              <w:rPr>
                <w:rFonts w:eastAsiaTheme="minorEastAsia"/>
                <w:color w:val="000000" w:themeColor="text1"/>
                <w:sz w:val="24"/>
                <w:szCs w:val="24"/>
              </w:rPr>
              <w:t>(2017</w:t>
            </w:r>
            <w:r w:rsidRPr="008658FD">
              <w:rPr>
                <w:rFonts w:eastAsiaTheme="minorEastAsia"/>
                <w:color w:val="000000" w:themeColor="text1"/>
                <w:sz w:val="24"/>
                <w:szCs w:val="24"/>
              </w:rPr>
              <w:t>年</w:t>
            </w:r>
            <w:r w:rsidRPr="008658FD">
              <w:rPr>
                <w:rFonts w:eastAsiaTheme="minorEastAsia"/>
                <w:color w:val="000000" w:themeColor="text1"/>
                <w:sz w:val="24"/>
                <w:szCs w:val="24"/>
              </w:rPr>
              <w:t>1</w:t>
            </w:r>
            <w:r w:rsidRPr="008658FD">
              <w:rPr>
                <w:rFonts w:eastAsiaTheme="minorEastAsia"/>
                <w:color w:val="000000" w:themeColor="text1"/>
                <w:sz w:val="24"/>
                <w:szCs w:val="24"/>
              </w:rPr>
              <w:t>月</w:t>
            </w:r>
            <w:r w:rsidRPr="008658FD">
              <w:rPr>
                <w:rFonts w:eastAsiaTheme="minorEastAsia"/>
                <w:color w:val="000000" w:themeColor="text1"/>
                <w:sz w:val="24"/>
                <w:szCs w:val="24"/>
              </w:rPr>
              <w:t>3</w:t>
            </w:r>
            <w:r w:rsidRPr="008658FD">
              <w:rPr>
                <w:rFonts w:eastAsiaTheme="minorEastAsia"/>
                <w:color w:val="000000" w:themeColor="text1"/>
                <w:sz w:val="24"/>
                <w:szCs w:val="24"/>
              </w:rPr>
              <w:t>日</w:t>
            </w:r>
            <w:r w:rsidRPr="008658FD">
              <w:rPr>
                <w:rFonts w:eastAsiaTheme="minorEastAsia"/>
                <w:color w:val="000000" w:themeColor="text1"/>
                <w:sz w:val="24"/>
                <w:szCs w:val="24"/>
              </w:rPr>
              <w:t>-2017</w:t>
            </w:r>
            <w:r w:rsidRPr="008658FD">
              <w:rPr>
                <w:rFonts w:eastAsiaTheme="minorEastAsia"/>
                <w:color w:val="000000" w:themeColor="text1"/>
                <w:sz w:val="24"/>
                <w:szCs w:val="24"/>
              </w:rPr>
              <w:t>年</w:t>
            </w:r>
            <w:r w:rsidRPr="008658FD">
              <w:rPr>
                <w:rFonts w:eastAsiaTheme="minorEastAsia"/>
                <w:color w:val="000000" w:themeColor="text1"/>
                <w:sz w:val="24"/>
                <w:szCs w:val="24"/>
              </w:rPr>
              <w:t>3</w:t>
            </w:r>
            <w:r w:rsidRPr="008658FD">
              <w:rPr>
                <w:rFonts w:eastAsiaTheme="minorEastAsia"/>
                <w:color w:val="000000" w:themeColor="text1"/>
                <w:sz w:val="24"/>
                <w:szCs w:val="24"/>
              </w:rPr>
              <w:t>月</w:t>
            </w:r>
            <w:r w:rsidRPr="008658FD">
              <w:rPr>
                <w:rFonts w:eastAsiaTheme="minorEastAsia"/>
                <w:color w:val="000000" w:themeColor="text1"/>
                <w:sz w:val="24"/>
                <w:szCs w:val="24"/>
              </w:rPr>
              <w:t>31</w:t>
            </w:r>
            <w:r w:rsidRPr="008658FD">
              <w:rPr>
                <w:rFonts w:eastAsiaTheme="minorEastAsia"/>
                <w:color w:val="000000" w:themeColor="text1"/>
                <w:sz w:val="24"/>
                <w:szCs w:val="24"/>
              </w:rPr>
              <w:t>日</w:t>
            </w:r>
            <w:r w:rsidRPr="008658FD">
              <w:rPr>
                <w:rFonts w:eastAsiaTheme="minorEastAsia"/>
                <w:color w:val="000000" w:themeColor="text1"/>
                <w:sz w:val="24"/>
                <w:szCs w:val="24"/>
              </w:rPr>
              <w:t>)</w:t>
            </w:r>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adjustRightInd w:val="0"/>
              <w:spacing w:before="29" w:line="360" w:lineRule="auto"/>
              <w:ind w:left="17"/>
              <w:jc w:val="center"/>
              <w:rPr>
                <w:rFonts w:eastAsiaTheme="minorEastAsia"/>
                <w:color w:val="000000" w:themeColor="text1"/>
                <w:sz w:val="24"/>
                <w:szCs w:val="24"/>
              </w:rPr>
            </w:pPr>
            <w:r w:rsidRPr="008658FD">
              <w:rPr>
                <w:rFonts w:eastAsiaTheme="minorEastAsia"/>
                <w:color w:val="000000" w:themeColor="text1"/>
                <w:sz w:val="24"/>
                <w:szCs w:val="24"/>
              </w:rPr>
              <w:t>报告期</w:t>
            </w:r>
          </w:p>
          <w:p w:rsidR="008658FD" w:rsidRPr="008658FD" w:rsidRDefault="008658FD" w:rsidP="00DA5906">
            <w:pPr>
              <w:adjustRightInd w:val="0"/>
              <w:spacing w:before="29" w:line="360" w:lineRule="auto"/>
              <w:ind w:left="17"/>
              <w:jc w:val="center"/>
              <w:rPr>
                <w:rFonts w:eastAsiaTheme="minorEastAsia"/>
                <w:color w:val="000000" w:themeColor="text1"/>
                <w:sz w:val="24"/>
                <w:szCs w:val="24"/>
              </w:rPr>
            </w:pPr>
            <w:r w:rsidRPr="008658FD">
              <w:rPr>
                <w:rFonts w:eastAsiaTheme="minorEastAsia"/>
                <w:color w:val="000000" w:themeColor="text1"/>
                <w:sz w:val="24"/>
                <w:szCs w:val="24"/>
              </w:rPr>
              <w:t>(2017</w:t>
            </w:r>
            <w:r w:rsidRPr="008658FD">
              <w:rPr>
                <w:rFonts w:eastAsiaTheme="minorEastAsia"/>
                <w:color w:val="000000" w:themeColor="text1"/>
                <w:sz w:val="24"/>
                <w:szCs w:val="24"/>
              </w:rPr>
              <w:t>年</w:t>
            </w:r>
            <w:r w:rsidRPr="008658FD">
              <w:rPr>
                <w:rFonts w:eastAsiaTheme="minorEastAsia"/>
                <w:color w:val="000000" w:themeColor="text1"/>
                <w:sz w:val="24"/>
                <w:szCs w:val="24"/>
              </w:rPr>
              <w:t>1</w:t>
            </w:r>
            <w:r w:rsidRPr="008658FD">
              <w:rPr>
                <w:rFonts w:eastAsiaTheme="minorEastAsia"/>
                <w:color w:val="000000" w:themeColor="text1"/>
                <w:sz w:val="24"/>
                <w:szCs w:val="24"/>
              </w:rPr>
              <w:t>月</w:t>
            </w:r>
            <w:r w:rsidRPr="008658FD">
              <w:rPr>
                <w:rFonts w:eastAsiaTheme="minorEastAsia"/>
                <w:color w:val="000000" w:themeColor="text1"/>
                <w:sz w:val="24"/>
                <w:szCs w:val="24"/>
              </w:rPr>
              <w:t>1</w:t>
            </w:r>
            <w:r w:rsidRPr="008658FD">
              <w:rPr>
                <w:rFonts w:eastAsiaTheme="minorEastAsia"/>
                <w:color w:val="000000" w:themeColor="text1"/>
                <w:sz w:val="24"/>
                <w:szCs w:val="24"/>
              </w:rPr>
              <w:t>日</w:t>
            </w:r>
            <w:r w:rsidRPr="008658FD">
              <w:rPr>
                <w:rFonts w:eastAsiaTheme="minorEastAsia"/>
                <w:color w:val="000000" w:themeColor="text1"/>
                <w:sz w:val="24"/>
                <w:szCs w:val="24"/>
              </w:rPr>
              <w:t>-2017</w:t>
            </w:r>
            <w:r w:rsidRPr="008658FD">
              <w:rPr>
                <w:rFonts w:eastAsiaTheme="minorEastAsia"/>
                <w:color w:val="000000" w:themeColor="text1"/>
                <w:sz w:val="24"/>
                <w:szCs w:val="24"/>
              </w:rPr>
              <w:t>年</w:t>
            </w:r>
            <w:r w:rsidRPr="008658FD">
              <w:rPr>
                <w:rFonts w:eastAsiaTheme="minorEastAsia"/>
                <w:color w:val="000000" w:themeColor="text1"/>
                <w:sz w:val="24"/>
                <w:szCs w:val="24"/>
              </w:rPr>
              <w:t>1</w:t>
            </w:r>
            <w:r w:rsidRPr="008658FD">
              <w:rPr>
                <w:rFonts w:eastAsiaTheme="minorEastAsia"/>
                <w:color w:val="000000" w:themeColor="text1"/>
                <w:sz w:val="24"/>
                <w:szCs w:val="24"/>
              </w:rPr>
              <w:t>月</w:t>
            </w:r>
            <w:r w:rsidRPr="008658FD">
              <w:rPr>
                <w:rFonts w:eastAsiaTheme="minorEastAsia"/>
                <w:color w:val="000000" w:themeColor="text1"/>
                <w:sz w:val="24"/>
                <w:szCs w:val="24"/>
              </w:rPr>
              <w:t>2</w:t>
            </w:r>
            <w:r w:rsidRPr="008658FD">
              <w:rPr>
                <w:rFonts w:eastAsiaTheme="minorEastAsia"/>
                <w:color w:val="000000" w:themeColor="text1"/>
                <w:sz w:val="24"/>
                <w:szCs w:val="24"/>
              </w:rPr>
              <w:t>日</w:t>
            </w:r>
            <w:r w:rsidRPr="008658FD">
              <w:rPr>
                <w:rFonts w:eastAsiaTheme="minorEastAsia"/>
                <w:color w:val="000000" w:themeColor="text1"/>
                <w:sz w:val="24"/>
                <w:szCs w:val="24"/>
              </w:rPr>
              <w:t>)</w:t>
            </w:r>
          </w:p>
        </w:tc>
      </w:tr>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pStyle w:val="ad"/>
              <w:adjustRightInd w:val="0"/>
              <w:snapToGrid w:val="0"/>
              <w:spacing w:line="360" w:lineRule="exact"/>
              <w:rPr>
                <w:rFonts w:eastAsia="方正仿宋简体"/>
                <w:color w:val="000000" w:themeColor="text1"/>
              </w:rPr>
            </w:pPr>
            <w:r w:rsidRPr="008658FD">
              <w:rPr>
                <w:color w:val="000000" w:themeColor="text1"/>
              </w:rPr>
              <w:t>报告期期</w:t>
            </w:r>
            <w:proofErr w:type="gramStart"/>
            <w:r w:rsidRPr="008658FD">
              <w:rPr>
                <w:color w:val="000000" w:themeColor="text1"/>
              </w:rPr>
              <w:t>初管理</w:t>
            </w:r>
            <w:proofErr w:type="gramEnd"/>
            <w:r w:rsidRPr="008658FD">
              <w:rPr>
                <w:color w:val="000000" w:themeColor="text1"/>
              </w:rPr>
              <w:t>人持有的本基金份额</w:t>
            </w:r>
          </w:p>
        </w:tc>
        <w:tc>
          <w:tcPr>
            <w:tcW w:w="2622" w:type="dxa"/>
            <w:tcBorders>
              <w:top w:val="single" w:sz="4" w:space="0" w:color="auto"/>
              <w:left w:val="single" w:sz="8" w:space="0" w:color="000000"/>
              <w:bottom w:val="single" w:sz="4" w:space="0" w:color="auto"/>
              <w:right w:val="single" w:sz="8" w:space="0" w:color="000000"/>
            </w:tcBorders>
            <w:vAlign w:val="center"/>
            <w:hideMark/>
          </w:tcPr>
          <w:p w:rsidR="008658FD" w:rsidRPr="008658FD" w:rsidRDefault="00D95197" w:rsidP="00DA5906">
            <w:pPr>
              <w:jc w:val="right"/>
              <w:rPr>
                <w:rFonts w:eastAsiaTheme="minorEastAsia"/>
                <w:color w:val="000000" w:themeColor="text1"/>
                <w:sz w:val="24"/>
                <w:szCs w:val="24"/>
              </w:rPr>
            </w:pPr>
            <w:r w:rsidRPr="008658FD">
              <w:rPr>
                <w:rFonts w:eastAsiaTheme="minorEastAsia"/>
                <w:color w:val="000000" w:themeColor="text1"/>
                <w:sz w:val="24"/>
                <w:szCs w:val="24"/>
              </w:rPr>
              <w:t>148,612,662.00</w:t>
            </w:r>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jc w:val="right"/>
              <w:rPr>
                <w:rFonts w:eastAsiaTheme="minorEastAsia"/>
                <w:color w:val="000000" w:themeColor="text1"/>
                <w:sz w:val="24"/>
                <w:szCs w:val="24"/>
              </w:rPr>
            </w:pPr>
            <w:r w:rsidRPr="008658FD">
              <w:rPr>
                <w:rFonts w:eastAsiaTheme="minorEastAsia"/>
                <w:color w:val="000000" w:themeColor="text1"/>
                <w:sz w:val="24"/>
                <w:szCs w:val="24"/>
              </w:rPr>
              <w:t>148,612,662.00</w:t>
            </w:r>
          </w:p>
        </w:tc>
      </w:tr>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adjustRightInd w:val="0"/>
              <w:snapToGrid w:val="0"/>
              <w:spacing w:line="360" w:lineRule="exact"/>
              <w:rPr>
                <w:color w:val="000000" w:themeColor="text1"/>
                <w:sz w:val="24"/>
                <w:szCs w:val="24"/>
              </w:rPr>
            </w:pPr>
            <w:r w:rsidRPr="008658FD">
              <w:rPr>
                <w:rFonts w:eastAsiaTheme="minorEastAsia"/>
                <w:color w:val="000000" w:themeColor="text1"/>
                <w:kern w:val="0"/>
                <w:sz w:val="24"/>
                <w:szCs w:val="24"/>
              </w:rPr>
              <w:t>基金合同生效日起</w:t>
            </w:r>
            <w:proofErr w:type="gramStart"/>
            <w:r w:rsidRPr="008658FD">
              <w:rPr>
                <w:rFonts w:eastAsiaTheme="minorEastAsia"/>
                <w:color w:val="000000" w:themeColor="text1"/>
                <w:kern w:val="0"/>
                <w:sz w:val="24"/>
                <w:szCs w:val="24"/>
              </w:rPr>
              <w:t>至报告</w:t>
            </w:r>
            <w:proofErr w:type="gramEnd"/>
            <w:r w:rsidRPr="008658FD">
              <w:rPr>
                <w:rFonts w:eastAsiaTheme="minorEastAsia"/>
                <w:color w:val="000000" w:themeColor="text1"/>
                <w:kern w:val="0"/>
                <w:sz w:val="24"/>
                <w:szCs w:val="24"/>
              </w:rPr>
              <w:t>期期末</w:t>
            </w:r>
            <w:r w:rsidRPr="008658FD">
              <w:rPr>
                <w:color w:val="000000" w:themeColor="text1"/>
                <w:sz w:val="24"/>
                <w:szCs w:val="24"/>
              </w:rPr>
              <w:t>买入</w:t>
            </w:r>
            <w:r w:rsidRPr="008658FD">
              <w:rPr>
                <w:color w:val="000000" w:themeColor="text1"/>
                <w:sz w:val="24"/>
                <w:szCs w:val="24"/>
              </w:rPr>
              <w:t>/</w:t>
            </w:r>
            <w:r w:rsidRPr="008658FD">
              <w:rPr>
                <w:color w:val="000000" w:themeColor="text1"/>
                <w:sz w:val="24"/>
                <w:szCs w:val="24"/>
              </w:rPr>
              <w:t>申购总份额</w:t>
            </w:r>
          </w:p>
        </w:tc>
        <w:tc>
          <w:tcPr>
            <w:tcW w:w="2622" w:type="dxa"/>
            <w:tcBorders>
              <w:top w:val="single" w:sz="4" w:space="0" w:color="auto"/>
              <w:left w:val="single" w:sz="8" w:space="0" w:color="000000"/>
              <w:bottom w:val="single" w:sz="8" w:space="0" w:color="000000"/>
              <w:right w:val="single" w:sz="8" w:space="0" w:color="000000"/>
            </w:tcBorders>
            <w:vAlign w:val="center"/>
            <w:hideMark/>
          </w:tcPr>
          <w:p w:rsidR="008658FD" w:rsidRPr="008658FD" w:rsidRDefault="00D95197" w:rsidP="00DA5906">
            <w:pPr>
              <w:jc w:val="right"/>
              <w:rPr>
                <w:rFonts w:eastAsiaTheme="minorEastAsia"/>
                <w:color w:val="000000" w:themeColor="text1"/>
                <w:kern w:val="0"/>
                <w:sz w:val="24"/>
                <w:szCs w:val="24"/>
              </w:rPr>
            </w:pPr>
            <w:r>
              <w:rPr>
                <w:rFonts w:eastAsiaTheme="minorEastAsia" w:hint="eastAsia"/>
                <w:color w:val="000000" w:themeColor="text1"/>
                <w:sz w:val="24"/>
                <w:szCs w:val="24"/>
              </w:rPr>
              <w:t>-</w:t>
            </w:r>
            <w:bookmarkStart w:id="1" w:name="_GoBack"/>
            <w:bookmarkEnd w:id="1"/>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jc w:val="right"/>
              <w:rPr>
                <w:rFonts w:eastAsiaTheme="minorEastAsia"/>
                <w:color w:val="000000" w:themeColor="text1"/>
                <w:kern w:val="0"/>
                <w:sz w:val="24"/>
                <w:szCs w:val="24"/>
              </w:rPr>
            </w:pPr>
            <w:r w:rsidRPr="008658FD">
              <w:rPr>
                <w:rFonts w:eastAsiaTheme="minorEastAsia"/>
                <w:color w:val="000000" w:themeColor="text1"/>
                <w:sz w:val="24"/>
                <w:szCs w:val="24"/>
              </w:rPr>
              <w:t>-</w:t>
            </w:r>
          </w:p>
        </w:tc>
      </w:tr>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adjustRightInd w:val="0"/>
              <w:snapToGrid w:val="0"/>
              <w:spacing w:line="360" w:lineRule="exact"/>
              <w:rPr>
                <w:color w:val="000000" w:themeColor="text1"/>
                <w:sz w:val="24"/>
                <w:szCs w:val="24"/>
              </w:rPr>
            </w:pPr>
            <w:r w:rsidRPr="008658FD">
              <w:rPr>
                <w:rFonts w:eastAsiaTheme="minorEastAsia"/>
                <w:color w:val="000000" w:themeColor="text1"/>
                <w:kern w:val="0"/>
                <w:sz w:val="24"/>
                <w:szCs w:val="24"/>
              </w:rPr>
              <w:t>基金合同生效日起</w:t>
            </w:r>
            <w:proofErr w:type="gramStart"/>
            <w:r w:rsidRPr="008658FD">
              <w:rPr>
                <w:rFonts w:eastAsiaTheme="minorEastAsia"/>
                <w:color w:val="000000" w:themeColor="text1"/>
                <w:kern w:val="0"/>
                <w:sz w:val="24"/>
                <w:szCs w:val="24"/>
              </w:rPr>
              <w:t>至报告</w:t>
            </w:r>
            <w:proofErr w:type="gramEnd"/>
            <w:r w:rsidRPr="008658FD">
              <w:rPr>
                <w:rFonts w:eastAsiaTheme="minorEastAsia"/>
                <w:color w:val="000000" w:themeColor="text1"/>
                <w:kern w:val="0"/>
                <w:sz w:val="24"/>
                <w:szCs w:val="24"/>
              </w:rPr>
              <w:t>期期末</w:t>
            </w:r>
            <w:r w:rsidRPr="008658FD">
              <w:rPr>
                <w:color w:val="000000" w:themeColor="text1"/>
                <w:sz w:val="24"/>
                <w:szCs w:val="24"/>
              </w:rPr>
              <w:t>卖出</w:t>
            </w:r>
            <w:r w:rsidRPr="008658FD">
              <w:rPr>
                <w:color w:val="000000" w:themeColor="text1"/>
                <w:sz w:val="24"/>
                <w:szCs w:val="24"/>
              </w:rPr>
              <w:t>/</w:t>
            </w:r>
            <w:r w:rsidRPr="008658FD">
              <w:rPr>
                <w:color w:val="000000" w:themeColor="text1"/>
                <w:sz w:val="24"/>
                <w:szCs w:val="24"/>
              </w:rPr>
              <w:t>赎回总份额</w:t>
            </w:r>
          </w:p>
        </w:tc>
        <w:tc>
          <w:tcPr>
            <w:tcW w:w="2622"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jc w:val="right"/>
              <w:rPr>
                <w:rFonts w:eastAsiaTheme="minorEastAsia"/>
                <w:color w:val="000000" w:themeColor="text1"/>
                <w:kern w:val="0"/>
                <w:sz w:val="24"/>
                <w:szCs w:val="24"/>
              </w:rPr>
            </w:pPr>
            <w:r w:rsidRPr="008658FD">
              <w:rPr>
                <w:rFonts w:eastAsiaTheme="minorEastAsia"/>
                <w:color w:val="000000" w:themeColor="text1"/>
                <w:sz w:val="24"/>
                <w:szCs w:val="24"/>
              </w:rPr>
              <w:t>-</w:t>
            </w:r>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jc w:val="right"/>
              <w:rPr>
                <w:rFonts w:eastAsiaTheme="minorEastAsia"/>
                <w:color w:val="000000" w:themeColor="text1"/>
                <w:kern w:val="0"/>
                <w:sz w:val="24"/>
                <w:szCs w:val="24"/>
              </w:rPr>
            </w:pPr>
            <w:r w:rsidRPr="008658FD">
              <w:rPr>
                <w:rFonts w:eastAsiaTheme="minorEastAsia"/>
                <w:color w:val="000000" w:themeColor="text1"/>
                <w:sz w:val="24"/>
                <w:szCs w:val="24"/>
              </w:rPr>
              <w:t>-</w:t>
            </w:r>
          </w:p>
        </w:tc>
      </w:tr>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adjustRightInd w:val="0"/>
              <w:snapToGrid w:val="0"/>
              <w:spacing w:line="360" w:lineRule="exact"/>
              <w:rPr>
                <w:color w:val="000000" w:themeColor="text1"/>
                <w:sz w:val="24"/>
                <w:szCs w:val="24"/>
              </w:rPr>
            </w:pPr>
            <w:r w:rsidRPr="008658FD">
              <w:rPr>
                <w:color w:val="000000" w:themeColor="text1"/>
                <w:sz w:val="24"/>
                <w:szCs w:val="24"/>
              </w:rPr>
              <w:t>报告期期末管理人持有的本基金份额</w:t>
            </w:r>
          </w:p>
        </w:tc>
        <w:tc>
          <w:tcPr>
            <w:tcW w:w="2622"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jc w:val="right"/>
              <w:rPr>
                <w:rFonts w:eastAsiaTheme="minorEastAsia"/>
                <w:color w:val="000000" w:themeColor="text1"/>
                <w:sz w:val="24"/>
                <w:szCs w:val="24"/>
              </w:rPr>
            </w:pPr>
            <w:r w:rsidRPr="008658FD">
              <w:rPr>
                <w:rFonts w:eastAsiaTheme="minorEastAsia"/>
                <w:color w:val="000000" w:themeColor="text1"/>
                <w:sz w:val="24"/>
                <w:szCs w:val="24"/>
              </w:rPr>
              <w:t>148,612,662.00</w:t>
            </w:r>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jc w:val="right"/>
              <w:rPr>
                <w:rFonts w:eastAsiaTheme="minorEastAsia"/>
                <w:color w:val="000000" w:themeColor="text1"/>
                <w:sz w:val="24"/>
                <w:szCs w:val="24"/>
              </w:rPr>
            </w:pPr>
            <w:r w:rsidRPr="008658FD">
              <w:rPr>
                <w:rFonts w:eastAsiaTheme="minorEastAsia"/>
                <w:color w:val="000000" w:themeColor="text1"/>
                <w:sz w:val="24"/>
                <w:szCs w:val="24"/>
              </w:rPr>
              <w:t>148,612,662.00</w:t>
            </w:r>
          </w:p>
        </w:tc>
      </w:tr>
      <w:tr w:rsidR="008658FD" w:rsidRPr="008658FD" w:rsidTr="00DA5906">
        <w:tc>
          <w:tcPr>
            <w:tcW w:w="2694"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adjustRightInd w:val="0"/>
              <w:snapToGrid w:val="0"/>
              <w:spacing w:line="360" w:lineRule="exact"/>
              <w:rPr>
                <w:color w:val="000000" w:themeColor="text1"/>
                <w:sz w:val="24"/>
                <w:szCs w:val="24"/>
              </w:rPr>
            </w:pPr>
            <w:r w:rsidRPr="008658FD">
              <w:rPr>
                <w:color w:val="000000" w:themeColor="text1"/>
                <w:sz w:val="24"/>
                <w:szCs w:val="24"/>
              </w:rPr>
              <w:t>报告期期末持有的本基金份额占基金总份额比例（</w:t>
            </w:r>
            <w:r w:rsidRPr="008658FD">
              <w:rPr>
                <w:color w:val="000000" w:themeColor="text1"/>
                <w:sz w:val="24"/>
                <w:szCs w:val="24"/>
              </w:rPr>
              <w:t>%</w:t>
            </w:r>
            <w:r w:rsidRPr="008658FD">
              <w:rPr>
                <w:color w:val="000000" w:themeColor="text1"/>
                <w:sz w:val="24"/>
                <w:szCs w:val="24"/>
              </w:rPr>
              <w:t>）</w:t>
            </w:r>
          </w:p>
        </w:tc>
        <w:tc>
          <w:tcPr>
            <w:tcW w:w="2622" w:type="dxa"/>
            <w:tcBorders>
              <w:top w:val="single" w:sz="8" w:space="0" w:color="000000"/>
              <w:left w:val="single" w:sz="8" w:space="0" w:color="000000"/>
              <w:bottom w:val="single" w:sz="8" w:space="0" w:color="000000"/>
              <w:right w:val="single" w:sz="8" w:space="0" w:color="000000"/>
            </w:tcBorders>
            <w:vAlign w:val="center"/>
            <w:hideMark/>
          </w:tcPr>
          <w:p w:rsidR="008658FD" w:rsidRPr="008658FD" w:rsidRDefault="008658FD" w:rsidP="00DA5906">
            <w:pPr>
              <w:jc w:val="right"/>
              <w:rPr>
                <w:rFonts w:eastAsiaTheme="minorEastAsia"/>
                <w:color w:val="000000" w:themeColor="text1"/>
                <w:kern w:val="0"/>
                <w:sz w:val="24"/>
                <w:szCs w:val="24"/>
              </w:rPr>
            </w:pPr>
            <w:r w:rsidRPr="008658FD">
              <w:rPr>
                <w:rFonts w:eastAsiaTheme="minorEastAsia"/>
                <w:color w:val="000000" w:themeColor="text1"/>
                <w:sz w:val="24"/>
                <w:szCs w:val="24"/>
              </w:rPr>
              <w:t>9.70</w:t>
            </w:r>
          </w:p>
        </w:tc>
        <w:tc>
          <w:tcPr>
            <w:tcW w:w="2622" w:type="dxa"/>
            <w:tcBorders>
              <w:top w:val="single" w:sz="4" w:space="0" w:color="auto"/>
              <w:bottom w:val="single" w:sz="4" w:space="0" w:color="auto"/>
              <w:right w:val="single" w:sz="4" w:space="0" w:color="auto"/>
            </w:tcBorders>
            <w:shd w:val="clear" w:color="auto" w:fill="auto"/>
            <w:vAlign w:val="center"/>
          </w:tcPr>
          <w:p w:rsidR="008658FD" w:rsidRPr="008658FD" w:rsidRDefault="008658FD" w:rsidP="00DA5906">
            <w:pPr>
              <w:jc w:val="right"/>
              <w:rPr>
                <w:rFonts w:eastAsiaTheme="minorEastAsia"/>
                <w:color w:val="000000" w:themeColor="text1"/>
                <w:kern w:val="0"/>
                <w:sz w:val="24"/>
                <w:szCs w:val="24"/>
              </w:rPr>
            </w:pPr>
            <w:r w:rsidRPr="008658FD">
              <w:rPr>
                <w:rFonts w:eastAsiaTheme="minorEastAsia"/>
                <w:color w:val="000000" w:themeColor="text1"/>
                <w:sz w:val="24"/>
                <w:szCs w:val="24"/>
              </w:rPr>
              <w:t>4.95</w:t>
            </w:r>
          </w:p>
        </w:tc>
      </w:tr>
    </w:tbl>
    <w:p w:rsidR="00DA2AF2" w:rsidRDefault="00DA2AF2" w:rsidP="005D6378">
      <w:pPr>
        <w:spacing w:line="360" w:lineRule="auto"/>
        <w:rPr>
          <w:rFonts w:cs="Arial"/>
          <w:b/>
          <w:color w:val="000000"/>
          <w:kern w:val="0"/>
          <w:sz w:val="24"/>
          <w:szCs w:val="24"/>
        </w:rPr>
      </w:pPr>
      <w:r w:rsidRPr="00EC6E88">
        <w:rPr>
          <w:rFonts w:cs="Arial"/>
          <w:b/>
          <w:color w:val="000000"/>
          <w:kern w:val="0"/>
          <w:sz w:val="24"/>
          <w:szCs w:val="24"/>
        </w:rPr>
        <w:t xml:space="preserve">7.2 </w:t>
      </w:r>
      <w:r w:rsidRPr="00EC6E88">
        <w:rPr>
          <w:rFonts w:cs="Arial" w:hint="eastAsia"/>
          <w:b/>
          <w:color w:val="000000"/>
          <w:kern w:val="0"/>
          <w:sz w:val="24"/>
          <w:szCs w:val="24"/>
        </w:rPr>
        <w:t>基金管理人运用</w:t>
      </w:r>
      <w:proofErr w:type="gramStart"/>
      <w:r w:rsidRPr="00EC6E88">
        <w:rPr>
          <w:rFonts w:cs="Arial" w:hint="eastAsia"/>
          <w:b/>
          <w:color w:val="000000"/>
          <w:kern w:val="0"/>
          <w:sz w:val="24"/>
          <w:szCs w:val="24"/>
        </w:rPr>
        <w:t>固有资金</w:t>
      </w:r>
      <w:proofErr w:type="gramEnd"/>
      <w:r w:rsidRPr="00EC6E88">
        <w:rPr>
          <w:rFonts w:cs="Arial" w:hint="eastAsia"/>
          <w:b/>
          <w:color w:val="000000"/>
          <w:kern w:val="0"/>
          <w:sz w:val="24"/>
          <w:szCs w:val="24"/>
        </w:rPr>
        <w:t>投资本基金交易明细</w:t>
      </w:r>
    </w:p>
    <w:p w:rsidR="008658FD" w:rsidRPr="008658FD" w:rsidRDefault="008658FD" w:rsidP="005D6378">
      <w:pPr>
        <w:autoSpaceDE w:val="0"/>
        <w:autoSpaceDN w:val="0"/>
        <w:adjustRightInd w:val="0"/>
        <w:spacing w:line="360" w:lineRule="auto"/>
        <w:ind w:left="15"/>
        <w:jc w:val="left"/>
        <w:rPr>
          <w:rFonts w:cs="Arial"/>
          <w:b/>
          <w:color w:val="000000"/>
          <w:kern w:val="0"/>
          <w:sz w:val="24"/>
          <w:szCs w:val="24"/>
        </w:rPr>
      </w:pPr>
      <w:r w:rsidRPr="00EC6E88">
        <w:rPr>
          <w:rFonts w:cs="Arial" w:hint="eastAsia"/>
          <w:b/>
          <w:color w:val="000000"/>
          <w:kern w:val="0"/>
          <w:sz w:val="24"/>
          <w:szCs w:val="24"/>
        </w:rPr>
        <w:t xml:space="preserve">7.2.1 </w:t>
      </w:r>
      <w:r w:rsidRPr="00EC6E88">
        <w:rPr>
          <w:rFonts w:cs="Arial"/>
          <w:b/>
          <w:color w:val="000000"/>
          <w:kern w:val="0"/>
          <w:sz w:val="24"/>
          <w:szCs w:val="24"/>
        </w:rPr>
        <w:t>易方达科瑞灵活配置混合型证券投资基金</w:t>
      </w:r>
    </w:p>
    <w:p w:rsidR="00DA2AF2" w:rsidRPr="00035A79" w:rsidRDefault="00DA2AF2" w:rsidP="00035A79">
      <w:pPr>
        <w:autoSpaceDE w:val="0"/>
        <w:autoSpaceDN w:val="0"/>
        <w:adjustRightInd w:val="0"/>
        <w:spacing w:line="360" w:lineRule="auto"/>
        <w:ind w:left="17"/>
        <w:jc w:val="left"/>
        <w:rPr>
          <w:color w:val="000000"/>
          <w:sz w:val="24"/>
          <w:szCs w:val="24"/>
        </w:rPr>
      </w:pPr>
      <w:r w:rsidRPr="00035A79">
        <w:rPr>
          <w:color w:val="000000"/>
          <w:sz w:val="24"/>
          <w:szCs w:val="24"/>
        </w:rPr>
        <w:t>本报告期内基金管理人未运用</w:t>
      </w:r>
      <w:proofErr w:type="gramStart"/>
      <w:r w:rsidRPr="00035A79">
        <w:rPr>
          <w:color w:val="000000"/>
          <w:sz w:val="24"/>
          <w:szCs w:val="24"/>
        </w:rPr>
        <w:t>固有资金</w:t>
      </w:r>
      <w:proofErr w:type="gramEnd"/>
      <w:r w:rsidRPr="00035A79">
        <w:rPr>
          <w:color w:val="000000"/>
          <w:sz w:val="24"/>
          <w:szCs w:val="24"/>
        </w:rPr>
        <w:t>申购、赎回、买卖本基金份额。</w:t>
      </w:r>
    </w:p>
    <w:p w:rsidR="008658FD" w:rsidRPr="00EC6E88" w:rsidRDefault="008658FD" w:rsidP="005D6378">
      <w:pPr>
        <w:autoSpaceDE w:val="0"/>
        <w:autoSpaceDN w:val="0"/>
        <w:adjustRightInd w:val="0"/>
        <w:spacing w:line="360" w:lineRule="auto"/>
        <w:ind w:left="17"/>
        <w:jc w:val="left"/>
        <w:rPr>
          <w:rFonts w:cs="Arial"/>
          <w:b/>
          <w:color w:val="000000"/>
          <w:kern w:val="0"/>
          <w:sz w:val="24"/>
          <w:szCs w:val="24"/>
        </w:rPr>
      </w:pPr>
      <w:r w:rsidRPr="00EC6E88">
        <w:rPr>
          <w:rFonts w:cs="Arial" w:hint="eastAsia"/>
          <w:b/>
          <w:color w:val="000000"/>
          <w:kern w:val="0"/>
          <w:sz w:val="24"/>
          <w:szCs w:val="24"/>
        </w:rPr>
        <w:t xml:space="preserve">7.2.2 </w:t>
      </w:r>
      <w:r w:rsidRPr="00EC6E88">
        <w:rPr>
          <w:rFonts w:cs="Arial"/>
          <w:b/>
          <w:color w:val="000000"/>
          <w:kern w:val="0"/>
          <w:sz w:val="24"/>
          <w:szCs w:val="24"/>
        </w:rPr>
        <w:t>科瑞证券投资基金</w:t>
      </w:r>
    </w:p>
    <w:p w:rsidR="00D36C1E" w:rsidRPr="00035A79" w:rsidRDefault="00D36C1E" w:rsidP="00035A79">
      <w:pPr>
        <w:autoSpaceDE w:val="0"/>
        <w:autoSpaceDN w:val="0"/>
        <w:adjustRightInd w:val="0"/>
        <w:spacing w:line="360" w:lineRule="auto"/>
        <w:ind w:left="17"/>
        <w:jc w:val="left"/>
        <w:rPr>
          <w:color w:val="000000"/>
          <w:sz w:val="24"/>
          <w:szCs w:val="24"/>
        </w:rPr>
      </w:pPr>
      <w:r w:rsidRPr="00035A79">
        <w:rPr>
          <w:color w:val="000000"/>
          <w:sz w:val="24"/>
          <w:szCs w:val="24"/>
        </w:rPr>
        <w:lastRenderedPageBreak/>
        <w:t>本报告期内基金管理人未运用</w:t>
      </w:r>
      <w:proofErr w:type="gramStart"/>
      <w:r w:rsidRPr="00035A79">
        <w:rPr>
          <w:color w:val="000000"/>
          <w:sz w:val="24"/>
          <w:szCs w:val="24"/>
        </w:rPr>
        <w:t>固有资金</w:t>
      </w:r>
      <w:proofErr w:type="gramEnd"/>
      <w:r w:rsidRPr="00035A79">
        <w:rPr>
          <w:color w:val="000000"/>
          <w:sz w:val="24"/>
          <w:szCs w:val="24"/>
        </w:rPr>
        <w:t>申购、赎回、买卖本基金份额。</w:t>
      </w:r>
    </w:p>
    <w:p w:rsidR="004061AC" w:rsidRPr="00510C69" w:rsidRDefault="004061AC" w:rsidP="00510C69">
      <w:pPr>
        <w:pStyle w:val="1"/>
        <w:jc w:val="center"/>
        <w:rPr>
          <w:rFonts w:ascii="宋体" w:hAnsi="宋体"/>
          <w:bCs w:val="0"/>
          <w:color w:val="000000"/>
          <w:sz w:val="24"/>
          <w:szCs w:val="24"/>
        </w:rPr>
      </w:pPr>
      <w:r w:rsidRPr="00510C69">
        <w:rPr>
          <w:rFonts w:ascii="宋体" w:hAnsi="宋体" w:hint="eastAsia"/>
          <w:bCs w:val="0"/>
          <w:color w:val="000000"/>
          <w:sz w:val="24"/>
          <w:szCs w:val="24"/>
        </w:rPr>
        <w:t>§</w:t>
      </w:r>
      <w:r w:rsidR="00D02347" w:rsidRPr="00510C69">
        <w:rPr>
          <w:rFonts w:ascii="宋体" w:hAnsi="宋体" w:hint="eastAsia"/>
          <w:bCs w:val="0"/>
          <w:color w:val="000000"/>
          <w:sz w:val="24"/>
          <w:szCs w:val="24"/>
        </w:rPr>
        <w:t>8</w:t>
      </w:r>
      <w:r w:rsidRPr="00510C69">
        <w:rPr>
          <w:rFonts w:ascii="宋体" w:hAnsi="宋体"/>
          <w:bCs w:val="0"/>
          <w:color w:val="000000"/>
          <w:sz w:val="24"/>
          <w:szCs w:val="24"/>
        </w:rPr>
        <w:t xml:space="preserve">  </w:t>
      </w:r>
      <w:r w:rsidRPr="00510C69">
        <w:rPr>
          <w:rFonts w:ascii="宋体" w:hAnsi="宋体" w:hint="eastAsia"/>
          <w:bCs w:val="0"/>
          <w:color w:val="000000"/>
          <w:sz w:val="24"/>
          <w:szCs w:val="24"/>
        </w:rPr>
        <w:t>备查文件目录</w:t>
      </w: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8</w:t>
      </w:r>
      <w:r w:rsidR="004061AC" w:rsidRPr="00EC6E88">
        <w:rPr>
          <w:rFonts w:cs="Arial"/>
          <w:b/>
          <w:color w:val="000000"/>
          <w:kern w:val="0"/>
          <w:sz w:val="24"/>
          <w:szCs w:val="24"/>
        </w:rPr>
        <w:t>.</w:t>
      </w:r>
      <w:r w:rsidR="00676095" w:rsidRPr="00EC6E88">
        <w:rPr>
          <w:rFonts w:cs="Arial" w:hint="eastAsia"/>
          <w:b/>
          <w:color w:val="000000"/>
          <w:kern w:val="0"/>
          <w:sz w:val="24"/>
          <w:szCs w:val="24"/>
        </w:rPr>
        <w:t>1</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备查文件目录</w:t>
      </w:r>
    </w:p>
    <w:p w:rsidR="0099261D" w:rsidRDefault="001E0F38">
      <w:pPr>
        <w:adjustRightInd w:val="0"/>
        <w:spacing w:line="360" w:lineRule="auto"/>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中国证监会准予科瑞证券投资基金变更注册的文件；</w:t>
      </w:r>
    </w:p>
    <w:p w:rsidR="0099261D" w:rsidRDefault="001E0F38">
      <w:pPr>
        <w:adjustRightInd w:val="0"/>
        <w:spacing w:line="360" w:lineRule="auto"/>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关于科瑞证券投资</w:t>
      </w:r>
      <w:proofErr w:type="gramStart"/>
      <w:r>
        <w:rPr>
          <w:rFonts w:hAnsi="宋体" w:hint="eastAsia"/>
          <w:color w:val="000000"/>
          <w:sz w:val="24"/>
          <w:szCs w:val="24"/>
        </w:rPr>
        <w:t>基金基金</w:t>
      </w:r>
      <w:proofErr w:type="gramEnd"/>
      <w:r>
        <w:rPr>
          <w:rFonts w:hAnsi="宋体" w:hint="eastAsia"/>
          <w:color w:val="000000"/>
          <w:sz w:val="24"/>
          <w:szCs w:val="24"/>
        </w:rPr>
        <w:t>份额持有人大会表决结果</w:t>
      </w:r>
      <w:proofErr w:type="gramStart"/>
      <w:r>
        <w:rPr>
          <w:rFonts w:hAnsi="宋体" w:hint="eastAsia"/>
          <w:color w:val="000000"/>
          <w:sz w:val="24"/>
          <w:szCs w:val="24"/>
        </w:rPr>
        <w:t>暨决议</w:t>
      </w:r>
      <w:proofErr w:type="gramEnd"/>
      <w:r>
        <w:rPr>
          <w:rFonts w:hAnsi="宋体" w:hint="eastAsia"/>
          <w:color w:val="000000"/>
          <w:sz w:val="24"/>
          <w:szCs w:val="24"/>
        </w:rPr>
        <w:t>生效的公告；</w:t>
      </w:r>
    </w:p>
    <w:p w:rsidR="0099261D" w:rsidRDefault="001E0F38">
      <w:pPr>
        <w:adjustRightInd w:val="0"/>
        <w:spacing w:line="360" w:lineRule="auto"/>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《易方达科瑞灵活配置混合型证券投资基金基金合同》；</w:t>
      </w:r>
    </w:p>
    <w:p w:rsidR="0099261D" w:rsidRDefault="001E0F38">
      <w:pPr>
        <w:adjustRightInd w:val="0"/>
        <w:spacing w:line="360" w:lineRule="auto"/>
        <w:ind w:firstLineChars="200" w:firstLine="480"/>
        <w:rPr>
          <w:rFonts w:hAnsi="宋体"/>
          <w:color w:val="000000"/>
          <w:sz w:val="24"/>
          <w:szCs w:val="24"/>
        </w:rPr>
      </w:pPr>
      <w:r>
        <w:rPr>
          <w:rFonts w:hAnsi="宋体" w:hint="eastAsia"/>
          <w:color w:val="000000"/>
          <w:sz w:val="24"/>
          <w:szCs w:val="24"/>
        </w:rPr>
        <w:t>4.</w:t>
      </w:r>
      <w:r>
        <w:rPr>
          <w:rFonts w:hAnsi="宋体" w:hint="eastAsia"/>
          <w:color w:val="000000"/>
          <w:sz w:val="24"/>
          <w:szCs w:val="24"/>
        </w:rPr>
        <w:t>《易方达科瑞灵活配置混合型证券投资基金托管协议》；</w:t>
      </w:r>
    </w:p>
    <w:p w:rsidR="0099261D" w:rsidRDefault="001E0F38">
      <w:pPr>
        <w:adjustRightInd w:val="0"/>
        <w:spacing w:line="360" w:lineRule="auto"/>
        <w:ind w:firstLineChars="200" w:firstLine="480"/>
        <w:rPr>
          <w:rFonts w:hAnsi="宋体"/>
          <w:color w:val="000000"/>
          <w:sz w:val="24"/>
          <w:szCs w:val="24"/>
        </w:rPr>
      </w:pPr>
      <w:r>
        <w:rPr>
          <w:rFonts w:hAnsi="宋体" w:hint="eastAsia"/>
          <w:color w:val="000000"/>
          <w:sz w:val="24"/>
          <w:szCs w:val="24"/>
        </w:rPr>
        <w:t>5.</w:t>
      </w:r>
      <w:r>
        <w:rPr>
          <w:rFonts w:hAnsi="宋体" w:hint="eastAsia"/>
          <w:color w:val="000000"/>
          <w:sz w:val="24"/>
          <w:szCs w:val="24"/>
        </w:rPr>
        <w:t>《易方达基金管理有限公司开放式基金业务规则》；</w:t>
      </w:r>
    </w:p>
    <w:p w:rsidR="004061AC" w:rsidRPr="00A973C2" w:rsidRDefault="006D7FF8" w:rsidP="00510C69">
      <w:pPr>
        <w:adjustRightInd w:val="0"/>
        <w:spacing w:line="360" w:lineRule="auto"/>
        <w:ind w:firstLineChars="200" w:firstLine="480"/>
        <w:rPr>
          <w:rFonts w:hAnsi="宋体"/>
          <w:color w:val="000000"/>
          <w:sz w:val="24"/>
          <w:szCs w:val="24"/>
        </w:rPr>
      </w:pPr>
      <w:r w:rsidRPr="00A973C2">
        <w:rPr>
          <w:rFonts w:hAnsi="宋体" w:hint="eastAsia"/>
          <w:color w:val="000000"/>
          <w:sz w:val="24"/>
          <w:szCs w:val="24"/>
        </w:rPr>
        <w:t>6.</w:t>
      </w:r>
      <w:r w:rsidRPr="00A973C2">
        <w:rPr>
          <w:rFonts w:hAnsi="宋体" w:hint="eastAsia"/>
          <w:color w:val="000000"/>
          <w:sz w:val="24"/>
          <w:szCs w:val="24"/>
        </w:rPr>
        <w:t>基金管理人业务资格批件、营业执照。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8</w:t>
      </w:r>
      <w:r w:rsidR="004061AC" w:rsidRPr="00EC6E88">
        <w:rPr>
          <w:rFonts w:cs="Arial"/>
          <w:b/>
          <w:color w:val="000000"/>
          <w:kern w:val="0"/>
          <w:sz w:val="24"/>
          <w:szCs w:val="24"/>
        </w:rPr>
        <w:t>.</w:t>
      </w:r>
      <w:r w:rsidR="00676095" w:rsidRPr="00EC6E88">
        <w:rPr>
          <w:rFonts w:cs="Arial" w:hint="eastAsia"/>
          <w:b/>
          <w:color w:val="000000"/>
          <w:kern w:val="0"/>
          <w:sz w:val="24"/>
          <w:szCs w:val="24"/>
        </w:rPr>
        <w:t>2</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存放地点</w:t>
      </w:r>
    </w:p>
    <w:p w:rsidR="004061AC" w:rsidRPr="00A973C2" w:rsidRDefault="006D7FF8" w:rsidP="00510C69">
      <w:pPr>
        <w:adjustRightInd w:val="0"/>
        <w:spacing w:line="360" w:lineRule="auto"/>
        <w:ind w:firstLineChars="200" w:firstLine="480"/>
        <w:rPr>
          <w:rFonts w:hAnsi="宋体"/>
          <w:color w:val="000000"/>
          <w:sz w:val="24"/>
          <w:szCs w:val="24"/>
        </w:rPr>
      </w:pPr>
      <w:r w:rsidRPr="00A973C2">
        <w:rPr>
          <w:rFonts w:hAnsi="宋体" w:hint="eastAsia"/>
          <w:color w:val="000000"/>
          <w:sz w:val="24"/>
          <w:szCs w:val="24"/>
        </w:rPr>
        <w:t>广州市天河区珠江新城珠江东路</w:t>
      </w:r>
      <w:r w:rsidRPr="00A973C2">
        <w:rPr>
          <w:rFonts w:hAnsi="宋体" w:hint="eastAsia"/>
          <w:color w:val="000000"/>
          <w:sz w:val="24"/>
          <w:szCs w:val="24"/>
        </w:rPr>
        <w:t>30</w:t>
      </w:r>
      <w:r w:rsidRPr="00A973C2">
        <w:rPr>
          <w:rFonts w:hAnsi="宋体" w:hint="eastAsia"/>
          <w:color w:val="000000"/>
          <w:sz w:val="24"/>
          <w:szCs w:val="24"/>
        </w:rPr>
        <w:t>号广州银行大厦</w:t>
      </w:r>
      <w:r w:rsidRPr="00A973C2">
        <w:rPr>
          <w:rFonts w:hAnsi="宋体" w:hint="eastAsia"/>
          <w:color w:val="000000"/>
          <w:sz w:val="24"/>
          <w:szCs w:val="24"/>
        </w:rPr>
        <w:t>40-43</w:t>
      </w:r>
      <w:r w:rsidRPr="00A973C2">
        <w:rPr>
          <w:rFonts w:hAnsi="宋体" w:hint="eastAsia"/>
          <w:color w:val="000000"/>
          <w:sz w:val="24"/>
          <w:szCs w:val="24"/>
        </w:rPr>
        <w:t>楼。</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8</w:t>
      </w:r>
      <w:r w:rsidR="004061AC" w:rsidRPr="00EC6E88">
        <w:rPr>
          <w:rFonts w:cs="Arial"/>
          <w:b/>
          <w:color w:val="000000"/>
          <w:kern w:val="0"/>
          <w:sz w:val="24"/>
          <w:szCs w:val="24"/>
        </w:rPr>
        <w:t>.</w:t>
      </w:r>
      <w:r w:rsidR="00676095" w:rsidRPr="00EC6E88">
        <w:rPr>
          <w:rFonts w:cs="Arial" w:hint="eastAsia"/>
          <w:b/>
          <w:color w:val="000000"/>
          <w:kern w:val="0"/>
          <w:sz w:val="24"/>
          <w:szCs w:val="24"/>
        </w:rPr>
        <w:t>3</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查阅方式</w:t>
      </w:r>
    </w:p>
    <w:p w:rsidR="00636DB7" w:rsidRPr="00A973C2" w:rsidRDefault="006D7FF8" w:rsidP="00510C69">
      <w:pPr>
        <w:adjustRightInd w:val="0"/>
        <w:spacing w:line="360" w:lineRule="auto"/>
        <w:ind w:firstLineChars="200" w:firstLine="480"/>
        <w:rPr>
          <w:rFonts w:hAnsi="宋体"/>
          <w:color w:val="000000"/>
          <w:sz w:val="24"/>
          <w:szCs w:val="24"/>
        </w:rPr>
      </w:pPr>
      <w:r w:rsidRPr="00A973C2">
        <w:rPr>
          <w:rFonts w:hAnsi="宋体" w:hint="eastAsia"/>
          <w:color w:val="000000"/>
          <w:sz w:val="24"/>
          <w:szCs w:val="24"/>
        </w:rPr>
        <w:t>投资者可在营业时间免费查阅，也可按工本费购买复印件。</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易方达基金管理有限公司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二〇一七年四月二十一日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3"/>
      <w:pgSz w:w="11906" w:h="16838" w:code="9"/>
      <w:pgMar w:top="1440" w:right="1797" w:bottom="1440"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FC" w:rsidRDefault="00851DFC" w:rsidP="00876D65">
      <w:r>
        <w:separator/>
      </w:r>
    </w:p>
  </w:endnote>
  <w:endnote w:type="continuationSeparator" w:id="0">
    <w:p w:rsidR="00851DFC" w:rsidRDefault="00851DF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12" w:rsidRPr="001D0DB0" w:rsidRDefault="00943F12" w:rsidP="0090749E">
    <w:pPr>
      <w:pStyle w:val="a6"/>
    </w:pPr>
    <w:r>
      <w:ptab w:relativeTo="margin" w:alignment="center" w:leader="none"/>
    </w:r>
    <w:r w:rsidR="0090749E">
      <w:rPr>
        <w:rStyle w:val="a7"/>
        <w:rFonts w:hint="eastAsia"/>
      </w:rPr>
      <w:t>第</w:t>
    </w:r>
    <w:r w:rsidR="00080B96">
      <w:rPr>
        <w:rStyle w:val="a7"/>
      </w:rPr>
      <w:fldChar w:fldCharType="begin"/>
    </w:r>
    <w:r w:rsidR="0090749E">
      <w:rPr>
        <w:rStyle w:val="a7"/>
      </w:rPr>
      <w:instrText xml:space="preserve">PAGE  </w:instrText>
    </w:r>
    <w:r w:rsidR="00080B96">
      <w:rPr>
        <w:rStyle w:val="a7"/>
      </w:rPr>
      <w:fldChar w:fldCharType="separate"/>
    </w:r>
    <w:r w:rsidR="00993314">
      <w:rPr>
        <w:rStyle w:val="a7"/>
        <w:noProof/>
      </w:rPr>
      <w:t>1</w:t>
    </w:r>
    <w:r w:rsidR="00080B96">
      <w:rPr>
        <w:rStyle w:val="a7"/>
      </w:rPr>
      <w:fldChar w:fldCharType="end"/>
    </w:r>
    <w:proofErr w:type="gramStart"/>
    <w:r w:rsidR="0090749E">
      <w:rPr>
        <w:rStyle w:val="a7"/>
        <w:rFonts w:hint="eastAsia"/>
      </w:rPr>
      <w:t>页共</w:t>
    </w:r>
    <w:proofErr w:type="gramEnd"/>
    <w:r w:rsidR="00080B96">
      <w:fldChar w:fldCharType="begin"/>
    </w:r>
    <w:r w:rsidR="00080B96">
      <w:instrText xml:space="preserve"> NUMPAGES  \* Arabic  \* MERGEFORMAT </w:instrText>
    </w:r>
    <w:r w:rsidR="00080B96">
      <w:fldChar w:fldCharType="separate"/>
    </w:r>
    <w:r w:rsidR="00993314" w:rsidRPr="00993314">
      <w:rPr>
        <w:rStyle w:val="a7"/>
        <w:noProof/>
      </w:rPr>
      <w:t>18</w:t>
    </w:r>
    <w:r w:rsidR="00080B96">
      <w:fldChar w:fldCharType="end"/>
    </w:r>
    <w:r w:rsidR="0090749E">
      <w:rPr>
        <w:rStyle w:val="a7"/>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9E" w:rsidRDefault="0090749E" w:rsidP="0090749E">
    <w:pPr>
      <w:pStyle w:val="a6"/>
      <w:framePr w:wrap="auto" w:vAnchor="text" w:hAnchor="margin" w:xAlign="center" w:y="1"/>
      <w:rPr>
        <w:rStyle w:val="a7"/>
      </w:rPr>
    </w:pPr>
    <w:r>
      <w:rPr>
        <w:rStyle w:val="a7"/>
        <w:rFonts w:hint="eastAsia"/>
      </w:rPr>
      <w:t>第</w:t>
    </w:r>
    <w:r w:rsidR="00080B96">
      <w:rPr>
        <w:rStyle w:val="a7"/>
      </w:rPr>
      <w:fldChar w:fldCharType="begin"/>
    </w:r>
    <w:r>
      <w:rPr>
        <w:rStyle w:val="a7"/>
      </w:rPr>
      <w:instrText xml:space="preserve">PAGE  </w:instrText>
    </w:r>
    <w:r w:rsidR="00080B96">
      <w:rPr>
        <w:rStyle w:val="a7"/>
      </w:rPr>
      <w:fldChar w:fldCharType="separate"/>
    </w:r>
    <w:r w:rsidR="00993314">
      <w:rPr>
        <w:rStyle w:val="a7"/>
        <w:noProof/>
      </w:rPr>
      <w:t>2</w:t>
    </w:r>
    <w:r w:rsidR="00080B96">
      <w:rPr>
        <w:rStyle w:val="a7"/>
      </w:rPr>
      <w:fldChar w:fldCharType="end"/>
    </w:r>
    <w:proofErr w:type="gramStart"/>
    <w:r>
      <w:rPr>
        <w:rStyle w:val="a7"/>
        <w:rFonts w:hint="eastAsia"/>
      </w:rPr>
      <w:t>页共</w:t>
    </w:r>
    <w:proofErr w:type="gramEnd"/>
    <w:fldSimple w:instr=" NUMPAGES  \* Arabic  \* MERGEFORMAT ">
      <w:r w:rsidR="00993314" w:rsidRPr="00993314">
        <w:rPr>
          <w:rStyle w:val="a7"/>
          <w:noProof/>
        </w:rPr>
        <w:t>18</w:t>
      </w:r>
    </w:fldSimple>
    <w:r>
      <w:rPr>
        <w:rStyle w:val="a7"/>
        <w:rFonts w:hint="eastAsia"/>
      </w:rPr>
      <w:t>页</w:t>
    </w:r>
  </w:p>
  <w:p w:rsidR="00943F12" w:rsidRDefault="00943F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FC" w:rsidRDefault="00851DFC" w:rsidP="00876D65">
      <w:r>
        <w:separator/>
      </w:r>
    </w:p>
  </w:footnote>
  <w:footnote w:type="continuationSeparator" w:id="0">
    <w:p w:rsidR="00851DFC" w:rsidRDefault="00851DF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12" w:rsidRPr="00611F31" w:rsidRDefault="00943F12" w:rsidP="00611F31">
    <w:pPr>
      <w:pStyle w:val="a9"/>
      <w:jc w:val="right"/>
    </w:pPr>
    <w:r w:rsidRPr="00611F31">
      <w:t>易方达科瑞灵活配置混合型证券投资基金</w:t>
    </w:r>
    <w:r w:rsidRPr="00611F31">
      <w:t>(</w:t>
    </w:r>
    <w:r w:rsidRPr="00611F31">
      <w:t>原科瑞证券投资基金转型</w:t>
    </w:r>
    <w:r w:rsidRPr="00611F31">
      <w:t>)2017</w:t>
    </w:r>
    <w:r w:rsidRPr="00611F31">
      <w:t>年第</w:t>
    </w:r>
    <w:r w:rsidRPr="00611F31">
      <w:t>1</w:t>
    </w:r>
    <w:r w:rsidRPr="00611F31">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645"/>
    <w:multiLevelType w:val="hybridMultilevel"/>
    <w:tmpl w:val="3AAAFF9C"/>
    <w:lvl w:ilvl="0" w:tplc="ED98889C">
      <w:start w:val="1"/>
      <w:numFmt w:val="decimal"/>
      <w:suff w:val="space"/>
      <w:lvlText w:val="5.2.2.%1"/>
      <w:lvlJc w:val="left"/>
      <w:pPr>
        <w:ind w:left="43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6E2721"/>
    <w:multiLevelType w:val="multilevel"/>
    <w:tmpl w:val="0C902D02"/>
    <w:lvl w:ilvl="0">
      <w:start w:val="5"/>
      <w:numFmt w:val="decimal"/>
      <w:lvlText w:val="%1"/>
      <w:lvlJc w:val="left"/>
      <w:pPr>
        <w:ind w:left="480" w:hanging="480"/>
      </w:pPr>
      <w:rPr>
        <w:rFonts w:hint="default"/>
      </w:rPr>
    </w:lvl>
    <w:lvl w:ilvl="1">
      <w:start w:val="1"/>
      <w:numFmt w:val="decimal"/>
      <w:lvlText w:val="%1.%2"/>
      <w:lvlJc w:val="left"/>
      <w:pPr>
        <w:ind w:left="487"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
    <w:nsid w:val="110067CE"/>
    <w:multiLevelType w:val="multilevel"/>
    <w:tmpl w:val="16A069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F77C9"/>
    <w:multiLevelType w:val="multilevel"/>
    <w:tmpl w:val="6400E0FC"/>
    <w:lvl w:ilvl="0">
      <w:start w:val="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950C97"/>
    <w:multiLevelType w:val="multilevel"/>
    <w:tmpl w:val="67D252E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6">
    <w:nsid w:val="1D26708E"/>
    <w:multiLevelType w:val="hybridMultilevel"/>
    <w:tmpl w:val="ACBC18E6"/>
    <w:lvl w:ilvl="0" w:tplc="0C5C9456">
      <w:start w:val="1"/>
      <w:numFmt w:val="decimal"/>
      <w:lvlText w:val="5.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467CB"/>
    <w:multiLevelType w:val="hybridMultilevel"/>
    <w:tmpl w:val="5CE644A2"/>
    <w:lvl w:ilvl="0" w:tplc="C1A44830">
      <w:start w:val="1"/>
      <w:numFmt w:val="decimal"/>
      <w:lvlText w:val="5.1.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6B436E"/>
    <w:multiLevelType w:val="multilevel"/>
    <w:tmpl w:val="0C902D02"/>
    <w:lvl w:ilvl="0">
      <w:start w:val="5"/>
      <w:numFmt w:val="decimal"/>
      <w:lvlText w:val="%1"/>
      <w:lvlJc w:val="left"/>
      <w:pPr>
        <w:ind w:left="480" w:hanging="480"/>
      </w:pPr>
      <w:rPr>
        <w:rFonts w:hint="default"/>
      </w:rPr>
    </w:lvl>
    <w:lvl w:ilvl="1">
      <w:start w:val="1"/>
      <w:numFmt w:val="decimal"/>
      <w:lvlText w:val="%1.%2"/>
      <w:lvlJc w:val="left"/>
      <w:pPr>
        <w:ind w:left="487"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9">
    <w:nsid w:val="21F03535"/>
    <w:multiLevelType w:val="multilevel"/>
    <w:tmpl w:val="E63887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52DD3"/>
    <w:multiLevelType w:val="multilevel"/>
    <w:tmpl w:val="43F8030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A528FD"/>
    <w:multiLevelType w:val="multilevel"/>
    <w:tmpl w:val="6D6A160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2D016EB"/>
    <w:multiLevelType w:val="hybridMultilevel"/>
    <w:tmpl w:val="F6022AA0"/>
    <w:lvl w:ilvl="0" w:tplc="96BA0164">
      <w:start w:val="1"/>
      <w:numFmt w:val="decimal"/>
      <w:lvlText w:val="5.2.10.%1"/>
      <w:lvlJc w:val="left"/>
      <w:pPr>
        <w:ind w:left="437" w:hanging="420"/>
      </w:pPr>
      <w:rPr>
        <w:rFonts w:hint="eastAsia"/>
        <w:b/>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13">
    <w:nsid w:val="33DE1724"/>
    <w:multiLevelType w:val="hybridMultilevel"/>
    <w:tmpl w:val="10C6CF76"/>
    <w:lvl w:ilvl="0" w:tplc="96BA0164">
      <w:start w:val="1"/>
      <w:numFmt w:val="decimal"/>
      <w:lvlText w:val="5.2.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EE60A3"/>
    <w:multiLevelType w:val="multilevel"/>
    <w:tmpl w:val="2DB253DE"/>
    <w:lvl w:ilvl="0">
      <w:start w:val="5"/>
      <w:numFmt w:val="decimal"/>
      <w:lvlText w:val="%1"/>
      <w:lvlJc w:val="left"/>
      <w:pPr>
        <w:ind w:left="480" w:hanging="480"/>
      </w:pPr>
      <w:rPr>
        <w:rFonts w:hint="default"/>
      </w:rPr>
    </w:lvl>
    <w:lvl w:ilvl="1">
      <w:start w:val="1"/>
      <w:numFmt w:val="decimal"/>
      <w:lvlText w:val="%1.%2"/>
      <w:lvlJc w:val="left"/>
      <w:pPr>
        <w:ind w:left="487" w:hanging="480"/>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5">
    <w:nsid w:val="37573784"/>
    <w:multiLevelType w:val="hybridMultilevel"/>
    <w:tmpl w:val="20D4D1FE"/>
    <w:lvl w:ilvl="0" w:tplc="39A015B8">
      <w:start w:val="1"/>
      <w:numFmt w:val="decimal"/>
      <w:lvlText w:val="5.1.11.%1"/>
      <w:lvlJc w:val="left"/>
      <w:pPr>
        <w:ind w:left="437" w:hanging="420"/>
      </w:pPr>
      <w:rPr>
        <w:rFonts w:hint="eastAsia"/>
        <w:b/>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16">
    <w:nsid w:val="375C7561"/>
    <w:multiLevelType w:val="hybridMultilevel"/>
    <w:tmpl w:val="89C85B18"/>
    <w:lvl w:ilvl="0" w:tplc="58B6D7C0">
      <w:start w:val="1"/>
      <w:numFmt w:val="decimal"/>
      <w:suff w:val="space"/>
      <w:lvlText w:val="5.1.9.%1"/>
      <w:lvlJc w:val="left"/>
      <w:pPr>
        <w:ind w:left="420" w:hanging="420"/>
      </w:pPr>
      <w:rPr>
        <w:rFonts w:hint="eastAsia"/>
        <w:b/>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7">
    <w:nsid w:val="3E9218C5"/>
    <w:multiLevelType w:val="hybridMultilevel"/>
    <w:tmpl w:val="D73248BA"/>
    <w:lvl w:ilvl="0" w:tplc="5A0A9BF6">
      <w:start w:val="1"/>
      <w:numFmt w:val="decimal"/>
      <w:suff w:val="space"/>
      <w:lvlText w:val="5.1.2.%1"/>
      <w:lvlJc w:val="left"/>
      <w:pPr>
        <w:ind w:left="43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337D51"/>
    <w:multiLevelType w:val="hybridMultilevel"/>
    <w:tmpl w:val="C6DC968C"/>
    <w:lvl w:ilvl="0" w:tplc="5D8C17CA">
      <w:start w:val="1"/>
      <w:numFmt w:val="decimal"/>
      <w:suff w:val="space"/>
      <w:lvlText w:val="5.1.%1"/>
      <w:lvlJc w:val="left"/>
      <w:pPr>
        <w:ind w:left="435" w:hanging="420"/>
      </w:pPr>
      <w:rPr>
        <w:rFonts w:hint="eastAsia"/>
        <w:b/>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9">
    <w:nsid w:val="46600B9F"/>
    <w:multiLevelType w:val="multilevel"/>
    <w:tmpl w:val="E592C7B8"/>
    <w:lvl w:ilvl="0">
      <w:start w:val="5"/>
      <w:numFmt w:val="decimal"/>
      <w:lvlText w:val="%1"/>
      <w:lvlJc w:val="left"/>
      <w:pPr>
        <w:ind w:left="780" w:hanging="780"/>
      </w:pPr>
      <w:rPr>
        <w:rFonts w:hint="default"/>
      </w:rPr>
    </w:lvl>
    <w:lvl w:ilvl="1">
      <w:start w:val="2"/>
      <w:numFmt w:val="decimal"/>
      <w:lvlText w:val="%1.%2"/>
      <w:lvlJc w:val="left"/>
      <w:pPr>
        <w:ind w:left="920" w:hanging="780"/>
      </w:pPr>
      <w:rPr>
        <w:rFonts w:hint="default"/>
      </w:rPr>
    </w:lvl>
    <w:lvl w:ilvl="2">
      <w:start w:val="10"/>
      <w:numFmt w:val="decimal"/>
      <w:lvlText w:val="%1.%2.%3"/>
      <w:lvlJc w:val="left"/>
      <w:pPr>
        <w:ind w:left="1060" w:hanging="780"/>
      </w:pPr>
      <w:rPr>
        <w:rFonts w:hint="default"/>
      </w:rPr>
    </w:lvl>
    <w:lvl w:ilvl="3">
      <w:start w:val="2"/>
      <w:numFmt w:val="decimal"/>
      <w:lvlText w:val="%1.%2.%3.%4"/>
      <w:lvlJc w:val="left"/>
      <w:pPr>
        <w:ind w:left="1200" w:hanging="7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0">
    <w:nsid w:val="48924EA4"/>
    <w:multiLevelType w:val="hybridMultilevel"/>
    <w:tmpl w:val="5A9EBD0E"/>
    <w:lvl w:ilvl="0" w:tplc="78C6AE2C">
      <w:start w:val="1"/>
      <w:numFmt w:val="decimal"/>
      <w:lvlText w:val="5.1.%1"/>
      <w:lvlJc w:val="left"/>
      <w:pPr>
        <w:ind w:left="435" w:hanging="420"/>
      </w:pPr>
      <w:rPr>
        <w:rFonts w:hint="eastAsia"/>
        <w:b/>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21">
    <w:nsid w:val="499C2E0A"/>
    <w:multiLevelType w:val="hybridMultilevel"/>
    <w:tmpl w:val="A6602CFC"/>
    <w:lvl w:ilvl="0" w:tplc="D30AAC00">
      <w:start w:val="1"/>
      <w:numFmt w:val="decimal"/>
      <w:suff w:val="space"/>
      <w:lvlText w:val="5.1.11.%1"/>
      <w:lvlJc w:val="left"/>
      <w:pPr>
        <w:ind w:left="435"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1B3DAD"/>
    <w:multiLevelType w:val="hybridMultilevel"/>
    <w:tmpl w:val="C5B44504"/>
    <w:lvl w:ilvl="0" w:tplc="96BA0164">
      <w:start w:val="1"/>
      <w:numFmt w:val="decimal"/>
      <w:lvlText w:val="5.2.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6377AD"/>
    <w:multiLevelType w:val="hybridMultilevel"/>
    <w:tmpl w:val="135C1F4C"/>
    <w:lvl w:ilvl="0" w:tplc="96BA0164">
      <w:start w:val="1"/>
      <w:numFmt w:val="decimal"/>
      <w:lvlText w:val="5.2.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5">
    <w:nsid w:val="580E5543"/>
    <w:multiLevelType w:val="hybridMultilevel"/>
    <w:tmpl w:val="58264310"/>
    <w:lvl w:ilvl="0" w:tplc="986034EA">
      <w:start w:val="1"/>
      <w:numFmt w:val="decimal"/>
      <w:suff w:val="space"/>
      <w:lvlText w:val="5.2.9.%1"/>
      <w:lvlJc w:val="left"/>
      <w:pPr>
        <w:ind w:left="435" w:hanging="420"/>
      </w:pPr>
      <w:rPr>
        <w:rFonts w:hint="eastAsia"/>
        <w:b/>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26">
    <w:nsid w:val="5E7A4B8F"/>
    <w:multiLevelType w:val="hybridMultilevel"/>
    <w:tmpl w:val="A156E7B8"/>
    <w:lvl w:ilvl="0" w:tplc="47CA6094">
      <w:start w:val="1"/>
      <w:numFmt w:val="decimal"/>
      <w:suff w:val="space"/>
      <w:lvlText w:val="5.2.%1"/>
      <w:lvlJc w:val="left"/>
      <w:pPr>
        <w:ind w:left="420" w:hanging="420"/>
      </w:pPr>
      <w:rPr>
        <w:rFonts w:hint="eastAsia"/>
        <w:b/>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27">
    <w:nsid w:val="5F7439BB"/>
    <w:multiLevelType w:val="hybridMultilevel"/>
    <w:tmpl w:val="01E04C50"/>
    <w:lvl w:ilvl="0" w:tplc="CE40EDC8">
      <w:start w:val="11"/>
      <w:numFmt w:val="decimal"/>
      <w:lvlText w:val="5.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42139A"/>
    <w:multiLevelType w:val="hybridMultilevel"/>
    <w:tmpl w:val="841CCBA8"/>
    <w:lvl w:ilvl="0" w:tplc="C1A44830">
      <w:start w:val="1"/>
      <w:numFmt w:val="decimal"/>
      <w:suff w:val="space"/>
      <w:lvlText w:val="5.1.10.%1"/>
      <w:lvlJc w:val="left"/>
      <w:pPr>
        <w:ind w:left="43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C1791D"/>
    <w:multiLevelType w:val="hybridMultilevel"/>
    <w:tmpl w:val="4C7EF446"/>
    <w:lvl w:ilvl="0" w:tplc="0409000F">
      <w:start w:val="1"/>
      <w:numFmt w:val="decimal"/>
      <w:lvlText w:val="%1."/>
      <w:lvlJc w:val="left"/>
      <w:pPr>
        <w:ind w:left="435" w:hanging="420"/>
      </w:p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30">
    <w:nsid w:val="66355870"/>
    <w:multiLevelType w:val="hybridMultilevel"/>
    <w:tmpl w:val="115C4256"/>
    <w:lvl w:ilvl="0" w:tplc="0C5C9456">
      <w:start w:val="1"/>
      <w:numFmt w:val="decimal"/>
      <w:lvlText w:val="5.2.%1"/>
      <w:lvlJc w:val="left"/>
      <w:pPr>
        <w:ind w:left="538" w:hanging="420"/>
      </w:pPr>
      <w:rPr>
        <w:rFonts w:hint="eastAsia"/>
        <w:b/>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31">
    <w:nsid w:val="68F962F3"/>
    <w:multiLevelType w:val="multilevel"/>
    <w:tmpl w:val="DD709402"/>
    <w:lvl w:ilvl="0">
      <w:start w:val="8"/>
      <w:numFmt w:val="decimal"/>
      <w:lvlText w:val="5.2.%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b/>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6A894500"/>
    <w:multiLevelType w:val="hybridMultilevel"/>
    <w:tmpl w:val="E9BEA9CE"/>
    <w:lvl w:ilvl="0" w:tplc="BF3E5B90">
      <w:start w:val="1"/>
      <w:numFmt w:val="decimal"/>
      <w:lvlText w:val="5.2.11.%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3A1EC5"/>
    <w:multiLevelType w:val="hybridMultilevel"/>
    <w:tmpl w:val="EADEFD52"/>
    <w:lvl w:ilvl="0" w:tplc="34925106">
      <w:start w:val="1"/>
      <w:numFmt w:val="decimal"/>
      <w:lvlText w:val="5.2.9.%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75608F"/>
    <w:multiLevelType w:val="multilevel"/>
    <w:tmpl w:val="0D3655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9E3CC9"/>
    <w:multiLevelType w:val="multilevel"/>
    <w:tmpl w:val="4A74B85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3979B2"/>
    <w:multiLevelType w:val="hybridMultilevel"/>
    <w:tmpl w:val="066E1B10"/>
    <w:lvl w:ilvl="0" w:tplc="0C5C9456">
      <w:start w:val="1"/>
      <w:numFmt w:val="decimal"/>
      <w:lvlText w:val="5.2.%1"/>
      <w:lvlJc w:val="left"/>
      <w:pPr>
        <w:ind w:left="855" w:hanging="420"/>
      </w:pPr>
      <w:rPr>
        <w:rFonts w:hint="eastAsia"/>
        <w:b/>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nsid w:val="7C935E9B"/>
    <w:multiLevelType w:val="hybridMultilevel"/>
    <w:tmpl w:val="4C48B6A6"/>
    <w:lvl w:ilvl="0" w:tplc="7610DF08">
      <w:start w:val="10"/>
      <w:numFmt w:val="decimal"/>
      <w:lvlText w:val="5.2.%1"/>
      <w:lvlJc w:val="left"/>
      <w:pPr>
        <w:ind w:left="43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8"/>
  </w:num>
  <w:num w:numId="2">
    <w:abstractNumId w:val="24"/>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num>
  <w:num w:numId="7">
    <w:abstractNumId w:val="18"/>
  </w:num>
  <w:num w:numId="8">
    <w:abstractNumId w:val="20"/>
  </w:num>
  <w:num w:numId="9">
    <w:abstractNumId w:val="17"/>
  </w:num>
  <w:num w:numId="10">
    <w:abstractNumId w:val="16"/>
  </w:num>
  <w:num w:numId="11">
    <w:abstractNumId w:val="28"/>
  </w:num>
  <w:num w:numId="12">
    <w:abstractNumId w:val="21"/>
  </w:num>
  <w:num w:numId="13">
    <w:abstractNumId w:val="15"/>
  </w:num>
  <w:num w:numId="14">
    <w:abstractNumId w:val="26"/>
  </w:num>
  <w:num w:numId="15">
    <w:abstractNumId w:val="0"/>
  </w:num>
  <w:num w:numId="16">
    <w:abstractNumId w:val="25"/>
  </w:num>
  <w:num w:numId="17">
    <w:abstractNumId w:val="12"/>
  </w:num>
  <w:num w:numId="18">
    <w:abstractNumId w:val="32"/>
  </w:num>
  <w:num w:numId="19">
    <w:abstractNumId w:val="11"/>
  </w:num>
  <w:num w:numId="20">
    <w:abstractNumId w:val="8"/>
  </w:num>
  <w:num w:numId="21">
    <w:abstractNumId w:val="1"/>
  </w:num>
  <w:num w:numId="22">
    <w:abstractNumId w:val="2"/>
  </w:num>
  <w:num w:numId="23">
    <w:abstractNumId w:val="4"/>
  </w:num>
  <w:num w:numId="24">
    <w:abstractNumId w:val="35"/>
  </w:num>
  <w:num w:numId="25">
    <w:abstractNumId w:val="6"/>
  </w:num>
  <w:num w:numId="26">
    <w:abstractNumId w:val="37"/>
  </w:num>
  <w:num w:numId="27">
    <w:abstractNumId w:val="7"/>
  </w:num>
  <w:num w:numId="28">
    <w:abstractNumId w:val="13"/>
  </w:num>
  <w:num w:numId="29">
    <w:abstractNumId w:val="30"/>
  </w:num>
  <w:num w:numId="30">
    <w:abstractNumId w:val="27"/>
  </w:num>
  <w:num w:numId="31">
    <w:abstractNumId w:val="23"/>
  </w:num>
  <w:num w:numId="32">
    <w:abstractNumId w:val="19"/>
  </w:num>
  <w:num w:numId="33">
    <w:abstractNumId w:val="3"/>
  </w:num>
  <w:num w:numId="34">
    <w:abstractNumId w:val="31"/>
  </w:num>
  <w:num w:numId="35">
    <w:abstractNumId w:val="33"/>
  </w:num>
  <w:num w:numId="36">
    <w:abstractNumId w:val="22"/>
  </w:num>
  <w:num w:numId="37">
    <w:abstractNumId w:val="34"/>
  </w:num>
  <w:num w:numId="38">
    <w:abstractNumId w:val="14"/>
  </w:num>
  <w:num w:numId="39">
    <w:abstractNumId w:val="10"/>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谢达熙">
    <w15:presenceInfo w15:providerId="AD" w15:userId="S-1-5-21-861567501-1682526488-725345543-148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07CEF"/>
    <w:rsid w:val="00014099"/>
    <w:rsid w:val="00014204"/>
    <w:rsid w:val="000160C5"/>
    <w:rsid w:val="000210E7"/>
    <w:rsid w:val="000250F8"/>
    <w:rsid w:val="00031EBB"/>
    <w:rsid w:val="00032668"/>
    <w:rsid w:val="000334EF"/>
    <w:rsid w:val="00033B8D"/>
    <w:rsid w:val="00035A79"/>
    <w:rsid w:val="0004028B"/>
    <w:rsid w:val="00043844"/>
    <w:rsid w:val="00043852"/>
    <w:rsid w:val="000450DD"/>
    <w:rsid w:val="000463DE"/>
    <w:rsid w:val="000523AC"/>
    <w:rsid w:val="00052EF9"/>
    <w:rsid w:val="000554C5"/>
    <w:rsid w:val="000576C2"/>
    <w:rsid w:val="00073F62"/>
    <w:rsid w:val="00075C77"/>
    <w:rsid w:val="00080B96"/>
    <w:rsid w:val="00080F17"/>
    <w:rsid w:val="0008313A"/>
    <w:rsid w:val="00083FBA"/>
    <w:rsid w:val="00090117"/>
    <w:rsid w:val="000907D2"/>
    <w:rsid w:val="00090A26"/>
    <w:rsid w:val="00092F61"/>
    <w:rsid w:val="000949A6"/>
    <w:rsid w:val="00097E74"/>
    <w:rsid w:val="000A1203"/>
    <w:rsid w:val="000A2B53"/>
    <w:rsid w:val="000B6217"/>
    <w:rsid w:val="000B624F"/>
    <w:rsid w:val="000B62F6"/>
    <w:rsid w:val="000B73C6"/>
    <w:rsid w:val="000C190B"/>
    <w:rsid w:val="000C1E17"/>
    <w:rsid w:val="000C3A61"/>
    <w:rsid w:val="000C5216"/>
    <w:rsid w:val="000D0E6C"/>
    <w:rsid w:val="000D2282"/>
    <w:rsid w:val="000D3ED4"/>
    <w:rsid w:val="000D4AE7"/>
    <w:rsid w:val="000E3557"/>
    <w:rsid w:val="000E5F83"/>
    <w:rsid w:val="000F1065"/>
    <w:rsid w:val="000F6458"/>
    <w:rsid w:val="000F6CC8"/>
    <w:rsid w:val="000F7D91"/>
    <w:rsid w:val="0010032F"/>
    <w:rsid w:val="001022D7"/>
    <w:rsid w:val="001053C9"/>
    <w:rsid w:val="00106B08"/>
    <w:rsid w:val="00107825"/>
    <w:rsid w:val="0011093E"/>
    <w:rsid w:val="00111261"/>
    <w:rsid w:val="00117319"/>
    <w:rsid w:val="00117F2F"/>
    <w:rsid w:val="00137452"/>
    <w:rsid w:val="001439E9"/>
    <w:rsid w:val="00144F93"/>
    <w:rsid w:val="00147376"/>
    <w:rsid w:val="00150752"/>
    <w:rsid w:val="00150E7E"/>
    <w:rsid w:val="00151955"/>
    <w:rsid w:val="001539D3"/>
    <w:rsid w:val="00154BE1"/>
    <w:rsid w:val="00157191"/>
    <w:rsid w:val="00160EDC"/>
    <w:rsid w:val="00161B3F"/>
    <w:rsid w:val="001631C7"/>
    <w:rsid w:val="001675CD"/>
    <w:rsid w:val="00171EF0"/>
    <w:rsid w:val="00175D4F"/>
    <w:rsid w:val="001761D2"/>
    <w:rsid w:val="00180E04"/>
    <w:rsid w:val="001830D7"/>
    <w:rsid w:val="00185A34"/>
    <w:rsid w:val="00196E6C"/>
    <w:rsid w:val="001A140C"/>
    <w:rsid w:val="001A73E8"/>
    <w:rsid w:val="001B0A62"/>
    <w:rsid w:val="001B2BBB"/>
    <w:rsid w:val="001B2F35"/>
    <w:rsid w:val="001B3D9C"/>
    <w:rsid w:val="001C0993"/>
    <w:rsid w:val="001C71E4"/>
    <w:rsid w:val="001C78B2"/>
    <w:rsid w:val="001C79F2"/>
    <w:rsid w:val="001D025B"/>
    <w:rsid w:val="001D63BB"/>
    <w:rsid w:val="001D6A4B"/>
    <w:rsid w:val="001E0F38"/>
    <w:rsid w:val="001E4630"/>
    <w:rsid w:val="001F0964"/>
    <w:rsid w:val="001F30DA"/>
    <w:rsid w:val="001F5DC5"/>
    <w:rsid w:val="001F605E"/>
    <w:rsid w:val="00200FAB"/>
    <w:rsid w:val="00213821"/>
    <w:rsid w:val="00217B92"/>
    <w:rsid w:val="00220C32"/>
    <w:rsid w:val="00224C7F"/>
    <w:rsid w:val="002279D3"/>
    <w:rsid w:val="00237F09"/>
    <w:rsid w:val="00240248"/>
    <w:rsid w:val="0024363B"/>
    <w:rsid w:val="002456DA"/>
    <w:rsid w:val="0025478A"/>
    <w:rsid w:val="00255ECA"/>
    <w:rsid w:val="00256D2B"/>
    <w:rsid w:val="00257682"/>
    <w:rsid w:val="00261111"/>
    <w:rsid w:val="00264E55"/>
    <w:rsid w:val="00271141"/>
    <w:rsid w:val="00274FD9"/>
    <w:rsid w:val="00275745"/>
    <w:rsid w:val="0027688F"/>
    <w:rsid w:val="00276E44"/>
    <w:rsid w:val="00277F48"/>
    <w:rsid w:val="002835C9"/>
    <w:rsid w:val="00286BEF"/>
    <w:rsid w:val="00286FA2"/>
    <w:rsid w:val="002918E3"/>
    <w:rsid w:val="00296604"/>
    <w:rsid w:val="002973A9"/>
    <w:rsid w:val="002B0951"/>
    <w:rsid w:val="002B1D1A"/>
    <w:rsid w:val="002B5477"/>
    <w:rsid w:val="002B7BAF"/>
    <w:rsid w:val="002C0A3B"/>
    <w:rsid w:val="002C4B83"/>
    <w:rsid w:val="002D6FB6"/>
    <w:rsid w:val="002E1B9F"/>
    <w:rsid w:val="002E2E06"/>
    <w:rsid w:val="002E3B09"/>
    <w:rsid w:val="002E52B3"/>
    <w:rsid w:val="002E594D"/>
    <w:rsid w:val="002F100F"/>
    <w:rsid w:val="002F34D0"/>
    <w:rsid w:val="00303A4A"/>
    <w:rsid w:val="00304A12"/>
    <w:rsid w:val="00305636"/>
    <w:rsid w:val="00307023"/>
    <w:rsid w:val="00311662"/>
    <w:rsid w:val="00312A9F"/>
    <w:rsid w:val="00313603"/>
    <w:rsid w:val="00315D5D"/>
    <w:rsid w:val="00316484"/>
    <w:rsid w:val="003167A9"/>
    <w:rsid w:val="00316E01"/>
    <w:rsid w:val="00320300"/>
    <w:rsid w:val="00324508"/>
    <w:rsid w:val="003259C8"/>
    <w:rsid w:val="003307FE"/>
    <w:rsid w:val="003470E2"/>
    <w:rsid w:val="0035040C"/>
    <w:rsid w:val="003518F4"/>
    <w:rsid w:val="00352719"/>
    <w:rsid w:val="00355364"/>
    <w:rsid w:val="003559BE"/>
    <w:rsid w:val="0035611C"/>
    <w:rsid w:val="00357249"/>
    <w:rsid w:val="003649E6"/>
    <w:rsid w:val="00364CCB"/>
    <w:rsid w:val="00372B56"/>
    <w:rsid w:val="00375DB3"/>
    <w:rsid w:val="0039085F"/>
    <w:rsid w:val="0039201A"/>
    <w:rsid w:val="00394007"/>
    <w:rsid w:val="00394069"/>
    <w:rsid w:val="003A6061"/>
    <w:rsid w:val="003B6FBC"/>
    <w:rsid w:val="003C26D3"/>
    <w:rsid w:val="003C41E2"/>
    <w:rsid w:val="003D0154"/>
    <w:rsid w:val="003D1DFA"/>
    <w:rsid w:val="003E2240"/>
    <w:rsid w:val="003E62FB"/>
    <w:rsid w:val="003F0AA2"/>
    <w:rsid w:val="003F39DF"/>
    <w:rsid w:val="003F629A"/>
    <w:rsid w:val="003F63BE"/>
    <w:rsid w:val="004061AC"/>
    <w:rsid w:val="004066D4"/>
    <w:rsid w:val="00406C52"/>
    <w:rsid w:val="00412748"/>
    <w:rsid w:val="004149AC"/>
    <w:rsid w:val="00416E02"/>
    <w:rsid w:val="0042009D"/>
    <w:rsid w:val="00426106"/>
    <w:rsid w:val="00427F58"/>
    <w:rsid w:val="004324AA"/>
    <w:rsid w:val="00433805"/>
    <w:rsid w:val="0043403B"/>
    <w:rsid w:val="00440D4D"/>
    <w:rsid w:val="00465258"/>
    <w:rsid w:val="00471408"/>
    <w:rsid w:val="00484E03"/>
    <w:rsid w:val="004858E0"/>
    <w:rsid w:val="00486110"/>
    <w:rsid w:val="004934E9"/>
    <w:rsid w:val="004943C2"/>
    <w:rsid w:val="00494A96"/>
    <w:rsid w:val="00496743"/>
    <w:rsid w:val="004A11A7"/>
    <w:rsid w:val="004A3151"/>
    <w:rsid w:val="004B0989"/>
    <w:rsid w:val="004B1932"/>
    <w:rsid w:val="004C050D"/>
    <w:rsid w:val="004C702F"/>
    <w:rsid w:val="004D493E"/>
    <w:rsid w:val="004D495A"/>
    <w:rsid w:val="004D770C"/>
    <w:rsid w:val="004E5975"/>
    <w:rsid w:val="004E790A"/>
    <w:rsid w:val="004F50FD"/>
    <w:rsid w:val="004F5911"/>
    <w:rsid w:val="00500059"/>
    <w:rsid w:val="00500A03"/>
    <w:rsid w:val="00503511"/>
    <w:rsid w:val="00510C69"/>
    <w:rsid w:val="00512200"/>
    <w:rsid w:val="0051289E"/>
    <w:rsid w:val="005143CD"/>
    <w:rsid w:val="005144F2"/>
    <w:rsid w:val="005242A5"/>
    <w:rsid w:val="005249DD"/>
    <w:rsid w:val="005273EA"/>
    <w:rsid w:val="00527DEA"/>
    <w:rsid w:val="00531BA5"/>
    <w:rsid w:val="00531F10"/>
    <w:rsid w:val="00532E86"/>
    <w:rsid w:val="00542434"/>
    <w:rsid w:val="00542470"/>
    <w:rsid w:val="00542546"/>
    <w:rsid w:val="00544092"/>
    <w:rsid w:val="005454FB"/>
    <w:rsid w:val="00554594"/>
    <w:rsid w:val="00556084"/>
    <w:rsid w:val="00564088"/>
    <w:rsid w:val="005659E4"/>
    <w:rsid w:val="0056618E"/>
    <w:rsid w:val="005664B5"/>
    <w:rsid w:val="00573BDE"/>
    <w:rsid w:val="005761EE"/>
    <w:rsid w:val="00582D99"/>
    <w:rsid w:val="0058551C"/>
    <w:rsid w:val="0059076B"/>
    <w:rsid w:val="0059367B"/>
    <w:rsid w:val="00596152"/>
    <w:rsid w:val="005A0F1F"/>
    <w:rsid w:val="005A6675"/>
    <w:rsid w:val="005B1223"/>
    <w:rsid w:val="005B2E9C"/>
    <w:rsid w:val="005B4F93"/>
    <w:rsid w:val="005B73D2"/>
    <w:rsid w:val="005C51F7"/>
    <w:rsid w:val="005C5E5B"/>
    <w:rsid w:val="005D2B36"/>
    <w:rsid w:val="005D6378"/>
    <w:rsid w:val="005E1093"/>
    <w:rsid w:val="005E1117"/>
    <w:rsid w:val="005E475E"/>
    <w:rsid w:val="005F3996"/>
    <w:rsid w:val="005F6AF6"/>
    <w:rsid w:val="0060084E"/>
    <w:rsid w:val="00603C90"/>
    <w:rsid w:val="006066D2"/>
    <w:rsid w:val="00611F31"/>
    <w:rsid w:val="0061286A"/>
    <w:rsid w:val="00612DF5"/>
    <w:rsid w:val="00614CC4"/>
    <w:rsid w:val="0062025E"/>
    <w:rsid w:val="00623598"/>
    <w:rsid w:val="00624CAE"/>
    <w:rsid w:val="00626998"/>
    <w:rsid w:val="006269FB"/>
    <w:rsid w:val="00627A9C"/>
    <w:rsid w:val="00631ED8"/>
    <w:rsid w:val="006360DC"/>
    <w:rsid w:val="00636DB7"/>
    <w:rsid w:val="0063783A"/>
    <w:rsid w:val="006423B9"/>
    <w:rsid w:val="006469B6"/>
    <w:rsid w:val="006501FE"/>
    <w:rsid w:val="00654B0D"/>
    <w:rsid w:val="00655CD8"/>
    <w:rsid w:val="006571DC"/>
    <w:rsid w:val="00660D4B"/>
    <w:rsid w:val="00664ECC"/>
    <w:rsid w:val="00667513"/>
    <w:rsid w:val="00670989"/>
    <w:rsid w:val="0067108A"/>
    <w:rsid w:val="006757DC"/>
    <w:rsid w:val="00676095"/>
    <w:rsid w:val="00677BBE"/>
    <w:rsid w:val="00685124"/>
    <w:rsid w:val="00686FDF"/>
    <w:rsid w:val="00692E3C"/>
    <w:rsid w:val="00693843"/>
    <w:rsid w:val="00693FED"/>
    <w:rsid w:val="0069426C"/>
    <w:rsid w:val="0069458F"/>
    <w:rsid w:val="00694DFB"/>
    <w:rsid w:val="0069561C"/>
    <w:rsid w:val="006A0CEC"/>
    <w:rsid w:val="006A1C62"/>
    <w:rsid w:val="006A3B5A"/>
    <w:rsid w:val="006A48FD"/>
    <w:rsid w:val="006A67F8"/>
    <w:rsid w:val="006A7AF1"/>
    <w:rsid w:val="006B11BB"/>
    <w:rsid w:val="006B55EA"/>
    <w:rsid w:val="006C12B8"/>
    <w:rsid w:val="006C27C9"/>
    <w:rsid w:val="006C37FC"/>
    <w:rsid w:val="006C60D0"/>
    <w:rsid w:val="006C7EA3"/>
    <w:rsid w:val="006D39E9"/>
    <w:rsid w:val="006D3BE3"/>
    <w:rsid w:val="006D4252"/>
    <w:rsid w:val="006D7004"/>
    <w:rsid w:val="006D789D"/>
    <w:rsid w:val="006D7FF8"/>
    <w:rsid w:val="006E042A"/>
    <w:rsid w:val="006E1194"/>
    <w:rsid w:val="006E52B4"/>
    <w:rsid w:val="006E764F"/>
    <w:rsid w:val="006F2F95"/>
    <w:rsid w:val="006F4C41"/>
    <w:rsid w:val="006F5E68"/>
    <w:rsid w:val="00702CC5"/>
    <w:rsid w:val="00704F1D"/>
    <w:rsid w:val="00706D60"/>
    <w:rsid w:val="007075E3"/>
    <w:rsid w:val="00707F66"/>
    <w:rsid w:val="007120CC"/>
    <w:rsid w:val="00720D28"/>
    <w:rsid w:val="00722509"/>
    <w:rsid w:val="00725474"/>
    <w:rsid w:val="00727FCD"/>
    <w:rsid w:val="00733DDD"/>
    <w:rsid w:val="007361B1"/>
    <w:rsid w:val="00736FD2"/>
    <w:rsid w:val="00742F47"/>
    <w:rsid w:val="007467C2"/>
    <w:rsid w:val="00746D52"/>
    <w:rsid w:val="00750CDF"/>
    <w:rsid w:val="00752BA5"/>
    <w:rsid w:val="00752F3B"/>
    <w:rsid w:val="00753A7D"/>
    <w:rsid w:val="00755D86"/>
    <w:rsid w:val="00764F0B"/>
    <w:rsid w:val="00767C98"/>
    <w:rsid w:val="00770971"/>
    <w:rsid w:val="007954FF"/>
    <w:rsid w:val="00796CA8"/>
    <w:rsid w:val="00797305"/>
    <w:rsid w:val="007A3E5E"/>
    <w:rsid w:val="007A5438"/>
    <w:rsid w:val="007B035B"/>
    <w:rsid w:val="007B4C04"/>
    <w:rsid w:val="007B4D7A"/>
    <w:rsid w:val="007B5AFB"/>
    <w:rsid w:val="007C5862"/>
    <w:rsid w:val="007E0E7D"/>
    <w:rsid w:val="007E1F08"/>
    <w:rsid w:val="007E2F78"/>
    <w:rsid w:val="007E311C"/>
    <w:rsid w:val="007E33BC"/>
    <w:rsid w:val="007E5405"/>
    <w:rsid w:val="007F230E"/>
    <w:rsid w:val="007F7968"/>
    <w:rsid w:val="008014F9"/>
    <w:rsid w:val="0080358B"/>
    <w:rsid w:val="0080404B"/>
    <w:rsid w:val="00804256"/>
    <w:rsid w:val="008059BD"/>
    <w:rsid w:val="0081091B"/>
    <w:rsid w:val="00812D46"/>
    <w:rsid w:val="0081546C"/>
    <w:rsid w:val="00815A38"/>
    <w:rsid w:val="0082103F"/>
    <w:rsid w:val="00826364"/>
    <w:rsid w:val="008279FE"/>
    <w:rsid w:val="00831259"/>
    <w:rsid w:val="0083208A"/>
    <w:rsid w:val="0083218A"/>
    <w:rsid w:val="00832964"/>
    <w:rsid w:val="00832A00"/>
    <w:rsid w:val="008330ED"/>
    <w:rsid w:val="00836E94"/>
    <w:rsid w:val="00837845"/>
    <w:rsid w:val="008420B8"/>
    <w:rsid w:val="00842CDF"/>
    <w:rsid w:val="00843986"/>
    <w:rsid w:val="008442C4"/>
    <w:rsid w:val="00846739"/>
    <w:rsid w:val="00851DFC"/>
    <w:rsid w:val="00853140"/>
    <w:rsid w:val="00854537"/>
    <w:rsid w:val="00855786"/>
    <w:rsid w:val="008606B6"/>
    <w:rsid w:val="00860761"/>
    <w:rsid w:val="008658FD"/>
    <w:rsid w:val="00866CF2"/>
    <w:rsid w:val="008700EC"/>
    <w:rsid w:val="00876D65"/>
    <w:rsid w:val="00882DBB"/>
    <w:rsid w:val="00891261"/>
    <w:rsid w:val="0089176F"/>
    <w:rsid w:val="00896492"/>
    <w:rsid w:val="008A08C3"/>
    <w:rsid w:val="008A21B2"/>
    <w:rsid w:val="008A3D46"/>
    <w:rsid w:val="008B2FDD"/>
    <w:rsid w:val="008C1CDC"/>
    <w:rsid w:val="008C2025"/>
    <w:rsid w:val="008C75E7"/>
    <w:rsid w:val="008C7CA8"/>
    <w:rsid w:val="008D09EC"/>
    <w:rsid w:val="008D14C2"/>
    <w:rsid w:val="008D3C75"/>
    <w:rsid w:val="008E07EB"/>
    <w:rsid w:val="008E2DCB"/>
    <w:rsid w:val="008E326D"/>
    <w:rsid w:val="008E35A3"/>
    <w:rsid w:val="008F5F67"/>
    <w:rsid w:val="008F60F2"/>
    <w:rsid w:val="0090198C"/>
    <w:rsid w:val="0090217D"/>
    <w:rsid w:val="00905C5E"/>
    <w:rsid w:val="0090749E"/>
    <w:rsid w:val="009078DC"/>
    <w:rsid w:val="00912F20"/>
    <w:rsid w:val="00921A11"/>
    <w:rsid w:val="00921AC7"/>
    <w:rsid w:val="00924582"/>
    <w:rsid w:val="0092713B"/>
    <w:rsid w:val="00931291"/>
    <w:rsid w:val="0093367D"/>
    <w:rsid w:val="00937387"/>
    <w:rsid w:val="0094026A"/>
    <w:rsid w:val="00942E09"/>
    <w:rsid w:val="009431FA"/>
    <w:rsid w:val="00943F12"/>
    <w:rsid w:val="00944B4D"/>
    <w:rsid w:val="00945AF6"/>
    <w:rsid w:val="009550BE"/>
    <w:rsid w:val="00955531"/>
    <w:rsid w:val="00955BE8"/>
    <w:rsid w:val="00957594"/>
    <w:rsid w:val="00961BF5"/>
    <w:rsid w:val="00963F40"/>
    <w:rsid w:val="0096478A"/>
    <w:rsid w:val="00975D7E"/>
    <w:rsid w:val="0098122D"/>
    <w:rsid w:val="00986596"/>
    <w:rsid w:val="00990685"/>
    <w:rsid w:val="0099261D"/>
    <w:rsid w:val="00993314"/>
    <w:rsid w:val="0099405D"/>
    <w:rsid w:val="009A0ABE"/>
    <w:rsid w:val="009B2D4B"/>
    <w:rsid w:val="009C0430"/>
    <w:rsid w:val="009C3604"/>
    <w:rsid w:val="009C4E99"/>
    <w:rsid w:val="009C5186"/>
    <w:rsid w:val="009C60F7"/>
    <w:rsid w:val="009D0952"/>
    <w:rsid w:val="009E31DA"/>
    <w:rsid w:val="009E402C"/>
    <w:rsid w:val="009E5DAB"/>
    <w:rsid w:val="009E615B"/>
    <w:rsid w:val="009E7C6A"/>
    <w:rsid w:val="009F110D"/>
    <w:rsid w:val="009F7ED4"/>
    <w:rsid w:val="00A03AAC"/>
    <w:rsid w:val="00A047D1"/>
    <w:rsid w:val="00A04F76"/>
    <w:rsid w:val="00A05731"/>
    <w:rsid w:val="00A143CE"/>
    <w:rsid w:val="00A22AD0"/>
    <w:rsid w:val="00A22DA8"/>
    <w:rsid w:val="00A23784"/>
    <w:rsid w:val="00A31671"/>
    <w:rsid w:val="00A42E86"/>
    <w:rsid w:val="00A45320"/>
    <w:rsid w:val="00A52F8F"/>
    <w:rsid w:val="00A5612C"/>
    <w:rsid w:val="00A5689C"/>
    <w:rsid w:val="00A57AE4"/>
    <w:rsid w:val="00A614E5"/>
    <w:rsid w:val="00A619AF"/>
    <w:rsid w:val="00A63F19"/>
    <w:rsid w:val="00A669EE"/>
    <w:rsid w:val="00A66F42"/>
    <w:rsid w:val="00A76625"/>
    <w:rsid w:val="00A83500"/>
    <w:rsid w:val="00A83B10"/>
    <w:rsid w:val="00A86B40"/>
    <w:rsid w:val="00A90049"/>
    <w:rsid w:val="00A90892"/>
    <w:rsid w:val="00A917BF"/>
    <w:rsid w:val="00A96A94"/>
    <w:rsid w:val="00A973C2"/>
    <w:rsid w:val="00AA082E"/>
    <w:rsid w:val="00AA3A38"/>
    <w:rsid w:val="00AA4F94"/>
    <w:rsid w:val="00AB047E"/>
    <w:rsid w:val="00AB223D"/>
    <w:rsid w:val="00AB265E"/>
    <w:rsid w:val="00AB3C3F"/>
    <w:rsid w:val="00AC592E"/>
    <w:rsid w:val="00AC6C10"/>
    <w:rsid w:val="00AC7BC6"/>
    <w:rsid w:val="00AD0D27"/>
    <w:rsid w:val="00AD24AA"/>
    <w:rsid w:val="00AD7D55"/>
    <w:rsid w:val="00AE3939"/>
    <w:rsid w:val="00AE4DEC"/>
    <w:rsid w:val="00AE62A2"/>
    <w:rsid w:val="00AE7962"/>
    <w:rsid w:val="00AF7D43"/>
    <w:rsid w:val="00B12B7D"/>
    <w:rsid w:val="00B16985"/>
    <w:rsid w:val="00B17B59"/>
    <w:rsid w:val="00B221B8"/>
    <w:rsid w:val="00B25A1A"/>
    <w:rsid w:val="00B270A4"/>
    <w:rsid w:val="00B27206"/>
    <w:rsid w:val="00B3052E"/>
    <w:rsid w:val="00B32AA7"/>
    <w:rsid w:val="00B36C00"/>
    <w:rsid w:val="00B4012D"/>
    <w:rsid w:val="00B40F64"/>
    <w:rsid w:val="00B42A76"/>
    <w:rsid w:val="00B46334"/>
    <w:rsid w:val="00B50C55"/>
    <w:rsid w:val="00B57D67"/>
    <w:rsid w:val="00B66A69"/>
    <w:rsid w:val="00B733AC"/>
    <w:rsid w:val="00B7378D"/>
    <w:rsid w:val="00B76DB6"/>
    <w:rsid w:val="00B775EF"/>
    <w:rsid w:val="00B8011C"/>
    <w:rsid w:val="00B82413"/>
    <w:rsid w:val="00B85352"/>
    <w:rsid w:val="00B87214"/>
    <w:rsid w:val="00B92FF5"/>
    <w:rsid w:val="00B946BD"/>
    <w:rsid w:val="00B959E6"/>
    <w:rsid w:val="00BA0B53"/>
    <w:rsid w:val="00BA604D"/>
    <w:rsid w:val="00BB0CF3"/>
    <w:rsid w:val="00BB2F6D"/>
    <w:rsid w:val="00BB3C5F"/>
    <w:rsid w:val="00BB795E"/>
    <w:rsid w:val="00BB7F63"/>
    <w:rsid w:val="00BC4585"/>
    <w:rsid w:val="00BC50F1"/>
    <w:rsid w:val="00BC73E5"/>
    <w:rsid w:val="00BD217A"/>
    <w:rsid w:val="00BD7473"/>
    <w:rsid w:val="00BD7703"/>
    <w:rsid w:val="00BE420D"/>
    <w:rsid w:val="00BE475D"/>
    <w:rsid w:val="00BE6110"/>
    <w:rsid w:val="00BF2E71"/>
    <w:rsid w:val="00BF6314"/>
    <w:rsid w:val="00C21520"/>
    <w:rsid w:val="00C222B2"/>
    <w:rsid w:val="00C225FB"/>
    <w:rsid w:val="00C31A8A"/>
    <w:rsid w:val="00C3299F"/>
    <w:rsid w:val="00C36A9B"/>
    <w:rsid w:val="00C37530"/>
    <w:rsid w:val="00C37947"/>
    <w:rsid w:val="00C407D5"/>
    <w:rsid w:val="00C427F1"/>
    <w:rsid w:val="00C46B88"/>
    <w:rsid w:val="00C51456"/>
    <w:rsid w:val="00C5218C"/>
    <w:rsid w:val="00C52191"/>
    <w:rsid w:val="00C5642F"/>
    <w:rsid w:val="00C6082E"/>
    <w:rsid w:val="00C60C33"/>
    <w:rsid w:val="00C63554"/>
    <w:rsid w:val="00C66C44"/>
    <w:rsid w:val="00C71497"/>
    <w:rsid w:val="00C718EF"/>
    <w:rsid w:val="00C72F5B"/>
    <w:rsid w:val="00C73BCD"/>
    <w:rsid w:val="00C7411D"/>
    <w:rsid w:val="00C74802"/>
    <w:rsid w:val="00C77AEF"/>
    <w:rsid w:val="00C87129"/>
    <w:rsid w:val="00C91E1B"/>
    <w:rsid w:val="00C94FE1"/>
    <w:rsid w:val="00C9772B"/>
    <w:rsid w:val="00C97D5D"/>
    <w:rsid w:val="00CA0CC0"/>
    <w:rsid w:val="00CA5FD5"/>
    <w:rsid w:val="00CA7703"/>
    <w:rsid w:val="00CB0F92"/>
    <w:rsid w:val="00CB7660"/>
    <w:rsid w:val="00CD1283"/>
    <w:rsid w:val="00CD4E6D"/>
    <w:rsid w:val="00CD5707"/>
    <w:rsid w:val="00CD7702"/>
    <w:rsid w:val="00CD7A8F"/>
    <w:rsid w:val="00CE29EA"/>
    <w:rsid w:val="00CF4FA0"/>
    <w:rsid w:val="00CF6572"/>
    <w:rsid w:val="00D01C30"/>
    <w:rsid w:val="00D02347"/>
    <w:rsid w:val="00D02C5E"/>
    <w:rsid w:val="00D04755"/>
    <w:rsid w:val="00D10CBF"/>
    <w:rsid w:val="00D13737"/>
    <w:rsid w:val="00D1638E"/>
    <w:rsid w:val="00D21FFF"/>
    <w:rsid w:val="00D231F1"/>
    <w:rsid w:val="00D26653"/>
    <w:rsid w:val="00D272A5"/>
    <w:rsid w:val="00D36C1E"/>
    <w:rsid w:val="00D43AFB"/>
    <w:rsid w:val="00D4413D"/>
    <w:rsid w:val="00D570F5"/>
    <w:rsid w:val="00D57B7C"/>
    <w:rsid w:val="00D64712"/>
    <w:rsid w:val="00D65B44"/>
    <w:rsid w:val="00D66F23"/>
    <w:rsid w:val="00D67413"/>
    <w:rsid w:val="00D8099B"/>
    <w:rsid w:val="00D866A8"/>
    <w:rsid w:val="00D867E3"/>
    <w:rsid w:val="00D92F47"/>
    <w:rsid w:val="00D94571"/>
    <w:rsid w:val="00D94B8D"/>
    <w:rsid w:val="00D95197"/>
    <w:rsid w:val="00D95640"/>
    <w:rsid w:val="00D96C8D"/>
    <w:rsid w:val="00D96DAE"/>
    <w:rsid w:val="00DA1F8E"/>
    <w:rsid w:val="00DA2876"/>
    <w:rsid w:val="00DA2AF2"/>
    <w:rsid w:val="00DA3D6D"/>
    <w:rsid w:val="00DA52E5"/>
    <w:rsid w:val="00DA5906"/>
    <w:rsid w:val="00DA74F8"/>
    <w:rsid w:val="00DB28AA"/>
    <w:rsid w:val="00DB535C"/>
    <w:rsid w:val="00DC0B51"/>
    <w:rsid w:val="00DD01F1"/>
    <w:rsid w:val="00DD2ACC"/>
    <w:rsid w:val="00DE27F7"/>
    <w:rsid w:val="00DE3914"/>
    <w:rsid w:val="00E05559"/>
    <w:rsid w:val="00E35EC4"/>
    <w:rsid w:val="00E44E18"/>
    <w:rsid w:val="00E54301"/>
    <w:rsid w:val="00E548D0"/>
    <w:rsid w:val="00E55ABD"/>
    <w:rsid w:val="00E60817"/>
    <w:rsid w:val="00E614F0"/>
    <w:rsid w:val="00E6643C"/>
    <w:rsid w:val="00E85865"/>
    <w:rsid w:val="00E859D8"/>
    <w:rsid w:val="00E87575"/>
    <w:rsid w:val="00E90C35"/>
    <w:rsid w:val="00E97279"/>
    <w:rsid w:val="00EA70F1"/>
    <w:rsid w:val="00EB2516"/>
    <w:rsid w:val="00EB2C07"/>
    <w:rsid w:val="00EB374A"/>
    <w:rsid w:val="00EC0DCC"/>
    <w:rsid w:val="00EC668A"/>
    <w:rsid w:val="00EC6E88"/>
    <w:rsid w:val="00ED033D"/>
    <w:rsid w:val="00ED461C"/>
    <w:rsid w:val="00ED62BE"/>
    <w:rsid w:val="00EE783C"/>
    <w:rsid w:val="00EF17AB"/>
    <w:rsid w:val="00EF6FA5"/>
    <w:rsid w:val="00F11104"/>
    <w:rsid w:val="00F13122"/>
    <w:rsid w:val="00F16E3F"/>
    <w:rsid w:val="00F22499"/>
    <w:rsid w:val="00F22B0F"/>
    <w:rsid w:val="00F233B2"/>
    <w:rsid w:val="00F246CB"/>
    <w:rsid w:val="00F24B42"/>
    <w:rsid w:val="00F24F73"/>
    <w:rsid w:val="00F27299"/>
    <w:rsid w:val="00F31F6E"/>
    <w:rsid w:val="00F3389C"/>
    <w:rsid w:val="00F33E81"/>
    <w:rsid w:val="00F375F2"/>
    <w:rsid w:val="00F54EAE"/>
    <w:rsid w:val="00F607ED"/>
    <w:rsid w:val="00F66A51"/>
    <w:rsid w:val="00F71057"/>
    <w:rsid w:val="00F71A4B"/>
    <w:rsid w:val="00F728CF"/>
    <w:rsid w:val="00F743D4"/>
    <w:rsid w:val="00F83B17"/>
    <w:rsid w:val="00F87EBB"/>
    <w:rsid w:val="00F87EDA"/>
    <w:rsid w:val="00F90BCB"/>
    <w:rsid w:val="00F970EE"/>
    <w:rsid w:val="00F97256"/>
    <w:rsid w:val="00FA1B87"/>
    <w:rsid w:val="00FB0BC9"/>
    <w:rsid w:val="00FB41D3"/>
    <w:rsid w:val="00FB4F70"/>
    <w:rsid w:val="00FB5EFC"/>
    <w:rsid w:val="00FB77BB"/>
    <w:rsid w:val="00FC15AA"/>
    <w:rsid w:val="00FC717B"/>
    <w:rsid w:val="00FD10F4"/>
    <w:rsid w:val="00FD1375"/>
    <w:rsid w:val="00FD2618"/>
    <w:rsid w:val="00FD359E"/>
    <w:rsid w:val="00FD5F37"/>
    <w:rsid w:val="00FE0A17"/>
    <w:rsid w:val="00FE179F"/>
    <w:rsid w:val="00FF213A"/>
    <w:rsid w:val="00FF54B7"/>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rsid w:val="004061AC"/>
    <w:rPr>
      <w:rFonts w:ascii="宋体" w:hAnsi="Courier New" w:cs="宋体"/>
    </w:rPr>
  </w:style>
  <w:style w:type="character" w:customStyle="1" w:styleId="Char0">
    <w:name w:val="纯文本 Char"/>
    <w:basedOn w:val="a1"/>
    <w:link w:val="a5"/>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uiPriority w:val="99"/>
    <w:rsid w:val="004061AC"/>
    <w:rPr>
      <w:sz w:val="24"/>
      <w:szCs w:val="24"/>
    </w:rPr>
  </w:style>
  <w:style w:type="character" w:customStyle="1" w:styleId="Char4">
    <w:name w:val="日期 Char"/>
    <w:basedOn w:val="a1"/>
    <w:link w:val="ad"/>
    <w:uiPriority w:val="99"/>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EA17-C022-4500-944B-0F9BEA6A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zhuzhu</cp:lastModifiedBy>
  <cp:revision>4</cp:revision>
  <dcterms:created xsi:type="dcterms:W3CDTF">2017-04-18T07:06:00Z</dcterms:created>
  <dcterms:modified xsi:type="dcterms:W3CDTF">2017-04-19T06:40:00Z</dcterms:modified>
</cp:coreProperties>
</file>