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C766D0"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C766D0">
        <w:rPr>
          <w:rFonts w:asciiTheme="minorEastAsia" w:hAnsiTheme="minorEastAsia" w:cs="宋体" w:hint="eastAsia"/>
          <w:b/>
          <w:kern w:val="0"/>
          <w:sz w:val="32"/>
          <w:szCs w:val="32"/>
        </w:rPr>
        <w:t>关于</w:t>
      </w:r>
      <w:r w:rsidR="00DB7140" w:rsidRPr="00C766D0">
        <w:rPr>
          <w:rFonts w:asciiTheme="minorEastAsia" w:hAnsiTheme="minorEastAsia" w:cs="宋体" w:hint="eastAsia"/>
          <w:b/>
          <w:kern w:val="0"/>
          <w:sz w:val="32"/>
          <w:szCs w:val="32"/>
        </w:rPr>
        <w:t>泰达宏利增利灵活配置定期开放混合型证券投资基金</w:t>
      </w:r>
    </w:p>
    <w:p w:rsidR="00553082" w:rsidRPr="00C766D0"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C766D0">
        <w:rPr>
          <w:rFonts w:asciiTheme="minorEastAsia" w:hAnsiTheme="minorEastAsia" w:cs="宋体" w:hint="eastAsia"/>
          <w:b/>
          <w:kern w:val="0"/>
          <w:sz w:val="32"/>
          <w:szCs w:val="32"/>
        </w:rPr>
        <w:t>基金合同终止及财产清算的公告</w:t>
      </w:r>
    </w:p>
    <w:p w:rsidR="00553082" w:rsidRPr="00C766D0" w:rsidRDefault="00007006" w:rsidP="00820786">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根据《中华人民共和国证券投资基金法》、《公开募集证券投资基金运作管理办法》、</w:t>
      </w:r>
      <w:r w:rsidR="00093F8C" w:rsidRPr="00C766D0">
        <w:rPr>
          <w:rFonts w:asciiTheme="minorEastAsia" w:hAnsiTheme="minorEastAsia" w:cs="Times New Roman" w:hint="eastAsia"/>
          <w:sz w:val="24"/>
          <w:szCs w:val="24"/>
        </w:rPr>
        <w:t>《</w:t>
      </w:r>
      <w:r w:rsidR="00DB7140" w:rsidRPr="00C766D0">
        <w:rPr>
          <w:rFonts w:asciiTheme="minorEastAsia" w:hAnsiTheme="minorEastAsia" w:cs="Times New Roman" w:hint="eastAsia"/>
          <w:sz w:val="24"/>
          <w:szCs w:val="24"/>
        </w:rPr>
        <w:t>泰达宏利增利灵活配置定期开放混合型证券投资基金</w:t>
      </w:r>
      <w:r w:rsidR="00093F8C" w:rsidRPr="00C766D0">
        <w:rPr>
          <w:rFonts w:asciiTheme="minorEastAsia" w:hAnsiTheme="minorEastAsia" w:cs="Times New Roman" w:hint="eastAsia"/>
          <w:sz w:val="24"/>
          <w:szCs w:val="24"/>
        </w:rPr>
        <w:t>基金合同》</w:t>
      </w:r>
      <w:r w:rsidRPr="00C766D0">
        <w:rPr>
          <w:rFonts w:asciiTheme="minorEastAsia" w:hAnsiTheme="minorEastAsia" w:cs="Times New Roman" w:hint="eastAsia"/>
          <w:sz w:val="24"/>
          <w:szCs w:val="24"/>
        </w:rPr>
        <w:t>（以下简称“基金合同”或“《基金合同》”）的有关规定，</w:t>
      </w:r>
      <w:r w:rsidR="00DB7140" w:rsidRPr="00C766D0">
        <w:rPr>
          <w:rFonts w:asciiTheme="minorEastAsia" w:hAnsiTheme="minorEastAsia" w:cs="Times New Roman" w:hint="eastAsia"/>
          <w:sz w:val="24"/>
          <w:szCs w:val="24"/>
        </w:rPr>
        <w:t>泰达宏利增利灵活配置定期开放混合型证券投资基金</w:t>
      </w:r>
      <w:r w:rsidRPr="00C766D0">
        <w:rPr>
          <w:rFonts w:asciiTheme="minorEastAsia" w:hAnsiTheme="minorEastAsia" w:cs="Times New Roman" w:hint="eastAsia"/>
          <w:sz w:val="24"/>
          <w:szCs w:val="24"/>
        </w:rPr>
        <w:t>（以下简称“本基金”）</w:t>
      </w:r>
      <w:r w:rsidR="00820786" w:rsidRPr="00C766D0">
        <w:rPr>
          <w:rFonts w:asciiTheme="minorEastAsia" w:hAnsiTheme="minorEastAsia" w:cs="Times New Roman" w:hint="eastAsia"/>
          <w:sz w:val="24"/>
          <w:szCs w:val="24"/>
        </w:rPr>
        <w:t>在开放期最后一日日终基金资产净值低于2亿元时</w:t>
      </w:r>
      <w:r w:rsidRPr="00C766D0">
        <w:rPr>
          <w:rFonts w:asciiTheme="minorEastAsia" w:hAnsiTheme="minorEastAsia" w:cs="Times New Roman" w:hint="eastAsia"/>
          <w:sz w:val="24"/>
          <w:szCs w:val="24"/>
        </w:rPr>
        <w:t>，基金管理人应终止基金合同并依法履行基金财产清算程序，此事项不需召开基金份额持有人大会。</w:t>
      </w:r>
      <w:r w:rsidR="00820786" w:rsidRPr="00C766D0">
        <w:rPr>
          <w:rFonts w:asciiTheme="minorEastAsia" w:hAnsiTheme="minorEastAsia" w:cs="Times New Roman" w:hint="eastAsia"/>
          <w:sz w:val="24"/>
          <w:szCs w:val="24"/>
        </w:rPr>
        <w:t>现</w:t>
      </w:r>
      <w:r w:rsidR="00820786" w:rsidRPr="00C766D0">
        <w:rPr>
          <w:rFonts w:asciiTheme="minorEastAsia" w:hAnsiTheme="minorEastAsia" w:cs="Times New Roman"/>
          <w:sz w:val="24"/>
          <w:szCs w:val="24"/>
        </w:rPr>
        <w:t>本基金</w:t>
      </w:r>
      <w:r w:rsidR="00820786" w:rsidRPr="00C766D0">
        <w:rPr>
          <w:rFonts w:asciiTheme="minorEastAsia" w:hAnsiTheme="minorEastAsia" w:cs="Times New Roman" w:hint="eastAsia"/>
          <w:sz w:val="24"/>
          <w:szCs w:val="24"/>
        </w:rPr>
        <w:t>已</w:t>
      </w:r>
      <w:r w:rsidR="00820786" w:rsidRPr="00C766D0">
        <w:rPr>
          <w:rFonts w:asciiTheme="minorEastAsia" w:hAnsiTheme="minorEastAsia" w:cs="Times New Roman"/>
          <w:sz w:val="24"/>
          <w:szCs w:val="24"/>
        </w:rPr>
        <w:t>出现上述情形</w:t>
      </w:r>
      <w:r w:rsidR="00820786" w:rsidRPr="00C766D0">
        <w:rPr>
          <w:rFonts w:asciiTheme="minorEastAsia" w:hAnsiTheme="minorEastAsia" w:cs="Times New Roman" w:hint="eastAsia"/>
          <w:sz w:val="24"/>
          <w:szCs w:val="24"/>
        </w:rPr>
        <w:t>，为维护基金份额持有人利益，本基金管理人将终止本基金合同并依法履行基金财产清算程序。</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现将相关事宜公告如下：</w:t>
      </w:r>
    </w:p>
    <w:p w:rsidR="00553082" w:rsidRPr="00C766D0" w:rsidRDefault="00007006" w:rsidP="00C93AD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一、本基金基本信息</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基金名称：</w:t>
      </w:r>
      <w:r w:rsidR="001F6B50" w:rsidRPr="00C766D0">
        <w:rPr>
          <w:rFonts w:asciiTheme="minorEastAsia" w:hAnsiTheme="minorEastAsia" w:hint="eastAsia"/>
          <w:sz w:val="24"/>
        </w:rPr>
        <w:t>泰达宏利增利灵活配置定期开放混合型证券投资基金</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基金代码：</w:t>
      </w:r>
      <w:r w:rsidR="001F6B50" w:rsidRPr="00C766D0">
        <w:rPr>
          <w:rFonts w:asciiTheme="minorEastAsia" w:hAnsiTheme="minorEastAsia"/>
          <w:sz w:val="24"/>
        </w:rPr>
        <w:t>001568</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基金运作方式：</w:t>
      </w:r>
      <w:r w:rsidR="001F6B50" w:rsidRPr="00C766D0">
        <w:rPr>
          <w:rFonts w:asciiTheme="minorEastAsia" w:hAnsiTheme="minorEastAsia" w:hint="eastAsia"/>
          <w:sz w:val="24"/>
        </w:rPr>
        <w:t>契约型，定期开放式</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基金合同生效日：</w:t>
      </w:r>
      <w:r w:rsidR="001F6B50" w:rsidRPr="00C766D0">
        <w:rPr>
          <w:rFonts w:asciiTheme="minorEastAsia" w:hAnsiTheme="minorEastAsia"/>
          <w:sz w:val="24"/>
        </w:rPr>
        <w:t>2016</w:t>
      </w:r>
      <w:r w:rsidR="001F6B50" w:rsidRPr="00C766D0">
        <w:rPr>
          <w:rFonts w:asciiTheme="minorEastAsia" w:hAnsiTheme="minorEastAsia" w:hint="eastAsia"/>
          <w:sz w:val="24"/>
        </w:rPr>
        <w:t>年</w:t>
      </w:r>
      <w:r w:rsidR="001F6B50" w:rsidRPr="00C766D0">
        <w:rPr>
          <w:rFonts w:asciiTheme="minorEastAsia" w:hAnsiTheme="minorEastAsia"/>
          <w:sz w:val="24"/>
        </w:rPr>
        <w:t>6</w:t>
      </w:r>
      <w:r w:rsidR="001F6B50" w:rsidRPr="00C766D0">
        <w:rPr>
          <w:rFonts w:asciiTheme="minorEastAsia" w:hAnsiTheme="minorEastAsia" w:hint="eastAsia"/>
          <w:sz w:val="24"/>
        </w:rPr>
        <w:t>月</w:t>
      </w:r>
      <w:r w:rsidR="001F6B50" w:rsidRPr="00C766D0">
        <w:rPr>
          <w:rFonts w:asciiTheme="minorEastAsia" w:hAnsiTheme="minorEastAsia"/>
          <w:sz w:val="24"/>
        </w:rPr>
        <w:t>30</w:t>
      </w:r>
      <w:r w:rsidR="001F6B50" w:rsidRPr="00C766D0">
        <w:rPr>
          <w:rFonts w:asciiTheme="minorEastAsia" w:hAnsiTheme="minorEastAsia" w:hint="eastAsia"/>
          <w:sz w:val="24"/>
        </w:rPr>
        <w:t>日</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基金管理人名称：</w:t>
      </w:r>
      <w:r w:rsidR="00093F8C" w:rsidRPr="00C766D0">
        <w:rPr>
          <w:rFonts w:asciiTheme="minorEastAsia" w:hAnsiTheme="minorEastAsia" w:cs="Times New Roman" w:hint="eastAsia"/>
          <w:sz w:val="24"/>
          <w:szCs w:val="24"/>
        </w:rPr>
        <w:t>泰达宏利</w:t>
      </w:r>
      <w:r w:rsidRPr="00C766D0">
        <w:rPr>
          <w:rFonts w:asciiTheme="minorEastAsia" w:hAnsiTheme="minorEastAsia" w:cs="Times New Roman" w:hint="eastAsia"/>
          <w:sz w:val="24"/>
          <w:szCs w:val="24"/>
        </w:rPr>
        <w:t>基金管理有限公司</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基金托管人名称：中国银行股份有限公司</w:t>
      </w:r>
    </w:p>
    <w:p w:rsidR="001F6B50" w:rsidRPr="00C766D0" w:rsidRDefault="00007006"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C766D0">
        <w:rPr>
          <w:rFonts w:asciiTheme="minorEastAsia" w:hAnsiTheme="minorEastAsia" w:cs="Times New Roman" w:hint="eastAsia"/>
          <w:sz w:val="24"/>
          <w:szCs w:val="24"/>
        </w:rPr>
        <w:t>《</w:t>
      </w:r>
      <w:r w:rsidR="001F6B50" w:rsidRPr="00C766D0">
        <w:rPr>
          <w:rFonts w:asciiTheme="minorEastAsia" w:hAnsiTheme="minorEastAsia" w:cs="Times New Roman" w:hint="eastAsia"/>
          <w:sz w:val="24"/>
          <w:szCs w:val="24"/>
        </w:rPr>
        <w:t>泰达宏利增利灵活配置定期开放混合型证券投资基金</w:t>
      </w:r>
      <w:r w:rsidR="00093F8C" w:rsidRPr="00C766D0">
        <w:rPr>
          <w:rFonts w:asciiTheme="minorEastAsia" w:hAnsiTheme="minorEastAsia" w:cs="Times New Roman" w:hint="eastAsia"/>
          <w:sz w:val="24"/>
          <w:szCs w:val="24"/>
        </w:rPr>
        <w:t>基金合同》</w:t>
      </w:r>
      <w:r w:rsidRPr="00C766D0">
        <w:rPr>
          <w:rFonts w:asciiTheme="minorEastAsia" w:hAnsiTheme="minorEastAsia" w:cs="Times New Roman" w:hint="eastAsia"/>
          <w:sz w:val="24"/>
          <w:szCs w:val="24"/>
        </w:rPr>
        <w:t>、</w:t>
      </w:r>
      <w:r w:rsidR="00093F8C" w:rsidRPr="00C766D0">
        <w:rPr>
          <w:rFonts w:asciiTheme="minorEastAsia" w:hAnsiTheme="minorEastAsia" w:cs="Times New Roman" w:hint="eastAsia"/>
          <w:sz w:val="24"/>
          <w:szCs w:val="24"/>
        </w:rPr>
        <w:t>《</w:t>
      </w:r>
      <w:r w:rsidR="001F6B50" w:rsidRPr="00C766D0">
        <w:rPr>
          <w:rFonts w:asciiTheme="minorEastAsia" w:hAnsiTheme="minorEastAsia" w:cs="Times New Roman" w:hint="eastAsia"/>
          <w:sz w:val="24"/>
          <w:szCs w:val="24"/>
        </w:rPr>
        <w:t>泰达宏利增利灵活配置定期开放混合型证券投资基金</w:t>
      </w:r>
      <w:r w:rsidR="00093F8C" w:rsidRPr="00C766D0">
        <w:rPr>
          <w:rFonts w:asciiTheme="minorEastAsia" w:hAnsiTheme="minorEastAsia" w:cs="Times New Roman" w:hint="eastAsia"/>
          <w:sz w:val="24"/>
          <w:szCs w:val="24"/>
        </w:rPr>
        <w:t>招募说明书》</w:t>
      </w:r>
      <w:r w:rsidRPr="00C766D0">
        <w:rPr>
          <w:rFonts w:asciiTheme="minorEastAsia" w:hAnsiTheme="minorEastAsia" w:cs="Times New Roman" w:hint="eastAsia"/>
          <w:sz w:val="24"/>
          <w:szCs w:val="24"/>
        </w:rPr>
        <w:t>。</w:t>
      </w:r>
    </w:p>
    <w:p w:rsidR="00553082" w:rsidRPr="00C766D0" w:rsidRDefault="00007006" w:rsidP="00C93AD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二、基金合同终止事由</w:t>
      </w:r>
    </w:p>
    <w:p w:rsidR="00093F8C"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本基金《基金合同》</w:t>
      </w:r>
      <w:r w:rsidR="00093F8C" w:rsidRPr="00C766D0">
        <w:rPr>
          <w:rFonts w:asciiTheme="minorEastAsia" w:hAnsiTheme="minorEastAsia" w:cs="Times New Roman" w:hint="eastAsia"/>
          <w:sz w:val="24"/>
          <w:szCs w:val="24"/>
        </w:rPr>
        <w:t>第</w:t>
      </w:r>
      <w:r w:rsidR="00AA77A5" w:rsidRPr="00C766D0">
        <w:rPr>
          <w:rFonts w:asciiTheme="minorEastAsia" w:hAnsiTheme="minorEastAsia" w:cs="Times New Roman" w:hint="eastAsia"/>
          <w:sz w:val="24"/>
          <w:szCs w:val="24"/>
        </w:rPr>
        <w:t>五</w:t>
      </w:r>
      <w:r w:rsidRPr="00C766D0">
        <w:rPr>
          <w:rFonts w:asciiTheme="minorEastAsia" w:hAnsiTheme="minorEastAsia" w:cs="Times New Roman" w:hint="eastAsia"/>
          <w:sz w:val="24"/>
          <w:szCs w:val="24"/>
        </w:rPr>
        <w:t>部分</w:t>
      </w:r>
      <w:r w:rsidR="00CF49D5" w:rsidRPr="00C766D0">
        <w:rPr>
          <w:rFonts w:asciiTheme="minorEastAsia" w:hAnsiTheme="minorEastAsia" w:cs="Times New Roman" w:hint="eastAsia"/>
          <w:sz w:val="24"/>
          <w:szCs w:val="24"/>
        </w:rPr>
        <w:t>“</w:t>
      </w:r>
      <w:r w:rsidRPr="00C766D0">
        <w:rPr>
          <w:rFonts w:asciiTheme="minorEastAsia" w:hAnsiTheme="minorEastAsia" w:cs="Times New Roman" w:hint="eastAsia"/>
          <w:sz w:val="24"/>
          <w:szCs w:val="24"/>
        </w:rPr>
        <w:t>基金</w:t>
      </w:r>
      <w:r w:rsidR="00AA77A5" w:rsidRPr="00C766D0">
        <w:rPr>
          <w:rFonts w:asciiTheme="minorEastAsia" w:hAnsiTheme="minorEastAsia" w:cs="Times New Roman" w:hint="eastAsia"/>
          <w:sz w:val="24"/>
          <w:szCs w:val="24"/>
        </w:rPr>
        <w:t>存续</w:t>
      </w:r>
      <w:r w:rsidRPr="00C766D0">
        <w:rPr>
          <w:rFonts w:asciiTheme="minorEastAsia" w:hAnsiTheme="minorEastAsia" w:cs="Times New Roman" w:hint="eastAsia"/>
          <w:sz w:val="24"/>
          <w:szCs w:val="24"/>
        </w:rPr>
        <w:t>”</w:t>
      </w:r>
      <w:r w:rsidR="00CF49D5" w:rsidRPr="00C766D0">
        <w:rPr>
          <w:rFonts w:asciiTheme="minorEastAsia" w:hAnsiTheme="minorEastAsia" w:cs="Times New Roman" w:hint="eastAsia"/>
          <w:sz w:val="24"/>
          <w:szCs w:val="24"/>
        </w:rPr>
        <w:t>、第十九部分“基金合同的变更、终止与基金财产的清算”</w:t>
      </w:r>
      <w:r w:rsidR="009E7725" w:rsidRPr="00C766D0">
        <w:rPr>
          <w:rFonts w:asciiTheme="minorEastAsia" w:hAnsiTheme="minorEastAsia" w:cs="Times New Roman" w:hint="eastAsia"/>
          <w:sz w:val="24"/>
          <w:szCs w:val="24"/>
        </w:rPr>
        <w:t>中约</w:t>
      </w:r>
      <w:r w:rsidRPr="00C766D0">
        <w:rPr>
          <w:rFonts w:asciiTheme="minorEastAsia" w:hAnsiTheme="minorEastAsia" w:cs="Times New Roman" w:hint="eastAsia"/>
          <w:sz w:val="24"/>
          <w:szCs w:val="24"/>
        </w:rPr>
        <w:t>定“</w:t>
      </w:r>
      <w:r w:rsidR="001F6B50" w:rsidRPr="00C766D0">
        <w:rPr>
          <w:rFonts w:asciiTheme="minorEastAsia" w:hAnsiTheme="minorEastAsia" w:hint="eastAsia"/>
          <w:sz w:val="24"/>
        </w:rPr>
        <w:t>自基金合同生效日起，出现如下情形之一的，基金合同应当终止并根据基金合同第十九部分的约定进行基金财产清算，而无需召开基金份额持有人大会：</w:t>
      </w:r>
    </w:p>
    <w:p w:rsidR="001F6B50" w:rsidRPr="00C766D0" w:rsidRDefault="001F6B50" w:rsidP="001F6B50">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1、本基金任一封闭期内连续60个工作日，基金资产净值低于5000万元；</w:t>
      </w:r>
    </w:p>
    <w:p w:rsidR="001F6B50" w:rsidRPr="00C766D0" w:rsidRDefault="001F6B50" w:rsidP="001F6B50">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2、本基金任一开放期最后一日日终，基金资产净值低于2亿元；</w:t>
      </w:r>
    </w:p>
    <w:p w:rsidR="00553082" w:rsidRPr="00C766D0" w:rsidRDefault="001F6B50" w:rsidP="001F6B50">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lastRenderedPageBreak/>
        <w:t>3、本基金任一开放期最后一日日终，有效申请确认后基金份额持有人数量少于200人。</w:t>
      </w:r>
      <w:r w:rsidR="00007006" w:rsidRPr="00C766D0">
        <w:rPr>
          <w:rFonts w:asciiTheme="minorEastAsia" w:hAnsiTheme="minorEastAsia" w:cs="Times New Roman" w:hint="eastAsia"/>
          <w:sz w:val="24"/>
          <w:szCs w:val="24"/>
        </w:rPr>
        <w:t>”</w:t>
      </w:r>
    </w:p>
    <w:p w:rsidR="00553082" w:rsidRPr="00C766D0" w:rsidRDefault="00007006" w:rsidP="000405B9">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t>本基金</w:t>
      </w:r>
      <w:r w:rsidR="001F6B50" w:rsidRPr="00C766D0">
        <w:rPr>
          <w:rFonts w:asciiTheme="minorEastAsia" w:hAnsiTheme="minorEastAsia" w:hint="eastAsia"/>
          <w:sz w:val="24"/>
        </w:rPr>
        <w:t>第一个开放期自</w:t>
      </w:r>
      <w:r w:rsidR="001F6B50" w:rsidRPr="00C766D0">
        <w:rPr>
          <w:rFonts w:asciiTheme="minorEastAsia" w:hAnsiTheme="minorEastAsia"/>
          <w:sz w:val="24"/>
        </w:rPr>
        <w:t>2017</w:t>
      </w:r>
      <w:r w:rsidR="001F6B50" w:rsidRPr="00C766D0">
        <w:rPr>
          <w:rFonts w:asciiTheme="minorEastAsia" w:hAnsiTheme="minorEastAsia" w:hint="eastAsia"/>
          <w:sz w:val="24"/>
        </w:rPr>
        <w:t>年</w:t>
      </w:r>
      <w:r w:rsidR="001F6B50" w:rsidRPr="00C766D0">
        <w:rPr>
          <w:rFonts w:asciiTheme="minorEastAsia" w:hAnsiTheme="minorEastAsia"/>
          <w:sz w:val="24"/>
        </w:rPr>
        <w:t>12</w:t>
      </w:r>
      <w:r w:rsidR="001F6B50" w:rsidRPr="00C766D0">
        <w:rPr>
          <w:rFonts w:asciiTheme="minorEastAsia" w:hAnsiTheme="minorEastAsia" w:hint="eastAsia"/>
          <w:sz w:val="24"/>
        </w:rPr>
        <w:t>月</w:t>
      </w:r>
      <w:r w:rsidR="001F6B50" w:rsidRPr="00C766D0">
        <w:rPr>
          <w:rFonts w:asciiTheme="minorEastAsia" w:hAnsiTheme="minorEastAsia"/>
          <w:sz w:val="24"/>
        </w:rPr>
        <w:t>25</w:t>
      </w:r>
      <w:r w:rsidR="001F6B50" w:rsidRPr="00C766D0">
        <w:rPr>
          <w:rFonts w:asciiTheme="minorEastAsia" w:hAnsiTheme="minorEastAsia" w:hint="eastAsia"/>
          <w:sz w:val="24"/>
        </w:rPr>
        <w:t>日</w:t>
      </w:r>
      <w:r w:rsidR="00B76B9A" w:rsidRPr="00C766D0">
        <w:rPr>
          <w:rFonts w:asciiTheme="minorEastAsia" w:hAnsiTheme="minorEastAsia" w:hint="eastAsia"/>
          <w:sz w:val="24"/>
        </w:rPr>
        <w:t>起</w:t>
      </w:r>
      <w:r w:rsidR="001F6B50" w:rsidRPr="00C766D0">
        <w:rPr>
          <w:rFonts w:asciiTheme="minorEastAsia" w:hAnsiTheme="minorEastAsia" w:hint="eastAsia"/>
          <w:sz w:val="24"/>
        </w:rPr>
        <w:t>至</w:t>
      </w:r>
      <w:r w:rsidR="001F6B50" w:rsidRPr="00C766D0">
        <w:rPr>
          <w:rFonts w:asciiTheme="minorEastAsia" w:hAnsiTheme="minorEastAsia"/>
          <w:sz w:val="24"/>
        </w:rPr>
        <w:t>2017</w:t>
      </w:r>
      <w:r w:rsidR="001F6B50" w:rsidRPr="00C766D0">
        <w:rPr>
          <w:rFonts w:asciiTheme="minorEastAsia" w:hAnsiTheme="minorEastAsia" w:hint="eastAsia"/>
          <w:sz w:val="24"/>
        </w:rPr>
        <w:t>年</w:t>
      </w:r>
      <w:r w:rsidR="001F6B50" w:rsidRPr="00C766D0">
        <w:rPr>
          <w:rFonts w:asciiTheme="minorEastAsia" w:hAnsiTheme="minorEastAsia"/>
          <w:sz w:val="24"/>
        </w:rPr>
        <w:t>12</w:t>
      </w:r>
      <w:r w:rsidR="001F6B50" w:rsidRPr="00C766D0">
        <w:rPr>
          <w:rFonts w:asciiTheme="minorEastAsia" w:hAnsiTheme="minorEastAsia" w:hint="eastAsia"/>
          <w:sz w:val="24"/>
        </w:rPr>
        <w:t>月</w:t>
      </w:r>
      <w:r w:rsidR="001F6B50" w:rsidRPr="00C766D0">
        <w:rPr>
          <w:rFonts w:asciiTheme="minorEastAsia" w:hAnsiTheme="minorEastAsia"/>
          <w:sz w:val="24"/>
        </w:rPr>
        <w:t>29</w:t>
      </w:r>
      <w:r w:rsidR="001F6B50" w:rsidRPr="00C766D0">
        <w:rPr>
          <w:rFonts w:asciiTheme="minorEastAsia" w:hAnsiTheme="minorEastAsia" w:hint="eastAsia"/>
          <w:sz w:val="24"/>
        </w:rPr>
        <w:t>日止。因</w:t>
      </w:r>
      <w:r w:rsidR="00CF49D5" w:rsidRPr="00C766D0">
        <w:rPr>
          <w:rFonts w:asciiTheme="minorEastAsia" w:hAnsiTheme="minorEastAsia" w:cs="Times New Roman" w:hint="eastAsia"/>
          <w:sz w:val="24"/>
          <w:szCs w:val="24"/>
        </w:rPr>
        <w:t>2017年</w:t>
      </w:r>
      <w:r w:rsidR="001F6B50" w:rsidRPr="00C766D0">
        <w:rPr>
          <w:rFonts w:asciiTheme="minorEastAsia" w:hAnsiTheme="minorEastAsia" w:cs="Times New Roman"/>
          <w:sz w:val="24"/>
          <w:szCs w:val="24"/>
        </w:rPr>
        <w:t>12</w:t>
      </w:r>
      <w:r w:rsidR="00CF49D5" w:rsidRPr="00C766D0">
        <w:rPr>
          <w:rFonts w:asciiTheme="minorEastAsia" w:hAnsiTheme="minorEastAsia" w:cs="Times New Roman" w:hint="eastAsia"/>
          <w:sz w:val="24"/>
          <w:szCs w:val="24"/>
        </w:rPr>
        <w:t>月29日</w:t>
      </w:r>
      <w:r w:rsidR="0062083F" w:rsidRPr="00C766D0">
        <w:rPr>
          <w:rFonts w:asciiTheme="minorEastAsia" w:hAnsiTheme="minorEastAsia" w:cs="Times New Roman" w:hint="eastAsia"/>
          <w:sz w:val="24"/>
          <w:szCs w:val="24"/>
        </w:rPr>
        <w:t>日</w:t>
      </w:r>
      <w:r w:rsidR="0062083F" w:rsidRPr="00C766D0">
        <w:rPr>
          <w:rFonts w:asciiTheme="minorEastAsia" w:hAnsiTheme="minorEastAsia" w:cs="Times New Roman"/>
          <w:sz w:val="24"/>
          <w:szCs w:val="24"/>
        </w:rPr>
        <w:t>终</w:t>
      </w:r>
      <w:r w:rsidR="001F6B50" w:rsidRPr="00C766D0">
        <w:rPr>
          <w:rFonts w:asciiTheme="minorEastAsia" w:hAnsiTheme="minorEastAsia" w:cs="Times New Roman" w:hint="eastAsia"/>
          <w:sz w:val="24"/>
          <w:szCs w:val="24"/>
        </w:rPr>
        <w:t>基金资产净值</w:t>
      </w:r>
      <w:r w:rsidR="00CF49D5" w:rsidRPr="00C766D0">
        <w:rPr>
          <w:rFonts w:asciiTheme="minorEastAsia" w:hAnsiTheme="minorEastAsia" w:cs="Times New Roman" w:hint="eastAsia"/>
          <w:sz w:val="24"/>
          <w:szCs w:val="24"/>
        </w:rPr>
        <w:t>低于</w:t>
      </w:r>
      <w:r w:rsidR="001F6B50" w:rsidRPr="00C766D0">
        <w:rPr>
          <w:rFonts w:asciiTheme="minorEastAsia" w:hAnsiTheme="minorEastAsia" w:cs="Times New Roman"/>
          <w:sz w:val="24"/>
          <w:szCs w:val="24"/>
        </w:rPr>
        <w:t>2</w:t>
      </w:r>
      <w:r w:rsidR="001F6B50" w:rsidRPr="00C766D0">
        <w:rPr>
          <w:rFonts w:asciiTheme="minorEastAsia" w:hAnsiTheme="minorEastAsia" w:cs="Times New Roman" w:hint="eastAsia"/>
          <w:sz w:val="24"/>
          <w:szCs w:val="24"/>
        </w:rPr>
        <w:t>亿</w:t>
      </w:r>
      <w:r w:rsidR="00CF49D5" w:rsidRPr="00C766D0">
        <w:rPr>
          <w:rFonts w:asciiTheme="minorEastAsia" w:hAnsiTheme="minorEastAsia" w:cs="Times New Roman" w:hint="eastAsia"/>
          <w:sz w:val="24"/>
          <w:szCs w:val="24"/>
        </w:rPr>
        <w:t>元，</w:t>
      </w:r>
      <w:r w:rsidRPr="00C766D0">
        <w:rPr>
          <w:rFonts w:asciiTheme="minorEastAsia" w:hAnsiTheme="minorEastAsia" w:cs="Times New Roman" w:hint="eastAsia"/>
          <w:sz w:val="24"/>
          <w:szCs w:val="24"/>
        </w:rPr>
        <w:t>为维护基金份额持有人利益，根据基金合同约定，无需召开基金份额持有人大会，本基金管理人应终止本基金合同并依法履行基金财产清算程序。</w:t>
      </w:r>
    </w:p>
    <w:p w:rsidR="00C93AD2" w:rsidRPr="00C766D0" w:rsidRDefault="00C93AD2" w:rsidP="00F874EC">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b/>
          <w:sz w:val="24"/>
          <w:szCs w:val="24"/>
        </w:rPr>
        <w:t xml:space="preserve">三、基金财产的清算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（一）基金财产清算安排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1、</w:t>
      </w:r>
      <w:r w:rsidR="00CA3939" w:rsidRPr="00C766D0">
        <w:rPr>
          <w:rFonts w:asciiTheme="minorEastAsia" w:hAnsiTheme="minorEastAsia" w:cs="Times New Roman" w:hint="eastAsia"/>
          <w:sz w:val="24"/>
          <w:szCs w:val="24"/>
        </w:rPr>
        <w:t>本基金最后一个运作日为</w:t>
      </w:r>
      <w:r w:rsidR="001F6B50" w:rsidRPr="00C766D0">
        <w:rPr>
          <w:rFonts w:asciiTheme="minorEastAsia" w:hAnsiTheme="minorEastAsia" w:cs="Times New Roman" w:hint="eastAsia"/>
          <w:sz w:val="24"/>
          <w:szCs w:val="24"/>
        </w:rPr>
        <w:t>1</w:t>
      </w:r>
      <w:r w:rsidR="001F6B50" w:rsidRPr="00C766D0">
        <w:rPr>
          <w:rFonts w:asciiTheme="minorEastAsia" w:hAnsiTheme="minorEastAsia" w:cs="Times New Roman"/>
          <w:sz w:val="24"/>
          <w:szCs w:val="24"/>
        </w:rPr>
        <w:t>2</w:t>
      </w:r>
      <w:r w:rsidR="00CA3939" w:rsidRPr="00C766D0">
        <w:rPr>
          <w:rFonts w:asciiTheme="minorEastAsia" w:hAnsiTheme="minorEastAsia" w:cs="Times New Roman" w:hint="eastAsia"/>
          <w:sz w:val="24"/>
          <w:szCs w:val="24"/>
        </w:rPr>
        <w:t>月</w:t>
      </w:r>
      <w:r w:rsidR="001F6B50" w:rsidRPr="00C766D0">
        <w:rPr>
          <w:rFonts w:asciiTheme="minorEastAsia" w:hAnsiTheme="minorEastAsia" w:cs="Times New Roman"/>
          <w:sz w:val="24"/>
          <w:szCs w:val="24"/>
        </w:rPr>
        <w:t>29</w:t>
      </w:r>
      <w:r w:rsidR="00CA3939" w:rsidRPr="00C766D0">
        <w:rPr>
          <w:rFonts w:asciiTheme="minorEastAsia" w:hAnsiTheme="minorEastAsia" w:cs="Times New Roman" w:hint="eastAsia"/>
          <w:sz w:val="24"/>
          <w:szCs w:val="24"/>
        </w:rPr>
        <w:t>日，</w:t>
      </w:r>
      <w:r w:rsidRPr="00C766D0">
        <w:rPr>
          <w:rFonts w:asciiTheme="minorEastAsia" w:hAnsiTheme="minorEastAsia" w:cs="Times New Roman"/>
          <w:sz w:val="24"/>
          <w:szCs w:val="24"/>
        </w:rPr>
        <w:t>自</w:t>
      </w:r>
      <w:r w:rsidR="00F874EC" w:rsidRPr="00C766D0">
        <w:rPr>
          <w:rFonts w:asciiTheme="minorEastAsia" w:hAnsiTheme="minorEastAsia" w:cs="Times New Roman"/>
          <w:sz w:val="24"/>
          <w:szCs w:val="24"/>
        </w:rPr>
        <w:t>2017年</w:t>
      </w:r>
      <w:r w:rsidR="001F6B50" w:rsidRPr="00C766D0">
        <w:rPr>
          <w:rFonts w:asciiTheme="minorEastAsia" w:hAnsiTheme="minorEastAsia" w:cs="Times New Roman"/>
          <w:sz w:val="24"/>
          <w:szCs w:val="24"/>
        </w:rPr>
        <w:t>12</w:t>
      </w:r>
      <w:r w:rsidRPr="00C766D0">
        <w:rPr>
          <w:rFonts w:asciiTheme="minorEastAsia" w:hAnsiTheme="minorEastAsia" w:cs="Times New Roman"/>
          <w:sz w:val="24"/>
          <w:szCs w:val="24"/>
        </w:rPr>
        <w:t>月</w:t>
      </w:r>
      <w:r w:rsidR="001F6B50" w:rsidRPr="00C766D0">
        <w:rPr>
          <w:rFonts w:asciiTheme="minorEastAsia" w:hAnsiTheme="minorEastAsia" w:cs="Times New Roman" w:hint="eastAsia"/>
          <w:sz w:val="24"/>
          <w:szCs w:val="24"/>
        </w:rPr>
        <w:t>30</w:t>
      </w:r>
      <w:r w:rsidRPr="00C766D0">
        <w:rPr>
          <w:rFonts w:asciiTheme="minorEastAsia" w:hAnsiTheme="minorEastAsia" w:cs="Times New Roman"/>
          <w:sz w:val="24"/>
          <w:szCs w:val="24"/>
        </w:rPr>
        <w:t>日</w:t>
      </w:r>
      <w:r w:rsidR="0085623D" w:rsidRPr="00C766D0">
        <w:rPr>
          <w:rFonts w:asciiTheme="minorEastAsia" w:hAnsiTheme="minorEastAsia" w:cs="Times New Roman" w:hint="eastAsia"/>
          <w:sz w:val="24"/>
          <w:szCs w:val="24"/>
        </w:rPr>
        <w:t>（最后运作日的下一日）</w:t>
      </w:r>
      <w:r w:rsidRPr="00C766D0">
        <w:rPr>
          <w:rFonts w:asciiTheme="minorEastAsia" w:hAnsiTheme="minorEastAsia" w:cs="Times New Roman"/>
          <w:sz w:val="24"/>
          <w:szCs w:val="24"/>
        </w:rPr>
        <w:t>起进入清算程序，</w:t>
      </w:r>
      <w:r w:rsidR="0085623D" w:rsidRPr="00C766D0">
        <w:rPr>
          <w:rFonts w:asciiTheme="minorEastAsia" w:hAnsiTheme="minorEastAsia" w:cs="Times New Roman" w:hint="eastAsia"/>
          <w:sz w:val="24"/>
          <w:szCs w:val="24"/>
        </w:rPr>
        <w:t>届时本基金将停止</w:t>
      </w:r>
      <w:r w:rsidRPr="00C766D0">
        <w:rPr>
          <w:rFonts w:asciiTheme="minorEastAsia" w:hAnsiTheme="minorEastAsia" w:cs="Times New Roman"/>
          <w:sz w:val="24"/>
          <w:szCs w:val="24"/>
        </w:rPr>
        <w:t>办理申购</w:t>
      </w:r>
      <w:r w:rsidR="00B76B9A" w:rsidRPr="00C766D0">
        <w:rPr>
          <w:rFonts w:asciiTheme="minorEastAsia" w:hAnsiTheme="minorEastAsia" w:cs="Times New Roman" w:hint="eastAsia"/>
          <w:sz w:val="24"/>
          <w:szCs w:val="24"/>
        </w:rPr>
        <w:t>、</w:t>
      </w:r>
      <w:r w:rsidRPr="00C766D0">
        <w:rPr>
          <w:rFonts w:asciiTheme="minorEastAsia" w:hAnsiTheme="minorEastAsia" w:cs="Times New Roman"/>
          <w:sz w:val="24"/>
          <w:szCs w:val="24"/>
        </w:rPr>
        <w:t>赎回</w:t>
      </w:r>
      <w:r w:rsidR="00AE1ECF" w:rsidRPr="00C766D0">
        <w:rPr>
          <w:rFonts w:asciiTheme="minorEastAsia" w:hAnsiTheme="minorEastAsia" w:cs="Times New Roman" w:hint="eastAsia"/>
          <w:sz w:val="24"/>
          <w:szCs w:val="24"/>
        </w:rPr>
        <w:t>等</w:t>
      </w:r>
      <w:r w:rsidRPr="00C766D0">
        <w:rPr>
          <w:rFonts w:asciiTheme="minorEastAsia" w:hAnsiTheme="minorEastAsia" w:cs="Times New Roman"/>
          <w:sz w:val="24"/>
          <w:szCs w:val="24"/>
        </w:rPr>
        <w:t>业务，</w:t>
      </w:r>
      <w:r w:rsidR="0085623D" w:rsidRPr="00C766D0">
        <w:rPr>
          <w:rFonts w:asciiTheme="minorEastAsia" w:hAnsiTheme="minorEastAsia" w:cs="Times New Roman" w:hint="eastAsia"/>
          <w:sz w:val="24"/>
          <w:szCs w:val="24"/>
        </w:rPr>
        <w:t>并且之后不再恢复。本基金进入清算程序后，</w:t>
      </w:r>
      <w:r w:rsidRPr="00C766D0">
        <w:rPr>
          <w:rFonts w:asciiTheme="minorEastAsia" w:hAnsiTheme="minorEastAsia" w:cs="Times New Roman"/>
          <w:sz w:val="24"/>
          <w:szCs w:val="24"/>
        </w:rPr>
        <w:t xml:space="preserve">停止收取基金管理费、基金托管费。 </w:t>
      </w:r>
    </w:p>
    <w:p w:rsidR="00C93AD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2、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4、基金财产清算程序：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（1）基金合同终止情形出现时，由基金财产清算小组统一接管基金；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（2）对基金财产和债权债务进行清理和确认；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（3）对基金财产进行估值和变现；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（4）制作清算报告；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（5）聘请会计师事务所对清算报告进行外部审计，聘请律师事务所对清算报告出具法 律意见书；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（6）将清算报告报中国证监会备案并公告；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（7）对基金剩余财产进行分配。</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5、基金财产清算的期限为6个月，但因所持证券的流动性受到限制而不能及时变现的，清算期限相应顺延。 </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（二）清算费用 </w:t>
      </w:r>
    </w:p>
    <w:p w:rsidR="00C93AD2" w:rsidRPr="00C766D0" w:rsidRDefault="001558B2" w:rsidP="00CB1560">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hint="eastAsia"/>
          <w:sz w:val="24"/>
          <w:szCs w:val="24"/>
        </w:rPr>
        <w:lastRenderedPageBreak/>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（三）基金财产清算剩余资产的分配 </w:t>
      </w:r>
    </w:p>
    <w:p w:rsidR="00C93AD2" w:rsidRPr="00C766D0" w:rsidRDefault="00C93AD2" w:rsidP="001558B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依据基金财产清算的分配方案，将基金财产清算后的全部剩余资产扣除</w:t>
      </w:r>
      <w:r w:rsidR="00A879A6" w:rsidRPr="00C766D0">
        <w:rPr>
          <w:rFonts w:asciiTheme="minorEastAsia" w:hAnsiTheme="minorEastAsia" w:cs="Times New Roman" w:hint="eastAsia"/>
          <w:sz w:val="24"/>
          <w:szCs w:val="24"/>
        </w:rPr>
        <w:t>基金</w:t>
      </w:r>
      <w:r w:rsidR="00A879A6" w:rsidRPr="00C766D0">
        <w:rPr>
          <w:rFonts w:asciiTheme="minorEastAsia" w:hAnsiTheme="minorEastAsia" w:cs="Times New Roman"/>
          <w:sz w:val="24"/>
          <w:szCs w:val="24"/>
        </w:rPr>
        <w:t>清算费用、</w:t>
      </w:r>
      <w:r w:rsidRPr="00C766D0">
        <w:rPr>
          <w:rFonts w:asciiTheme="minorEastAsia" w:hAnsiTheme="minorEastAsia" w:cs="Times New Roman"/>
          <w:sz w:val="24"/>
          <w:szCs w:val="24"/>
        </w:rPr>
        <w:t>交纳所欠税</w:t>
      </w:r>
      <w:r w:rsidR="006D0E78" w:rsidRPr="00C766D0">
        <w:rPr>
          <w:rFonts w:asciiTheme="minorEastAsia" w:hAnsiTheme="minorEastAsia" w:cs="Times New Roman"/>
          <w:sz w:val="24"/>
          <w:szCs w:val="24"/>
        </w:rPr>
        <w:t>款并清偿基金债务后，按基金份额持有人持有的基金份额比例进行分配</w:t>
      </w:r>
      <w:r w:rsidR="006D0E78" w:rsidRPr="00C766D0">
        <w:rPr>
          <w:rFonts w:asciiTheme="minorEastAsia" w:hAnsiTheme="minorEastAsia" w:cs="Times New Roman" w:hint="eastAsia"/>
          <w:sz w:val="24"/>
          <w:szCs w:val="24"/>
        </w:rPr>
        <w:t>，但考虑到本基金清算的实际情况，从保护基金份额持有人利益的角度出发，本基金</w:t>
      </w:r>
      <w:r w:rsidR="0078559E" w:rsidRPr="00C766D0">
        <w:rPr>
          <w:rFonts w:asciiTheme="minorEastAsia" w:hAnsiTheme="minorEastAsia" w:cs="Times New Roman" w:hint="eastAsia"/>
          <w:sz w:val="24"/>
          <w:szCs w:val="24"/>
        </w:rPr>
        <w:t>将</w:t>
      </w:r>
      <w:r w:rsidR="0078559E" w:rsidRPr="00C766D0">
        <w:rPr>
          <w:rFonts w:asciiTheme="minorEastAsia" w:hAnsiTheme="minorEastAsia" w:cs="Times New Roman"/>
          <w:sz w:val="24"/>
          <w:szCs w:val="24"/>
        </w:rPr>
        <w:t>优先</w:t>
      </w:r>
      <w:r w:rsidR="0078559E" w:rsidRPr="00C766D0">
        <w:rPr>
          <w:rFonts w:asciiTheme="minorEastAsia" w:hAnsiTheme="minorEastAsia" w:cs="Times New Roman" w:hint="eastAsia"/>
          <w:sz w:val="24"/>
          <w:szCs w:val="24"/>
        </w:rPr>
        <w:t>向</w:t>
      </w:r>
      <w:r w:rsidR="0078559E" w:rsidRPr="00C766D0">
        <w:rPr>
          <w:rFonts w:asciiTheme="minorEastAsia" w:hAnsiTheme="minorEastAsia" w:cs="Times New Roman"/>
          <w:sz w:val="24"/>
          <w:szCs w:val="24"/>
        </w:rPr>
        <w:t>除基金管理人之外的其他份额持有人分配</w:t>
      </w:r>
      <w:r w:rsidR="0078559E" w:rsidRPr="00C766D0">
        <w:rPr>
          <w:rFonts w:asciiTheme="minorEastAsia" w:hAnsiTheme="minorEastAsia" w:cs="Times New Roman" w:hint="eastAsia"/>
          <w:sz w:val="24"/>
          <w:szCs w:val="24"/>
        </w:rPr>
        <w:t>剩余</w:t>
      </w:r>
      <w:r w:rsidR="0078559E" w:rsidRPr="00C766D0">
        <w:rPr>
          <w:rFonts w:asciiTheme="minorEastAsia" w:hAnsiTheme="minorEastAsia" w:cs="Times New Roman"/>
          <w:sz w:val="24"/>
          <w:szCs w:val="24"/>
        </w:rPr>
        <w:t>资产</w:t>
      </w:r>
      <w:r w:rsidR="0078559E" w:rsidRPr="00C766D0">
        <w:rPr>
          <w:rFonts w:asciiTheme="minorEastAsia" w:hAnsiTheme="minorEastAsia" w:cs="Times New Roman" w:hint="eastAsia"/>
          <w:sz w:val="24"/>
          <w:szCs w:val="24"/>
        </w:rPr>
        <w:t>以</w:t>
      </w:r>
      <w:r w:rsidR="0078559E" w:rsidRPr="00C766D0">
        <w:rPr>
          <w:rFonts w:asciiTheme="minorEastAsia" w:hAnsiTheme="minorEastAsia" w:cs="Times New Roman"/>
          <w:sz w:val="24"/>
          <w:szCs w:val="24"/>
        </w:rPr>
        <w:t>便</w:t>
      </w:r>
      <w:r w:rsidR="0078559E" w:rsidRPr="00C766D0">
        <w:rPr>
          <w:rFonts w:asciiTheme="minorEastAsia" w:hAnsiTheme="minorEastAsia" w:cs="Times New Roman" w:hint="eastAsia"/>
          <w:sz w:val="24"/>
          <w:szCs w:val="24"/>
        </w:rPr>
        <w:t>使</w:t>
      </w:r>
      <w:r w:rsidR="0078559E" w:rsidRPr="00C766D0">
        <w:rPr>
          <w:rFonts w:asciiTheme="minorEastAsia" w:hAnsiTheme="minorEastAsia" w:cs="Times New Roman"/>
          <w:sz w:val="24"/>
          <w:szCs w:val="24"/>
        </w:rPr>
        <w:t>其</w:t>
      </w:r>
      <w:r w:rsidR="0078559E" w:rsidRPr="00C766D0">
        <w:rPr>
          <w:rFonts w:asciiTheme="minorEastAsia" w:hAnsiTheme="minorEastAsia" w:cs="Times New Roman" w:hint="eastAsia"/>
          <w:sz w:val="24"/>
          <w:szCs w:val="24"/>
        </w:rPr>
        <w:t>尽快取得清算</w:t>
      </w:r>
      <w:r w:rsidR="0078559E" w:rsidRPr="00C766D0">
        <w:rPr>
          <w:rFonts w:asciiTheme="minorEastAsia" w:hAnsiTheme="minorEastAsia" w:cs="Times New Roman"/>
          <w:sz w:val="24"/>
          <w:szCs w:val="24"/>
        </w:rPr>
        <w:t>资产。</w:t>
      </w:r>
    </w:p>
    <w:p w:rsidR="00F874EC"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（四）基金财产清算的公告 </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 </w:t>
      </w:r>
    </w:p>
    <w:p w:rsidR="00C7340B"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（五）基金财产清算账册及文件的保存</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基金财产清算账册及有关文件由基金托管人保存15年以上。</w:t>
      </w:r>
    </w:p>
    <w:p w:rsidR="00492652" w:rsidRPr="00C766D0" w:rsidRDefault="00492652" w:rsidP="00492652">
      <w:pPr>
        <w:spacing w:line="360" w:lineRule="auto"/>
        <w:ind w:firstLineChars="200" w:firstLine="482"/>
        <w:rPr>
          <w:rFonts w:asciiTheme="minorEastAsia" w:hAnsiTheme="minorEastAsia" w:cs="Times New Roman"/>
          <w:b/>
          <w:sz w:val="24"/>
          <w:szCs w:val="24"/>
        </w:rPr>
      </w:pPr>
      <w:r w:rsidRPr="00C766D0">
        <w:rPr>
          <w:rFonts w:asciiTheme="minorEastAsia" w:hAnsiTheme="minorEastAsia" w:cs="Times New Roman" w:hint="eastAsia"/>
          <w:b/>
          <w:sz w:val="24"/>
          <w:szCs w:val="24"/>
        </w:rPr>
        <w:t>四</w:t>
      </w:r>
      <w:r w:rsidRPr="00C766D0">
        <w:rPr>
          <w:rFonts w:asciiTheme="minorEastAsia" w:hAnsiTheme="minorEastAsia" w:cs="Times New Roman"/>
          <w:b/>
          <w:sz w:val="24"/>
          <w:szCs w:val="24"/>
        </w:rPr>
        <w:t>、基金财产清算中的事项说明</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考虑到进入清算期后，一些资产不能完成变现或收回，可能影响基金份额持有人对剩余财产的及时取得，为了提高清算效率，及时向基金份额持有人分配剩余财产，基金管理人</w:t>
      </w:r>
      <w:r w:rsidR="00226653" w:rsidRPr="00C766D0">
        <w:rPr>
          <w:rFonts w:asciiTheme="minorEastAsia" w:hAnsiTheme="minorEastAsia" w:cs="Times New Roman" w:hint="eastAsia"/>
          <w:sz w:val="24"/>
          <w:szCs w:val="24"/>
        </w:rPr>
        <w:t>可</w:t>
      </w:r>
      <w:r w:rsidRPr="00C766D0">
        <w:rPr>
          <w:rFonts w:asciiTheme="minorEastAsia" w:hAnsiTheme="minorEastAsia" w:cs="Times New Roman"/>
          <w:sz w:val="24"/>
          <w:szCs w:val="24"/>
        </w:rPr>
        <w:t>以自有资金对以下资产进行垫付，具体如下：</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（一）停牌证券</w:t>
      </w:r>
      <w:r w:rsidR="006D0E78" w:rsidRPr="00C766D0">
        <w:rPr>
          <w:rFonts w:asciiTheme="minorEastAsia" w:hAnsiTheme="minorEastAsia" w:cs="Times New Roman" w:hint="eastAsia"/>
          <w:sz w:val="24"/>
          <w:szCs w:val="24"/>
        </w:rPr>
        <w:t>和</w:t>
      </w:r>
      <w:r w:rsidR="006D0E78" w:rsidRPr="00C766D0">
        <w:rPr>
          <w:rFonts w:asciiTheme="minorEastAsia" w:hAnsiTheme="minorEastAsia" w:cs="Times New Roman"/>
          <w:sz w:val="24"/>
          <w:szCs w:val="24"/>
        </w:rPr>
        <w:t>非公开发行股票</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如</w:t>
      </w:r>
      <w:r w:rsidR="00226653" w:rsidRPr="00C766D0">
        <w:rPr>
          <w:rFonts w:asciiTheme="minorEastAsia" w:hAnsiTheme="minorEastAsia" w:cs="Times New Roman" w:hint="eastAsia"/>
          <w:sz w:val="24"/>
          <w:szCs w:val="24"/>
        </w:rPr>
        <w:t>清算期内</w:t>
      </w:r>
      <w:r w:rsidRPr="00C766D0">
        <w:rPr>
          <w:rFonts w:asciiTheme="minorEastAsia" w:hAnsiTheme="minorEastAsia" w:cs="Times New Roman"/>
          <w:sz w:val="24"/>
          <w:szCs w:val="24"/>
        </w:rPr>
        <w:t>仍有持仓证券停牌</w:t>
      </w:r>
      <w:r w:rsidR="006D0E78" w:rsidRPr="00C766D0">
        <w:rPr>
          <w:rFonts w:asciiTheme="minorEastAsia" w:hAnsiTheme="minorEastAsia" w:cs="Times New Roman" w:hint="eastAsia"/>
          <w:sz w:val="24"/>
          <w:szCs w:val="24"/>
        </w:rPr>
        <w:t>或非公开发行</w:t>
      </w:r>
      <w:r w:rsidR="006D0E78" w:rsidRPr="00C766D0">
        <w:rPr>
          <w:rFonts w:asciiTheme="minorEastAsia" w:hAnsiTheme="minorEastAsia" w:cs="Times New Roman"/>
          <w:sz w:val="24"/>
          <w:szCs w:val="24"/>
        </w:rPr>
        <w:t>股票无法变现</w:t>
      </w:r>
      <w:r w:rsidRPr="00C766D0">
        <w:rPr>
          <w:rFonts w:asciiTheme="minorEastAsia" w:hAnsiTheme="minorEastAsia" w:cs="Times New Roman"/>
          <w:sz w:val="24"/>
          <w:szCs w:val="24"/>
        </w:rPr>
        <w:t>，基金进入清算程序后，为了最大化保护基金份额持有人利益，提高清算效率，基金管理人</w:t>
      </w:r>
      <w:r w:rsidR="00226653" w:rsidRPr="00C766D0">
        <w:rPr>
          <w:rFonts w:asciiTheme="minorEastAsia" w:hAnsiTheme="minorEastAsia" w:cs="Times New Roman" w:hint="eastAsia"/>
          <w:sz w:val="24"/>
          <w:szCs w:val="24"/>
        </w:rPr>
        <w:t>可</w:t>
      </w:r>
      <w:r w:rsidRPr="00C766D0">
        <w:rPr>
          <w:rFonts w:asciiTheme="minorEastAsia" w:hAnsiTheme="minorEastAsia" w:cs="Times New Roman"/>
          <w:sz w:val="24"/>
          <w:szCs w:val="24"/>
        </w:rPr>
        <w:t>以自有资金按照基金所持有证券资产最后运作日的估值价格垫付基金未能变现的证券资产，具体清算规则按照相关规定办理。待停牌证券复牌</w:t>
      </w:r>
      <w:r w:rsidR="006D0E78" w:rsidRPr="00C766D0">
        <w:rPr>
          <w:rFonts w:asciiTheme="minorEastAsia" w:hAnsiTheme="minorEastAsia" w:cs="Times New Roman" w:hint="eastAsia"/>
          <w:sz w:val="24"/>
          <w:szCs w:val="24"/>
        </w:rPr>
        <w:t>和</w:t>
      </w:r>
      <w:r w:rsidR="006D0E78" w:rsidRPr="00C766D0">
        <w:rPr>
          <w:rFonts w:asciiTheme="minorEastAsia" w:hAnsiTheme="minorEastAsia" w:cs="Times New Roman"/>
          <w:sz w:val="24"/>
          <w:szCs w:val="24"/>
        </w:rPr>
        <w:t>非公开发行股票可变现</w:t>
      </w:r>
      <w:r w:rsidRPr="00C766D0">
        <w:rPr>
          <w:rFonts w:asciiTheme="minorEastAsia" w:hAnsiTheme="minorEastAsia" w:cs="Times New Roman"/>
          <w:sz w:val="24"/>
          <w:szCs w:val="24"/>
        </w:rPr>
        <w:t>后，基金管理人将证券卖出变现。</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待全部证券卖出变现后，若实际变现金额高于基金管理人垫付的金额，则将差额按基金份额持有人持有的基金份额比例分配给基金份额持有人；若实际变现金额小于基金管理人垫付的金额，则由基金管理人承担相应损失。</w:t>
      </w:r>
    </w:p>
    <w:p w:rsidR="00492652" w:rsidRPr="00C766D0" w:rsidRDefault="00492652" w:rsidP="0049265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（二）结算备付金、保证金及应收利息</w:t>
      </w:r>
    </w:p>
    <w:p w:rsidR="00492652" w:rsidRPr="00C766D0" w:rsidRDefault="0049265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C766D0" w:rsidRDefault="00492652" w:rsidP="00C93AD2">
      <w:pPr>
        <w:spacing w:line="360" w:lineRule="auto"/>
        <w:ind w:firstLineChars="200" w:firstLine="482"/>
        <w:rPr>
          <w:rFonts w:asciiTheme="minorEastAsia" w:hAnsiTheme="minorEastAsia" w:cs="Times New Roman"/>
          <w:sz w:val="24"/>
          <w:szCs w:val="24"/>
        </w:rPr>
      </w:pPr>
      <w:r w:rsidRPr="00C766D0">
        <w:rPr>
          <w:rFonts w:asciiTheme="minorEastAsia" w:hAnsiTheme="minorEastAsia" w:cs="Times New Roman" w:hint="eastAsia"/>
          <w:b/>
          <w:sz w:val="24"/>
          <w:szCs w:val="24"/>
        </w:rPr>
        <w:t>五</w:t>
      </w:r>
      <w:r w:rsidR="00007006" w:rsidRPr="00C766D0">
        <w:rPr>
          <w:rFonts w:asciiTheme="minorEastAsia" w:hAnsiTheme="minorEastAsia" w:cs="Times New Roman" w:hint="eastAsia"/>
          <w:b/>
          <w:sz w:val="24"/>
          <w:szCs w:val="24"/>
        </w:rPr>
        <w:t>、</w:t>
      </w:r>
      <w:r w:rsidR="00C93AD2" w:rsidRPr="00C766D0">
        <w:rPr>
          <w:rFonts w:asciiTheme="minorEastAsia" w:hAnsiTheme="minorEastAsia" w:cs="Times New Roman" w:hint="eastAsia"/>
          <w:b/>
          <w:sz w:val="24"/>
          <w:szCs w:val="24"/>
        </w:rPr>
        <w:t>特别</w:t>
      </w:r>
      <w:r w:rsidR="00007006" w:rsidRPr="00C766D0">
        <w:rPr>
          <w:rFonts w:asciiTheme="minorEastAsia" w:hAnsiTheme="minorEastAsia" w:cs="Times New Roman" w:hint="eastAsia"/>
          <w:b/>
          <w:sz w:val="24"/>
          <w:szCs w:val="24"/>
        </w:rPr>
        <w:t>提示</w:t>
      </w:r>
    </w:p>
    <w:p w:rsidR="00C93AD2" w:rsidRPr="00C766D0" w:rsidRDefault="00C93AD2" w:rsidP="00C93AD2">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 xml:space="preserve">1、敬请投资者关注基金清算的相关后续公告。 </w:t>
      </w:r>
    </w:p>
    <w:p w:rsidR="00553082" w:rsidRPr="00C766D0" w:rsidRDefault="00C93AD2" w:rsidP="00F874EC">
      <w:pPr>
        <w:spacing w:line="360" w:lineRule="auto"/>
        <w:ind w:firstLineChars="200" w:firstLine="480"/>
        <w:rPr>
          <w:rFonts w:asciiTheme="minorEastAsia" w:hAnsiTheme="minorEastAsia" w:cs="Times New Roman"/>
          <w:sz w:val="24"/>
          <w:szCs w:val="24"/>
        </w:rPr>
      </w:pPr>
      <w:r w:rsidRPr="00C766D0">
        <w:rPr>
          <w:rFonts w:asciiTheme="minorEastAsia" w:hAnsiTheme="minorEastAsia" w:cs="Times New Roman"/>
          <w:sz w:val="24"/>
          <w:szCs w:val="24"/>
        </w:rPr>
        <w:t>2、</w:t>
      </w:r>
      <w:r w:rsidR="00007006" w:rsidRPr="00C766D0">
        <w:rPr>
          <w:rFonts w:asciiTheme="minorEastAsia" w:hAnsiTheme="minorEastAsia" w:cs="Times New Roman" w:hint="eastAsia"/>
          <w:sz w:val="24"/>
          <w:szCs w:val="24"/>
        </w:rPr>
        <w:t>投资者可以登陆</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基金管理有限公司网站（</w:t>
      </w:r>
      <w:r w:rsidR="00C2640E" w:rsidRPr="00C766D0">
        <w:rPr>
          <w:rFonts w:asciiTheme="minorEastAsia" w:hAnsiTheme="minorEastAsia" w:cs="Times New Roman" w:hint="eastAsia"/>
          <w:sz w:val="24"/>
          <w:szCs w:val="24"/>
        </w:rPr>
        <w:t>www.mfcteda.com</w:t>
      </w:r>
      <w:r w:rsidR="00007006" w:rsidRPr="00C766D0">
        <w:rPr>
          <w:rFonts w:asciiTheme="minorEastAsia" w:hAnsiTheme="minorEastAsia" w:cs="Times New Roman" w:hint="eastAsia"/>
          <w:sz w:val="24"/>
          <w:szCs w:val="24"/>
        </w:rPr>
        <w:t>）或拨打</w:t>
      </w:r>
      <w:r w:rsidR="00C2640E" w:rsidRPr="00C766D0">
        <w:rPr>
          <w:rFonts w:asciiTheme="minorEastAsia" w:hAnsiTheme="minorEastAsia" w:cs="Times New Roman" w:hint="eastAsia"/>
          <w:sz w:val="24"/>
          <w:szCs w:val="24"/>
        </w:rPr>
        <w:t>泰达宏利</w:t>
      </w:r>
      <w:r w:rsidR="00007006" w:rsidRPr="00C766D0">
        <w:rPr>
          <w:rFonts w:asciiTheme="minorEastAsia" w:hAnsiTheme="minorEastAsia" w:cs="Times New Roman" w:hint="eastAsia"/>
          <w:sz w:val="24"/>
          <w:szCs w:val="24"/>
        </w:rPr>
        <w:t>基金管理有限公司全国统一客户服务号码</w:t>
      </w:r>
      <w:r w:rsidR="00C2640E" w:rsidRPr="00C766D0">
        <w:rPr>
          <w:rFonts w:asciiTheme="minorEastAsia" w:hAnsiTheme="minorEastAsia" w:cs="Times New Roman" w:hint="eastAsia"/>
          <w:sz w:val="24"/>
          <w:szCs w:val="24"/>
        </w:rPr>
        <w:t>400-698-8888</w:t>
      </w:r>
      <w:r w:rsidRPr="00C766D0">
        <w:rPr>
          <w:rFonts w:asciiTheme="minorEastAsia" w:hAnsiTheme="minorEastAsia" w:cs="Times New Roman"/>
          <w:sz w:val="24"/>
          <w:szCs w:val="24"/>
        </w:rPr>
        <w:t>(免长途话费)</w:t>
      </w:r>
      <w:r w:rsidR="00007006" w:rsidRPr="00C766D0">
        <w:rPr>
          <w:rFonts w:asciiTheme="minorEastAsia" w:hAnsiTheme="minorEastAsia" w:cs="Times New Roman" w:hint="eastAsia"/>
          <w:sz w:val="24"/>
          <w:szCs w:val="24"/>
        </w:rPr>
        <w:t>咨询相关情况。</w:t>
      </w:r>
    </w:p>
    <w:p w:rsidR="00C93AD2" w:rsidRPr="00C766D0" w:rsidRDefault="00C93AD2" w:rsidP="00C93AD2">
      <w:pPr>
        <w:spacing w:line="360" w:lineRule="auto"/>
        <w:ind w:firstLineChars="200" w:firstLine="480"/>
        <w:rPr>
          <w:rFonts w:ascii="宋体" w:eastAsia="宋体" w:hAnsi="宋体" w:cs="Times New Roman"/>
          <w:sz w:val="24"/>
          <w:szCs w:val="24"/>
        </w:rPr>
      </w:pPr>
    </w:p>
    <w:p w:rsidR="00553082" w:rsidRPr="00C766D0" w:rsidRDefault="00007006" w:rsidP="000405B9">
      <w:pPr>
        <w:spacing w:line="360" w:lineRule="auto"/>
        <w:ind w:firstLineChars="200" w:firstLine="480"/>
        <w:rPr>
          <w:rFonts w:ascii="宋体" w:eastAsia="宋体" w:hAnsi="宋体" w:cs="Times New Roman"/>
          <w:sz w:val="24"/>
          <w:szCs w:val="24"/>
        </w:rPr>
      </w:pPr>
      <w:r w:rsidRPr="00C766D0">
        <w:rPr>
          <w:rFonts w:ascii="宋体" w:eastAsia="宋体" w:hAnsi="宋体" w:cs="Times New Roman" w:hint="eastAsia"/>
          <w:sz w:val="24"/>
          <w:szCs w:val="24"/>
        </w:rPr>
        <w:t>特此公告。</w:t>
      </w:r>
    </w:p>
    <w:p w:rsidR="00553082" w:rsidRPr="00C766D0"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C766D0">
        <w:rPr>
          <w:rFonts w:ascii="inherit" w:eastAsia="宋体" w:hAnsi="inherit" w:cs="宋体"/>
          <w:color w:val="41566D"/>
          <w:kern w:val="0"/>
          <w:sz w:val="24"/>
          <w:szCs w:val="24"/>
        </w:rPr>
        <w:t> </w:t>
      </w:r>
    </w:p>
    <w:p w:rsidR="00553082" w:rsidRPr="00C766D0"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C766D0">
        <w:rPr>
          <w:rFonts w:ascii="inherit" w:eastAsia="宋体" w:hAnsi="inherit" w:cs="宋体"/>
          <w:color w:val="41566D"/>
          <w:kern w:val="0"/>
          <w:sz w:val="24"/>
          <w:szCs w:val="24"/>
        </w:rPr>
        <w:t> </w:t>
      </w:r>
    </w:p>
    <w:p w:rsidR="00553082" w:rsidRPr="00C766D0"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C766D0">
        <w:rPr>
          <w:rFonts w:ascii="inherit" w:eastAsia="宋体" w:hAnsi="inherit" w:cs="宋体"/>
          <w:color w:val="41566D"/>
          <w:kern w:val="0"/>
          <w:sz w:val="24"/>
          <w:szCs w:val="24"/>
        </w:rPr>
        <w:t> </w:t>
      </w:r>
      <w:bookmarkStart w:id="0" w:name="_GoBack"/>
      <w:bookmarkEnd w:id="0"/>
    </w:p>
    <w:p w:rsidR="00553082" w:rsidRPr="00C766D0"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C766D0">
        <w:rPr>
          <w:rFonts w:ascii="inherit" w:eastAsia="宋体" w:hAnsi="inherit" w:cs="宋体"/>
          <w:color w:val="41566D"/>
          <w:kern w:val="0"/>
          <w:sz w:val="24"/>
          <w:szCs w:val="24"/>
        </w:rPr>
        <w:t> </w:t>
      </w:r>
    </w:p>
    <w:p w:rsidR="00553082" w:rsidRPr="00C766D0"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泰达宏利</w:t>
      </w:r>
      <w:r w:rsidR="00007006" w:rsidRPr="00C766D0">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C766D0">
        <w:rPr>
          <w:rFonts w:ascii="宋体" w:eastAsia="宋体" w:hAnsi="宋体" w:cs="Times New Roman" w:hint="eastAsia"/>
          <w:sz w:val="24"/>
          <w:szCs w:val="24"/>
        </w:rPr>
        <w:t>2017</w:t>
      </w:r>
      <w:r w:rsidR="00007006" w:rsidRPr="00C766D0">
        <w:rPr>
          <w:rFonts w:ascii="宋体" w:eastAsia="宋体" w:hAnsi="宋体" w:cs="Times New Roman" w:hint="eastAsia"/>
          <w:sz w:val="24"/>
          <w:szCs w:val="24"/>
        </w:rPr>
        <w:t>年</w:t>
      </w:r>
      <w:r w:rsidR="00BC69D7" w:rsidRPr="00C766D0">
        <w:rPr>
          <w:rFonts w:ascii="宋体" w:eastAsia="宋体" w:hAnsi="宋体" w:cs="Times New Roman"/>
          <w:sz w:val="24"/>
          <w:szCs w:val="24"/>
        </w:rPr>
        <w:t>1</w:t>
      </w:r>
      <w:r w:rsidR="001F6B50" w:rsidRPr="00C766D0">
        <w:rPr>
          <w:rFonts w:ascii="宋体" w:eastAsia="宋体" w:hAnsi="宋体" w:cs="Times New Roman"/>
          <w:sz w:val="24"/>
          <w:szCs w:val="24"/>
        </w:rPr>
        <w:t>2</w:t>
      </w:r>
      <w:r w:rsidR="00BC69D7" w:rsidRPr="00C766D0">
        <w:rPr>
          <w:rFonts w:ascii="宋体" w:eastAsia="宋体" w:hAnsi="宋体" w:cs="Times New Roman" w:hint="eastAsia"/>
          <w:sz w:val="24"/>
          <w:szCs w:val="24"/>
        </w:rPr>
        <w:t>月</w:t>
      </w:r>
      <w:r w:rsidR="001F6B50" w:rsidRPr="00C766D0">
        <w:rPr>
          <w:rFonts w:ascii="宋体" w:eastAsia="宋体" w:hAnsi="宋体" w:cs="Times New Roman"/>
          <w:sz w:val="24"/>
          <w:szCs w:val="24"/>
        </w:rPr>
        <w:t>30</w:t>
      </w:r>
      <w:r w:rsidR="00BC69D7" w:rsidRPr="00C766D0">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3CC" w:rsidRDefault="00C433CC" w:rsidP="004A00AA">
      <w:r>
        <w:separator/>
      </w:r>
    </w:p>
  </w:endnote>
  <w:endnote w:type="continuationSeparator" w:id="1">
    <w:p w:rsidR="00C433CC" w:rsidRDefault="00C433CC"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3CC" w:rsidRDefault="00C433CC" w:rsidP="004A00AA">
      <w:r>
        <w:separator/>
      </w:r>
    </w:p>
  </w:footnote>
  <w:footnote w:type="continuationSeparator" w:id="1">
    <w:p w:rsidR="00C433CC" w:rsidRDefault="00C433CC"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351AA"/>
    <w:rsid w:val="000405B9"/>
    <w:rsid w:val="00052D4B"/>
    <w:rsid w:val="00093F8C"/>
    <w:rsid w:val="000B11CF"/>
    <w:rsid w:val="000B15AA"/>
    <w:rsid w:val="000C603B"/>
    <w:rsid w:val="000F6AA5"/>
    <w:rsid w:val="0013027E"/>
    <w:rsid w:val="00137E99"/>
    <w:rsid w:val="00146396"/>
    <w:rsid w:val="001558B2"/>
    <w:rsid w:val="001F6B50"/>
    <w:rsid w:val="00226653"/>
    <w:rsid w:val="00232088"/>
    <w:rsid w:val="002536FF"/>
    <w:rsid w:val="002809F9"/>
    <w:rsid w:val="0028393F"/>
    <w:rsid w:val="002A6714"/>
    <w:rsid w:val="002D3105"/>
    <w:rsid w:val="002D7E5A"/>
    <w:rsid w:val="00310673"/>
    <w:rsid w:val="00376F37"/>
    <w:rsid w:val="003B7D7B"/>
    <w:rsid w:val="003D4DAE"/>
    <w:rsid w:val="004164CA"/>
    <w:rsid w:val="0043490D"/>
    <w:rsid w:val="0048526A"/>
    <w:rsid w:val="00492652"/>
    <w:rsid w:val="00495416"/>
    <w:rsid w:val="004A00AA"/>
    <w:rsid w:val="004D7EB2"/>
    <w:rsid w:val="00517D1F"/>
    <w:rsid w:val="0053757C"/>
    <w:rsid w:val="00553082"/>
    <w:rsid w:val="00585696"/>
    <w:rsid w:val="005B6B2B"/>
    <w:rsid w:val="0062083F"/>
    <w:rsid w:val="006279F7"/>
    <w:rsid w:val="00630235"/>
    <w:rsid w:val="006435FA"/>
    <w:rsid w:val="00643B80"/>
    <w:rsid w:val="00643C31"/>
    <w:rsid w:val="00693718"/>
    <w:rsid w:val="006C01C3"/>
    <w:rsid w:val="006D0E78"/>
    <w:rsid w:val="006D30F3"/>
    <w:rsid w:val="006D72C3"/>
    <w:rsid w:val="0074529B"/>
    <w:rsid w:val="0078559E"/>
    <w:rsid w:val="0079078F"/>
    <w:rsid w:val="007B6EFA"/>
    <w:rsid w:val="007D2B50"/>
    <w:rsid w:val="007E7173"/>
    <w:rsid w:val="00810AA6"/>
    <w:rsid w:val="00820786"/>
    <w:rsid w:val="0085623D"/>
    <w:rsid w:val="00885926"/>
    <w:rsid w:val="008C265E"/>
    <w:rsid w:val="008C43FC"/>
    <w:rsid w:val="008F2932"/>
    <w:rsid w:val="009704D8"/>
    <w:rsid w:val="00970D61"/>
    <w:rsid w:val="00990CBC"/>
    <w:rsid w:val="00997943"/>
    <w:rsid w:val="009C7A9F"/>
    <w:rsid w:val="009E7725"/>
    <w:rsid w:val="009F74CB"/>
    <w:rsid w:val="00A3491E"/>
    <w:rsid w:val="00A47340"/>
    <w:rsid w:val="00A879A6"/>
    <w:rsid w:val="00AA77A5"/>
    <w:rsid w:val="00AE1ECF"/>
    <w:rsid w:val="00B72C5E"/>
    <w:rsid w:val="00B76B9A"/>
    <w:rsid w:val="00B9145F"/>
    <w:rsid w:val="00B95478"/>
    <w:rsid w:val="00BC69D7"/>
    <w:rsid w:val="00BF0446"/>
    <w:rsid w:val="00C2640E"/>
    <w:rsid w:val="00C433CC"/>
    <w:rsid w:val="00C7340B"/>
    <w:rsid w:val="00C766D0"/>
    <w:rsid w:val="00C86924"/>
    <w:rsid w:val="00C93AD2"/>
    <w:rsid w:val="00CA3939"/>
    <w:rsid w:val="00CB1560"/>
    <w:rsid w:val="00CF1EDE"/>
    <w:rsid w:val="00CF49D5"/>
    <w:rsid w:val="00D144BD"/>
    <w:rsid w:val="00D73369"/>
    <w:rsid w:val="00D962AC"/>
    <w:rsid w:val="00DB7140"/>
    <w:rsid w:val="00DC70F8"/>
    <w:rsid w:val="00DD47BC"/>
    <w:rsid w:val="00DE15BC"/>
    <w:rsid w:val="00E316EA"/>
    <w:rsid w:val="00E56D8D"/>
    <w:rsid w:val="00E64A46"/>
    <w:rsid w:val="00E76098"/>
    <w:rsid w:val="00E879CB"/>
    <w:rsid w:val="00EA1505"/>
    <w:rsid w:val="00EB6E68"/>
    <w:rsid w:val="00F05EC9"/>
    <w:rsid w:val="00F07DC0"/>
    <w:rsid w:val="00F13A45"/>
    <w:rsid w:val="00F30B85"/>
    <w:rsid w:val="00F41A6B"/>
    <w:rsid w:val="00F72161"/>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23830F-E07F-4ED8-9D2D-0A2E4D5F8D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2162</Characters>
  <Application>Microsoft Office Word</Application>
  <DocSecurity>4</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2017-12-29T16:45:00Z</dcterms:created>
  <dcterms:modified xsi:type="dcterms:W3CDTF">2017-12-29T16:45:00Z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