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78" w:rsidRDefault="001F4278" w:rsidP="001F4278">
      <w:pPr>
        <w:jc w:val="center"/>
        <w:rPr>
          <w:b/>
          <w:sz w:val="28"/>
          <w:szCs w:val="28"/>
        </w:rPr>
      </w:pPr>
      <w:r w:rsidRPr="001F4278">
        <w:rPr>
          <w:rFonts w:hint="eastAsia"/>
          <w:b/>
          <w:sz w:val="28"/>
          <w:szCs w:val="28"/>
        </w:rPr>
        <w:t>关于</w:t>
      </w:r>
      <w:r>
        <w:rPr>
          <w:rFonts w:hint="eastAsia"/>
          <w:b/>
          <w:sz w:val="28"/>
          <w:szCs w:val="28"/>
        </w:rPr>
        <w:t>鹏华</w:t>
      </w:r>
      <w:r w:rsidR="004F1A3E">
        <w:rPr>
          <w:rFonts w:hint="eastAsia"/>
          <w:b/>
          <w:sz w:val="28"/>
          <w:szCs w:val="28"/>
        </w:rPr>
        <w:t>丰嘉</w:t>
      </w:r>
      <w:r>
        <w:rPr>
          <w:rFonts w:hint="eastAsia"/>
          <w:b/>
          <w:sz w:val="28"/>
          <w:szCs w:val="28"/>
        </w:rPr>
        <w:t>债券型证券投资基金</w:t>
      </w:r>
      <w:r w:rsidRPr="001F4278">
        <w:rPr>
          <w:rFonts w:hint="eastAsia"/>
          <w:b/>
          <w:sz w:val="28"/>
          <w:szCs w:val="28"/>
        </w:rPr>
        <w:t>可能触发基金合同终止情形</w:t>
      </w:r>
    </w:p>
    <w:p w:rsidR="001F4278" w:rsidRPr="001F4278" w:rsidRDefault="001F4278" w:rsidP="001F4278">
      <w:pPr>
        <w:jc w:val="center"/>
        <w:rPr>
          <w:b/>
          <w:sz w:val="28"/>
          <w:szCs w:val="28"/>
        </w:rPr>
      </w:pPr>
      <w:r w:rsidRPr="001F4278">
        <w:rPr>
          <w:rFonts w:hint="eastAsia"/>
          <w:b/>
          <w:sz w:val="28"/>
          <w:szCs w:val="28"/>
        </w:rPr>
        <w:t>的提示性公告</w:t>
      </w:r>
    </w:p>
    <w:p w:rsidR="001F4278" w:rsidRDefault="001F4278" w:rsidP="001F4278"/>
    <w:p w:rsidR="001F4278" w:rsidRPr="001F4278" w:rsidRDefault="001F4278" w:rsidP="001F4278">
      <w:pPr>
        <w:spacing w:line="360" w:lineRule="auto"/>
        <w:ind w:firstLineChars="200" w:firstLine="480"/>
        <w:rPr>
          <w:rFonts w:asciiTheme="minorEastAsia" w:hAnsiTheme="minorEastAsia"/>
          <w:sz w:val="24"/>
          <w:szCs w:val="24"/>
        </w:rPr>
      </w:pPr>
      <w:r w:rsidRPr="001F4278">
        <w:rPr>
          <w:rFonts w:asciiTheme="minorEastAsia" w:hAnsiTheme="minorEastAsia" w:hint="eastAsia"/>
          <w:sz w:val="24"/>
          <w:szCs w:val="24"/>
        </w:rPr>
        <w:t>根据《中华人民共和国证券投资基金法》、《公开募集证券投资基金运作管理办法》、《</w:t>
      </w:r>
      <w:r>
        <w:rPr>
          <w:rFonts w:asciiTheme="minorEastAsia" w:hAnsiTheme="minorEastAsia" w:hint="eastAsia"/>
          <w:sz w:val="24"/>
          <w:szCs w:val="24"/>
        </w:rPr>
        <w:t>鹏华</w:t>
      </w:r>
      <w:r w:rsidR="004F1A3E">
        <w:rPr>
          <w:rFonts w:asciiTheme="minorEastAsia" w:hAnsiTheme="minorEastAsia" w:hint="eastAsia"/>
          <w:sz w:val="24"/>
          <w:szCs w:val="24"/>
        </w:rPr>
        <w:t>丰嘉</w:t>
      </w:r>
      <w:r>
        <w:rPr>
          <w:rFonts w:asciiTheme="minorEastAsia" w:hAnsiTheme="minorEastAsia" w:hint="eastAsia"/>
          <w:sz w:val="24"/>
          <w:szCs w:val="24"/>
        </w:rPr>
        <w:t>债券型证券投资基金</w:t>
      </w:r>
      <w:r w:rsidRPr="001F4278">
        <w:rPr>
          <w:rFonts w:asciiTheme="minorEastAsia" w:hAnsiTheme="minorEastAsia" w:hint="eastAsia"/>
          <w:sz w:val="24"/>
          <w:szCs w:val="24"/>
        </w:rPr>
        <w:t>基金合同》</w:t>
      </w:r>
      <w:r w:rsidRPr="001F4278">
        <w:rPr>
          <w:rFonts w:asciiTheme="minorEastAsia" w:hAnsiTheme="minorEastAsia"/>
          <w:sz w:val="24"/>
          <w:szCs w:val="24"/>
        </w:rPr>
        <w:t>(</w:t>
      </w:r>
      <w:r w:rsidRPr="001F4278">
        <w:rPr>
          <w:rFonts w:asciiTheme="minorEastAsia" w:hAnsiTheme="minorEastAsia" w:hint="eastAsia"/>
          <w:sz w:val="24"/>
          <w:szCs w:val="24"/>
        </w:rPr>
        <w:t>以下简称“</w:t>
      </w:r>
      <w:r>
        <w:rPr>
          <w:rFonts w:asciiTheme="minorEastAsia" w:hAnsiTheme="minorEastAsia" w:hint="eastAsia"/>
          <w:sz w:val="24"/>
          <w:szCs w:val="24"/>
        </w:rPr>
        <w:t>《</w:t>
      </w:r>
      <w:r w:rsidRPr="001F4278">
        <w:rPr>
          <w:rFonts w:asciiTheme="minorEastAsia" w:hAnsiTheme="minorEastAsia" w:hint="eastAsia"/>
          <w:sz w:val="24"/>
          <w:szCs w:val="24"/>
        </w:rPr>
        <w:t>基金合同</w:t>
      </w:r>
      <w:r>
        <w:rPr>
          <w:rFonts w:asciiTheme="minorEastAsia" w:hAnsiTheme="minorEastAsia" w:hint="eastAsia"/>
          <w:sz w:val="24"/>
          <w:szCs w:val="24"/>
        </w:rPr>
        <w:t>》</w:t>
      </w:r>
      <w:r w:rsidRPr="001F4278">
        <w:rPr>
          <w:rFonts w:asciiTheme="minorEastAsia" w:hAnsiTheme="minorEastAsia" w:hint="eastAsia"/>
          <w:sz w:val="24"/>
          <w:szCs w:val="24"/>
        </w:rPr>
        <w:t>”</w:t>
      </w:r>
      <w:r w:rsidRPr="001F4278">
        <w:rPr>
          <w:rFonts w:asciiTheme="minorEastAsia" w:hAnsiTheme="minorEastAsia"/>
          <w:sz w:val="24"/>
          <w:szCs w:val="24"/>
        </w:rPr>
        <w:t>)</w:t>
      </w:r>
      <w:r w:rsidRPr="001F4278">
        <w:rPr>
          <w:rFonts w:asciiTheme="minorEastAsia" w:hAnsiTheme="minorEastAsia" w:hint="eastAsia"/>
          <w:sz w:val="24"/>
          <w:szCs w:val="24"/>
        </w:rPr>
        <w:t>的有关规定，</w:t>
      </w:r>
      <w:r>
        <w:rPr>
          <w:rFonts w:asciiTheme="minorEastAsia" w:hAnsiTheme="minorEastAsia" w:hint="eastAsia"/>
          <w:sz w:val="24"/>
          <w:szCs w:val="24"/>
        </w:rPr>
        <w:t>鹏华</w:t>
      </w:r>
      <w:r w:rsidR="004F1A3E">
        <w:rPr>
          <w:rFonts w:asciiTheme="minorEastAsia" w:hAnsiTheme="minorEastAsia" w:hint="eastAsia"/>
          <w:sz w:val="24"/>
          <w:szCs w:val="24"/>
        </w:rPr>
        <w:t>丰嘉</w:t>
      </w:r>
      <w:r>
        <w:rPr>
          <w:rFonts w:asciiTheme="minorEastAsia" w:hAnsiTheme="minorEastAsia" w:hint="eastAsia"/>
          <w:sz w:val="24"/>
          <w:szCs w:val="24"/>
        </w:rPr>
        <w:t>债券型证券投资基金</w:t>
      </w:r>
      <w:r w:rsidRPr="001F4278">
        <w:rPr>
          <w:rFonts w:asciiTheme="minorEastAsia" w:hAnsiTheme="minorEastAsia" w:hint="eastAsia"/>
          <w:sz w:val="24"/>
          <w:szCs w:val="24"/>
        </w:rPr>
        <w:t>（以下简称“本基金”）可能触发基金合同终止情形，现将相关事项提示公告如下：</w:t>
      </w:r>
    </w:p>
    <w:p w:rsidR="001F4278" w:rsidRPr="001F4278" w:rsidRDefault="001F4278" w:rsidP="001F4278">
      <w:pPr>
        <w:spacing w:line="360" w:lineRule="auto"/>
        <w:rPr>
          <w:rFonts w:asciiTheme="minorEastAsia" w:hAnsiTheme="minorEastAsia"/>
          <w:sz w:val="24"/>
          <w:szCs w:val="24"/>
        </w:rPr>
      </w:pPr>
    </w:p>
    <w:p w:rsidR="001F4278" w:rsidRPr="001F4278" w:rsidRDefault="001F4278" w:rsidP="001F427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w:t>
      </w:r>
      <w:r w:rsidRPr="001F4278">
        <w:rPr>
          <w:rFonts w:asciiTheme="minorEastAsia" w:hAnsiTheme="minorEastAsia" w:hint="eastAsia"/>
          <w:b/>
          <w:sz w:val="24"/>
          <w:szCs w:val="24"/>
        </w:rPr>
        <w:t>基金基本信息</w:t>
      </w:r>
    </w:p>
    <w:tbl>
      <w:tblPr>
        <w:tblW w:w="0" w:type="auto"/>
        <w:jc w:val="center"/>
        <w:tblLayout w:type="fixed"/>
        <w:tblCellMar>
          <w:left w:w="0" w:type="dxa"/>
          <w:right w:w="0" w:type="dxa"/>
        </w:tblCellMar>
        <w:tblLook w:val="0000"/>
      </w:tblPr>
      <w:tblGrid>
        <w:gridCol w:w="2263"/>
        <w:gridCol w:w="5812"/>
      </w:tblGrid>
      <w:tr w:rsidR="001F4278" w:rsidRPr="004F1A3E" w:rsidTr="00301A3A">
        <w:trPr>
          <w:trHeight w:hRule="exact" w:val="32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59" w:lineRule="exact"/>
              <w:ind w:left="101"/>
              <w:jc w:val="both"/>
              <w:rPr>
                <w:rFonts w:asciiTheme="minorEastAsia" w:hAnsiTheme="minorEastAsia"/>
              </w:rPr>
            </w:pPr>
            <w:r w:rsidRPr="004F1A3E">
              <w:rPr>
                <w:rFonts w:asciiTheme="minorEastAsia" w:hAnsiTheme="minorEastAsia" w:cs="宋体" w:hint="eastAsia"/>
              </w:rPr>
              <w:t>基金名称</w:t>
            </w:r>
          </w:p>
        </w:tc>
        <w:tc>
          <w:tcPr>
            <w:tcW w:w="5812"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59" w:lineRule="exact"/>
              <w:ind w:left="101"/>
              <w:jc w:val="both"/>
              <w:rPr>
                <w:rFonts w:asciiTheme="minorEastAsia" w:hAnsiTheme="minorEastAsia"/>
              </w:rPr>
            </w:pPr>
            <w:r w:rsidRPr="004F1A3E">
              <w:rPr>
                <w:rFonts w:asciiTheme="minorEastAsia" w:hAnsiTheme="minorEastAsia" w:cs="宋体" w:hint="eastAsia"/>
              </w:rPr>
              <w:t>鹏华</w:t>
            </w:r>
            <w:r w:rsidR="004F1A3E" w:rsidRPr="004F1A3E">
              <w:rPr>
                <w:rFonts w:asciiTheme="minorEastAsia" w:hAnsiTheme="minorEastAsia" w:cs="宋体" w:hint="eastAsia"/>
              </w:rPr>
              <w:t>丰嘉</w:t>
            </w:r>
            <w:r w:rsidRPr="004F1A3E">
              <w:rPr>
                <w:rFonts w:asciiTheme="minorEastAsia" w:hAnsiTheme="minorEastAsia" w:cs="宋体" w:hint="eastAsia"/>
              </w:rPr>
              <w:t>债券型证券投资基金</w:t>
            </w:r>
          </w:p>
        </w:tc>
      </w:tr>
      <w:tr w:rsidR="001F4278" w:rsidRPr="004F1A3E" w:rsidTr="00301A3A">
        <w:trPr>
          <w:trHeight w:hRule="exact" w:val="323"/>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60" w:lineRule="exact"/>
              <w:ind w:left="101"/>
              <w:jc w:val="both"/>
              <w:rPr>
                <w:rFonts w:asciiTheme="minorEastAsia" w:hAnsiTheme="minorEastAsia"/>
              </w:rPr>
            </w:pPr>
            <w:r w:rsidRPr="004F1A3E">
              <w:rPr>
                <w:rFonts w:asciiTheme="minorEastAsia" w:hAnsiTheme="minorEastAsia" w:cs="宋体" w:hint="eastAsia"/>
              </w:rPr>
              <w:t>基金简称</w:t>
            </w:r>
          </w:p>
        </w:tc>
        <w:tc>
          <w:tcPr>
            <w:tcW w:w="5812"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60" w:lineRule="exact"/>
              <w:ind w:left="101"/>
              <w:jc w:val="both"/>
              <w:rPr>
                <w:rFonts w:asciiTheme="minorEastAsia" w:hAnsiTheme="minorEastAsia"/>
              </w:rPr>
            </w:pPr>
            <w:r w:rsidRPr="004F1A3E">
              <w:rPr>
                <w:rFonts w:asciiTheme="minorEastAsia" w:hAnsiTheme="minorEastAsia" w:cs="宋体" w:hint="eastAsia"/>
              </w:rPr>
              <w:t>鹏华</w:t>
            </w:r>
            <w:r w:rsidR="004F1A3E" w:rsidRPr="004F1A3E">
              <w:rPr>
                <w:rFonts w:asciiTheme="minorEastAsia" w:hAnsiTheme="minorEastAsia" w:cs="宋体" w:hint="eastAsia"/>
              </w:rPr>
              <w:t>丰嘉</w:t>
            </w:r>
            <w:r w:rsidRPr="004F1A3E">
              <w:rPr>
                <w:rFonts w:asciiTheme="minorEastAsia" w:hAnsiTheme="minorEastAsia" w:cs="宋体" w:hint="eastAsia"/>
              </w:rPr>
              <w:t>债券</w:t>
            </w:r>
          </w:p>
        </w:tc>
      </w:tr>
      <w:tr w:rsidR="001F4278" w:rsidRPr="004F1A3E" w:rsidTr="00301A3A">
        <w:trPr>
          <w:trHeight w:hRule="exact" w:val="32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59" w:lineRule="exact"/>
              <w:ind w:left="101"/>
              <w:jc w:val="both"/>
              <w:rPr>
                <w:rFonts w:asciiTheme="minorEastAsia" w:hAnsiTheme="minorEastAsia"/>
              </w:rPr>
            </w:pPr>
            <w:r w:rsidRPr="004F1A3E">
              <w:rPr>
                <w:rFonts w:asciiTheme="minorEastAsia" w:hAnsiTheme="minorEastAsia" w:cs="宋体" w:hint="eastAsia"/>
              </w:rPr>
              <w:t>基金主代码</w:t>
            </w:r>
          </w:p>
        </w:tc>
        <w:tc>
          <w:tcPr>
            <w:tcW w:w="5812"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4F1A3E">
            <w:pPr>
              <w:pStyle w:val="TableParagraph"/>
              <w:kinsoku w:val="0"/>
              <w:overflowPunct w:val="0"/>
              <w:spacing w:before="33"/>
              <w:ind w:left="101"/>
              <w:jc w:val="both"/>
              <w:rPr>
                <w:rFonts w:asciiTheme="minorEastAsia" w:hAnsiTheme="minorEastAsia"/>
              </w:rPr>
            </w:pPr>
            <w:r w:rsidRPr="004F1A3E">
              <w:rPr>
                <w:rFonts w:asciiTheme="minorEastAsia" w:hAnsiTheme="minorEastAsia" w:cs="Arial"/>
                <w:spacing w:val="-1"/>
              </w:rPr>
              <w:t>00</w:t>
            </w:r>
            <w:r w:rsidR="004F1A3E" w:rsidRPr="004F1A3E">
              <w:rPr>
                <w:rFonts w:asciiTheme="minorEastAsia" w:hAnsiTheme="minorEastAsia" w:cs="Arial"/>
                <w:spacing w:val="-1"/>
              </w:rPr>
              <w:t>4445</w:t>
            </w:r>
          </w:p>
        </w:tc>
      </w:tr>
      <w:tr w:rsidR="001F4278" w:rsidRPr="004F1A3E" w:rsidTr="00301A3A">
        <w:trPr>
          <w:trHeight w:hRule="exact" w:val="32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59" w:lineRule="exact"/>
              <w:ind w:left="101"/>
              <w:jc w:val="both"/>
              <w:rPr>
                <w:rFonts w:asciiTheme="minorEastAsia" w:hAnsiTheme="minorEastAsia"/>
              </w:rPr>
            </w:pPr>
            <w:r w:rsidRPr="004F1A3E">
              <w:rPr>
                <w:rFonts w:asciiTheme="minorEastAsia" w:hAnsiTheme="minorEastAsia" w:cs="宋体" w:hint="eastAsia"/>
              </w:rPr>
              <w:t>基金运作方式</w:t>
            </w:r>
          </w:p>
        </w:tc>
        <w:tc>
          <w:tcPr>
            <w:tcW w:w="5812"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59" w:lineRule="exact"/>
              <w:ind w:left="101"/>
              <w:jc w:val="both"/>
              <w:rPr>
                <w:rFonts w:asciiTheme="minorEastAsia" w:hAnsiTheme="minorEastAsia"/>
              </w:rPr>
            </w:pPr>
            <w:r w:rsidRPr="004F1A3E">
              <w:rPr>
                <w:rFonts w:asciiTheme="minorEastAsia" w:hAnsiTheme="minorEastAsia" w:cs="宋体" w:hint="eastAsia"/>
              </w:rPr>
              <w:t>契约型开放式</w:t>
            </w:r>
          </w:p>
        </w:tc>
      </w:tr>
      <w:tr w:rsidR="001F4278" w:rsidRPr="004F1A3E" w:rsidTr="00301A3A">
        <w:trPr>
          <w:trHeight w:hRule="exact" w:val="323"/>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60" w:lineRule="exact"/>
              <w:ind w:left="101"/>
              <w:jc w:val="both"/>
              <w:rPr>
                <w:rFonts w:asciiTheme="minorEastAsia" w:hAnsiTheme="minorEastAsia"/>
              </w:rPr>
            </w:pPr>
            <w:r w:rsidRPr="004F1A3E">
              <w:rPr>
                <w:rFonts w:asciiTheme="minorEastAsia" w:hAnsiTheme="minorEastAsia" w:cs="宋体" w:hint="eastAsia"/>
              </w:rPr>
              <w:t>基金合同生效日</w:t>
            </w:r>
          </w:p>
        </w:tc>
        <w:tc>
          <w:tcPr>
            <w:tcW w:w="5812"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4F1A3E">
            <w:pPr>
              <w:pStyle w:val="TableParagraph"/>
              <w:kinsoku w:val="0"/>
              <w:overflowPunct w:val="0"/>
              <w:spacing w:line="275" w:lineRule="exact"/>
              <w:ind w:left="101"/>
              <w:jc w:val="both"/>
              <w:rPr>
                <w:rFonts w:asciiTheme="minorEastAsia" w:hAnsiTheme="minorEastAsia"/>
              </w:rPr>
            </w:pPr>
            <w:r w:rsidRPr="004F1A3E">
              <w:rPr>
                <w:rFonts w:asciiTheme="minorEastAsia" w:hAnsiTheme="minorEastAsia" w:cs="Arial"/>
                <w:spacing w:val="-1"/>
              </w:rPr>
              <w:t>201</w:t>
            </w:r>
            <w:r w:rsidR="004F1A3E" w:rsidRPr="004F1A3E">
              <w:rPr>
                <w:rFonts w:asciiTheme="minorEastAsia" w:hAnsiTheme="minorEastAsia" w:cs="Arial"/>
              </w:rPr>
              <w:t>7</w:t>
            </w:r>
            <w:r w:rsidRPr="004F1A3E">
              <w:rPr>
                <w:rFonts w:asciiTheme="minorEastAsia" w:hAnsiTheme="minorEastAsia" w:cs="宋体" w:hint="eastAsia"/>
              </w:rPr>
              <w:t>年</w:t>
            </w:r>
            <w:r w:rsidR="004F1A3E" w:rsidRPr="004F1A3E">
              <w:rPr>
                <w:rFonts w:asciiTheme="minorEastAsia" w:hAnsiTheme="minorEastAsia" w:cs="Arial"/>
                <w:spacing w:val="-16"/>
              </w:rPr>
              <w:t>3</w:t>
            </w:r>
            <w:r w:rsidRPr="004F1A3E">
              <w:rPr>
                <w:rFonts w:asciiTheme="minorEastAsia" w:hAnsiTheme="minorEastAsia" w:cs="宋体" w:hint="eastAsia"/>
              </w:rPr>
              <w:t>月</w:t>
            </w:r>
            <w:r w:rsidR="004F1A3E" w:rsidRPr="004F1A3E">
              <w:rPr>
                <w:rFonts w:asciiTheme="minorEastAsia" w:hAnsiTheme="minorEastAsia" w:cs="Arial"/>
              </w:rPr>
              <w:t>13</w:t>
            </w:r>
            <w:r w:rsidRPr="004F1A3E">
              <w:rPr>
                <w:rFonts w:asciiTheme="minorEastAsia" w:hAnsiTheme="minorEastAsia" w:cs="宋体" w:hint="eastAsia"/>
              </w:rPr>
              <w:t>日</w:t>
            </w:r>
          </w:p>
        </w:tc>
      </w:tr>
      <w:tr w:rsidR="001F4278" w:rsidRPr="004F1A3E" w:rsidTr="00301A3A">
        <w:trPr>
          <w:trHeight w:hRule="exact" w:val="32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59" w:lineRule="exact"/>
              <w:ind w:left="101"/>
              <w:jc w:val="both"/>
              <w:rPr>
                <w:rFonts w:asciiTheme="minorEastAsia" w:hAnsiTheme="minorEastAsia"/>
              </w:rPr>
            </w:pPr>
            <w:r w:rsidRPr="004F1A3E">
              <w:rPr>
                <w:rFonts w:asciiTheme="minorEastAsia" w:hAnsiTheme="minorEastAsia" w:cs="宋体" w:hint="eastAsia"/>
              </w:rPr>
              <w:t>基金管理人名称</w:t>
            </w:r>
          </w:p>
        </w:tc>
        <w:tc>
          <w:tcPr>
            <w:tcW w:w="5812"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59" w:lineRule="exact"/>
              <w:ind w:left="101"/>
              <w:jc w:val="both"/>
              <w:rPr>
                <w:rFonts w:asciiTheme="minorEastAsia" w:hAnsiTheme="minorEastAsia"/>
              </w:rPr>
            </w:pPr>
            <w:r w:rsidRPr="004F1A3E">
              <w:rPr>
                <w:rFonts w:asciiTheme="minorEastAsia" w:hAnsiTheme="minorEastAsia" w:cs="宋体" w:hint="eastAsia"/>
              </w:rPr>
              <w:t>鹏华基金管理有限公司</w:t>
            </w:r>
          </w:p>
        </w:tc>
      </w:tr>
      <w:tr w:rsidR="001F4278" w:rsidRPr="004F1A3E" w:rsidTr="00301A3A">
        <w:trPr>
          <w:trHeight w:hRule="exact" w:val="322"/>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59" w:lineRule="exact"/>
              <w:ind w:left="101"/>
              <w:jc w:val="both"/>
              <w:rPr>
                <w:rFonts w:asciiTheme="minorEastAsia" w:hAnsiTheme="minorEastAsia"/>
              </w:rPr>
            </w:pPr>
            <w:r w:rsidRPr="004F1A3E">
              <w:rPr>
                <w:rFonts w:asciiTheme="minorEastAsia" w:hAnsiTheme="minorEastAsia" w:cs="宋体" w:hint="eastAsia"/>
              </w:rPr>
              <w:t>基金托管人名称</w:t>
            </w:r>
          </w:p>
        </w:tc>
        <w:tc>
          <w:tcPr>
            <w:tcW w:w="5812"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4F1A3E" w:rsidP="001F4278">
            <w:pPr>
              <w:pStyle w:val="TableParagraph"/>
              <w:kinsoku w:val="0"/>
              <w:overflowPunct w:val="0"/>
              <w:spacing w:line="259" w:lineRule="exact"/>
              <w:ind w:left="101"/>
              <w:jc w:val="both"/>
              <w:rPr>
                <w:rFonts w:asciiTheme="minorEastAsia" w:hAnsiTheme="minorEastAsia"/>
              </w:rPr>
            </w:pPr>
            <w:r>
              <w:rPr>
                <w:rFonts w:asciiTheme="minorEastAsia" w:hAnsiTheme="minorEastAsia" w:cs="宋体" w:hint="eastAsia"/>
              </w:rPr>
              <w:t>招商</w:t>
            </w:r>
            <w:r w:rsidR="001F4278" w:rsidRPr="004F1A3E">
              <w:rPr>
                <w:rFonts w:asciiTheme="minorEastAsia" w:hAnsiTheme="minorEastAsia" w:cs="宋体" w:hint="eastAsia"/>
              </w:rPr>
              <w:t>银行股份有限公司</w:t>
            </w:r>
          </w:p>
        </w:tc>
      </w:tr>
      <w:tr w:rsidR="001F4278" w:rsidRPr="004F1A3E" w:rsidTr="00301A3A">
        <w:trPr>
          <w:trHeight w:hRule="exact" w:val="1337"/>
          <w:jc w:val="center"/>
        </w:trPr>
        <w:tc>
          <w:tcPr>
            <w:tcW w:w="2263"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1F4278" w:rsidP="001F4278">
            <w:pPr>
              <w:pStyle w:val="TableParagraph"/>
              <w:kinsoku w:val="0"/>
              <w:overflowPunct w:val="0"/>
              <w:spacing w:line="260" w:lineRule="exact"/>
              <w:ind w:left="101"/>
              <w:jc w:val="both"/>
              <w:rPr>
                <w:rFonts w:asciiTheme="minorEastAsia" w:hAnsiTheme="minorEastAsia"/>
              </w:rPr>
            </w:pPr>
            <w:r w:rsidRPr="004F1A3E">
              <w:rPr>
                <w:rFonts w:asciiTheme="minorEastAsia" w:hAnsiTheme="minorEastAsia" w:cs="宋体" w:hint="eastAsia"/>
              </w:rPr>
              <w:t>公告依据</w:t>
            </w:r>
          </w:p>
        </w:tc>
        <w:tc>
          <w:tcPr>
            <w:tcW w:w="5812" w:type="dxa"/>
            <w:tcBorders>
              <w:top w:val="single" w:sz="4" w:space="0" w:color="000000"/>
              <w:left w:val="single" w:sz="4" w:space="0" w:color="000000"/>
              <w:bottom w:val="single" w:sz="4" w:space="0" w:color="000000"/>
              <w:right w:val="single" w:sz="4" w:space="0" w:color="000000"/>
            </w:tcBorders>
            <w:vAlign w:val="center"/>
          </w:tcPr>
          <w:p w:rsidR="001F4278" w:rsidRPr="004F1A3E" w:rsidRDefault="00301A3A" w:rsidP="00301A3A">
            <w:pPr>
              <w:pStyle w:val="TableParagraph"/>
              <w:kinsoku w:val="0"/>
              <w:overflowPunct w:val="0"/>
              <w:spacing w:line="260" w:lineRule="exact"/>
              <w:ind w:left="101" w:right="103"/>
              <w:jc w:val="both"/>
              <w:rPr>
                <w:rFonts w:asciiTheme="minorEastAsia" w:hAnsiTheme="minorEastAsia"/>
              </w:rPr>
            </w:pPr>
            <w:r w:rsidRPr="004F1A3E">
              <w:rPr>
                <w:rFonts w:asciiTheme="minorEastAsia" w:hAnsiTheme="minorEastAsia" w:cs="宋体" w:hint="eastAsia"/>
              </w:rPr>
              <w:t>《中华人民共和国证券投资基金法》、《公开募集证券投资基金运作管理办法》、《证券投资基金信息披露管理办法》、《鹏华</w:t>
            </w:r>
            <w:r w:rsidR="004F1A3E" w:rsidRPr="004F1A3E">
              <w:rPr>
                <w:rFonts w:asciiTheme="minorEastAsia" w:hAnsiTheme="minorEastAsia" w:cs="宋体" w:hint="eastAsia"/>
              </w:rPr>
              <w:t>丰嘉</w:t>
            </w:r>
            <w:r w:rsidRPr="004F1A3E">
              <w:rPr>
                <w:rFonts w:asciiTheme="minorEastAsia" w:hAnsiTheme="minorEastAsia" w:cs="宋体" w:hint="eastAsia"/>
              </w:rPr>
              <w:t>债券型证券投资基金基金合同》、《鹏华</w:t>
            </w:r>
            <w:r w:rsidR="004F1A3E" w:rsidRPr="004F1A3E">
              <w:rPr>
                <w:rFonts w:asciiTheme="minorEastAsia" w:hAnsiTheme="minorEastAsia" w:cs="宋体" w:hint="eastAsia"/>
              </w:rPr>
              <w:t>丰嘉</w:t>
            </w:r>
            <w:r w:rsidRPr="004F1A3E">
              <w:rPr>
                <w:rFonts w:asciiTheme="minorEastAsia" w:hAnsiTheme="minorEastAsia" w:cs="宋体" w:hint="eastAsia"/>
              </w:rPr>
              <w:t>债券型证券投资基金招募说明书》等</w:t>
            </w:r>
          </w:p>
        </w:tc>
      </w:tr>
    </w:tbl>
    <w:p w:rsidR="001F4278" w:rsidRPr="001F4278" w:rsidRDefault="001F4278" w:rsidP="001F4278">
      <w:pPr>
        <w:spacing w:line="360" w:lineRule="auto"/>
        <w:rPr>
          <w:rFonts w:asciiTheme="minorEastAsia" w:hAnsiTheme="minorEastAsia"/>
          <w:sz w:val="24"/>
          <w:szCs w:val="24"/>
        </w:rPr>
      </w:pPr>
    </w:p>
    <w:p w:rsidR="001F4278" w:rsidRPr="001F4278" w:rsidRDefault="001F4278" w:rsidP="001F4278">
      <w:pPr>
        <w:spacing w:line="360" w:lineRule="auto"/>
        <w:ind w:firstLineChars="200" w:firstLine="482"/>
        <w:rPr>
          <w:rFonts w:asciiTheme="minorEastAsia" w:hAnsiTheme="minorEastAsia"/>
          <w:b/>
          <w:sz w:val="24"/>
          <w:szCs w:val="24"/>
        </w:rPr>
      </w:pPr>
      <w:r w:rsidRPr="001F4278">
        <w:rPr>
          <w:rFonts w:asciiTheme="minorEastAsia" w:hAnsiTheme="minorEastAsia" w:hint="eastAsia"/>
          <w:b/>
          <w:sz w:val="24"/>
          <w:szCs w:val="24"/>
        </w:rPr>
        <w:t xml:space="preserve">二、可能触发基金合同终止的情形说明 </w:t>
      </w:r>
    </w:p>
    <w:p w:rsidR="00BE34A2" w:rsidRDefault="001F4278" w:rsidP="001F4278">
      <w:pPr>
        <w:spacing w:line="360" w:lineRule="auto"/>
        <w:ind w:firstLineChars="200" w:firstLine="480"/>
        <w:rPr>
          <w:rFonts w:asciiTheme="minorEastAsia" w:hAnsiTheme="minorEastAsia"/>
          <w:sz w:val="24"/>
          <w:szCs w:val="24"/>
        </w:rPr>
      </w:pPr>
      <w:r w:rsidRPr="001F4278">
        <w:rPr>
          <w:rFonts w:asciiTheme="minorEastAsia" w:hAnsiTheme="minorEastAsia" w:hint="eastAsia"/>
          <w:sz w:val="24"/>
          <w:szCs w:val="24"/>
        </w:rPr>
        <w:t>根据《基金合同》“第五部分基金备案”中“三、基金存续期内的基金份额持有人数量和资产规模”</w:t>
      </w:r>
      <w:r w:rsidR="00BE34A2">
        <w:rPr>
          <w:rFonts w:asciiTheme="minorEastAsia" w:hAnsiTheme="minorEastAsia" w:hint="eastAsia"/>
          <w:sz w:val="24"/>
          <w:szCs w:val="24"/>
        </w:rPr>
        <w:t>的</w:t>
      </w:r>
      <w:r w:rsidR="00BE34A2">
        <w:rPr>
          <w:rFonts w:asciiTheme="minorEastAsia" w:hAnsiTheme="minorEastAsia"/>
          <w:sz w:val="24"/>
          <w:szCs w:val="24"/>
        </w:rPr>
        <w:t>约定：</w:t>
      </w:r>
    </w:p>
    <w:p w:rsidR="00BE34A2" w:rsidRPr="00BE34A2" w:rsidRDefault="00BE34A2" w:rsidP="00BE34A2">
      <w:pPr>
        <w:spacing w:line="360" w:lineRule="auto"/>
        <w:ind w:firstLineChars="200" w:firstLine="480"/>
        <w:rPr>
          <w:rFonts w:asciiTheme="minorEastAsia" w:hAnsiTheme="minorEastAsia"/>
          <w:sz w:val="24"/>
          <w:szCs w:val="24"/>
        </w:rPr>
      </w:pPr>
      <w:r w:rsidRPr="00BE34A2">
        <w:rPr>
          <w:rFonts w:asciiTheme="minorEastAsia" w:hAnsiTheme="minorEastAsia" w:hint="eastAsia"/>
          <w:sz w:val="24"/>
          <w:szCs w:val="24"/>
        </w:rPr>
        <w:t>“基金合同生效后，连续20个工作日出现基金份额持有人数量不满200人或者基金资产净值低于5000万元的，基金管理人应当在定期报告中予以披露；连续60个工作日出现前述情形的，基金管理人应当终止《基金合同》，无须召开基金份额持有人大会。</w:t>
      </w:r>
    </w:p>
    <w:p w:rsidR="00BE34A2" w:rsidRDefault="00BE34A2" w:rsidP="00BE34A2">
      <w:pPr>
        <w:spacing w:line="360" w:lineRule="auto"/>
        <w:ind w:firstLineChars="200" w:firstLine="480"/>
        <w:rPr>
          <w:rFonts w:asciiTheme="minorEastAsia" w:hAnsiTheme="minorEastAsia"/>
          <w:sz w:val="24"/>
          <w:szCs w:val="24"/>
        </w:rPr>
      </w:pPr>
      <w:r w:rsidRPr="00BE34A2">
        <w:rPr>
          <w:rFonts w:asciiTheme="minorEastAsia" w:hAnsiTheme="minorEastAsia" w:hint="eastAsia"/>
          <w:sz w:val="24"/>
          <w:szCs w:val="24"/>
        </w:rPr>
        <w:t>法律法规另有规定时，从其规定。”</w:t>
      </w:r>
    </w:p>
    <w:p w:rsidR="00BE34A2" w:rsidRDefault="001F4278" w:rsidP="00BE34A2">
      <w:pPr>
        <w:spacing w:line="360" w:lineRule="auto"/>
        <w:ind w:firstLineChars="200" w:firstLine="480"/>
        <w:rPr>
          <w:rFonts w:asciiTheme="minorEastAsia" w:hAnsiTheme="minorEastAsia"/>
          <w:sz w:val="24"/>
          <w:szCs w:val="24"/>
        </w:rPr>
      </w:pPr>
      <w:r w:rsidRPr="001F4278">
        <w:rPr>
          <w:rFonts w:asciiTheme="minorEastAsia" w:hAnsiTheme="minorEastAsia" w:hint="eastAsia"/>
          <w:sz w:val="24"/>
          <w:szCs w:val="24"/>
        </w:rPr>
        <w:t>截至</w:t>
      </w:r>
      <w:r w:rsidRPr="001F4278">
        <w:rPr>
          <w:rFonts w:asciiTheme="minorEastAsia" w:hAnsiTheme="minorEastAsia"/>
          <w:sz w:val="24"/>
          <w:szCs w:val="24"/>
        </w:rPr>
        <w:t>2017</w:t>
      </w:r>
      <w:r w:rsidRPr="001F4278">
        <w:rPr>
          <w:rFonts w:asciiTheme="minorEastAsia" w:hAnsiTheme="minorEastAsia" w:hint="eastAsia"/>
          <w:sz w:val="24"/>
          <w:szCs w:val="24"/>
        </w:rPr>
        <w:t>年</w:t>
      </w:r>
      <w:r w:rsidR="004F1A3E">
        <w:rPr>
          <w:rFonts w:asciiTheme="minorEastAsia" w:hAnsiTheme="minorEastAsia"/>
          <w:sz w:val="24"/>
          <w:szCs w:val="24"/>
        </w:rPr>
        <w:t>12</w:t>
      </w:r>
      <w:r w:rsidRPr="001F4278">
        <w:rPr>
          <w:rFonts w:asciiTheme="minorEastAsia" w:hAnsiTheme="minorEastAsia" w:hint="eastAsia"/>
          <w:sz w:val="24"/>
          <w:szCs w:val="24"/>
        </w:rPr>
        <w:t>月</w:t>
      </w:r>
      <w:r w:rsidR="004F1A3E">
        <w:rPr>
          <w:rFonts w:asciiTheme="minorEastAsia" w:hAnsiTheme="minorEastAsia"/>
          <w:sz w:val="24"/>
          <w:szCs w:val="24"/>
        </w:rPr>
        <w:t>8</w:t>
      </w:r>
      <w:r w:rsidRPr="001F4278">
        <w:rPr>
          <w:rFonts w:asciiTheme="minorEastAsia" w:hAnsiTheme="minorEastAsia" w:hint="eastAsia"/>
          <w:sz w:val="24"/>
          <w:szCs w:val="24"/>
        </w:rPr>
        <w:t>日，本基金已连续</w:t>
      </w:r>
      <w:r w:rsidRPr="001F4278">
        <w:rPr>
          <w:rFonts w:asciiTheme="minorEastAsia" w:hAnsiTheme="minorEastAsia"/>
          <w:sz w:val="24"/>
          <w:szCs w:val="24"/>
        </w:rPr>
        <w:t>5</w:t>
      </w:r>
      <w:r w:rsidR="004F1A3E">
        <w:rPr>
          <w:rFonts w:asciiTheme="minorEastAsia" w:hAnsiTheme="minorEastAsia"/>
          <w:sz w:val="24"/>
          <w:szCs w:val="24"/>
        </w:rPr>
        <w:t>8</w:t>
      </w:r>
      <w:r w:rsidRPr="001F4278">
        <w:rPr>
          <w:rFonts w:asciiTheme="minorEastAsia" w:hAnsiTheme="minorEastAsia" w:hint="eastAsia"/>
          <w:sz w:val="24"/>
          <w:szCs w:val="24"/>
        </w:rPr>
        <w:t>个工作日出现基金资产净值低于</w:t>
      </w:r>
      <w:r w:rsidR="00BE34A2">
        <w:rPr>
          <w:rFonts w:asciiTheme="minorEastAsia" w:hAnsiTheme="minorEastAsia"/>
          <w:sz w:val="24"/>
          <w:szCs w:val="24"/>
        </w:rPr>
        <w:t>5000</w:t>
      </w:r>
      <w:r w:rsidRPr="001F4278">
        <w:rPr>
          <w:rFonts w:asciiTheme="minorEastAsia" w:hAnsiTheme="minorEastAsia" w:hint="eastAsia"/>
          <w:sz w:val="24"/>
          <w:szCs w:val="24"/>
        </w:rPr>
        <w:t>万元</w:t>
      </w:r>
      <w:r w:rsidR="00BE34A2">
        <w:rPr>
          <w:rFonts w:asciiTheme="minorEastAsia" w:hAnsiTheme="minorEastAsia" w:hint="eastAsia"/>
          <w:sz w:val="24"/>
          <w:szCs w:val="24"/>
        </w:rPr>
        <w:t>的</w:t>
      </w:r>
      <w:r w:rsidRPr="001F4278">
        <w:rPr>
          <w:rFonts w:asciiTheme="minorEastAsia" w:hAnsiTheme="minorEastAsia" w:hint="eastAsia"/>
          <w:sz w:val="24"/>
          <w:szCs w:val="24"/>
        </w:rPr>
        <w:t>情形。据此，</w:t>
      </w:r>
      <w:r w:rsidR="00BE34A2">
        <w:rPr>
          <w:rFonts w:asciiTheme="minorEastAsia" w:hAnsiTheme="minorEastAsia" w:hint="eastAsia"/>
          <w:sz w:val="24"/>
          <w:szCs w:val="24"/>
        </w:rPr>
        <w:t>若《</w:t>
      </w:r>
      <w:r w:rsidRPr="001F4278">
        <w:rPr>
          <w:rFonts w:asciiTheme="minorEastAsia" w:hAnsiTheme="minorEastAsia" w:hint="eastAsia"/>
          <w:sz w:val="24"/>
          <w:szCs w:val="24"/>
        </w:rPr>
        <w:t>基金合同</w:t>
      </w:r>
      <w:r w:rsidR="00BE34A2">
        <w:rPr>
          <w:rFonts w:asciiTheme="minorEastAsia" w:hAnsiTheme="minorEastAsia" w:hint="eastAsia"/>
          <w:sz w:val="24"/>
          <w:szCs w:val="24"/>
        </w:rPr>
        <w:t>》</w:t>
      </w:r>
      <w:r w:rsidRPr="001F4278">
        <w:rPr>
          <w:rFonts w:asciiTheme="minorEastAsia" w:hAnsiTheme="minorEastAsia" w:hint="eastAsia"/>
          <w:sz w:val="24"/>
          <w:szCs w:val="24"/>
        </w:rPr>
        <w:t>生效后出现触发</w:t>
      </w:r>
      <w:r w:rsidR="00BE34A2">
        <w:rPr>
          <w:rFonts w:asciiTheme="minorEastAsia" w:hAnsiTheme="minorEastAsia" w:hint="eastAsia"/>
          <w:sz w:val="24"/>
          <w:szCs w:val="24"/>
        </w:rPr>
        <w:t>《</w:t>
      </w:r>
      <w:r w:rsidR="00BE34A2" w:rsidRPr="001F4278">
        <w:rPr>
          <w:rFonts w:asciiTheme="minorEastAsia" w:hAnsiTheme="minorEastAsia" w:hint="eastAsia"/>
          <w:sz w:val="24"/>
          <w:szCs w:val="24"/>
        </w:rPr>
        <w:t>基金合同</w:t>
      </w:r>
      <w:r w:rsidR="00BE34A2">
        <w:rPr>
          <w:rFonts w:asciiTheme="minorEastAsia" w:hAnsiTheme="minorEastAsia" w:hint="eastAsia"/>
          <w:sz w:val="24"/>
          <w:szCs w:val="24"/>
        </w:rPr>
        <w:t>》</w:t>
      </w:r>
      <w:r w:rsidRPr="001F4278">
        <w:rPr>
          <w:rFonts w:asciiTheme="minorEastAsia" w:hAnsiTheme="minorEastAsia" w:hint="eastAsia"/>
          <w:sz w:val="24"/>
          <w:szCs w:val="24"/>
        </w:rPr>
        <w:t>终止的上述情形，本基金将进入清算程序。</w:t>
      </w:r>
    </w:p>
    <w:p w:rsidR="00BE34A2" w:rsidRPr="00BE34A2" w:rsidRDefault="001F4278" w:rsidP="00BE34A2">
      <w:pPr>
        <w:spacing w:line="360" w:lineRule="auto"/>
        <w:ind w:firstLineChars="200" w:firstLine="482"/>
        <w:rPr>
          <w:rFonts w:asciiTheme="minorEastAsia" w:hAnsiTheme="minorEastAsia"/>
          <w:b/>
          <w:sz w:val="24"/>
          <w:szCs w:val="24"/>
        </w:rPr>
      </w:pPr>
      <w:r w:rsidRPr="00BE34A2">
        <w:rPr>
          <w:rFonts w:asciiTheme="minorEastAsia" w:hAnsiTheme="minorEastAsia" w:hint="eastAsia"/>
          <w:b/>
          <w:sz w:val="24"/>
          <w:szCs w:val="24"/>
        </w:rPr>
        <w:lastRenderedPageBreak/>
        <w:t>三、其他需要提示的事项</w:t>
      </w:r>
    </w:p>
    <w:p w:rsidR="00BE34A2" w:rsidRDefault="001F4278" w:rsidP="00BE34A2">
      <w:pPr>
        <w:spacing w:line="360" w:lineRule="auto"/>
        <w:ind w:firstLineChars="200" w:firstLine="480"/>
        <w:rPr>
          <w:rFonts w:asciiTheme="minorEastAsia" w:hAnsiTheme="minorEastAsia"/>
          <w:sz w:val="24"/>
          <w:szCs w:val="24"/>
        </w:rPr>
      </w:pPr>
      <w:r w:rsidRPr="001F4278">
        <w:rPr>
          <w:rFonts w:asciiTheme="minorEastAsia" w:hAnsiTheme="minorEastAsia"/>
          <w:sz w:val="24"/>
          <w:szCs w:val="24"/>
        </w:rPr>
        <w:t>1</w:t>
      </w:r>
      <w:r w:rsidRPr="001F4278">
        <w:rPr>
          <w:rFonts w:asciiTheme="minorEastAsia" w:hAnsiTheme="minorEastAsia" w:hint="eastAsia"/>
          <w:sz w:val="24"/>
          <w:szCs w:val="24"/>
        </w:rPr>
        <w:t>、若</w:t>
      </w:r>
      <w:r w:rsidR="00BE34A2">
        <w:rPr>
          <w:rFonts w:asciiTheme="minorEastAsia" w:hAnsiTheme="minorEastAsia" w:hint="eastAsia"/>
          <w:sz w:val="24"/>
          <w:szCs w:val="24"/>
        </w:rPr>
        <w:t>《</w:t>
      </w:r>
      <w:r w:rsidR="00BE34A2" w:rsidRPr="001F4278">
        <w:rPr>
          <w:rFonts w:asciiTheme="minorEastAsia" w:hAnsiTheme="minorEastAsia" w:hint="eastAsia"/>
          <w:sz w:val="24"/>
          <w:szCs w:val="24"/>
        </w:rPr>
        <w:t>基金合同</w:t>
      </w:r>
      <w:r w:rsidR="00BE34A2">
        <w:rPr>
          <w:rFonts w:asciiTheme="minorEastAsia" w:hAnsiTheme="minorEastAsia" w:hint="eastAsia"/>
          <w:sz w:val="24"/>
          <w:szCs w:val="24"/>
        </w:rPr>
        <w:t>》</w:t>
      </w:r>
      <w:r w:rsidRPr="001F4278">
        <w:rPr>
          <w:rFonts w:asciiTheme="minorEastAsia" w:hAnsiTheme="minorEastAsia" w:hint="eastAsia"/>
          <w:sz w:val="24"/>
          <w:szCs w:val="24"/>
        </w:rPr>
        <w:t>发生终止情形，本基金进入清算程序后</w:t>
      </w:r>
      <w:r w:rsidRPr="001F4278">
        <w:rPr>
          <w:rFonts w:asciiTheme="minorEastAsia" w:hAnsiTheme="minorEastAsia"/>
          <w:sz w:val="24"/>
          <w:szCs w:val="24"/>
        </w:rPr>
        <w:t>,</w:t>
      </w:r>
      <w:r w:rsidRPr="001F4278">
        <w:rPr>
          <w:rFonts w:asciiTheme="minorEastAsia" w:hAnsiTheme="minorEastAsia" w:hint="eastAsia"/>
          <w:sz w:val="24"/>
          <w:szCs w:val="24"/>
        </w:rPr>
        <w:t>本基金将不开</w:t>
      </w:r>
      <w:r w:rsidR="00BE34A2">
        <w:rPr>
          <w:rFonts w:asciiTheme="minorEastAsia" w:hAnsiTheme="minorEastAsia" w:hint="eastAsia"/>
          <w:sz w:val="24"/>
          <w:szCs w:val="24"/>
        </w:rPr>
        <w:t>放申购、赎回、</w:t>
      </w:r>
      <w:r w:rsidRPr="001F4278">
        <w:rPr>
          <w:rFonts w:asciiTheme="minorEastAsia" w:hAnsiTheme="minorEastAsia" w:hint="eastAsia"/>
          <w:sz w:val="24"/>
          <w:szCs w:val="24"/>
        </w:rPr>
        <w:t>转换</w:t>
      </w:r>
      <w:r w:rsidR="00BE34A2">
        <w:rPr>
          <w:rFonts w:asciiTheme="minorEastAsia" w:hAnsiTheme="minorEastAsia" w:hint="eastAsia"/>
          <w:sz w:val="24"/>
          <w:szCs w:val="24"/>
        </w:rPr>
        <w:t>和</w:t>
      </w:r>
      <w:r w:rsidR="00BE34A2">
        <w:rPr>
          <w:rFonts w:asciiTheme="minorEastAsia" w:hAnsiTheme="minorEastAsia"/>
          <w:sz w:val="24"/>
          <w:szCs w:val="24"/>
        </w:rPr>
        <w:t>定投</w:t>
      </w:r>
      <w:r w:rsidRPr="001F4278">
        <w:rPr>
          <w:rFonts w:asciiTheme="minorEastAsia" w:hAnsiTheme="minorEastAsia" w:hint="eastAsia"/>
          <w:sz w:val="24"/>
          <w:szCs w:val="24"/>
        </w:rPr>
        <w:t>业务。</w:t>
      </w:r>
    </w:p>
    <w:p w:rsidR="00BE34A2" w:rsidRDefault="001F4278" w:rsidP="00BE34A2">
      <w:pPr>
        <w:spacing w:line="360" w:lineRule="auto"/>
        <w:ind w:firstLineChars="200" w:firstLine="480"/>
        <w:rPr>
          <w:rFonts w:asciiTheme="minorEastAsia" w:hAnsiTheme="minorEastAsia"/>
          <w:sz w:val="24"/>
          <w:szCs w:val="24"/>
        </w:rPr>
      </w:pPr>
      <w:r w:rsidRPr="001F4278">
        <w:rPr>
          <w:rFonts w:asciiTheme="minorEastAsia" w:hAnsiTheme="minorEastAsia"/>
          <w:sz w:val="24"/>
          <w:szCs w:val="24"/>
        </w:rPr>
        <w:t>2</w:t>
      </w:r>
      <w:r w:rsidRPr="001F4278">
        <w:rPr>
          <w:rFonts w:asciiTheme="minorEastAsia" w:hAnsiTheme="minorEastAsia" w:hint="eastAsia"/>
          <w:sz w:val="24"/>
          <w:szCs w:val="24"/>
        </w:rPr>
        <w:t>、自出现基金合同终止事由之日起</w:t>
      </w:r>
      <w:r w:rsidRPr="001F4278">
        <w:rPr>
          <w:rFonts w:asciiTheme="minorEastAsia" w:hAnsiTheme="minorEastAsia"/>
          <w:sz w:val="24"/>
          <w:szCs w:val="24"/>
        </w:rPr>
        <w:t>30</w:t>
      </w:r>
      <w:r w:rsidRPr="001F4278">
        <w:rPr>
          <w:rFonts w:asciiTheme="minorEastAsia" w:hAnsiTheme="minorEastAsia" w:hint="eastAsia"/>
          <w:sz w:val="24"/>
          <w:szCs w:val="24"/>
        </w:rPr>
        <w:t>个工作日内成立清算小组，基金管理人组织基金财产清算小组并在中国证监会的监督下进行基金清算。依据基金财产清算的分配方案，将基金财产清算后的全部剩余资产扣除基金财产清算费用、交纳所欠税款并清偿基金债务后，按基金份额持有人持有的基金份额比例进行分配。</w:t>
      </w:r>
    </w:p>
    <w:p w:rsidR="00BE34A2" w:rsidRDefault="001F4278" w:rsidP="00BE34A2">
      <w:pPr>
        <w:spacing w:line="360" w:lineRule="auto"/>
        <w:ind w:firstLineChars="200" w:firstLine="480"/>
        <w:rPr>
          <w:rFonts w:asciiTheme="minorEastAsia" w:hAnsiTheme="minorEastAsia"/>
          <w:sz w:val="24"/>
          <w:szCs w:val="24"/>
        </w:rPr>
      </w:pPr>
      <w:r w:rsidRPr="001F4278">
        <w:rPr>
          <w:rFonts w:asciiTheme="minorEastAsia" w:hAnsiTheme="minorEastAsia"/>
          <w:sz w:val="24"/>
          <w:szCs w:val="24"/>
        </w:rPr>
        <w:t>3</w:t>
      </w:r>
      <w:r w:rsidRPr="001F4278">
        <w:rPr>
          <w:rFonts w:asciiTheme="minorEastAsia" w:hAnsiTheme="minorEastAsia" w:hint="eastAsia"/>
          <w:sz w:val="24"/>
          <w:szCs w:val="24"/>
        </w:rPr>
        <w:t>、投资者欲了解本基金的详细情况，请认真阅读本基金基金合同及招募说明书</w:t>
      </w:r>
      <w:r w:rsidR="00BE34A2">
        <w:rPr>
          <w:rFonts w:asciiTheme="minorEastAsia" w:hAnsiTheme="minorEastAsia" w:hint="eastAsia"/>
          <w:sz w:val="24"/>
          <w:szCs w:val="24"/>
        </w:rPr>
        <w:t>。</w:t>
      </w:r>
      <w:r w:rsidRPr="001F4278">
        <w:rPr>
          <w:rFonts w:asciiTheme="minorEastAsia" w:hAnsiTheme="minorEastAsia" w:hint="eastAsia"/>
          <w:sz w:val="24"/>
          <w:szCs w:val="24"/>
        </w:rPr>
        <w:t>投资者可通过以下途径咨询</w:t>
      </w:r>
      <w:r w:rsidRPr="001F4278">
        <w:rPr>
          <w:rFonts w:asciiTheme="minorEastAsia" w:hAnsiTheme="minorEastAsia"/>
          <w:sz w:val="24"/>
          <w:szCs w:val="24"/>
        </w:rPr>
        <w:t>:</w:t>
      </w:r>
    </w:p>
    <w:p w:rsidR="00BE34A2" w:rsidRDefault="001F4278" w:rsidP="00BE34A2">
      <w:pPr>
        <w:spacing w:line="360" w:lineRule="auto"/>
        <w:ind w:firstLineChars="200" w:firstLine="480"/>
        <w:rPr>
          <w:rFonts w:asciiTheme="minorEastAsia" w:hAnsiTheme="minorEastAsia"/>
          <w:sz w:val="24"/>
          <w:szCs w:val="24"/>
        </w:rPr>
      </w:pPr>
      <w:r w:rsidRPr="001F4278">
        <w:rPr>
          <w:rFonts w:asciiTheme="minorEastAsia" w:hAnsiTheme="minorEastAsia" w:hint="eastAsia"/>
          <w:sz w:val="24"/>
          <w:szCs w:val="24"/>
        </w:rPr>
        <w:t>基金管理人网站：</w:t>
      </w:r>
      <w:hyperlink r:id="rId6" w:history="1">
        <w:r w:rsidR="00BE34A2" w:rsidRPr="008D2DF3">
          <w:rPr>
            <w:rStyle w:val="a4"/>
            <w:rFonts w:asciiTheme="minorEastAsia" w:hAnsiTheme="minorEastAsia"/>
            <w:sz w:val="24"/>
            <w:szCs w:val="24"/>
          </w:rPr>
          <w:t>www.phfund.com</w:t>
        </w:r>
      </w:hyperlink>
    </w:p>
    <w:p w:rsidR="00BE34A2" w:rsidRDefault="001F4278" w:rsidP="00BE34A2">
      <w:pPr>
        <w:spacing w:line="360" w:lineRule="auto"/>
        <w:ind w:firstLineChars="200" w:firstLine="480"/>
        <w:rPr>
          <w:rFonts w:asciiTheme="minorEastAsia" w:hAnsiTheme="minorEastAsia"/>
          <w:sz w:val="24"/>
          <w:szCs w:val="24"/>
        </w:rPr>
      </w:pPr>
      <w:r w:rsidRPr="001F4278">
        <w:rPr>
          <w:rFonts w:asciiTheme="minorEastAsia" w:hAnsiTheme="minorEastAsia" w:hint="eastAsia"/>
          <w:sz w:val="24"/>
          <w:szCs w:val="24"/>
        </w:rPr>
        <w:t>客服电话：</w:t>
      </w:r>
      <w:r w:rsidR="00BE34A2">
        <w:rPr>
          <w:rFonts w:asciiTheme="minorEastAsia" w:hAnsiTheme="minorEastAsia"/>
          <w:sz w:val="24"/>
          <w:szCs w:val="24"/>
        </w:rPr>
        <w:t>400-6788-999</w:t>
      </w:r>
      <w:r w:rsidRPr="001F4278">
        <w:rPr>
          <w:rFonts w:asciiTheme="minorEastAsia" w:hAnsiTheme="minorEastAsia" w:hint="eastAsia"/>
          <w:sz w:val="24"/>
          <w:szCs w:val="24"/>
        </w:rPr>
        <w:t>（免长途话费）</w:t>
      </w:r>
    </w:p>
    <w:p w:rsidR="00BE34A2" w:rsidRDefault="00BE34A2" w:rsidP="00BE34A2">
      <w:pPr>
        <w:spacing w:line="360" w:lineRule="auto"/>
        <w:ind w:firstLineChars="200" w:firstLine="480"/>
        <w:rPr>
          <w:rFonts w:asciiTheme="minorEastAsia" w:hAnsiTheme="minorEastAsia"/>
          <w:sz w:val="24"/>
          <w:szCs w:val="24"/>
        </w:rPr>
      </w:pPr>
    </w:p>
    <w:p w:rsidR="00BE34A2" w:rsidRDefault="001F4278" w:rsidP="00BE34A2">
      <w:pPr>
        <w:spacing w:line="360" w:lineRule="auto"/>
        <w:ind w:firstLineChars="200" w:firstLine="480"/>
        <w:rPr>
          <w:rFonts w:asciiTheme="minorEastAsia" w:hAnsiTheme="minorEastAsia"/>
          <w:sz w:val="24"/>
          <w:szCs w:val="24"/>
        </w:rPr>
      </w:pPr>
      <w:r w:rsidRPr="001F4278">
        <w:rPr>
          <w:rFonts w:asciiTheme="minorEastAsia" w:hAnsiTheme="minorEastAsia" w:hint="eastAsia"/>
          <w:sz w:val="24"/>
          <w:szCs w:val="24"/>
        </w:rPr>
        <w:t>特此公告。</w:t>
      </w:r>
    </w:p>
    <w:p w:rsidR="00BE34A2" w:rsidRDefault="00BE34A2" w:rsidP="00BE34A2">
      <w:pPr>
        <w:spacing w:line="360" w:lineRule="auto"/>
        <w:ind w:firstLineChars="200" w:firstLine="480"/>
        <w:jc w:val="right"/>
        <w:rPr>
          <w:rFonts w:asciiTheme="minorEastAsia" w:hAnsiTheme="minorEastAsia"/>
          <w:sz w:val="24"/>
          <w:szCs w:val="24"/>
        </w:rPr>
      </w:pPr>
    </w:p>
    <w:p w:rsidR="00BE34A2" w:rsidRDefault="00BE34A2" w:rsidP="00BE34A2">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鹏华</w:t>
      </w:r>
      <w:r w:rsidR="001F4278" w:rsidRPr="001F4278">
        <w:rPr>
          <w:rFonts w:asciiTheme="minorEastAsia" w:hAnsiTheme="minorEastAsia" w:hint="eastAsia"/>
          <w:sz w:val="24"/>
          <w:szCs w:val="24"/>
        </w:rPr>
        <w:t xml:space="preserve">基金管理有限公司 </w:t>
      </w:r>
    </w:p>
    <w:p w:rsidR="00C036DF" w:rsidRPr="001F4278" w:rsidRDefault="001F4278" w:rsidP="00BE34A2">
      <w:pPr>
        <w:spacing w:line="360" w:lineRule="auto"/>
        <w:ind w:firstLineChars="200" w:firstLine="480"/>
        <w:jc w:val="right"/>
        <w:rPr>
          <w:rFonts w:asciiTheme="minorEastAsia" w:hAnsiTheme="minorEastAsia"/>
          <w:sz w:val="24"/>
          <w:szCs w:val="24"/>
        </w:rPr>
      </w:pPr>
      <w:r w:rsidRPr="001F4278">
        <w:rPr>
          <w:rFonts w:asciiTheme="minorEastAsia" w:hAnsiTheme="minorEastAsia"/>
          <w:sz w:val="24"/>
          <w:szCs w:val="24"/>
        </w:rPr>
        <w:t>2017</w:t>
      </w:r>
      <w:r w:rsidRPr="001F4278">
        <w:rPr>
          <w:rFonts w:asciiTheme="minorEastAsia" w:hAnsiTheme="minorEastAsia" w:hint="eastAsia"/>
          <w:sz w:val="24"/>
          <w:szCs w:val="24"/>
        </w:rPr>
        <w:t>年</w:t>
      </w:r>
      <w:r w:rsidR="00CB2432">
        <w:rPr>
          <w:rFonts w:asciiTheme="minorEastAsia" w:hAnsiTheme="minorEastAsia"/>
          <w:sz w:val="24"/>
          <w:szCs w:val="24"/>
        </w:rPr>
        <w:t>12</w:t>
      </w:r>
      <w:r w:rsidRPr="001F4278">
        <w:rPr>
          <w:rFonts w:asciiTheme="minorEastAsia" w:hAnsiTheme="minorEastAsia" w:hint="eastAsia"/>
          <w:sz w:val="24"/>
          <w:szCs w:val="24"/>
        </w:rPr>
        <w:t>月</w:t>
      </w:r>
      <w:bookmarkStart w:id="0" w:name="_GoBack"/>
      <w:bookmarkEnd w:id="0"/>
      <w:r w:rsidR="00BE34A2">
        <w:rPr>
          <w:rFonts w:asciiTheme="minorEastAsia" w:hAnsiTheme="minorEastAsia"/>
          <w:sz w:val="24"/>
          <w:szCs w:val="24"/>
        </w:rPr>
        <w:t>9</w:t>
      </w:r>
      <w:r w:rsidRPr="001F4278">
        <w:rPr>
          <w:rFonts w:asciiTheme="minorEastAsia" w:hAnsiTheme="minorEastAsia" w:hint="eastAsia"/>
          <w:sz w:val="24"/>
          <w:szCs w:val="24"/>
        </w:rPr>
        <w:t>日</w:t>
      </w:r>
    </w:p>
    <w:sectPr w:rsidR="00C036DF" w:rsidRPr="001F4278" w:rsidSect="00DF2B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591" w:rsidRDefault="00743591" w:rsidP="00301A3A">
      <w:r>
        <w:separator/>
      </w:r>
    </w:p>
  </w:endnote>
  <w:endnote w:type="continuationSeparator" w:id="1">
    <w:p w:rsidR="00743591" w:rsidRDefault="00743591" w:rsidP="00301A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591" w:rsidRDefault="00743591" w:rsidP="00301A3A">
      <w:r>
        <w:separator/>
      </w:r>
    </w:p>
  </w:footnote>
  <w:footnote w:type="continuationSeparator" w:id="1">
    <w:p w:rsidR="00743591" w:rsidRDefault="00743591" w:rsidP="00301A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4278"/>
    <w:rsid w:val="001F4278"/>
    <w:rsid w:val="00301A3A"/>
    <w:rsid w:val="00304841"/>
    <w:rsid w:val="003500B9"/>
    <w:rsid w:val="004F1A3E"/>
    <w:rsid w:val="00632081"/>
    <w:rsid w:val="00743591"/>
    <w:rsid w:val="00A53380"/>
    <w:rsid w:val="00BE34A2"/>
    <w:rsid w:val="00C036DF"/>
    <w:rsid w:val="00C3032C"/>
    <w:rsid w:val="00CB2432"/>
    <w:rsid w:val="00DF2B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278"/>
    <w:pPr>
      <w:ind w:firstLineChars="200" w:firstLine="420"/>
    </w:pPr>
  </w:style>
  <w:style w:type="paragraph" w:customStyle="1" w:styleId="TableParagraph">
    <w:name w:val="Table Paragraph"/>
    <w:basedOn w:val="a"/>
    <w:uiPriority w:val="1"/>
    <w:qFormat/>
    <w:rsid w:val="001F4278"/>
    <w:pPr>
      <w:autoSpaceDE w:val="0"/>
      <w:autoSpaceDN w:val="0"/>
      <w:adjustRightInd w:val="0"/>
      <w:jc w:val="left"/>
    </w:pPr>
    <w:rPr>
      <w:rFonts w:ascii="Times New Roman" w:hAnsi="Times New Roman" w:cs="Times New Roman"/>
      <w:kern w:val="0"/>
      <w:sz w:val="24"/>
      <w:szCs w:val="24"/>
    </w:rPr>
  </w:style>
  <w:style w:type="character" w:styleId="a4">
    <w:name w:val="Hyperlink"/>
    <w:basedOn w:val="a0"/>
    <w:uiPriority w:val="99"/>
    <w:unhideWhenUsed/>
    <w:rsid w:val="00BE34A2"/>
    <w:rPr>
      <w:color w:val="0563C1" w:themeColor="hyperlink"/>
      <w:u w:val="single"/>
    </w:rPr>
  </w:style>
  <w:style w:type="paragraph" w:styleId="a5">
    <w:name w:val="header"/>
    <w:basedOn w:val="a"/>
    <w:link w:val="Char"/>
    <w:uiPriority w:val="99"/>
    <w:unhideWhenUsed/>
    <w:rsid w:val="00301A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01A3A"/>
    <w:rPr>
      <w:sz w:val="18"/>
      <w:szCs w:val="18"/>
    </w:rPr>
  </w:style>
  <w:style w:type="paragraph" w:styleId="a6">
    <w:name w:val="footer"/>
    <w:basedOn w:val="a"/>
    <w:link w:val="Char0"/>
    <w:uiPriority w:val="99"/>
    <w:unhideWhenUsed/>
    <w:rsid w:val="00301A3A"/>
    <w:pPr>
      <w:tabs>
        <w:tab w:val="center" w:pos="4153"/>
        <w:tab w:val="right" w:pos="8306"/>
      </w:tabs>
      <w:snapToGrid w:val="0"/>
      <w:jc w:val="left"/>
    </w:pPr>
    <w:rPr>
      <w:sz w:val="18"/>
      <w:szCs w:val="18"/>
    </w:rPr>
  </w:style>
  <w:style w:type="character" w:customStyle="1" w:styleId="Char0">
    <w:name w:val="页脚 Char"/>
    <w:basedOn w:val="a0"/>
    <w:link w:val="a6"/>
    <w:uiPriority w:val="99"/>
    <w:rsid w:val="00301A3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898</Characters>
  <Application>Microsoft Office Word</Application>
  <DocSecurity>4</DocSecurity>
  <Lines>7</Lines>
  <Paragraphs>2</Paragraphs>
  <ScaleCrop>false</ScaleCrop>
  <Company>PHFUND</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林凤仪</dc:creator>
  <cp:keywords/>
  <dc:description/>
  <cp:lastModifiedBy>ZHONGM</cp:lastModifiedBy>
  <cp:revision>2</cp:revision>
  <dcterms:created xsi:type="dcterms:W3CDTF">2017-12-08T16:35:00Z</dcterms:created>
  <dcterms:modified xsi:type="dcterms:W3CDTF">2017-12-08T16:35:00Z</dcterms:modified>
</cp:coreProperties>
</file>