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1F" w:rsidRDefault="00E50CAF" w:rsidP="003A4016">
      <w:pPr>
        <w:jc w:val="center"/>
        <w:rPr>
          <w:rFonts w:ascii="宋体" w:hAnsi="宋体"/>
          <w:b/>
          <w:bCs/>
          <w:spacing w:val="24"/>
          <w:sz w:val="32"/>
          <w:szCs w:val="32"/>
        </w:rPr>
      </w:pPr>
      <w:r w:rsidRPr="003A4016">
        <w:rPr>
          <w:rFonts w:ascii="宋体" w:hAnsi="宋体" w:hint="eastAsia"/>
          <w:b/>
          <w:bCs/>
          <w:spacing w:val="24"/>
          <w:sz w:val="32"/>
          <w:szCs w:val="32"/>
        </w:rPr>
        <w:t>富国基金管理有限公司关于调整旗下基金</w:t>
      </w:r>
    </w:p>
    <w:p w:rsidR="00E50CAF" w:rsidRPr="003A4016" w:rsidRDefault="004A26BD" w:rsidP="003A4016">
      <w:pPr>
        <w:jc w:val="center"/>
        <w:rPr>
          <w:rFonts w:ascii="宋体" w:hAnsi="宋体"/>
          <w:b/>
          <w:bCs/>
          <w:spacing w:val="24"/>
          <w:sz w:val="32"/>
          <w:szCs w:val="32"/>
        </w:rPr>
      </w:pPr>
      <w:r w:rsidRPr="004A26BD">
        <w:rPr>
          <w:rFonts w:ascii="宋体" w:hAnsi="宋体" w:hint="eastAsia"/>
          <w:b/>
          <w:bCs/>
          <w:spacing w:val="24"/>
          <w:sz w:val="32"/>
          <w:szCs w:val="32"/>
        </w:rPr>
        <w:t>长期停牌股票估值方法的公告</w:t>
      </w:r>
    </w:p>
    <w:p w:rsidR="00DC2777" w:rsidRDefault="00DC2777" w:rsidP="00DC2777">
      <w:pPr>
        <w:widowControl/>
        <w:spacing w:line="360" w:lineRule="auto"/>
        <w:ind w:firstLineChars="200" w:firstLine="520"/>
        <w:jc w:val="left"/>
        <w:rPr>
          <w:rFonts w:ascii="宋体" w:hAnsi="宋体" w:cs="宋体"/>
          <w:spacing w:val="10"/>
          <w:kern w:val="0"/>
          <w:sz w:val="24"/>
          <w:szCs w:val="24"/>
        </w:rPr>
      </w:pPr>
    </w:p>
    <w:p w:rsidR="00DC2777" w:rsidRDefault="000D16F2" w:rsidP="00DC2777">
      <w:pPr>
        <w:widowControl/>
        <w:spacing w:line="360" w:lineRule="auto"/>
        <w:ind w:firstLineChars="200" w:firstLine="520"/>
        <w:jc w:val="left"/>
        <w:rPr>
          <w:rFonts w:ascii="宋体" w:hAnsi="宋体" w:cs="宋体"/>
          <w:spacing w:val="10"/>
          <w:kern w:val="0"/>
          <w:sz w:val="24"/>
          <w:szCs w:val="24"/>
        </w:rPr>
      </w:pPr>
      <w:r w:rsidRPr="003A4016">
        <w:rPr>
          <w:rFonts w:ascii="宋体" w:hAnsi="宋体" w:cs="宋体"/>
          <w:spacing w:val="10"/>
          <w:kern w:val="0"/>
          <w:sz w:val="24"/>
          <w:szCs w:val="24"/>
        </w:rPr>
        <w:t>为保护投资者的利益，</w:t>
      </w:r>
      <w:r w:rsidR="00DC2777" w:rsidRPr="00DC2777">
        <w:rPr>
          <w:rFonts w:ascii="宋体" w:hAnsi="宋体" w:cs="宋体"/>
          <w:spacing w:val="10"/>
          <w:kern w:val="0"/>
          <w:sz w:val="24"/>
          <w:szCs w:val="24"/>
        </w:rPr>
        <w:t>根据</w:t>
      </w:r>
      <w:r w:rsidR="00C473C2" w:rsidRPr="00F7568A">
        <w:rPr>
          <w:rFonts w:ascii="宋体" w:hAnsi="宋体" w:cs="宋体" w:hint="eastAsia"/>
          <w:spacing w:val="10"/>
          <w:kern w:val="0"/>
          <w:sz w:val="24"/>
          <w:szCs w:val="24"/>
        </w:rPr>
        <w:t>《中国证监会关于证券投资基金估值业务的指导意见》（</w:t>
      </w:r>
      <w:r w:rsidR="00502509" w:rsidRPr="00F7568A">
        <w:rPr>
          <w:rFonts w:ascii="宋体" w:hAnsi="宋体" w:cs="宋体" w:hint="eastAsia"/>
          <w:spacing w:val="10"/>
          <w:kern w:val="0"/>
          <w:sz w:val="24"/>
          <w:szCs w:val="24"/>
        </w:rPr>
        <w:t>证监会</w:t>
      </w:r>
      <w:r w:rsidR="00502509">
        <w:rPr>
          <w:rFonts w:ascii="宋体" w:hAnsi="宋体" w:cs="宋体" w:hint="eastAsia"/>
          <w:spacing w:val="10"/>
          <w:kern w:val="0"/>
          <w:sz w:val="24"/>
          <w:szCs w:val="24"/>
        </w:rPr>
        <w:t>公告</w:t>
      </w:r>
      <w:r w:rsidR="00C473C2" w:rsidRPr="00F7568A">
        <w:rPr>
          <w:rFonts w:ascii="宋体" w:hAnsi="宋体" w:cs="宋体"/>
          <w:spacing w:val="10"/>
          <w:kern w:val="0"/>
          <w:sz w:val="24"/>
          <w:szCs w:val="24"/>
        </w:rPr>
        <w:t>[2017]</w:t>
      </w:r>
      <w:r w:rsidR="00C473C2" w:rsidRPr="00F7568A">
        <w:rPr>
          <w:rFonts w:ascii="宋体" w:hAnsi="宋体" w:cs="宋体" w:hint="eastAsia"/>
          <w:spacing w:val="10"/>
          <w:kern w:val="0"/>
          <w:sz w:val="24"/>
          <w:szCs w:val="24"/>
        </w:rPr>
        <w:t>第</w:t>
      </w:r>
      <w:r w:rsidR="00C473C2" w:rsidRPr="00F7568A">
        <w:rPr>
          <w:rFonts w:ascii="宋体" w:hAnsi="宋体" w:cs="宋体"/>
          <w:spacing w:val="10"/>
          <w:kern w:val="0"/>
          <w:sz w:val="24"/>
          <w:szCs w:val="24"/>
        </w:rPr>
        <w:t>13</w:t>
      </w:r>
      <w:r w:rsidR="00C473C2" w:rsidRPr="00F7568A">
        <w:rPr>
          <w:rFonts w:ascii="宋体" w:hAnsi="宋体" w:cs="宋体" w:hint="eastAsia"/>
          <w:spacing w:val="10"/>
          <w:kern w:val="0"/>
          <w:sz w:val="24"/>
          <w:szCs w:val="24"/>
        </w:rPr>
        <w:t>号）、</w:t>
      </w:r>
      <w:r w:rsidR="00DC2777" w:rsidRPr="00DC2777">
        <w:rPr>
          <w:rFonts w:ascii="宋体" w:hAnsi="宋体" w:cs="宋体"/>
          <w:spacing w:val="10"/>
          <w:kern w:val="0"/>
          <w:sz w:val="24"/>
          <w:szCs w:val="24"/>
        </w:rPr>
        <w:t>中国证券投资基金业协会《关于发布中基协（AMAC）基金行业股票估值指数的通知》（中基协发[2013]13号）的有关</w:t>
      </w:r>
      <w:r w:rsidR="00C473C2">
        <w:rPr>
          <w:rFonts w:ascii="宋体" w:hAnsi="宋体" w:cs="宋体" w:hint="eastAsia"/>
          <w:spacing w:val="10"/>
          <w:kern w:val="0"/>
          <w:sz w:val="24"/>
          <w:szCs w:val="24"/>
        </w:rPr>
        <w:t>规定</w:t>
      </w:r>
      <w:r w:rsidR="00DC2777" w:rsidRPr="00DC2777">
        <w:rPr>
          <w:rFonts w:ascii="宋体" w:hAnsi="宋体" w:cs="宋体"/>
          <w:spacing w:val="10"/>
          <w:kern w:val="0"/>
          <w:sz w:val="24"/>
          <w:szCs w:val="24"/>
        </w:rPr>
        <w:t>，</w:t>
      </w:r>
      <w:r w:rsidR="00DC2777" w:rsidRPr="00DC2777">
        <w:rPr>
          <w:rFonts w:ascii="宋体" w:hAnsi="宋体" w:cs="宋体" w:hint="eastAsia"/>
          <w:spacing w:val="10"/>
          <w:kern w:val="0"/>
          <w:sz w:val="24"/>
          <w:szCs w:val="24"/>
        </w:rPr>
        <w:t>富国</w:t>
      </w:r>
      <w:r w:rsidR="00DC2777" w:rsidRPr="00DC2777">
        <w:rPr>
          <w:rFonts w:ascii="宋体" w:hAnsi="宋体" w:cs="宋体"/>
          <w:spacing w:val="10"/>
          <w:kern w:val="0"/>
          <w:sz w:val="24"/>
          <w:szCs w:val="24"/>
        </w:rPr>
        <w:t>基金管理有限公司（以下简称“本公司”）与</w:t>
      </w:r>
      <w:r w:rsidRPr="003A4016">
        <w:rPr>
          <w:rFonts w:ascii="宋体" w:hAnsi="宋体" w:cs="宋体"/>
          <w:spacing w:val="10"/>
          <w:kern w:val="0"/>
          <w:sz w:val="24"/>
          <w:szCs w:val="24"/>
        </w:rPr>
        <w:t>基金</w:t>
      </w:r>
      <w:r w:rsidR="00DC2777" w:rsidRPr="00DC2777">
        <w:rPr>
          <w:rFonts w:ascii="宋体" w:hAnsi="宋体" w:cs="宋体"/>
          <w:spacing w:val="10"/>
          <w:kern w:val="0"/>
          <w:sz w:val="24"/>
          <w:szCs w:val="24"/>
        </w:rPr>
        <w:t>托管银行</w:t>
      </w:r>
      <w:r w:rsidRPr="003A4016">
        <w:rPr>
          <w:rFonts w:ascii="宋体" w:hAnsi="宋体" w:cs="宋体"/>
          <w:spacing w:val="10"/>
          <w:kern w:val="0"/>
          <w:sz w:val="24"/>
          <w:szCs w:val="24"/>
        </w:rPr>
        <w:t>协商一致</w:t>
      </w:r>
      <w:r w:rsidR="00DC2777" w:rsidRPr="00DC2777">
        <w:rPr>
          <w:rFonts w:ascii="宋体" w:hAnsi="宋体" w:cs="宋体"/>
          <w:spacing w:val="10"/>
          <w:kern w:val="0"/>
          <w:sz w:val="24"/>
          <w:szCs w:val="24"/>
        </w:rPr>
        <w:t>，决定对本公司旗下基金持有的</w:t>
      </w:r>
      <w:r w:rsidR="00E9455B" w:rsidRPr="004A26BD">
        <w:rPr>
          <w:rFonts w:ascii="宋体" w:hAnsi="宋体" w:cs="宋体" w:hint="eastAsia"/>
          <w:spacing w:val="10"/>
          <w:kern w:val="0"/>
          <w:sz w:val="24"/>
          <w:szCs w:val="24"/>
        </w:rPr>
        <w:t>“</w:t>
      </w:r>
      <w:r w:rsidR="00B3406A">
        <w:rPr>
          <w:rFonts w:ascii="宋体" w:hAnsi="宋体" w:cs="宋体" w:hint="eastAsia"/>
          <w:spacing w:val="10"/>
          <w:kern w:val="0"/>
          <w:sz w:val="24"/>
          <w:szCs w:val="24"/>
        </w:rPr>
        <w:t>顾地科技</w:t>
      </w:r>
      <w:r w:rsidR="00E9455B" w:rsidRPr="004B27C9">
        <w:rPr>
          <w:rFonts w:ascii="宋体" w:hAnsi="宋体" w:cs="宋体" w:hint="eastAsia"/>
          <w:spacing w:val="10"/>
          <w:kern w:val="0"/>
          <w:sz w:val="24"/>
          <w:szCs w:val="24"/>
        </w:rPr>
        <w:t>”</w:t>
      </w:r>
      <w:r w:rsidR="00E9455B" w:rsidRPr="004B27C9">
        <w:rPr>
          <w:rFonts w:ascii="宋体" w:hAnsi="宋体" w:cs="宋体"/>
          <w:spacing w:val="10"/>
          <w:kern w:val="0"/>
          <w:sz w:val="24"/>
          <w:szCs w:val="24"/>
        </w:rPr>
        <w:t>（证券代码：</w:t>
      </w:r>
      <w:r w:rsidR="00B3406A">
        <w:rPr>
          <w:rFonts w:ascii="宋体" w:hAnsi="宋体" w:cs="宋体" w:hint="eastAsia"/>
          <w:spacing w:val="10"/>
          <w:kern w:val="0"/>
          <w:sz w:val="24"/>
          <w:szCs w:val="24"/>
        </w:rPr>
        <w:t>002694</w:t>
      </w:r>
      <w:r w:rsidR="00E9455B" w:rsidRPr="004A26BD">
        <w:rPr>
          <w:rFonts w:ascii="宋体" w:hAnsi="宋体" w:cs="宋体"/>
          <w:spacing w:val="10"/>
          <w:kern w:val="0"/>
          <w:sz w:val="24"/>
          <w:szCs w:val="24"/>
        </w:rPr>
        <w:t>）</w:t>
      </w:r>
      <w:r w:rsidR="00DC2777" w:rsidRPr="00DC2777">
        <w:rPr>
          <w:rFonts w:ascii="宋体" w:hAnsi="宋体" w:cs="宋体"/>
          <w:spacing w:val="10"/>
          <w:kern w:val="0"/>
          <w:sz w:val="24"/>
          <w:szCs w:val="24"/>
        </w:rPr>
        <w:t>进行估</w:t>
      </w:r>
      <w:bookmarkStart w:id="0" w:name="_GoBack"/>
      <w:bookmarkEnd w:id="0"/>
      <w:r w:rsidR="00DC2777" w:rsidRPr="00DC2777">
        <w:rPr>
          <w:rFonts w:ascii="宋体" w:hAnsi="宋体" w:cs="宋体"/>
          <w:spacing w:val="10"/>
          <w:kern w:val="0"/>
          <w:sz w:val="24"/>
          <w:szCs w:val="24"/>
        </w:rPr>
        <w:t>值调整，自201</w:t>
      </w:r>
      <w:r w:rsidR="00C473C2">
        <w:rPr>
          <w:rFonts w:ascii="宋体" w:hAnsi="宋体" w:cs="宋体" w:hint="eastAsia"/>
          <w:spacing w:val="10"/>
          <w:kern w:val="0"/>
          <w:sz w:val="24"/>
          <w:szCs w:val="24"/>
        </w:rPr>
        <w:t>7</w:t>
      </w:r>
      <w:r w:rsidR="00DC2777" w:rsidRPr="00DC2777">
        <w:rPr>
          <w:rFonts w:ascii="宋体" w:hAnsi="宋体" w:cs="宋体"/>
          <w:spacing w:val="10"/>
          <w:kern w:val="0"/>
          <w:sz w:val="24"/>
          <w:szCs w:val="24"/>
        </w:rPr>
        <w:t xml:space="preserve"> 年</w:t>
      </w:r>
      <w:r w:rsidR="00A17E06">
        <w:rPr>
          <w:rFonts w:ascii="宋体" w:hAnsi="宋体" w:cs="宋体" w:hint="eastAsia"/>
          <w:spacing w:val="10"/>
          <w:kern w:val="0"/>
          <w:sz w:val="24"/>
          <w:szCs w:val="24"/>
        </w:rPr>
        <w:t>1</w:t>
      </w:r>
      <w:r w:rsidR="00B3406A">
        <w:rPr>
          <w:rFonts w:ascii="宋体" w:hAnsi="宋体" w:cs="宋体" w:hint="eastAsia"/>
          <w:spacing w:val="10"/>
          <w:kern w:val="0"/>
          <w:sz w:val="24"/>
          <w:szCs w:val="24"/>
        </w:rPr>
        <w:t>2</w:t>
      </w:r>
      <w:r w:rsidR="00DC2777" w:rsidRPr="00DC2777">
        <w:rPr>
          <w:rFonts w:ascii="宋体" w:hAnsi="宋体" w:cs="宋体"/>
          <w:spacing w:val="10"/>
          <w:kern w:val="0"/>
          <w:sz w:val="24"/>
          <w:szCs w:val="24"/>
        </w:rPr>
        <w:t>月</w:t>
      </w:r>
      <w:r w:rsidR="00B3406A">
        <w:rPr>
          <w:rFonts w:ascii="宋体" w:hAnsi="宋体" w:cs="宋体" w:hint="eastAsia"/>
          <w:spacing w:val="10"/>
          <w:kern w:val="0"/>
          <w:sz w:val="24"/>
          <w:szCs w:val="24"/>
        </w:rPr>
        <w:t>4</w:t>
      </w:r>
      <w:r w:rsidR="00DC2777" w:rsidRPr="00DC2777">
        <w:rPr>
          <w:rFonts w:ascii="宋体" w:hAnsi="宋体" w:cs="宋体"/>
          <w:spacing w:val="10"/>
          <w:kern w:val="0"/>
          <w:sz w:val="24"/>
          <w:szCs w:val="24"/>
        </w:rPr>
        <w:t>日起按指数收益法进行估值。</w:t>
      </w:r>
      <w:r w:rsidRPr="003A4016">
        <w:rPr>
          <w:rFonts w:ascii="宋体" w:hAnsi="宋体" w:cs="宋体"/>
          <w:spacing w:val="10"/>
          <w:kern w:val="0"/>
          <w:sz w:val="24"/>
          <w:szCs w:val="24"/>
        </w:rPr>
        <w:t>基金的申购、赎回价格均以估值方法调整后当日计算的基金资产份额净值为准。</w:t>
      </w:r>
    </w:p>
    <w:p w:rsidR="00482E6B" w:rsidRPr="00F7568A" w:rsidRDefault="00482E6B" w:rsidP="007B75E6">
      <w:pPr>
        <w:widowControl/>
        <w:spacing w:line="360" w:lineRule="auto"/>
        <w:ind w:firstLine="480"/>
        <w:jc w:val="left"/>
        <w:rPr>
          <w:rFonts w:ascii="宋体" w:hAnsi="宋体" w:cs="宋体"/>
          <w:spacing w:val="10"/>
          <w:kern w:val="0"/>
          <w:sz w:val="24"/>
          <w:szCs w:val="24"/>
        </w:rPr>
      </w:pPr>
      <w:r w:rsidRPr="00F7568A">
        <w:rPr>
          <w:rFonts w:ascii="宋体" w:hAnsi="宋体" w:cs="宋体"/>
          <w:spacing w:val="10"/>
          <w:kern w:val="0"/>
          <w:sz w:val="24"/>
          <w:szCs w:val="24"/>
        </w:rPr>
        <w:t>待</w:t>
      </w:r>
      <w:r w:rsidR="004A26BD" w:rsidRPr="00F7568A">
        <w:rPr>
          <w:rFonts w:ascii="宋体" w:hAnsi="宋体" w:cs="宋体" w:hint="eastAsia"/>
          <w:spacing w:val="10"/>
          <w:kern w:val="0"/>
          <w:sz w:val="24"/>
          <w:szCs w:val="24"/>
        </w:rPr>
        <w:t>上述</w:t>
      </w:r>
      <w:r w:rsidRPr="00F7568A">
        <w:rPr>
          <w:rFonts w:ascii="宋体" w:hAnsi="宋体" w:cs="宋体"/>
          <w:spacing w:val="10"/>
          <w:kern w:val="0"/>
          <w:sz w:val="24"/>
          <w:szCs w:val="24"/>
        </w:rPr>
        <w:t>股票复牌且其交易体现了活跃市场交易特征后，将恢复采用</w:t>
      </w:r>
      <w:r w:rsidR="00F7568A" w:rsidRPr="00F7568A">
        <w:rPr>
          <w:rFonts w:ascii="宋体" w:hAnsi="宋体" w:cs="宋体" w:hint="eastAsia"/>
          <w:spacing w:val="10"/>
          <w:kern w:val="0"/>
          <w:sz w:val="24"/>
          <w:szCs w:val="24"/>
        </w:rPr>
        <w:t>按市场价格</w:t>
      </w:r>
      <w:r w:rsidRPr="00F7568A">
        <w:rPr>
          <w:rFonts w:ascii="宋体" w:hAnsi="宋体" w:cs="宋体"/>
          <w:spacing w:val="10"/>
          <w:kern w:val="0"/>
          <w:sz w:val="24"/>
          <w:szCs w:val="24"/>
        </w:rPr>
        <w:t>进行估值，届时</w:t>
      </w:r>
      <w:r w:rsidR="00482ED1" w:rsidRPr="00F7568A">
        <w:rPr>
          <w:rFonts w:ascii="宋体" w:hAnsi="宋体" w:cs="宋体" w:hint="eastAsia"/>
          <w:spacing w:val="10"/>
          <w:kern w:val="0"/>
          <w:sz w:val="24"/>
          <w:szCs w:val="24"/>
        </w:rPr>
        <w:t>将</w:t>
      </w:r>
      <w:r w:rsidRPr="00F7568A">
        <w:rPr>
          <w:rFonts w:ascii="宋体" w:hAnsi="宋体" w:cs="宋体"/>
          <w:spacing w:val="10"/>
          <w:kern w:val="0"/>
          <w:sz w:val="24"/>
          <w:szCs w:val="24"/>
        </w:rPr>
        <w:t>不再另行公告。</w:t>
      </w:r>
    </w:p>
    <w:p w:rsidR="00482E6B" w:rsidRDefault="00482E6B" w:rsidP="00C473C2">
      <w:pPr>
        <w:widowControl/>
        <w:spacing w:line="360" w:lineRule="auto"/>
        <w:ind w:firstLine="465"/>
        <w:jc w:val="left"/>
        <w:rPr>
          <w:rFonts w:ascii="宋体" w:hAnsi="宋体" w:cs="宋体"/>
          <w:kern w:val="0"/>
          <w:sz w:val="24"/>
          <w:szCs w:val="24"/>
        </w:rPr>
      </w:pPr>
      <w:r w:rsidRPr="003A4016">
        <w:rPr>
          <w:rFonts w:ascii="宋体" w:hAnsi="宋体" w:cs="宋体"/>
          <w:kern w:val="0"/>
          <w:sz w:val="24"/>
          <w:szCs w:val="24"/>
        </w:rPr>
        <w:t>特此公告</w:t>
      </w:r>
      <w:r w:rsidR="00F3750C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F44C7F" w:rsidRPr="003A4016" w:rsidRDefault="00F44C7F" w:rsidP="003A4016">
      <w:pPr>
        <w:widowControl/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</w:p>
    <w:p w:rsidR="006F1BA3" w:rsidRDefault="004C65FC" w:rsidP="00B078A4">
      <w:pPr>
        <w:widowControl/>
        <w:wordWrap w:val="0"/>
        <w:spacing w:line="360" w:lineRule="auto"/>
        <w:ind w:right="720"/>
        <w:jc w:val="right"/>
        <w:rPr>
          <w:rFonts w:ascii="宋体" w:hAnsi="宋体" w:cs="宋体"/>
          <w:kern w:val="0"/>
          <w:sz w:val="24"/>
          <w:szCs w:val="24"/>
        </w:rPr>
      </w:pPr>
      <w:r w:rsidRPr="003A4016">
        <w:rPr>
          <w:rFonts w:ascii="宋体" w:hAnsi="宋体" w:cs="宋体" w:hint="eastAsia"/>
          <w:kern w:val="0"/>
          <w:sz w:val="24"/>
          <w:szCs w:val="24"/>
        </w:rPr>
        <w:t>富国</w:t>
      </w:r>
      <w:r w:rsidR="00482E6B" w:rsidRPr="003A4016">
        <w:rPr>
          <w:rFonts w:ascii="宋体" w:hAnsi="宋体" w:cs="宋体"/>
          <w:kern w:val="0"/>
          <w:sz w:val="24"/>
          <w:szCs w:val="24"/>
        </w:rPr>
        <w:t>基金管理有限公司</w:t>
      </w:r>
    </w:p>
    <w:p w:rsidR="006F1BA3" w:rsidRDefault="006F1BA3" w:rsidP="007A767F">
      <w:pPr>
        <w:widowControl/>
        <w:spacing w:line="360" w:lineRule="auto"/>
        <w:ind w:right="-58"/>
        <w:rPr>
          <w:rFonts w:ascii="宋体" w:hAnsi="宋体" w:cs="宋体"/>
          <w:kern w:val="0"/>
          <w:sz w:val="24"/>
          <w:szCs w:val="24"/>
        </w:rPr>
      </w:pPr>
      <w:r w:rsidRPr="00097224">
        <w:rPr>
          <w:rFonts w:ascii="宋体" w:hAnsi="宋体" w:cs="宋体"/>
          <w:kern w:val="0"/>
          <w:sz w:val="24"/>
          <w:szCs w:val="24"/>
        </w:rPr>
        <w:t>二○</w:t>
      </w:r>
      <w:r w:rsidRPr="003A4016">
        <w:rPr>
          <w:rFonts w:ascii="宋体" w:hAnsi="宋体" w:cs="宋体"/>
          <w:kern w:val="0"/>
          <w:sz w:val="24"/>
          <w:szCs w:val="24"/>
        </w:rPr>
        <w:t>一</w:t>
      </w:r>
      <w:r w:rsidR="00F7568A">
        <w:rPr>
          <w:rFonts w:ascii="宋体" w:hAnsi="宋体" w:cs="宋体" w:hint="eastAsia"/>
          <w:kern w:val="0"/>
          <w:sz w:val="24"/>
          <w:szCs w:val="24"/>
        </w:rPr>
        <w:t>七</w:t>
      </w:r>
      <w:r w:rsidRPr="003A4016">
        <w:rPr>
          <w:rFonts w:ascii="宋体" w:hAnsi="宋体" w:cs="宋体"/>
          <w:kern w:val="0"/>
          <w:sz w:val="24"/>
          <w:szCs w:val="24"/>
        </w:rPr>
        <w:t>年</w:t>
      </w:r>
      <w:r w:rsidR="00B3406A">
        <w:rPr>
          <w:rFonts w:ascii="宋体" w:hAnsi="宋体" w:cs="宋体" w:hint="eastAsia"/>
          <w:kern w:val="0"/>
          <w:sz w:val="24"/>
          <w:szCs w:val="24"/>
        </w:rPr>
        <w:t>十二</w:t>
      </w:r>
      <w:r w:rsidRPr="003A4016">
        <w:rPr>
          <w:rFonts w:ascii="宋体" w:hAnsi="宋体" w:cs="宋体"/>
          <w:kern w:val="0"/>
          <w:sz w:val="24"/>
          <w:szCs w:val="24"/>
        </w:rPr>
        <w:t>月</w:t>
      </w:r>
      <w:r w:rsidR="00B3406A">
        <w:rPr>
          <w:rFonts w:ascii="宋体" w:hAnsi="宋体" w:cs="宋体" w:hint="eastAsia"/>
          <w:kern w:val="0"/>
          <w:sz w:val="24"/>
          <w:szCs w:val="24"/>
        </w:rPr>
        <w:t>五</w:t>
      </w:r>
      <w:r w:rsidRPr="003A4016">
        <w:rPr>
          <w:rFonts w:ascii="宋体" w:hAnsi="宋体" w:cs="宋体"/>
          <w:kern w:val="0"/>
          <w:sz w:val="24"/>
          <w:szCs w:val="24"/>
        </w:rPr>
        <w:t>日</w:t>
      </w:r>
    </w:p>
    <w:p w:rsidR="006A3643" w:rsidRPr="00C84EAB" w:rsidRDefault="006A3643" w:rsidP="00C84EAB">
      <w:pPr>
        <w:widowControl/>
        <w:spacing w:line="360" w:lineRule="auto"/>
        <w:ind w:right="480"/>
        <w:jc w:val="right"/>
        <w:rPr>
          <w:rFonts w:ascii="宋体" w:hAnsi="宋体" w:cs="宋体"/>
          <w:kern w:val="0"/>
          <w:sz w:val="24"/>
          <w:szCs w:val="24"/>
        </w:rPr>
      </w:pPr>
    </w:p>
    <w:sectPr w:rsidR="006A3643" w:rsidRPr="00C84EAB" w:rsidSect="006A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74" w:rsidRDefault="009D3274" w:rsidP="00A74267">
      <w:r>
        <w:separator/>
      </w:r>
    </w:p>
  </w:endnote>
  <w:endnote w:type="continuationSeparator" w:id="1">
    <w:p w:rsidR="009D3274" w:rsidRDefault="009D3274" w:rsidP="00A74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74" w:rsidRDefault="009D3274" w:rsidP="00A74267">
      <w:r>
        <w:separator/>
      </w:r>
    </w:p>
  </w:footnote>
  <w:footnote w:type="continuationSeparator" w:id="1">
    <w:p w:rsidR="009D3274" w:rsidRDefault="009D3274" w:rsidP="00A74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E6B"/>
    <w:rsid w:val="00023C6A"/>
    <w:rsid w:val="000271AA"/>
    <w:rsid w:val="00030B10"/>
    <w:rsid w:val="0003342E"/>
    <w:rsid w:val="00042AA7"/>
    <w:rsid w:val="000914EE"/>
    <w:rsid w:val="00097224"/>
    <w:rsid w:val="000A0025"/>
    <w:rsid w:val="000A5AC3"/>
    <w:rsid w:val="000D16F2"/>
    <w:rsid w:val="000E14DD"/>
    <w:rsid w:val="000F1FFF"/>
    <w:rsid w:val="000F6D61"/>
    <w:rsid w:val="00103E43"/>
    <w:rsid w:val="0012500C"/>
    <w:rsid w:val="00160CC3"/>
    <w:rsid w:val="00192CDE"/>
    <w:rsid w:val="00195C3E"/>
    <w:rsid w:val="001A0F6F"/>
    <w:rsid w:val="001C093B"/>
    <w:rsid w:val="001D12F3"/>
    <w:rsid w:val="001E3961"/>
    <w:rsid w:val="0021383B"/>
    <w:rsid w:val="00215737"/>
    <w:rsid w:val="00216D2D"/>
    <w:rsid w:val="0022155F"/>
    <w:rsid w:val="002244F1"/>
    <w:rsid w:val="00224B03"/>
    <w:rsid w:val="00224EB1"/>
    <w:rsid w:val="00242F42"/>
    <w:rsid w:val="00250C39"/>
    <w:rsid w:val="002879BF"/>
    <w:rsid w:val="00297EBA"/>
    <w:rsid w:val="002A1197"/>
    <w:rsid w:val="002C4A05"/>
    <w:rsid w:val="00331945"/>
    <w:rsid w:val="003411F2"/>
    <w:rsid w:val="00354DA1"/>
    <w:rsid w:val="00361957"/>
    <w:rsid w:val="00363425"/>
    <w:rsid w:val="00366FD5"/>
    <w:rsid w:val="003A4016"/>
    <w:rsid w:val="003C3C89"/>
    <w:rsid w:val="003C46A0"/>
    <w:rsid w:val="003D6554"/>
    <w:rsid w:val="004051EE"/>
    <w:rsid w:val="00431E0F"/>
    <w:rsid w:val="00445B12"/>
    <w:rsid w:val="00450B48"/>
    <w:rsid w:val="004524E1"/>
    <w:rsid w:val="00467B46"/>
    <w:rsid w:val="00477539"/>
    <w:rsid w:val="00482E6B"/>
    <w:rsid w:val="00482ED1"/>
    <w:rsid w:val="00491040"/>
    <w:rsid w:val="00492EFA"/>
    <w:rsid w:val="00492F74"/>
    <w:rsid w:val="004A26BD"/>
    <w:rsid w:val="004A4D61"/>
    <w:rsid w:val="004A5F4D"/>
    <w:rsid w:val="004B27C9"/>
    <w:rsid w:val="004B510C"/>
    <w:rsid w:val="004C65FC"/>
    <w:rsid w:val="005002C2"/>
    <w:rsid w:val="00502509"/>
    <w:rsid w:val="00515C08"/>
    <w:rsid w:val="0052101A"/>
    <w:rsid w:val="005448EB"/>
    <w:rsid w:val="0056561E"/>
    <w:rsid w:val="00594335"/>
    <w:rsid w:val="005A6505"/>
    <w:rsid w:val="005B0B68"/>
    <w:rsid w:val="005C7472"/>
    <w:rsid w:val="005D0138"/>
    <w:rsid w:val="005E55F1"/>
    <w:rsid w:val="005E65FD"/>
    <w:rsid w:val="0060127C"/>
    <w:rsid w:val="006214AB"/>
    <w:rsid w:val="00621920"/>
    <w:rsid w:val="00623BD5"/>
    <w:rsid w:val="00625DCA"/>
    <w:rsid w:val="00636C3E"/>
    <w:rsid w:val="00667599"/>
    <w:rsid w:val="006A3643"/>
    <w:rsid w:val="006B16D4"/>
    <w:rsid w:val="006B4938"/>
    <w:rsid w:val="006E525D"/>
    <w:rsid w:val="006F1BA3"/>
    <w:rsid w:val="006F5C60"/>
    <w:rsid w:val="007130D1"/>
    <w:rsid w:val="007149EB"/>
    <w:rsid w:val="00714F81"/>
    <w:rsid w:val="0072390B"/>
    <w:rsid w:val="007617EE"/>
    <w:rsid w:val="007903D1"/>
    <w:rsid w:val="00795DC8"/>
    <w:rsid w:val="00797BC8"/>
    <w:rsid w:val="007A1593"/>
    <w:rsid w:val="007A627F"/>
    <w:rsid w:val="007A767F"/>
    <w:rsid w:val="007B75E6"/>
    <w:rsid w:val="007C23E2"/>
    <w:rsid w:val="00814F18"/>
    <w:rsid w:val="00815E48"/>
    <w:rsid w:val="0084183A"/>
    <w:rsid w:val="00845DFE"/>
    <w:rsid w:val="008545AC"/>
    <w:rsid w:val="00893B75"/>
    <w:rsid w:val="008B543B"/>
    <w:rsid w:val="008D568D"/>
    <w:rsid w:val="008F588F"/>
    <w:rsid w:val="00906B9E"/>
    <w:rsid w:val="00935454"/>
    <w:rsid w:val="00945511"/>
    <w:rsid w:val="009627FA"/>
    <w:rsid w:val="0097107B"/>
    <w:rsid w:val="00980DC9"/>
    <w:rsid w:val="009871DE"/>
    <w:rsid w:val="009B143C"/>
    <w:rsid w:val="009D3274"/>
    <w:rsid w:val="009D5EB4"/>
    <w:rsid w:val="00A17E06"/>
    <w:rsid w:val="00A25B41"/>
    <w:rsid w:val="00A27901"/>
    <w:rsid w:val="00A74267"/>
    <w:rsid w:val="00A83663"/>
    <w:rsid w:val="00A9532E"/>
    <w:rsid w:val="00AB6700"/>
    <w:rsid w:val="00AC50CE"/>
    <w:rsid w:val="00AE2DF1"/>
    <w:rsid w:val="00AF0558"/>
    <w:rsid w:val="00AF3C41"/>
    <w:rsid w:val="00B03C1E"/>
    <w:rsid w:val="00B050ED"/>
    <w:rsid w:val="00B078A4"/>
    <w:rsid w:val="00B31214"/>
    <w:rsid w:val="00B3406A"/>
    <w:rsid w:val="00B41939"/>
    <w:rsid w:val="00B73EF2"/>
    <w:rsid w:val="00B805CE"/>
    <w:rsid w:val="00B87FF2"/>
    <w:rsid w:val="00BC4258"/>
    <w:rsid w:val="00BC69D5"/>
    <w:rsid w:val="00BE4C8F"/>
    <w:rsid w:val="00BE66AD"/>
    <w:rsid w:val="00BF200B"/>
    <w:rsid w:val="00C27B1F"/>
    <w:rsid w:val="00C42B0C"/>
    <w:rsid w:val="00C473C2"/>
    <w:rsid w:val="00C579EE"/>
    <w:rsid w:val="00C65992"/>
    <w:rsid w:val="00C77433"/>
    <w:rsid w:val="00C84EAB"/>
    <w:rsid w:val="00CB1DF0"/>
    <w:rsid w:val="00CB6AEC"/>
    <w:rsid w:val="00CC2E4A"/>
    <w:rsid w:val="00CC490A"/>
    <w:rsid w:val="00CC57D1"/>
    <w:rsid w:val="00CD79A9"/>
    <w:rsid w:val="00D01D94"/>
    <w:rsid w:val="00D114E0"/>
    <w:rsid w:val="00D26C60"/>
    <w:rsid w:val="00D71BE7"/>
    <w:rsid w:val="00D7396E"/>
    <w:rsid w:val="00D80D81"/>
    <w:rsid w:val="00D817E9"/>
    <w:rsid w:val="00DA4103"/>
    <w:rsid w:val="00DA6220"/>
    <w:rsid w:val="00DB7720"/>
    <w:rsid w:val="00DC139E"/>
    <w:rsid w:val="00DC2777"/>
    <w:rsid w:val="00DE695E"/>
    <w:rsid w:val="00E16377"/>
    <w:rsid w:val="00E35745"/>
    <w:rsid w:val="00E50CAF"/>
    <w:rsid w:val="00E53956"/>
    <w:rsid w:val="00E73181"/>
    <w:rsid w:val="00E83631"/>
    <w:rsid w:val="00E9455B"/>
    <w:rsid w:val="00EA05DC"/>
    <w:rsid w:val="00EB1606"/>
    <w:rsid w:val="00EC51BF"/>
    <w:rsid w:val="00EF0A4D"/>
    <w:rsid w:val="00F11E23"/>
    <w:rsid w:val="00F14355"/>
    <w:rsid w:val="00F24ECD"/>
    <w:rsid w:val="00F3750C"/>
    <w:rsid w:val="00F44C7F"/>
    <w:rsid w:val="00F600EB"/>
    <w:rsid w:val="00F6771A"/>
    <w:rsid w:val="00F67809"/>
    <w:rsid w:val="00F7568A"/>
    <w:rsid w:val="00F8056B"/>
    <w:rsid w:val="00F83279"/>
    <w:rsid w:val="00F91C5C"/>
    <w:rsid w:val="00FA3905"/>
    <w:rsid w:val="00FC6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A74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26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A74267"/>
    <w:rPr>
      <w:sz w:val="18"/>
      <w:szCs w:val="18"/>
    </w:rPr>
  </w:style>
  <w:style w:type="paragraph" w:customStyle="1" w:styleId="Default">
    <w:name w:val="Default"/>
    <w:rsid w:val="00C473C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A742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26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A74267"/>
    <w:rPr>
      <w:sz w:val="18"/>
      <w:szCs w:val="18"/>
    </w:rPr>
  </w:style>
  <w:style w:type="paragraph" w:customStyle="1" w:styleId="Default">
    <w:name w:val="Default"/>
    <w:rsid w:val="00C473C2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4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</dc:creator>
  <cp:lastModifiedBy>ZHONGM</cp:lastModifiedBy>
  <cp:revision>2</cp:revision>
  <dcterms:created xsi:type="dcterms:W3CDTF">2017-12-04T16:36:00Z</dcterms:created>
  <dcterms:modified xsi:type="dcterms:W3CDTF">2017-12-04T16:36:00Z</dcterms:modified>
</cp:coreProperties>
</file>