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57" w:rsidRPr="006B6D8E" w:rsidRDefault="004A2E57" w:rsidP="00135E98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6B6D8E">
        <w:rPr>
          <w:rFonts w:asciiTheme="minorEastAsia" w:eastAsiaTheme="minorEastAsia" w:hAnsiTheme="minorEastAsia" w:hint="eastAsia"/>
          <w:b/>
          <w:sz w:val="28"/>
          <w:szCs w:val="24"/>
        </w:rPr>
        <w:t>民生加银</w:t>
      </w:r>
      <w:r w:rsidR="006B418F" w:rsidRPr="006B6D8E">
        <w:rPr>
          <w:rFonts w:ascii="宋体" w:hAnsi="宋体" w:hint="eastAsia"/>
          <w:b/>
          <w:bCs/>
          <w:color w:val="000000"/>
          <w:sz w:val="28"/>
        </w:rPr>
        <w:t>鑫兴</w:t>
      </w:r>
      <w:r w:rsidR="00311DB7" w:rsidRPr="006B6D8E">
        <w:rPr>
          <w:rFonts w:ascii="宋体" w:hAnsi="宋体" w:hint="eastAsia"/>
          <w:b/>
          <w:bCs/>
          <w:color w:val="000000"/>
          <w:sz w:val="28"/>
        </w:rPr>
        <w:t>纯债债券型证券投资基金</w:t>
      </w:r>
    </w:p>
    <w:p w:rsidR="00135E98" w:rsidRPr="006B6D8E" w:rsidRDefault="00135E98" w:rsidP="00135E98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6B6D8E">
        <w:rPr>
          <w:rFonts w:asciiTheme="minorEastAsia" w:eastAsiaTheme="minorEastAsia" w:hAnsiTheme="minorEastAsia" w:hint="eastAsia"/>
          <w:b/>
          <w:sz w:val="28"/>
          <w:szCs w:val="24"/>
        </w:rPr>
        <w:t>暂停申购</w:t>
      </w:r>
      <w:r w:rsidR="00A51CBF" w:rsidRPr="006B6D8E">
        <w:rPr>
          <w:rFonts w:asciiTheme="minorEastAsia" w:eastAsiaTheme="minorEastAsia" w:hAnsiTheme="minorEastAsia" w:hint="eastAsia"/>
          <w:b/>
          <w:sz w:val="28"/>
          <w:szCs w:val="24"/>
        </w:rPr>
        <w:t>、转换转入、定期定额投资</w:t>
      </w:r>
      <w:r w:rsidRPr="006B6D8E">
        <w:rPr>
          <w:rFonts w:asciiTheme="minorEastAsia" w:eastAsiaTheme="minorEastAsia" w:hAnsiTheme="minorEastAsia" w:hint="eastAsia"/>
          <w:b/>
          <w:sz w:val="28"/>
          <w:szCs w:val="24"/>
        </w:rPr>
        <w:t>的公告</w:t>
      </w:r>
    </w:p>
    <w:p w:rsidR="00135E98" w:rsidRPr="00007A16" w:rsidRDefault="00135E98" w:rsidP="00135E98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07A16">
        <w:rPr>
          <w:rFonts w:asciiTheme="minorEastAsia" w:eastAsiaTheme="minorEastAsia" w:hAnsiTheme="minorEastAsia" w:hint="eastAsia"/>
          <w:sz w:val="24"/>
          <w:szCs w:val="24"/>
        </w:rPr>
        <w:t>公告送出日期：</w:t>
      </w:r>
      <w:r w:rsidR="00B676D3" w:rsidRPr="00007A16">
        <w:rPr>
          <w:rFonts w:asciiTheme="minorEastAsia" w:eastAsiaTheme="minorEastAsia" w:hAnsiTheme="minorEastAsia" w:hint="eastAsia"/>
          <w:sz w:val="24"/>
          <w:szCs w:val="24"/>
        </w:rPr>
        <w:t>2017年</w:t>
      </w:r>
      <w:r w:rsidR="00B676D3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007A16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676D3">
        <w:rPr>
          <w:rFonts w:asciiTheme="minorEastAsia" w:eastAsiaTheme="minorEastAsia" w:hAnsiTheme="minorEastAsia" w:hint="eastAsia"/>
          <w:sz w:val="24"/>
          <w:szCs w:val="24"/>
        </w:rPr>
        <w:t>24</w:t>
      </w:r>
      <w:r w:rsidRPr="00007A16">
        <w:rPr>
          <w:rFonts w:asciiTheme="minorEastAsia" w:eastAsiaTheme="minorEastAsia" w:hAnsiTheme="minorEastAsia" w:hint="eastAsia"/>
          <w:sz w:val="24"/>
          <w:szCs w:val="24"/>
        </w:rPr>
        <w:t>日</w:t>
      </w:r>
      <w:bookmarkStart w:id="0" w:name="_GoBack"/>
      <w:bookmarkEnd w:id="0"/>
    </w:p>
    <w:p w:rsidR="00135E98" w:rsidRPr="00007A16" w:rsidRDefault="00135E98" w:rsidP="00135E98">
      <w:pPr>
        <w:pStyle w:val="2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135E98" w:rsidRPr="006B6D8E" w:rsidRDefault="00135E98" w:rsidP="00135E98">
      <w:pPr>
        <w:pStyle w:val="2"/>
        <w:rPr>
          <w:rFonts w:asciiTheme="minorEastAsia" w:eastAsiaTheme="minorEastAsia" w:hAnsiTheme="minorEastAsia"/>
          <w:b/>
          <w:sz w:val="24"/>
          <w:szCs w:val="24"/>
        </w:rPr>
      </w:pPr>
      <w:r w:rsidRPr="006B6D8E">
        <w:rPr>
          <w:rFonts w:asciiTheme="minorEastAsia" w:eastAsiaTheme="minorEastAsia" w:hAnsiTheme="minorEastAsia" w:hint="eastAsia"/>
          <w:b/>
          <w:sz w:val="24"/>
          <w:szCs w:val="24"/>
        </w:rPr>
        <w:t>1</w:t>
      </w:r>
      <w:bookmarkStart w:id="1" w:name="t_3_1_1_table"/>
      <w:bookmarkEnd w:id="1"/>
      <w:r w:rsidR="002A0CFB" w:rsidRPr="006B6D8E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.</w:t>
      </w:r>
      <w:r w:rsidRPr="006B6D8E">
        <w:rPr>
          <w:rFonts w:asciiTheme="minorEastAsia" w:eastAsiaTheme="minorEastAsia" w:hAnsiTheme="minorEastAsia" w:hint="eastAsia"/>
          <w:b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2268"/>
        <w:gridCol w:w="2222"/>
        <w:gridCol w:w="2223"/>
      </w:tblGrid>
      <w:tr w:rsidR="00135E98" w:rsidRPr="006B6D8E" w:rsidTr="00E86BD7">
        <w:tc>
          <w:tcPr>
            <w:tcW w:w="3969" w:type="dxa"/>
            <w:gridSpan w:val="2"/>
          </w:tcPr>
          <w:p w:rsidR="00135E98" w:rsidRPr="006B6D8E" w:rsidRDefault="00135E98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基金名称</w:t>
            </w:r>
          </w:p>
        </w:tc>
        <w:tc>
          <w:tcPr>
            <w:tcW w:w="4445" w:type="dxa"/>
            <w:gridSpan w:val="2"/>
          </w:tcPr>
          <w:p w:rsidR="00135E98" w:rsidRPr="006B6D8E" w:rsidRDefault="004A2E57" w:rsidP="00854ED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" w:name="t_3_1_1_0009_a1_fm1"/>
            <w:bookmarkEnd w:id="2"/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民生加银</w:t>
            </w:r>
            <w:r w:rsidR="006B418F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鑫兴</w:t>
            </w:r>
            <w:r w:rsidR="00311DB7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纯债债券型证券投资基金</w:t>
            </w:r>
          </w:p>
        </w:tc>
      </w:tr>
      <w:tr w:rsidR="00135E98" w:rsidRPr="006B6D8E" w:rsidTr="00E86BD7">
        <w:tc>
          <w:tcPr>
            <w:tcW w:w="3969" w:type="dxa"/>
            <w:gridSpan w:val="2"/>
          </w:tcPr>
          <w:p w:rsidR="00135E98" w:rsidRPr="006B6D8E" w:rsidRDefault="00135E98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基金简称</w:t>
            </w:r>
          </w:p>
        </w:tc>
        <w:tc>
          <w:tcPr>
            <w:tcW w:w="4445" w:type="dxa"/>
            <w:gridSpan w:val="2"/>
          </w:tcPr>
          <w:p w:rsidR="00135E98" w:rsidRPr="006B6D8E" w:rsidRDefault="004A2E57" w:rsidP="00311D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3" w:name="t_3_1_1_0011_a1_fm1"/>
            <w:bookmarkEnd w:id="3"/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民生加银</w:t>
            </w:r>
            <w:r w:rsidR="006B418F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鑫兴</w:t>
            </w:r>
            <w:r w:rsidR="00311DB7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纯债债券</w:t>
            </w:r>
          </w:p>
        </w:tc>
      </w:tr>
      <w:tr w:rsidR="00135E98" w:rsidRPr="006B6D8E" w:rsidTr="00E86BD7">
        <w:tc>
          <w:tcPr>
            <w:tcW w:w="3969" w:type="dxa"/>
            <w:gridSpan w:val="2"/>
          </w:tcPr>
          <w:p w:rsidR="00135E98" w:rsidRPr="006B6D8E" w:rsidRDefault="00135E98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基金主代码</w:t>
            </w:r>
          </w:p>
        </w:tc>
        <w:tc>
          <w:tcPr>
            <w:tcW w:w="4445" w:type="dxa"/>
            <w:gridSpan w:val="2"/>
          </w:tcPr>
          <w:p w:rsidR="00135E98" w:rsidRPr="006B6D8E" w:rsidRDefault="00926499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4" w:name="t_1_1_0012_a1_fm1"/>
            <w:bookmarkEnd w:id="4"/>
            <w:r w:rsidRPr="006B6D8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00</w:t>
            </w:r>
            <w:r w:rsidR="006B418F" w:rsidRPr="006B6D8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3706</w:t>
            </w:r>
          </w:p>
        </w:tc>
      </w:tr>
      <w:tr w:rsidR="00C64A51" w:rsidRPr="006B6D8E" w:rsidTr="00E86BD7">
        <w:tc>
          <w:tcPr>
            <w:tcW w:w="3969" w:type="dxa"/>
            <w:gridSpan w:val="2"/>
          </w:tcPr>
          <w:p w:rsidR="00C64A51" w:rsidRPr="006B6D8E" w:rsidRDefault="00C64A51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基金管理人名称</w:t>
            </w:r>
          </w:p>
        </w:tc>
        <w:tc>
          <w:tcPr>
            <w:tcW w:w="4445" w:type="dxa"/>
            <w:gridSpan w:val="2"/>
          </w:tcPr>
          <w:p w:rsidR="00C64A51" w:rsidRPr="006B6D8E" w:rsidRDefault="00C64A51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5" w:name="t_3_1_1_0186_a1_fm1"/>
            <w:bookmarkEnd w:id="5"/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民生加银基金管理有限公司</w:t>
            </w:r>
          </w:p>
        </w:tc>
      </w:tr>
      <w:tr w:rsidR="00C64A51" w:rsidRPr="006B6D8E" w:rsidTr="00E86BD7">
        <w:tc>
          <w:tcPr>
            <w:tcW w:w="3969" w:type="dxa"/>
            <w:gridSpan w:val="2"/>
          </w:tcPr>
          <w:p w:rsidR="00C64A51" w:rsidRPr="006B6D8E" w:rsidRDefault="00C64A51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公告依据</w:t>
            </w:r>
          </w:p>
        </w:tc>
        <w:tc>
          <w:tcPr>
            <w:tcW w:w="4445" w:type="dxa"/>
            <w:gridSpan w:val="2"/>
          </w:tcPr>
          <w:p w:rsidR="00C64A51" w:rsidRPr="006B6D8E" w:rsidRDefault="00007A16" w:rsidP="00854ED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6" w:name="t_3_1_1_2631_a1_fm1"/>
            <w:bookmarkEnd w:id="6"/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《证券投资基金信息披露管理办法》、</w:t>
            </w:r>
            <w:r w:rsidR="00C64A51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《民生加银</w:t>
            </w:r>
            <w:r w:rsidR="006B418F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鑫兴</w:t>
            </w:r>
            <w:r w:rsidR="00311DB7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纯债债券型证券投资基金</w:t>
            </w:r>
            <w:r w:rsidR="00C64A51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基金合同》、《民生加银</w:t>
            </w:r>
            <w:r w:rsidR="006B418F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鑫兴</w:t>
            </w:r>
            <w:r w:rsidR="00311DB7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纯债债券型证券投资基金</w:t>
            </w:r>
            <w:r w:rsidR="00C64A51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招募说明书》</w:t>
            </w:r>
          </w:p>
        </w:tc>
      </w:tr>
      <w:tr w:rsidR="00C64A51" w:rsidRPr="006B6D8E" w:rsidTr="00926499">
        <w:trPr>
          <w:trHeight w:val="404"/>
        </w:trPr>
        <w:tc>
          <w:tcPr>
            <w:tcW w:w="1701" w:type="dxa"/>
            <w:vMerge w:val="restart"/>
            <w:vAlign w:val="center"/>
          </w:tcPr>
          <w:p w:rsidR="00C64A51" w:rsidRPr="006B6D8E" w:rsidRDefault="00C64A51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268" w:type="dxa"/>
          </w:tcPr>
          <w:p w:rsidR="00C64A51" w:rsidRPr="006B6D8E" w:rsidRDefault="00C64A51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暂停申购起始日</w:t>
            </w:r>
          </w:p>
        </w:tc>
        <w:tc>
          <w:tcPr>
            <w:tcW w:w="4445" w:type="dxa"/>
            <w:gridSpan w:val="2"/>
          </w:tcPr>
          <w:p w:rsidR="00C64A51" w:rsidRPr="006B6D8E" w:rsidRDefault="00C64A51" w:rsidP="00B676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7" w:name="t_3_1_1_2838_a1_fm1"/>
            <w:bookmarkEnd w:id="7"/>
            <w:r w:rsidRPr="006B6D8E">
              <w:rPr>
                <w:rFonts w:asciiTheme="minorEastAsia" w:eastAsiaTheme="minorEastAsia" w:hAnsiTheme="minorEastAsia"/>
                <w:sz w:val="24"/>
                <w:szCs w:val="24"/>
              </w:rPr>
              <w:t>201</w:t>
            </w:r>
            <w:r w:rsidR="00931452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B676D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B676D3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B676D3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A51CBF" w:rsidRPr="006B6D8E" w:rsidTr="00926499">
        <w:trPr>
          <w:trHeight w:val="404"/>
        </w:trPr>
        <w:tc>
          <w:tcPr>
            <w:tcW w:w="1701" w:type="dxa"/>
            <w:vMerge/>
            <w:vAlign w:val="center"/>
          </w:tcPr>
          <w:p w:rsidR="00A51CBF" w:rsidRPr="006B6D8E" w:rsidRDefault="00A51CBF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1CBF" w:rsidRPr="006B6D8E" w:rsidRDefault="00A51CBF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暂停转换转入起始日</w:t>
            </w:r>
          </w:p>
        </w:tc>
        <w:tc>
          <w:tcPr>
            <w:tcW w:w="4445" w:type="dxa"/>
            <w:gridSpan w:val="2"/>
          </w:tcPr>
          <w:p w:rsidR="00A51CBF" w:rsidRPr="006B6D8E" w:rsidRDefault="00A51CBF" w:rsidP="00B676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/>
                <w:sz w:val="24"/>
                <w:szCs w:val="24"/>
              </w:rPr>
              <w:t>201</w:t>
            </w: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7-</w:t>
            </w:r>
            <w:r w:rsidR="00B676D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B676D3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B676D3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A51CBF" w:rsidRPr="006B6D8E" w:rsidTr="00926499">
        <w:trPr>
          <w:trHeight w:val="404"/>
        </w:trPr>
        <w:tc>
          <w:tcPr>
            <w:tcW w:w="1701" w:type="dxa"/>
            <w:vMerge/>
            <w:vAlign w:val="center"/>
          </w:tcPr>
          <w:p w:rsidR="00A51CBF" w:rsidRPr="006B6D8E" w:rsidRDefault="00A51CBF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1CBF" w:rsidRPr="006B6D8E" w:rsidRDefault="00A51CBF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暂停定期定额投资起始日</w:t>
            </w:r>
          </w:p>
        </w:tc>
        <w:tc>
          <w:tcPr>
            <w:tcW w:w="4445" w:type="dxa"/>
            <w:gridSpan w:val="2"/>
          </w:tcPr>
          <w:p w:rsidR="00A51CBF" w:rsidRPr="006B6D8E" w:rsidRDefault="00A51CBF" w:rsidP="00B676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/>
                <w:sz w:val="24"/>
                <w:szCs w:val="24"/>
              </w:rPr>
              <w:t>201</w:t>
            </w: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7-</w:t>
            </w:r>
            <w:r w:rsidR="00B676D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B676D3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B676D3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C64A51" w:rsidRPr="006B6D8E" w:rsidTr="00926499">
        <w:trPr>
          <w:trHeight w:val="694"/>
        </w:trPr>
        <w:tc>
          <w:tcPr>
            <w:tcW w:w="1701" w:type="dxa"/>
            <w:vMerge/>
          </w:tcPr>
          <w:p w:rsidR="00C64A51" w:rsidRPr="006B6D8E" w:rsidRDefault="00C64A51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4A51" w:rsidRPr="006B6D8E" w:rsidRDefault="001436A5" w:rsidP="001436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8" w:name="t_3_1_3_fj_table"/>
            <w:bookmarkEnd w:id="8"/>
            <w:r w:rsidRPr="006B6D8E">
              <w:rPr>
                <w:rFonts w:asciiTheme="minorEastAsia" w:eastAsiaTheme="minorEastAsia" w:hAnsiTheme="minorEastAsia"/>
                <w:sz w:val="24"/>
                <w:szCs w:val="24"/>
              </w:rPr>
              <w:t>暂停申购</w:t>
            </w: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6B6D8E">
              <w:rPr>
                <w:rFonts w:asciiTheme="minorEastAsia" w:eastAsiaTheme="minorEastAsia" w:hAnsiTheme="minorEastAsia"/>
                <w:sz w:val="24"/>
                <w:szCs w:val="24"/>
              </w:rPr>
              <w:t>转换转入、定期定额投资</w:t>
            </w: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6B6D8E">
              <w:rPr>
                <w:rFonts w:asciiTheme="minorEastAsia" w:eastAsiaTheme="minorEastAsia" w:hAnsiTheme="minorEastAsia"/>
                <w:sz w:val="24"/>
                <w:szCs w:val="24"/>
              </w:rPr>
              <w:t>的原因说明</w:t>
            </w:r>
          </w:p>
        </w:tc>
        <w:tc>
          <w:tcPr>
            <w:tcW w:w="4445" w:type="dxa"/>
            <w:gridSpan w:val="2"/>
          </w:tcPr>
          <w:p w:rsidR="00C64A51" w:rsidRPr="006B6D8E" w:rsidRDefault="001436A5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9" w:name="t_3_1_3_fj_2805_a1_fm1"/>
            <w:bookmarkEnd w:id="9"/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为了保证基金的平稳运作，</w:t>
            </w:r>
            <w:r w:rsidR="00C64A51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保护基金份额持有人利益</w:t>
            </w:r>
          </w:p>
        </w:tc>
      </w:tr>
      <w:tr w:rsidR="00A51CBF" w:rsidRPr="006B6D8E" w:rsidTr="00D009F6">
        <w:trPr>
          <w:trHeight w:val="694"/>
        </w:trPr>
        <w:tc>
          <w:tcPr>
            <w:tcW w:w="3969" w:type="dxa"/>
            <w:gridSpan w:val="2"/>
          </w:tcPr>
          <w:p w:rsidR="00A51CBF" w:rsidRPr="006B6D8E" w:rsidRDefault="00A51CBF" w:rsidP="0092649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2222" w:type="dxa"/>
          </w:tcPr>
          <w:p w:rsidR="00A51CBF" w:rsidRPr="006B6D8E" w:rsidRDefault="00A51CBF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民生加银</w:t>
            </w:r>
            <w:r w:rsidR="006B418F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鑫兴</w:t>
            </w: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纯债债券A</w:t>
            </w:r>
          </w:p>
        </w:tc>
        <w:tc>
          <w:tcPr>
            <w:tcW w:w="2223" w:type="dxa"/>
          </w:tcPr>
          <w:p w:rsidR="00A51CBF" w:rsidRPr="006B6D8E" w:rsidRDefault="00A51CBF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民生加银</w:t>
            </w:r>
            <w:r w:rsidR="006B418F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鑫兴</w:t>
            </w: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纯债债券C</w:t>
            </w:r>
          </w:p>
        </w:tc>
      </w:tr>
      <w:tr w:rsidR="00A51CBF" w:rsidRPr="006B6D8E" w:rsidTr="009C0A69">
        <w:trPr>
          <w:trHeight w:val="694"/>
        </w:trPr>
        <w:tc>
          <w:tcPr>
            <w:tcW w:w="3969" w:type="dxa"/>
            <w:gridSpan w:val="2"/>
          </w:tcPr>
          <w:p w:rsidR="00A51CBF" w:rsidRPr="006B6D8E" w:rsidRDefault="00A51CBF" w:rsidP="0092649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2222" w:type="dxa"/>
          </w:tcPr>
          <w:p w:rsidR="00A51CBF" w:rsidRPr="006B6D8E" w:rsidRDefault="00A51CBF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00</w:t>
            </w:r>
            <w:r w:rsidR="006B418F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3706</w:t>
            </w:r>
          </w:p>
        </w:tc>
        <w:tc>
          <w:tcPr>
            <w:tcW w:w="2223" w:type="dxa"/>
          </w:tcPr>
          <w:p w:rsidR="00A51CBF" w:rsidRPr="006B6D8E" w:rsidRDefault="00A51CBF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00</w:t>
            </w:r>
            <w:r w:rsidR="006B418F"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3707</w:t>
            </w:r>
          </w:p>
        </w:tc>
      </w:tr>
      <w:tr w:rsidR="00A51CBF" w:rsidRPr="006B6D8E" w:rsidTr="00155FB4">
        <w:trPr>
          <w:trHeight w:val="694"/>
        </w:trPr>
        <w:tc>
          <w:tcPr>
            <w:tcW w:w="3969" w:type="dxa"/>
            <w:gridSpan w:val="2"/>
          </w:tcPr>
          <w:p w:rsidR="00A51CBF" w:rsidRPr="006B6D8E" w:rsidRDefault="00A51CBF" w:rsidP="0092649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该分级基金是否暂停申购、转换转入、定期定额投资</w:t>
            </w:r>
          </w:p>
        </w:tc>
        <w:tc>
          <w:tcPr>
            <w:tcW w:w="2222" w:type="dxa"/>
          </w:tcPr>
          <w:p w:rsidR="00A51CBF" w:rsidRPr="006B6D8E" w:rsidRDefault="00A51CBF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2223" w:type="dxa"/>
          </w:tcPr>
          <w:p w:rsidR="00A51CBF" w:rsidRPr="006B6D8E" w:rsidRDefault="00A51CBF" w:rsidP="00ED3B9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D8E"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</w:tr>
    </w:tbl>
    <w:p w:rsidR="00E12CC6" w:rsidRPr="006B6D8E" w:rsidRDefault="00E12CC6">
      <w:pPr>
        <w:rPr>
          <w:rFonts w:asciiTheme="minorEastAsia" w:eastAsiaTheme="minorEastAsia" w:hAnsiTheme="minorEastAsia"/>
          <w:sz w:val="24"/>
          <w:szCs w:val="24"/>
        </w:rPr>
      </w:pPr>
    </w:p>
    <w:p w:rsidR="00135E98" w:rsidRPr="006B6D8E" w:rsidRDefault="00135E98" w:rsidP="00913075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6B6D8E">
        <w:rPr>
          <w:rFonts w:asciiTheme="minorEastAsia" w:eastAsiaTheme="minorEastAsia" w:hAnsiTheme="minorEastAsia" w:hint="eastAsia"/>
          <w:b/>
          <w:sz w:val="24"/>
          <w:szCs w:val="24"/>
        </w:rPr>
        <w:t>2.</w:t>
      </w:r>
      <w:r w:rsidRPr="006B6D8E">
        <w:rPr>
          <w:rFonts w:asciiTheme="minorEastAsia" w:eastAsiaTheme="minorEastAsia" w:hAnsiTheme="minorEastAsia" w:hint="eastAsia"/>
          <w:b/>
          <w:sz w:val="24"/>
          <w:szCs w:val="24"/>
        </w:rPr>
        <w:tab/>
        <w:t>其他需要提示的事项</w:t>
      </w:r>
    </w:p>
    <w:p w:rsidR="00DC0267" w:rsidRPr="006B6D8E" w:rsidRDefault="00DC0267" w:rsidP="00DC02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6D8E">
        <w:rPr>
          <w:rFonts w:asciiTheme="minorEastAsia" w:eastAsiaTheme="minorEastAsia" w:hAnsiTheme="minorEastAsia" w:hint="eastAsia"/>
          <w:sz w:val="24"/>
          <w:szCs w:val="24"/>
        </w:rPr>
        <w:t>1）为保证本基金的</w:t>
      </w:r>
      <w:r w:rsidR="001436A5" w:rsidRPr="006B6D8E">
        <w:rPr>
          <w:rFonts w:asciiTheme="minorEastAsia" w:eastAsiaTheme="minorEastAsia" w:hAnsiTheme="minorEastAsia" w:hint="eastAsia"/>
          <w:sz w:val="24"/>
          <w:szCs w:val="24"/>
        </w:rPr>
        <w:t>平稳</w:t>
      </w:r>
      <w:r w:rsidRPr="006B6D8E">
        <w:rPr>
          <w:rFonts w:asciiTheme="minorEastAsia" w:eastAsiaTheme="minorEastAsia" w:hAnsiTheme="minorEastAsia" w:hint="eastAsia"/>
          <w:sz w:val="24"/>
          <w:szCs w:val="24"/>
        </w:rPr>
        <w:t>运作,保护基金份额持有人利益,根据法律法规和基金合同的规定,本公司决定于</w:t>
      </w:r>
      <w:r w:rsidR="00B676D3" w:rsidRPr="006B6D8E">
        <w:rPr>
          <w:rFonts w:asciiTheme="minorEastAsia" w:eastAsiaTheme="minorEastAsia" w:hAnsiTheme="minorEastAsia" w:hint="eastAsia"/>
          <w:sz w:val="24"/>
          <w:szCs w:val="24"/>
        </w:rPr>
        <w:t>2017年</w:t>
      </w:r>
      <w:r w:rsidR="00B676D3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6B6D8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676D3">
        <w:rPr>
          <w:rFonts w:asciiTheme="minorEastAsia" w:eastAsiaTheme="minorEastAsia" w:hAnsiTheme="minorEastAsia" w:hint="eastAsia"/>
          <w:sz w:val="24"/>
          <w:szCs w:val="24"/>
        </w:rPr>
        <w:t>24</w:t>
      </w:r>
      <w:r w:rsidRPr="006B6D8E">
        <w:rPr>
          <w:rFonts w:asciiTheme="minorEastAsia" w:eastAsiaTheme="minorEastAsia" w:hAnsiTheme="minorEastAsia" w:hint="eastAsia"/>
          <w:sz w:val="24"/>
          <w:szCs w:val="24"/>
        </w:rPr>
        <w:t>日起暂停接受本基金的申购</w:t>
      </w:r>
      <w:r w:rsidR="00A51CBF" w:rsidRPr="006B6D8E">
        <w:rPr>
          <w:rFonts w:asciiTheme="minorEastAsia" w:eastAsiaTheme="minorEastAsia" w:hAnsiTheme="minorEastAsia" w:hint="eastAsia"/>
          <w:sz w:val="24"/>
          <w:szCs w:val="24"/>
        </w:rPr>
        <w:t>、转换转入及定期定额投资</w:t>
      </w:r>
      <w:r w:rsidRPr="006B6D8E">
        <w:rPr>
          <w:rFonts w:asciiTheme="minorEastAsia" w:eastAsiaTheme="minorEastAsia" w:hAnsiTheme="minorEastAsia" w:hint="eastAsia"/>
          <w:sz w:val="24"/>
          <w:szCs w:val="24"/>
        </w:rPr>
        <w:t>业务。</w:t>
      </w:r>
      <w:r w:rsidR="00A51CBF" w:rsidRPr="006B6D8E">
        <w:rPr>
          <w:rFonts w:asciiTheme="minorEastAsia" w:eastAsiaTheme="minorEastAsia" w:hAnsiTheme="minorEastAsia" w:hint="eastAsia"/>
          <w:sz w:val="24"/>
          <w:szCs w:val="24"/>
        </w:rPr>
        <w:t>本基金转换为其他基金的转换业务、赎回业务等其他业务仍照常办理。</w:t>
      </w:r>
      <w:r w:rsidRPr="006B6D8E">
        <w:rPr>
          <w:rFonts w:asciiTheme="minorEastAsia" w:eastAsiaTheme="minorEastAsia" w:hAnsiTheme="minorEastAsia" w:hint="eastAsia"/>
          <w:sz w:val="24"/>
          <w:szCs w:val="24"/>
        </w:rPr>
        <w:t>恢复办理本基金</w:t>
      </w:r>
      <w:r w:rsidR="00A51CBF" w:rsidRPr="006B6D8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6B6D8E">
        <w:rPr>
          <w:rFonts w:asciiTheme="minorEastAsia" w:eastAsiaTheme="minorEastAsia" w:hAnsiTheme="minorEastAsia" w:hint="eastAsia"/>
          <w:sz w:val="24"/>
          <w:szCs w:val="24"/>
        </w:rPr>
        <w:t>申购业务</w:t>
      </w:r>
      <w:r w:rsidR="00A51CBF" w:rsidRPr="006B6D8E">
        <w:rPr>
          <w:rFonts w:asciiTheme="minorEastAsia" w:eastAsiaTheme="minorEastAsia" w:hAnsiTheme="minorEastAsia" w:hint="eastAsia"/>
          <w:sz w:val="24"/>
          <w:szCs w:val="24"/>
        </w:rPr>
        <w:t>及其他开放式基金转换转入本基金的业务</w:t>
      </w:r>
      <w:r w:rsidRPr="006B6D8E">
        <w:rPr>
          <w:rFonts w:asciiTheme="minorEastAsia" w:eastAsiaTheme="minorEastAsia" w:hAnsiTheme="minorEastAsia" w:hint="eastAsia"/>
          <w:sz w:val="24"/>
          <w:szCs w:val="24"/>
        </w:rPr>
        <w:t>,届时</w:t>
      </w:r>
      <w:r w:rsidR="004A2E57" w:rsidRPr="006B6D8E">
        <w:rPr>
          <w:rFonts w:asciiTheme="minorEastAsia" w:eastAsiaTheme="minorEastAsia" w:hAnsiTheme="minorEastAsia" w:hint="eastAsia"/>
          <w:sz w:val="24"/>
          <w:szCs w:val="24"/>
        </w:rPr>
        <w:t>将再</w:t>
      </w:r>
      <w:r w:rsidRPr="006B6D8E">
        <w:rPr>
          <w:rFonts w:asciiTheme="minorEastAsia" w:eastAsiaTheme="minorEastAsia" w:hAnsiTheme="minorEastAsia" w:hint="eastAsia"/>
          <w:sz w:val="24"/>
          <w:szCs w:val="24"/>
        </w:rPr>
        <w:t>另行公告。</w:t>
      </w:r>
    </w:p>
    <w:p w:rsidR="00DC0267" w:rsidRPr="006B6D8E" w:rsidRDefault="00217BDB" w:rsidP="00DC02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6D8E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DC0267" w:rsidRPr="006B6D8E">
        <w:rPr>
          <w:rFonts w:asciiTheme="minorEastAsia" w:eastAsiaTheme="minorEastAsia" w:hAnsiTheme="minorEastAsia" w:hint="eastAsia"/>
          <w:sz w:val="24"/>
          <w:szCs w:val="24"/>
        </w:rPr>
        <w:t>）敬请投资者提前做好交易安排</w:t>
      </w:r>
      <w:r w:rsidR="004A2E57" w:rsidRPr="006B6D8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C0267" w:rsidRPr="006B6D8E">
        <w:rPr>
          <w:rFonts w:asciiTheme="minorEastAsia" w:eastAsiaTheme="minorEastAsia" w:hAnsiTheme="minorEastAsia" w:hint="eastAsia"/>
          <w:sz w:val="24"/>
          <w:szCs w:val="24"/>
        </w:rPr>
        <w:t>避免因</w:t>
      </w:r>
      <w:r w:rsidR="004A2E57" w:rsidRPr="006B6D8E">
        <w:rPr>
          <w:rFonts w:asciiTheme="minorEastAsia" w:eastAsiaTheme="minorEastAsia" w:hAnsiTheme="minorEastAsia" w:hint="eastAsia"/>
          <w:sz w:val="24"/>
          <w:szCs w:val="24"/>
        </w:rPr>
        <w:t>暂停申购</w:t>
      </w:r>
      <w:r w:rsidR="00A51CBF" w:rsidRPr="006B6D8E">
        <w:rPr>
          <w:rFonts w:asciiTheme="minorEastAsia" w:eastAsiaTheme="minorEastAsia" w:hAnsiTheme="minorEastAsia" w:hint="eastAsia"/>
          <w:sz w:val="24"/>
          <w:szCs w:val="24"/>
        </w:rPr>
        <w:t>、转换转入、定期定额业务</w:t>
      </w:r>
      <w:r w:rsidR="00DC0267" w:rsidRPr="006B6D8E">
        <w:rPr>
          <w:rFonts w:asciiTheme="minorEastAsia" w:eastAsiaTheme="minorEastAsia" w:hAnsiTheme="minorEastAsia" w:hint="eastAsia"/>
          <w:sz w:val="24"/>
          <w:szCs w:val="24"/>
        </w:rPr>
        <w:t>带来不便。</w:t>
      </w:r>
    </w:p>
    <w:p w:rsidR="00DC0267" w:rsidRPr="006B6D8E" w:rsidRDefault="00217BDB" w:rsidP="00DC02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6D8E">
        <w:rPr>
          <w:rFonts w:asciiTheme="minorEastAsia" w:eastAsiaTheme="minorEastAsia" w:hAnsiTheme="minorEastAsia" w:hint="eastAsia"/>
          <w:sz w:val="24"/>
          <w:szCs w:val="24"/>
        </w:rPr>
        <w:lastRenderedPageBreak/>
        <w:t>3</w:t>
      </w:r>
      <w:r w:rsidR="00DC0267" w:rsidRPr="006B6D8E">
        <w:rPr>
          <w:rFonts w:asciiTheme="minorEastAsia" w:eastAsiaTheme="minorEastAsia" w:hAnsiTheme="minorEastAsia" w:hint="eastAsia"/>
          <w:sz w:val="24"/>
          <w:szCs w:val="24"/>
        </w:rPr>
        <w:t>）投资者可以登录本司网站（www.msjyfund.com.cn）或拨打客户服务电话400-8888-388咨询相关信息。</w:t>
      </w:r>
    </w:p>
    <w:p w:rsidR="00DC0267" w:rsidRPr="006B6D8E" w:rsidRDefault="00DC0267" w:rsidP="00DC026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DC0267" w:rsidRPr="006B6D8E" w:rsidRDefault="00DC0267" w:rsidP="00DC02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6D8E"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DC0267" w:rsidRPr="006B6D8E" w:rsidRDefault="00DC0267" w:rsidP="00DC026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DC0267" w:rsidRPr="006B6D8E" w:rsidRDefault="00DC0267" w:rsidP="00DC026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DC0267" w:rsidRPr="006B6D8E" w:rsidRDefault="00DC0267" w:rsidP="00DC026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B6D8E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民生加银基金管理有限公司</w:t>
      </w:r>
    </w:p>
    <w:p w:rsidR="00DC0267" w:rsidRPr="006B6D8E" w:rsidRDefault="00B676D3" w:rsidP="00B676D3">
      <w:pPr>
        <w:spacing w:line="360" w:lineRule="auto"/>
        <w:ind w:right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6B6D8E">
        <w:rPr>
          <w:rFonts w:asciiTheme="minorEastAsia" w:eastAsiaTheme="minorEastAsia" w:hAnsiTheme="minorEastAsia" w:hint="eastAsia"/>
          <w:sz w:val="24"/>
          <w:szCs w:val="24"/>
        </w:rPr>
        <w:t>2017年</w:t>
      </w:r>
      <w:r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DC0267" w:rsidRPr="006B6D8E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24</w:t>
      </w:r>
      <w:r w:rsidR="00DC0267" w:rsidRPr="006B6D8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DC0267" w:rsidRPr="006B6D8E" w:rsidRDefault="00DC0267" w:rsidP="00DC02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135E98" w:rsidRPr="006B6D8E" w:rsidRDefault="00135E98" w:rsidP="00DC02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135E98" w:rsidRPr="006B6D8E" w:rsidSect="00E12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80D" w:rsidRDefault="0062580D"/>
  </w:endnote>
  <w:endnote w:type="continuationSeparator" w:id="1">
    <w:p w:rsidR="0062580D" w:rsidRDefault="0062580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80D" w:rsidRDefault="0062580D"/>
  </w:footnote>
  <w:footnote w:type="continuationSeparator" w:id="1">
    <w:p w:rsidR="0062580D" w:rsidRDefault="0062580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E98"/>
    <w:rsid w:val="00007A16"/>
    <w:rsid w:val="00010F66"/>
    <w:rsid w:val="00017DE0"/>
    <w:rsid w:val="0004240E"/>
    <w:rsid w:val="00043FA0"/>
    <w:rsid w:val="00045FCF"/>
    <w:rsid w:val="0005348B"/>
    <w:rsid w:val="0006120A"/>
    <w:rsid w:val="000647BF"/>
    <w:rsid w:val="000959F1"/>
    <w:rsid w:val="000A5FF4"/>
    <w:rsid w:val="000F693D"/>
    <w:rsid w:val="00100554"/>
    <w:rsid w:val="00135E98"/>
    <w:rsid w:val="001436A5"/>
    <w:rsid w:val="001545FC"/>
    <w:rsid w:val="00170E37"/>
    <w:rsid w:val="00182822"/>
    <w:rsid w:val="001A1FB9"/>
    <w:rsid w:val="001D388D"/>
    <w:rsid w:val="0020318E"/>
    <w:rsid w:val="00217BDB"/>
    <w:rsid w:val="002442DC"/>
    <w:rsid w:val="00251E41"/>
    <w:rsid w:val="00283713"/>
    <w:rsid w:val="002A0CFB"/>
    <w:rsid w:val="002E6E68"/>
    <w:rsid w:val="00311DB7"/>
    <w:rsid w:val="00333917"/>
    <w:rsid w:val="003359FC"/>
    <w:rsid w:val="00346ED4"/>
    <w:rsid w:val="00370436"/>
    <w:rsid w:val="00376D58"/>
    <w:rsid w:val="00377D60"/>
    <w:rsid w:val="00385637"/>
    <w:rsid w:val="003950CE"/>
    <w:rsid w:val="00396C04"/>
    <w:rsid w:val="003C2DFF"/>
    <w:rsid w:val="003D659C"/>
    <w:rsid w:val="003E0CD1"/>
    <w:rsid w:val="003F36CE"/>
    <w:rsid w:val="004171C6"/>
    <w:rsid w:val="004571F9"/>
    <w:rsid w:val="00476F9B"/>
    <w:rsid w:val="004974DC"/>
    <w:rsid w:val="004A2680"/>
    <w:rsid w:val="004A2E57"/>
    <w:rsid w:val="004A344D"/>
    <w:rsid w:val="005215D5"/>
    <w:rsid w:val="00542C56"/>
    <w:rsid w:val="00554E6C"/>
    <w:rsid w:val="00555450"/>
    <w:rsid w:val="00585359"/>
    <w:rsid w:val="005915C0"/>
    <w:rsid w:val="0059307D"/>
    <w:rsid w:val="005A11FC"/>
    <w:rsid w:val="005B3207"/>
    <w:rsid w:val="005D06D5"/>
    <w:rsid w:val="005D1193"/>
    <w:rsid w:val="005D1341"/>
    <w:rsid w:val="005F4F4B"/>
    <w:rsid w:val="005F7BE8"/>
    <w:rsid w:val="00602188"/>
    <w:rsid w:val="00615A53"/>
    <w:rsid w:val="0062580D"/>
    <w:rsid w:val="006374AF"/>
    <w:rsid w:val="0065121B"/>
    <w:rsid w:val="0066129A"/>
    <w:rsid w:val="006707FB"/>
    <w:rsid w:val="00687DA4"/>
    <w:rsid w:val="00692833"/>
    <w:rsid w:val="006B418F"/>
    <w:rsid w:val="006B6D8E"/>
    <w:rsid w:val="006C7D23"/>
    <w:rsid w:val="006D4783"/>
    <w:rsid w:val="006E64B9"/>
    <w:rsid w:val="0073092D"/>
    <w:rsid w:val="0074660E"/>
    <w:rsid w:val="00746AEA"/>
    <w:rsid w:val="00767CA8"/>
    <w:rsid w:val="00771A36"/>
    <w:rsid w:val="0077706A"/>
    <w:rsid w:val="00787EDD"/>
    <w:rsid w:val="007A2440"/>
    <w:rsid w:val="007B15DB"/>
    <w:rsid w:val="007B47C7"/>
    <w:rsid w:val="007B7359"/>
    <w:rsid w:val="007D1D2A"/>
    <w:rsid w:val="007E5E60"/>
    <w:rsid w:val="00824106"/>
    <w:rsid w:val="00826BAF"/>
    <w:rsid w:val="008401D8"/>
    <w:rsid w:val="00854EDD"/>
    <w:rsid w:val="00897CB2"/>
    <w:rsid w:val="008C09B2"/>
    <w:rsid w:val="008F29D2"/>
    <w:rsid w:val="009107E5"/>
    <w:rsid w:val="00913075"/>
    <w:rsid w:val="00926499"/>
    <w:rsid w:val="00931452"/>
    <w:rsid w:val="009703CC"/>
    <w:rsid w:val="00987C91"/>
    <w:rsid w:val="009A59B3"/>
    <w:rsid w:val="009A7141"/>
    <w:rsid w:val="009A747E"/>
    <w:rsid w:val="009D142A"/>
    <w:rsid w:val="009D47ED"/>
    <w:rsid w:val="00A15474"/>
    <w:rsid w:val="00A15B0C"/>
    <w:rsid w:val="00A226D3"/>
    <w:rsid w:val="00A51CBF"/>
    <w:rsid w:val="00A52B9A"/>
    <w:rsid w:val="00A57F0A"/>
    <w:rsid w:val="00A715DC"/>
    <w:rsid w:val="00A866C8"/>
    <w:rsid w:val="00B00BC8"/>
    <w:rsid w:val="00B27689"/>
    <w:rsid w:val="00B31A34"/>
    <w:rsid w:val="00B676D3"/>
    <w:rsid w:val="00B83F44"/>
    <w:rsid w:val="00BA38FB"/>
    <w:rsid w:val="00BA4BFA"/>
    <w:rsid w:val="00BD3CA5"/>
    <w:rsid w:val="00BF58AD"/>
    <w:rsid w:val="00C01F38"/>
    <w:rsid w:val="00C33A74"/>
    <w:rsid w:val="00C40B8A"/>
    <w:rsid w:val="00C64A51"/>
    <w:rsid w:val="00C753C7"/>
    <w:rsid w:val="00CC31DE"/>
    <w:rsid w:val="00CC41B2"/>
    <w:rsid w:val="00CC4544"/>
    <w:rsid w:val="00CE5351"/>
    <w:rsid w:val="00CE7E06"/>
    <w:rsid w:val="00D669CC"/>
    <w:rsid w:val="00DA3FC0"/>
    <w:rsid w:val="00DB095E"/>
    <w:rsid w:val="00DC0267"/>
    <w:rsid w:val="00DC508F"/>
    <w:rsid w:val="00DE2C99"/>
    <w:rsid w:val="00DE4A89"/>
    <w:rsid w:val="00DE5241"/>
    <w:rsid w:val="00E06232"/>
    <w:rsid w:val="00E12CC6"/>
    <w:rsid w:val="00E30245"/>
    <w:rsid w:val="00E74A2E"/>
    <w:rsid w:val="00E86BD7"/>
    <w:rsid w:val="00EC0168"/>
    <w:rsid w:val="00EC099D"/>
    <w:rsid w:val="00EE3CA8"/>
    <w:rsid w:val="00F8267E"/>
    <w:rsid w:val="00F86E0E"/>
    <w:rsid w:val="00FA7F80"/>
    <w:rsid w:val="00FB5C93"/>
    <w:rsid w:val="00FD32FF"/>
    <w:rsid w:val="00FE34A4"/>
    <w:rsid w:val="00FF3B89"/>
    <w:rsid w:val="00FF5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98"/>
    <w:pPr>
      <w:widowControl w:val="0"/>
      <w:jc w:val="both"/>
    </w:pPr>
    <w:rPr>
      <w:rFonts w:ascii="Calibri" w:hAnsi="Calibri"/>
      <w:kern w:val="2"/>
      <w:sz w:val="21"/>
    </w:rPr>
  </w:style>
  <w:style w:type="paragraph" w:styleId="1">
    <w:name w:val="heading 1"/>
    <w:basedOn w:val="a"/>
    <w:next w:val="a"/>
    <w:link w:val="1Char"/>
    <w:qFormat/>
    <w:rsid w:val="003D65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H2,sect 1.2,H21,sect 1.21,H22,sect 1.22,H211,sect 1.211,H23,sect 1.23,H212,sect 1.212,Fab-2,PIM2,Heading 2 Hidden,Heading 2 CCBS,2nd level,h2,2,Header 2,l2,Level 2 Head,heading 2,proj2,proj21,proj22,proj23,proj24,proj25,proj26,proj27,proj28,proj29"/>
    <w:basedOn w:val="a"/>
    <w:next w:val="a"/>
    <w:link w:val="2Char"/>
    <w:qFormat/>
    <w:rsid w:val="003D659C"/>
    <w:pPr>
      <w:widowControl/>
      <w:jc w:val="left"/>
      <w:outlineLvl w:val="1"/>
    </w:pPr>
    <w:rPr>
      <w:rFonts w:ascii="Arial" w:hAnsi="Arial" w:cs="Arial"/>
      <w:bCs/>
      <w:iCs/>
      <w:kern w:val="0"/>
      <w:sz w:val="20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D659C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aliases w:val="H2 Char,sect 1.2 Char,H21 Char,sect 1.21 Char,H22 Char,sect 1.22 Char,H211 Char,sect 1.211 Char,H23 Char,sect 1.23 Char,H212 Char,sect 1.212 Char,Fab-2 Char,PIM2 Char,Heading 2 Hidden Char,Heading 2 CCBS Char,2nd level Char,h2 Char,2 Char"/>
    <w:basedOn w:val="a0"/>
    <w:link w:val="2"/>
    <w:rsid w:val="003D659C"/>
    <w:rPr>
      <w:rFonts w:ascii="Arial" w:eastAsia="宋体" w:hAnsi="Arial" w:cs="Arial"/>
      <w:bCs/>
      <w:iCs/>
      <w:szCs w:val="28"/>
      <w:lang w:val="en-GB" w:eastAsia="en-US" w:bidi="ar-SA"/>
    </w:rPr>
  </w:style>
  <w:style w:type="paragraph" w:styleId="a3">
    <w:name w:val="List Paragraph"/>
    <w:basedOn w:val="a"/>
    <w:uiPriority w:val="34"/>
    <w:qFormat/>
    <w:rsid w:val="003D659C"/>
    <w:pPr>
      <w:ind w:firstLineChars="200" w:firstLine="420"/>
    </w:pPr>
    <w:rPr>
      <w:szCs w:val="22"/>
    </w:rPr>
  </w:style>
  <w:style w:type="paragraph" w:customStyle="1" w:styleId="10">
    <w:name w:val="样式1"/>
    <w:basedOn w:val="2"/>
    <w:link w:val="1Char0"/>
    <w:qFormat/>
    <w:rsid w:val="003D659C"/>
    <w:pPr>
      <w:spacing w:line="360" w:lineRule="auto"/>
      <w:jc w:val="center"/>
    </w:pPr>
    <w:rPr>
      <w:rFonts w:ascii="仿宋_GB2312" w:eastAsia="仿宋_GB2312" w:hAnsiTheme="minorEastAsia"/>
      <w:b/>
      <w:sz w:val="28"/>
      <w:lang w:eastAsia="zh-CN"/>
    </w:rPr>
  </w:style>
  <w:style w:type="character" w:customStyle="1" w:styleId="1Char0">
    <w:name w:val="样式1 Char"/>
    <w:basedOn w:val="2Char"/>
    <w:link w:val="10"/>
    <w:rsid w:val="003D659C"/>
    <w:rPr>
      <w:rFonts w:ascii="仿宋_GB2312" w:eastAsia="仿宋_GB2312" w:hAnsiTheme="minorEastAsia" w:cs="Arial"/>
      <w:b/>
      <w:bCs/>
      <w:iCs/>
      <w:sz w:val="28"/>
      <w:szCs w:val="28"/>
      <w:lang w:val="en-GB" w:eastAsia="en-US" w:bidi="ar-SA"/>
    </w:rPr>
  </w:style>
  <w:style w:type="paragraph" w:styleId="a4">
    <w:name w:val="header"/>
    <w:basedOn w:val="a"/>
    <w:link w:val="Char"/>
    <w:uiPriority w:val="99"/>
    <w:unhideWhenUsed/>
    <w:rsid w:val="00913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307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3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3075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D47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4783"/>
    <w:rPr>
      <w:rFonts w:ascii="Calibri" w:hAnsi="Calibr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C016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C0168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C0168"/>
    <w:rPr>
      <w:rFonts w:ascii="Calibri" w:hAnsi="Calibri"/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C016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C0168"/>
    <w:rPr>
      <w:rFonts w:ascii="Calibri" w:hAnsi="Calibri"/>
      <w:b/>
      <w:bCs/>
      <w:kern w:val="2"/>
      <w:sz w:val="21"/>
    </w:rPr>
  </w:style>
  <w:style w:type="paragraph" w:styleId="aa">
    <w:name w:val="Revision"/>
    <w:hidden/>
    <w:uiPriority w:val="99"/>
    <w:semiHidden/>
    <w:rsid w:val="00385637"/>
    <w:rPr>
      <w:rFonts w:ascii="Calibri" w:hAnsi="Calibr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98"/>
    <w:pPr>
      <w:widowControl w:val="0"/>
      <w:jc w:val="both"/>
    </w:pPr>
    <w:rPr>
      <w:rFonts w:ascii="Calibri" w:hAnsi="Calibri"/>
      <w:kern w:val="2"/>
      <w:sz w:val="21"/>
    </w:rPr>
  </w:style>
  <w:style w:type="paragraph" w:styleId="1">
    <w:name w:val="heading 1"/>
    <w:basedOn w:val="a"/>
    <w:next w:val="a"/>
    <w:link w:val="1Char"/>
    <w:qFormat/>
    <w:rsid w:val="003D65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H2,sect 1.2,H21,sect 1.21,H22,sect 1.22,H211,sect 1.211,H23,sect 1.23,H212,sect 1.212,Fab-2,PIM2,Heading 2 Hidden,Heading 2 CCBS,2nd level,h2,2,Header 2,l2,Level 2 Head,heading 2,proj2,proj21,proj22,proj23,proj24,proj25,proj26,proj27,proj28,proj29"/>
    <w:basedOn w:val="a"/>
    <w:next w:val="a"/>
    <w:link w:val="2Char"/>
    <w:qFormat/>
    <w:rsid w:val="003D659C"/>
    <w:pPr>
      <w:widowControl/>
      <w:jc w:val="left"/>
      <w:outlineLvl w:val="1"/>
    </w:pPr>
    <w:rPr>
      <w:rFonts w:ascii="Arial" w:hAnsi="Arial" w:cs="Arial"/>
      <w:bCs/>
      <w:iCs/>
      <w:kern w:val="0"/>
      <w:sz w:val="20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D659C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aliases w:val="H2 Char,sect 1.2 Char,H21 Char,sect 1.21 Char,H22 Char,sect 1.22 Char,H211 Char,sect 1.211 Char,H23 Char,sect 1.23 Char,H212 Char,sect 1.212 Char,Fab-2 Char,PIM2 Char,Heading 2 Hidden Char,Heading 2 CCBS Char,2nd level Char,h2 Char,2 Char"/>
    <w:basedOn w:val="a0"/>
    <w:link w:val="2"/>
    <w:rsid w:val="003D659C"/>
    <w:rPr>
      <w:rFonts w:ascii="Arial" w:eastAsia="宋体" w:hAnsi="Arial" w:cs="Arial"/>
      <w:bCs/>
      <w:iCs/>
      <w:szCs w:val="28"/>
      <w:lang w:val="en-GB" w:eastAsia="en-US" w:bidi="ar-SA"/>
    </w:rPr>
  </w:style>
  <w:style w:type="paragraph" w:styleId="a3">
    <w:name w:val="List Paragraph"/>
    <w:basedOn w:val="a"/>
    <w:uiPriority w:val="34"/>
    <w:qFormat/>
    <w:rsid w:val="003D659C"/>
    <w:pPr>
      <w:ind w:firstLineChars="200" w:firstLine="420"/>
    </w:pPr>
    <w:rPr>
      <w:szCs w:val="22"/>
    </w:rPr>
  </w:style>
  <w:style w:type="paragraph" w:customStyle="1" w:styleId="10">
    <w:name w:val="样式1"/>
    <w:basedOn w:val="2"/>
    <w:link w:val="1Char0"/>
    <w:qFormat/>
    <w:rsid w:val="003D659C"/>
    <w:pPr>
      <w:spacing w:line="360" w:lineRule="auto"/>
      <w:jc w:val="center"/>
    </w:pPr>
    <w:rPr>
      <w:rFonts w:ascii="仿宋_GB2312" w:eastAsia="仿宋_GB2312" w:hAnsiTheme="minorEastAsia"/>
      <w:b/>
      <w:sz w:val="28"/>
      <w:lang w:eastAsia="zh-CN"/>
    </w:rPr>
  </w:style>
  <w:style w:type="character" w:customStyle="1" w:styleId="1Char0">
    <w:name w:val="样式1 Char"/>
    <w:basedOn w:val="2Char"/>
    <w:link w:val="10"/>
    <w:rsid w:val="003D659C"/>
    <w:rPr>
      <w:rFonts w:ascii="仿宋_GB2312" w:eastAsia="仿宋_GB2312" w:hAnsiTheme="minorEastAsia" w:cs="Arial"/>
      <w:b/>
      <w:bCs/>
      <w:iCs/>
      <w:sz w:val="28"/>
      <w:szCs w:val="28"/>
      <w:lang w:val="en-GB" w:eastAsia="en-US" w:bidi="ar-SA"/>
    </w:rPr>
  </w:style>
  <w:style w:type="paragraph" w:styleId="a4">
    <w:name w:val="header"/>
    <w:basedOn w:val="a"/>
    <w:link w:val="Char"/>
    <w:uiPriority w:val="99"/>
    <w:unhideWhenUsed/>
    <w:rsid w:val="00913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307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3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3075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D47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4783"/>
    <w:rPr>
      <w:rFonts w:ascii="Calibri" w:hAnsi="Calibr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C016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C0168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C0168"/>
    <w:rPr>
      <w:rFonts w:ascii="Calibri" w:hAnsi="Calibri"/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C016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C0168"/>
    <w:rPr>
      <w:rFonts w:ascii="Calibri" w:hAnsi="Calibri"/>
      <w:b/>
      <w:bCs/>
      <w:kern w:val="2"/>
      <w:sz w:val="21"/>
    </w:rPr>
  </w:style>
  <w:style w:type="paragraph" w:styleId="aa">
    <w:name w:val="Revision"/>
    <w:hidden/>
    <w:uiPriority w:val="99"/>
    <w:semiHidden/>
    <w:rsid w:val="00385637"/>
    <w:rPr>
      <w:rFonts w:ascii="Calibri" w:hAnsi="Calibri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DE8D-0240-4627-9E2C-4EE32C8E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4</DocSecurity>
  <Lines>5</Lines>
  <Paragraphs>1</Paragraphs>
  <ScaleCrop>false</ScaleCrop>
  <Company>Lenovo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田源</dc:creator>
  <cp:lastModifiedBy>ZHONGM</cp:lastModifiedBy>
  <cp:revision>2</cp:revision>
  <dcterms:created xsi:type="dcterms:W3CDTF">2017-11-23T16:35:00Z</dcterms:created>
  <dcterms:modified xsi:type="dcterms:W3CDTF">2017-11-23T16:35:00Z</dcterms:modified>
</cp:coreProperties>
</file>