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hint="eastAsia"/>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
      </w:r>
      <w:proofErr w:type="gramStart"/>
      <w:r w:rsidRPr="0078105B">
        <w:rPr>
          <w:rFonts w:asciiTheme="minorEastAsia" w:eastAsiaTheme="minorEastAsia" w:hAnsiTheme="minorEastAsia"/>
          <w:b/>
          <w:sz w:val="36"/>
          <w:szCs w:val="36"/>
        </w:rPr>
        <w:t/>
      </w:r>
      <w:r w:rsidRPr="0078105B">
        <w:rPr>
          <w:rFonts w:asciiTheme="minorEastAsia" w:eastAsiaTheme="minorEastAsia" w:hAnsiTheme="minorEastAsia" w:hint="eastAsia"/>
          <w:b/>
          <w:sz w:val="36"/>
          <w:szCs w:val="36"/>
        </w:rPr>
        <w:t/>
      </w:r>
      <w:r w:rsidRPr="0078105B">
        <w:rPr>
          <w:rFonts w:asciiTheme="minorEastAsia" w:eastAsiaTheme="minorEastAsia" w:hAnsiTheme="minorEastAsia"/>
          <w:b/>
          <w:sz w:val="36"/>
          <w:szCs w:val="36"/>
        </w:rPr>
        <w:t/>
      </w:r>
      <w:proofErr w:type="gramEnd"/>
      <w:r w:rsidRPr="0078105B">
        <w:rPr>
          <w:rFonts w:asciiTheme="minorEastAsia" w:eastAsiaTheme="minorEastAsia" w:hAnsiTheme="minorEastAsia" w:hint="eastAsia"/>
          <w:b/>
          <w:sz w:val="36"/>
          <w:szCs w:val="36"/>
        </w:rPr>
        <w:t>广发鑫富灵活配置混合型证券投资基金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2017年第3季度报告</w:t>
      </w:r>
    </w:p>
    <w:p w:rsidR="009A2283" w:rsidRPr="003F7026" w:rsidRDefault="00577209"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b/>
          <w:sz w:val="24"/>
        </w:rPr>
        <w:t/>
      </w:r>
      <w:proofErr w:type="gramStart"/>
      <w:r w:rsidRPr="003F7026">
        <w:rPr>
          <w:rFonts w:asciiTheme="minorEastAsia" w:eastAsiaTheme="minorEastAsia" w:hAnsiTheme="minorEastAsia"/>
          <w:b/>
          <w:sz w:val="24"/>
        </w:rPr>
        <w:t/>
      </w:r>
      <w:proofErr w:type="gramEnd"/>
      <w:r w:rsidR="00121533" w:rsidRPr="003F7026">
        <w:rPr>
          <w:rFonts w:asciiTheme="minorEastAsia" w:eastAsiaTheme="minorEastAsia" w:hAnsiTheme="minorEastAsia" w:hint="eastAsia"/>
          <w:b/>
          <w:sz w:val="24"/>
        </w:rPr>
        <w:t>2017年9月30日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
      </w:r>
      <w:proofErr w:type="gramStart"/>
      <w:r w:rsidR="00BF377F" w:rsidRPr="0078105B">
        <w:rPr>
          <w:rFonts w:asciiTheme="minorEastAsia" w:eastAsiaTheme="minorEastAsia" w:hAnsiTheme="minorEastAsia"/>
          <w:b/>
          <w:color w:val="000000"/>
          <w:sz w:val="24"/>
        </w:rPr>
        <w:t/>
      </w:r>
      <w:proofErr w:type="gramEnd"/>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
      </w:r>
      <w:proofErr w:type="gramStart"/>
      <w:r w:rsidR="00BF377F" w:rsidRPr="0078105B">
        <w:rPr>
          <w:rFonts w:asciiTheme="minorEastAsia" w:eastAsiaTheme="minorEastAsia" w:hAnsiTheme="minorEastAsia"/>
          <w:b/>
          <w:color w:val="000000"/>
          <w:sz w:val="24"/>
        </w:rPr>
        <w:t/>
      </w:r>
      <w:proofErr w:type="gramEnd"/>
      <w:r w:rsidR="00BF377F" w:rsidRPr="0078105B">
        <w:rPr>
          <w:rFonts w:asciiTheme="minorEastAsia" w:eastAsiaTheme="minorEastAsia" w:hAnsiTheme="minorEastAsia"/>
          <w:b/>
          <w:color w:val="000000"/>
          <w:sz w:val="24"/>
        </w:rPr>
        <w:t>广州农村商业银行股份有限公司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9"/>
          <w:footerReference w:type="default" r:id="rId10"/>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
      </w:r>
      <w:proofErr w:type="gramStart"/>
      <w:r w:rsidR="00D04410" w:rsidRPr="0078105B">
        <w:rPr>
          <w:rFonts w:asciiTheme="minorEastAsia" w:eastAsiaTheme="minorEastAsia" w:hAnsiTheme="minorEastAsia"/>
          <w:b/>
          <w:color w:val="000000"/>
          <w:sz w:val="24"/>
        </w:rPr>
        <w:t/>
      </w:r>
      <w:proofErr w:type="gramEnd"/>
      <w:r w:rsidR="00D04410" w:rsidRPr="0078105B">
        <w:rPr>
          <w:rFonts w:asciiTheme="minorEastAsia" w:eastAsiaTheme="minorEastAsia" w:hAnsiTheme="minorEastAsia"/>
          <w:b/>
          <w:color w:val="000000"/>
          <w:sz w:val="24"/>
        </w:rPr>
        <w:t>二〇一七年十月二十七日</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pPr>
        <w:spacing w:line="360" w:lineRule="auto"/>
        <w:ind w:firstLineChars="200" w:firstLine="48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line="360" w:lineRule="auto"/>
        <w:ind w:firstLineChars="200" w:firstLine="480"/>
        <w:rPr>
          <w:rFonts w:eastAsiaTheme="minorEastAsia"/>
          <w:color w:val="000000"/>
          <w:sz w:val="24"/>
        </w:rPr>
      </w:pPr>
      <w:r>
        <w:rPr>
          <w:rFonts w:eastAsiaTheme="minorEastAsia"/>
          <w:color w:val="000000"/>
          <w:sz w:val="24"/>
        </w:rPr>
        <w:t xml:space="preserve">基金托管人广州农村商业银行股份有限公司根据本基金合同规定，于2017年10月25日复核了本报告中的财务指标、净值表现和投资组合报告等内容，保证复核内容不存在虚假记载、误导性陈述或者重大遗漏。 </w:t>
      </w:r>
    </w:p>
    <w:p>
      <w:pPr>
        <w:spacing w:line="360" w:lineRule="auto"/>
        <w:ind w:firstLineChars="200" w:firstLine="48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line="360" w:lineRule="auto"/>
        <w:ind w:firstLineChars="200" w:firstLine="48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
      </w:r>
      <w:proofErr w:type="gramStart"/>
      <w:r w:rsidRPr="00264591">
        <w:rPr>
          <w:rFonts w:eastAsiaTheme="minorEastAsia"/>
          <w:color w:val="000000"/>
          <w:sz w:val="24"/>
        </w:rPr>
        <w:t/>
      </w:r>
      <w:proofErr w:type="gramEnd"/>
      <w:r w:rsidRPr="00264591">
        <w:rPr>
          <w:rFonts w:eastAsiaTheme="minorEastAsia"/>
          <w:color w:val="000000"/>
          <w:sz w:val="24"/>
        </w:rPr>
        <w:t>本报告期自2017年7月1日起至9月30日止。</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广发鑫富混合</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002126</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2016年12月22日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2,542,847.54</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在严格控制风险和保持资产流动性的基础上，本基金通过灵活的资产配置，在股票、固定收益证券和现金等大类资产中充分挖掘和利用潜在的投资机会，力求实现基金资产的持续稳定增值。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30%×沪深300指数收益率+70%×中证全债指数收益率。</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本基金是混合型基金，其预期收益及风险水平高于货币市场基金和债券型基金，低于股票型基金，属于中高收益风险特征的基金。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广州农村商业银行股份有限公司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color w:val="000000"/>
                <w:kern w:val="0"/>
                <w:sz w:val="24"/>
              </w:rPr>
              <w:t/>
            </w:r>
            <w:r w:rsidRPr="00D32161">
              <w:rPr>
                <w:rFonts w:eastAsiaTheme="minorEastAsia"/>
                <w:sz w:val="24"/>
              </w:rPr>
              <w:t>广发鑫富混合A</w:t>
            </w:r>
          </w:p>
        </w:tc>
        <w:tc>
          <w:tcPr>
            <w:tcW w:w="2740" w:type="dxa"/>
            <w:vAlign w:val="center"/>
          </w:tcPr>
          <w:p w:rsidR="008532F3" w:rsidRPr="00D32161" w:rsidRDefault="008532F3" w:rsidP="003F7026">
            <w:pPr>
              <w:rPr>
                <w:rFonts w:eastAsiaTheme="minorEastAsia"/>
                <w:sz w:val="24"/>
              </w:rPr>
            </w:pPr>
            <w:r w:rsidRPr="00D32161">
              <w:rPr>
                <w:rFonts w:eastAsiaTheme="minorEastAsia"/>
                <w:color w:val="000000"/>
                <w:kern w:val="0"/>
                <w:sz w:val="24"/>
              </w:rPr>
              <w:t/>
            </w:r>
            <w:r w:rsidRPr="00D32161">
              <w:rPr>
                <w:rFonts w:eastAsiaTheme="minorEastAsia"/>
                <w:sz w:val="24"/>
              </w:rPr>
              <w:t>广发鑫富混合C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w:t>
            </w:r>
            <w:r w:rsidRPr="00D32161">
              <w:rPr>
                <w:rFonts w:eastAsiaTheme="minorEastAsia"/>
                <w:color w:val="000000"/>
                <w:sz w:val="24"/>
              </w:rPr>
              <w:lastRenderedPageBreak/>
              <w:t>码</w:t>
            </w:r>
            <w:r w:rsidR="00B35FEC" w:rsidRPr="00D32161">
              <w:rPr>
                <w:rFonts w:eastAsiaTheme="minorEastAsia"/>
                <w:color w:val="000000"/>
                <w:sz w:val="24"/>
              </w:rPr>
              <w:t/>
            </w:r>
            <w:r w:rsidR="00B35FEC" w:rsidRPr="00D32161">
              <w:rPr>
                <w:rFonts w:eastAsiaTheme="minorEastAsia"/>
                <w:sz w:val="24"/>
              </w:rPr>
              <w:t/>
            </w:r>
            <w:r w:rsidR="00B35FEC" w:rsidRPr="00D32161">
              <w:rPr>
                <w:rFonts w:eastAsiaTheme="minorEastAsia"/>
                <w:color w:val="000000"/>
                <w:sz w:val="24"/>
              </w:rPr>
              <w:t/>
            </w:r>
          </w:p>
        </w:tc>
        <w:tc>
          <w:tcPr>
            <w:tcW w:w="2739" w:type="dxa"/>
            <w:vAlign w:val="center"/>
          </w:tcPr>
          <w:p w:rsidR="008532F3" w:rsidRPr="00D32161" w:rsidRDefault="00F22F9F" w:rsidP="003F7026">
            <w:pPr>
              <w:rPr>
                <w:rFonts w:eastAsiaTheme="minorEastAsia"/>
                <w:sz w:val="24"/>
              </w:rPr>
            </w:pPr>
            <w:r w:rsidRPr="00D32161">
              <w:rPr>
                <w:rFonts w:eastAsiaTheme="minorEastAsia"/>
                <w:kern w:val="0"/>
                <w:sz w:val="24"/>
              </w:rPr>
              <w:lastRenderedPageBreak/>
              <w:t/>
            </w:r>
            <w:r w:rsidR="008532F3" w:rsidRPr="00D32161">
              <w:rPr>
                <w:rFonts w:eastAsiaTheme="minorEastAsia"/>
                <w:color w:val="000000"/>
                <w:kern w:val="0"/>
                <w:sz w:val="24"/>
              </w:rPr>
              <w:t/>
            </w:r>
            <w:r w:rsidR="008532F3" w:rsidRPr="00D32161">
              <w:rPr>
                <w:rFonts w:eastAsiaTheme="minorEastAsia"/>
                <w:sz w:val="24"/>
              </w:rPr>
              <w:t/>
            </w:r>
            <w:r w:rsidR="008532F3" w:rsidRPr="00D32161">
              <w:rPr>
                <w:rFonts w:eastAsiaTheme="minorEastAsia"/>
                <w:sz w:val="24"/>
              </w:rPr>
              <w:lastRenderedPageBreak/>
              <w:t>002126</w:t>
            </w:r>
          </w:p>
        </w:tc>
        <w:tc>
          <w:tcPr>
            <w:tcW w:w="2740" w:type="dxa"/>
            <w:vAlign w:val="center"/>
          </w:tcPr>
          <w:p w:rsidR="008532F3" w:rsidRPr="00D32161" w:rsidRDefault="00F22F9F" w:rsidP="003F7026">
            <w:pPr>
              <w:rPr>
                <w:rFonts w:eastAsiaTheme="minorEastAsia"/>
                <w:sz w:val="24"/>
              </w:rPr>
            </w:pPr>
            <w:r w:rsidRPr="00D32161">
              <w:rPr>
                <w:rFonts w:eastAsiaTheme="minorEastAsia"/>
                <w:kern w:val="0"/>
                <w:sz w:val="24"/>
              </w:rPr>
              <w:lastRenderedPageBreak/>
              <w:t/>
            </w:r>
            <w:r w:rsidR="008532F3" w:rsidRPr="00D32161">
              <w:rPr>
                <w:rFonts w:eastAsiaTheme="minorEastAsia"/>
                <w:color w:val="000000"/>
                <w:kern w:val="0"/>
                <w:sz w:val="24"/>
              </w:rPr>
              <w:t/>
            </w:r>
            <w:r w:rsidR="008532F3" w:rsidRPr="00D32161">
              <w:rPr>
                <w:rFonts w:eastAsiaTheme="minorEastAsia"/>
                <w:sz w:val="24"/>
              </w:rPr>
              <w:t>002127</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color w:val="000000"/>
                <w:kern w:val="0"/>
                <w:sz w:val="24"/>
              </w:rPr>
              <w:t/>
            </w:r>
            <w:r w:rsidRPr="00D32161">
              <w:rPr>
                <w:rFonts w:eastAsiaTheme="minorEastAsia"/>
                <w:sz w:val="24"/>
              </w:rPr>
              <w:t>2,541,867.54</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color w:val="000000"/>
                <w:kern w:val="0"/>
                <w:sz w:val="24"/>
              </w:rPr>
              <w:t/>
            </w:r>
            <w:r w:rsidRPr="00D32161">
              <w:rPr>
                <w:rFonts w:eastAsiaTheme="minorEastAsia"/>
                <w:sz w:val="24"/>
              </w:rPr>
              <w:t>980.00</w:t>
            </w:r>
            <w:r w:rsidRPr="00D32161">
              <w:rPr>
                <w:rFonts w:eastAsiaTheme="minorEastAsia"/>
                <w:color w:val="000000"/>
                <w:kern w:val="0"/>
                <w:sz w:val="24"/>
              </w:rPr>
              <w:t>份</w:t>
            </w:r>
          </w:p>
        </w:tc>
      </w:tr>
    </w:tbl>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(2017年7月1日-2017年9月30日)</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kern w:val="0"/>
                <w:sz w:val="24"/>
              </w:rPr>
              <w:t/>
            </w:r>
            <w:r w:rsidRPr="00D32161">
              <w:rPr>
                <w:rFonts w:eastAsiaTheme="minorEastAsia"/>
                <w:sz w:val="24"/>
              </w:rPr>
              <w:t>广发鑫富混合A</w:t>
            </w: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kern w:val="0"/>
                <w:sz w:val="24"/>
              </w:rPr>
              <w:t/>
            </w:r>
            <w:r w:rsidRPr="00D32161">
              <w:rPr>
                <w:rFonts w:eastAsiaTheme="minorEastAsia"/>
                <w:sz w:val="24"/>
              </w:rPr>
              <w:t/>
            </w:r>
            <w:r w:rsidR="004D614E" w:rsidRPr="00D32161">
              <w:rPr>
                <w:rFonts w:eastAsiaTheme="minorEastAsia"/>
                <w:sz w:val="24"/>
              </w:rPr>
              <w:t/>
            </w:r>
            <w:r w:rsidR="00FE7FBD" w:rsidRPr="00D32161">
              <w:rPr>
                <w:rFonts w:eastAsiaTheme="minorEastAsia"/>
                <w:sz w:val="24"/>
              </w:rPr>
              <w:t>广发鑫富混合C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285,359.68</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AD3905" w:rsidRPr="00D32161">
              <w:rPr>
                <w:rFonts w:eastAsiaTheme="minorEastAsia"/>
                <w:color w:val="000000"/>
                <w:sz w:val="24"/>
              </w:rPr>
              <w:t/>
            </w:r>
            <w:r w:rsidR="0037768B" w:rsidRPr="00D32161">
              <w:rPr>
                <w:rFonts w:eastAsiaTheme="minorEastAsia"/>
                <w:color w:val="000000"/>
                <w:sz w:val="24"/>
              </w:rPr>
              <w:t/>
            </w: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75.61</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381,269.26</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116.50</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0.0605</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0.1168</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3,045,008.72</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1,094.76</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lastRenderedPageBreak/>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1.198</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1.117</w:t>
            </w:r>
          </w:p>
        </w:tc>
      </w:tr>
    </w:tbl>
    <w:p>
      <w:pPr>
        <w:spacing w:line="360" w:lineRule="auto"/>
        <w:ind w:firstLineChars="200" w:firstLine="480"/>
        <w:rPr>
          <w:rFonts w:eastAsiaTheme="minorEastAsia"/>
          <w:color w:val="000000"/>
          <w:sz w:val="24"/>
        </w:rPr>
      </w:pPr>
      <w:r>
        <w:rPr>
          <w:rFonts w:eastAsiaTheme="minorEastAsia"/>
          <w:color w:val="000000"/>
          <w:sz w:val="24"/>
        </w:rPr>
        <w:t>注：（1）所述基金业绩指标不包括持有人认购或交易基金的各项费用，计入费用后实际收益水平要低于所列数字。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009A529F" w:rsidRPr="00264591">
        <w:rPr>
          <w:rFonts w:eastAsiaTheme="minorEastAsia" w:hint="eastAsia"/>
          <w:color w:val="000000"/>
          <w:sz w:val="24"/>
        </w:rPr>
        <w:t/>
      </w:r>
      <w:r w:rsidR="00FE7FBD" w:rsidRPr="00264591">
        <w:rPr>
          <w:rFonts w:eastAsiaTheme="minorEastAsia" w:hint="eastAsia"/>
          <w:color w:val="000000"/>
          <w:sz w:val="24"/>
        </w:rPr>
        <w:t/>
      </w:r>
      <w:r w:rsidRPr="00264591">
        <w:rPr>
          <w:rFonts w:eastAsiaTheme="minorEastAsia"/>
          <w:color w:val="000000"/>
          <w:sz w:val="24"/>
        </w:rPr>
        <w:t/>
      </w:r>
      <w:proofErr w:type="gramStart"/>
      <w:r w:rsidRPr="00264591">
        <w:rPr>
          <w:rFonts w:eastAsiaTheme="minorEastAsia"/>
          <w:color w:val="000000"/>
          <w:sz w:val="24"/>
        </w:rPr>
        <w:t/>
      </w:r>
      <w:proofErr w:type="gramEnd"/>
      <w:r w:rsidRPr="00264591">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w:t>
      </w:r>
      <w:proofErr w:type="gramStart"/>
      <w:r w:rsidRPr="00B75DF8">
        <w:rPr>
          <w:rFonts w:asciiTheme="minorEastAsia" w:eastAsiaTheme="minorEastAsia" w:hAnsiTheme="minorEastAsia" w:cs="Arial" w:hint="eastAsia"/>
          <w:b/>
          <w:color w:val="000000"/>
          <w:kern w:val="0"/>
          <w:sz w:val="24"/>
        </w:rPr>
        <w:t>期基金</w:t>
      </w:r>
      <w:proofErr w:type="gramEnd"/>
      <w:r w:rsidRPr="00B75DF8">
        <w:rPr>
          <w:rFonts w:asciiTheme="minorEastAsia" w:eastAsiaTheme="minorEastAsia" w:hAnsiTheme="minorEastAsia" w:cs="Arial" w:hint="eastAsia"/>
          <w:b/>
          <w:color w:val="000000"/>
          <w:kern w:val="0"/>
          <w:sz w:val="24"/>
        </w:rPr>
        <w:t>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
      </w:r>
      <w:r w:rsidR="00A5643A" w:rsidRPr="00B75DF8">
        <w:rPr>
          <w:rFonts w:asciiTheme="minorEastAsia" w:eastAsiaTheme="minorEastAsia" w:hAnsiTheme="minorEastAsia" w:cs="Arial" w:hint="eastAsia"/>
          <w:b/>
          <w:color w:val="000000"/>
          <w:kern w:val="0"/>
          <w:sz w:val="24"/>
        </w:rPr>
        <w:t/>
      </w:r>
      <w:r w:rsidR="0042785F" w:rsidRPr="00B75DF8">
        <w:rPr>
          <w:rFonts w:asciiTheme="minorEastAsia" w:eastAsiaTheme="minorEastAsia" w:hAnsiTheme="minorEastAsia" w:cs="Arial" w:hint="eastAsia"/>
          <w:b/>
          <w:color w:val="000000"/>
          <w:kern w:val="0"/>
          <w:sz w:val="24"/>
        </w:rPr>
        <w:t/>
      </w:r>
      <w:r w:rsidR="00A5643A" w:rsidRPr="00B75DF8">
        <w:rPr>
          <w:rFonts w:asciiTheme="minorEastAsia" w:eastAsiaTheme="minorEastAsia" w:hAnsiTheme="minorEastAsia" w:cs="Arial" w:hint="eastAsia"/>
          <w:b/>
          <w:color w:val="000000"/>
          <w:kern w:val="0"/>
          <w:sz w:val="24"/>
        </w:rPr>
        <w:t/>
      </w:r>
      <w:r w:rsidR="00A5643A" w:rsidRPr="00B75DF8">
        <w:rPr>
          <w:rFonts w:asciiTheme="minorEastAsia" w:eastAsiaTheme="minorEastAsia" w:hAnsiTheme="minorEastAsia" w:cs="Arial"/>
          <w:b/>
          <w:color w:val="000000"/>
          <w:kern w:val="0"/>
          <w:sz w:val="24"/>
        </w:rPr>
        <w:t>广发鑫富混合A</w:t>
      </w:r>
      <w:r w:rsidRPr="00B75DF8">
        <w:rPr>
          <w:rFonts w:asciiTheme="minorEastAsia" w:eastAsiaTheme="minorEastAsia" w:hAnsiTheme="minorEastAsia"/>
          <w:b/>
          <w:sz w:val="24"/>
        </w:rPr>
        <w:t>：</w:t>
      </w:r>
    </w:p>
    <w:tbl>
      <w:tblPr>
        <w:tblStyle w:val="af2"/>
        <w:tblW w:w="0" w:type="auto"/>
        <w:tblLayout w:type="fixed"/>
        <w:tblLook w:val="04A0" w:firstRow="1" w:lastRow="0" w:firstColumn="1" w:lastColumn="0" w:noHBand="0" w:noVBand="1"/>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r w:rsidR="000D4DE9" w:rsidRPr="00D32161">
              <w:rPr>
                <w:rFonts w:eastAsiaTheme="minorEastAsia"/>
                <w:color w:val="000000"/>
                <w:sz w:val="24"/>
              </w:rPr>
              <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tc>
          <w:tcPr>
            <w:vAlign w:val="center"/>
          </w:tcPr>
          <w:p>
            <w:pPr>
              <w:jc w:val="left"/>
            </w:pPr>
            <w:r>
              <w:rPr>
                <w:rFonts w:eastAsiaTheme="minorEastAsia"/>
                <w:color w:val="000000"/>
                <w:sz w:val="24"/>
              </w:rPr>
              <w:t>过去三个月</w:t>
            </w:r>
          </w:p>
        </w:tc>
        <w:tc>
          <w:tcPr>
            <w:vAlign w:val="center"/>
          </w:tcPr>
          <w:p>
            <w:pPr>
              <w:jc w:val="center"/>
            </w:pPr>
            <w:r>
              <w:rPr>
                <w:rFonts w:eastAsiaTheme="minorEastAsia"/>
                <w:color w:val="000000"/>
                <w:sz w:val="24"/>
              </w:rPr>
              <w:t>13.23%</w:t>
            </w:r>
          </w:p>
        </w:tc>
        <w:tc>
          <w:tcPr>
            <w:vAlign w:val="center"/>
          </w:tcPr>
          <w:p>
            <w:pPr>
              <w:jc w:val="center"/>
            </w:pPr>
            <w:r>
              <w:rPr>
                <w:rFonts w:eastAsiaTheme="minorEastAsia"/>
                <w:color w:val="000000"/>
                <w:sz w:val="24"/>
              </w:rPr>
              <w:t>1.26%</w:t>
            </w:r>
          </w:p>
        </w:tc>
        <w:tc>
          <w:tcPr>
            <w:vAlign w:val="center"/>
          </w:tcPr>
          <w:p>
            <w:pPr>
              <w:jc w:val="center"/>
            </w:pPr>
            <w:r>
              <w:rPr>
                <w:rFonts w:eastAsiaTheme="minorEastAsia"/>
                <w:color w:val="000000"/>
                <w:sz w:val="24"/>
              </w:rPr>
              <w:t>1.78%</w:t>
            </w:r>
          </w:p>
        </w:tc>
        <w:tc>
          <w:tcPr>
            <w:vAlign w:val="center"/>
          </w:tcPr>
          <w:p>
            <w:pPr>
              <w:jc w:val="center"/>
            </w:pPr>
            <w:r>
              <w:rPr>
                <w:rFonts w:eastAsiaTheme="minorEastAsia"/>
                <w:color w:val="000000"/>
                <w:sz w:val="24"/>
              </w:rPr>
              <w:t>0.17%</w:t>
            </w:r>
          </w:p>
        </w:tc>
        <w:tc>
          <w:tcPr>
            <w:vAlign w:val="center"/>
          </w:tcPr>
          <w:p>
            <w:pPr>
              <w:jc w:val="center"/>
            </w:pPr>
            <w:r>
              <w:rPr>
                <w:rFonts w:eastAsiaTheme="minorEastAsia"/>
                <w:color w:val="000000"/>
                <w:sz w:val="24"/>
              </w:rPr>
              <w:t>11.45%</w:t>
            </w:r>
          </w:p>
        </w:tc>
        <w:tc>
          <w:tcPr>
            <w:vAlign w:val="center"/>
          </w:tcPr>
          <w:p>
            <w:pPr>
              <w:jc w:val="center"/>
            </w:pPr>
            <w:r>
              <w:rPr>
                <w:rFonts w:eastAsiaTheme="minorEastAsia"/>
                <w:color w:val="000000"/>
                <w:sz w:val="24"/>
              </w:rPr>
              <w:t>1.09%</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A5643A" w:rsidRPr="00B75DF8">
        <w:rPr>
          <w:rFonts w:asciiTheme="minorEastAsia" w:eastAsiaTheme="minorEastAsia" w:hAnsiTheme="minorEastAsia" w:cs="Arial"/>
          <w:b/>
          <w:color w:val="000000"/>
          <w:kern w:val="0"/>
          <w:sz w:val="24"/>
        </w:rPr>
        <w:t/>
      </w:r>
      <w:r w:rsidR="00A5643A" w:rsidRPr="00B75DF8">
        <w:rPr>
          <w:rFonts w:asciiTheme="minorEastAsia" w:eastAsiaTheme="minorEastAsia" w:hAnsiTheme="minorEastAsia" w:cs="Arial" w:hint="eastAsia"/>
          <w:b/>
          <w:color w:val="000000"/>
          <w:kern w:val="0"/>
          <w:sz w:val="24"/>
        </w:rPr>
        <w:t/>
      </w:r>
      <w:r w:rsidR="004D614E" w:rsidRPr="00B75DF8">
        <w:rPr>
          <w:rFonts w:asciiTheme="minorEastAsia" w:eastAsiaTheme="minorEastAsia" w:hAnsiTheme="minorEastAsia" w:cs="Arial" w:hint="eastAsia"/>
          <w:b/>
          <w:color w:val="000000"/>
          <w:kern w:val="0"/>
          <w:sz w:val="24"/>
        </w:rPr>
        <w:t/>
      </w:r>
      <w:r w:rsidR="00FE7FBD" w:rsidRPr="00B75DF8">
        <w:rPr>
          <w:rFonts w:asciiTheme="minorEastAsia" w:eastAsiaTheme="minorEastAsia" w:hAnsiTheme="minorEastAsia" w:cs="Arial" w:hint="eastAsia"/>
          <w:b/>
          <w:color w:val="000000"/>
          <w:kern w:val="0"/>
          <w:sz w:val="24"/>
        </w:rPr>
        <w:t>广发鑫富混合C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firstRow="1" w:lastRow="0" w:firstColumn="1" w:lastColumn="0" w:noHBand="0" w:noVBand="1"/>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r w:rsidR="000D4DE9" w:rsidRPr="00D32161">
              <w:rPr>
                <w:rFonts w:eastAsiaTheme="minorEastAsia"/>
                <w:color w:val="000000"/>
                <w:sz w:val="24"/>
              </w:rPr>
              <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tc>
          <w:tcPr>
            <w:vAlign w:val="center"/>
          </w:tcPr>
          <w:p>
            <w:pPr>
              <w:jc w:val="left"/>
            </w:pPr>
            <w:r>
              <w:rPr>
                <w:rFonts w:eastAsiaTheme="minorEastAsia"/>
                <w:color w:val="000000"/>
                <w:sz w:val="24"/>
              </w:rPr>
              <w:t>过去三个月</w:t>
            </w:r>
          </w:p>
        </w:tc>
        <w:tc>
          <w:tcPr>
            <w:vAlign w:val="center"/>
          </w:tcPr>
          <w:p>
            <w:pPr>
              <w:jc w:val="center"/>
            </w:pPr>
            <w:r>
              <w:rPr>
                <w:rFonts w:eastAsiaTheme="minorEastAsia"/>
                <w:color w:val="000000"/>
                <w:sz w:val="24"/>
              </w:rPr>
              <w:t>11.92%</w:t>
            </w:r>
          </w:p>
        </w:tc>
        <w:tc>
          <w:tcPr>
            <w:vAlign w:val="center"/>
          </w:tcPr>
          <w:p>
            <w:pPr>
              <w:jc w:val="center"/>
            </w:pPr>
            <w:r>
              <w:rPr>
                <w:rFonts w:eastAsiaTheme="minorEastAsia"/>
                <w:color w:val="000000"/>
                <w:sz w:val="24"/>
              </w:rPr>
              <w:t>1.23%</w:t>
            </w:r>
          </w:p>
        </w:tc>
        <w:tc>
          <w:tcPr>
            <w:vAlign w:val="center"/>
          </w:tcPr>
          <w:p>
            <w:pPr>
              <w:jc w:val="center"/>
            </w:pPr>
            <w:r>
              <w:rPr>
                <w:rFonts w:eastAsiaTheme="minorEastAsia"/>
                <w:color w:val="000000"/>
                <w:sz w:val="24"/>
              </w:rPr>
              <w:t>1.78%</w:t>
            </w:r>
          </w:p>
        </w:tc>
        <w:tc>
          <w:tcPr>
            <w:vAlign w:val="center"/>
          </w:tcPr>
          <w:p>
            <w:pPr>
              <w:jc w:val="center"/>
            </w:pPr>
            <w:r>
              <w:rPr>
                <w:rFonts w:eastAsiaTheme="minorEastAsia"/>
                <w:color w:val="000000"/>
                <w:sz w:val="24"/>
              </w:rPr>
              <w:t>0.17%</w:t>
            </w:r>
          </w:p>
        </w:tc>
        <w:tc>
          <w:tcPr>
            <w:vAlign w:val="center"/>
          </w:tcPr>
          <w:p>
            <w:pPr>
              <w:jc w:val="center"/>
            </w:pPr>
            <w:r>
              <w:rPr>
                <w:rFonts w:eastAsiaTheme="minorEastAsia"/>
                <w:color w:val="000000"/>
                <w:sz w:val="24"/>
              </w:rPr>
              <w:t>10.14%</w:t>
            </w:r>
          </w:p>
        </w:tc>
        <w:tc>
          <w:tcPr>
            <w:vAlign w:val="center"/>
          </w:tcPr>
          <w:p>
            <w:pPr>
              <w:jc w:val="center"/>
            </w:pPr>
            <w:r>
              <w:rPr>
                <w:rFonts w:eastAsiaTheme="minorEastAsia"/>
                <w:color w:val="000000"/>
                <w:sz w:val="24"/>
              </w:rPr>
              <w:t>1.06%</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广发鑫富灵活配置混合型证券投资基金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2016年12月22日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2017年9月30日)</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广发鑫富混合A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lastRenderedPageBreak/>
        <w:drawing>
          <wp:inline distT="0" distB="0" distL="0" distR="0" wp14:anchorId="47708710" wp14:editId="42FA3E4A">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42785F"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广发鑫富混合C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14:anchorId="15346FAE" wp14:editId="17AD350A">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pPr>
        <w:spacing w:line="360" w:lineRule="auto"/>
        <w:ind w:firstLineChars="200" w:firstLine="480"/>
        <w:rPr>
          <w:rFonts w:eastAsiaTheme="minorEastAsia"/>
          <w:color w:val="000000"/>
          <w:sz w:val="24"/>
        </w:rPr>
      </w:pPr>
      <w:r>
        <w:rPr>
          <w:rFonts w:eastAsiaTheme="minorEastAsia" w:hint="eastAsia"/>
          <w:color w:val="000000"/>
          <w:sz w:val="24"/>
        </w:rPr>
        <w:t>注：（1）本基金合同生效日期为2016年12月22日，至披露时点本基金成立未满一年。</w:t>
      </w:r>
    </w:p>
    <w:p w:rsidR="00973B57" w:rsidRPr="00D32161" w:rsidRDefault="00757FD7"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00FE7FBD" w:rsidRPr="00264591">
        <w:rPr>
          <w:rFonts w:eastAsiaTheme="minorEastAsia" w:hint="eastAsia"/>
          <w:color w:val="000000"/>
          <w:sz w:val="24"/>
        </w:rPr>
        <w:t/>
      </w: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（2）本基金建仓期为基金合同生效后6个月，建仓期结束时各项资产配置比例符合本基金合同有关规定。</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tc>
          <w:tcPr>
            <w:vAlign w:val="center"/>
          </w:tcPr>
          <w:p>
            <w:pPr>
              <w:jc w:val="center"/>
            </w:pPr>
            <w:r>
              <w:rPr>
                <w:rFonts w:eastAsiaTheme="minorEastAsia"/>
                <w:color w:val="000000"/>
                <w:sz w:val="24"/>
              </w:rPr>
              <w:t>谢军</w:t>
            </w:r>
          </w:p>
        </w:tc>
        <w:tc>
          <w:tcPr>
            <w:vAlign w:val="center"/>
          </w:tcPr>
          <w:p>
            <w:pPr>
              <w:jc w:val="center"/>
            </w:pPr>
            <w:r>
              <w:rPr>
                <w:rFonts w:eastAsiaTheme="minorEastAsia"/>
                <w:color w:val="000000"/>
                <w:sz w:val="24"/>
              </w:rPr>
              <w:t>本基金的基金经理；广发增强债券基金的基金经理；广发聚源定期债券基金的基金经理；广发安享混合基金的基金经理；广发安悦回报混合基金的基金经理；广发服务业精选混合基金的基金经理；广发鑫源混合基金的基金经理；广发集瑞债券基金的基金经理；广发鑫利混合基金的基金经理；广发景华纯债基金的基金经理；广发汇瑞一年定开债券基金的基金经理；广发安泽回报纯债基金的基金经理；广发景源纯债基金的基金经理；广发景祥纯债基金的基金经理；广发理财年年红债券基金的基金经理；固定收益部副总经理</w:t>
            </w:r>
          </w:p>
        </w:tc>
        <w:tc>
          <w:tcPr>
            <w:vAlign w:val="center"/>
          </w:tcPr>
          <w:p>
            <w:pPr>
              <w:jc w:val="center"/>
            </w:pPr>
            <w:r>
              <w:rPr>
                <w:rFonts w:eastAsiaTheme="minorEastAsia"/>
                <w:color w:val="000000"/>
                <w:sz w:val="24"/>
              </w:rPr>
              <w:t>2017-01-10</w:t>
            </w:r>
          </w:p>
        </w:tc>
        <w:tc>
          <w:tcPr>
            <w:vAlign w:val="center"/>
          </w:tcPr>
          <w:p>
            <w:pPr>
              <w:jc w:val="center"/>
            </w:pPr>
            <w:r>
              <w:rPr>
                <w:rFonts w:eastAsiaTheme="minorEastAsia"/>
                <w:color w:val="000000"/>
                <w:sz w:val="24"/>
              </w:rPr>
              <w:t>2017-08-24</w:t>
            </w:r>
          </w:p>
        </w:tc>
        <w:tc>
          <w:tcPr>
            <w:vAlign w:val="center"/>
          </w:tcPr>
          <w:p>
            <w:pPr>
              <w:jc w:val="center"/>
            </w:pPr>
            <w:r>
              <w:rPr>
                <w:rFonts w:eastAsiaTheme="minorEastAsia"/>
                <w:color w:val="000000"/>
                <w:sz w:val="24"/>
              </w:rPr>
              <w:t>14年</w:t>
            </w:r>
          </w:p>
        </w:tc>
        <w:tc>
          <w:tcPr>
            <w:vAlign w:val="center"/>
          </w:tcPr>
          <w:p>
            <w:pPr>
              <w:jc w:val="both"/>
            </w:pPr>
            <w:r>
              <w:rPr>
                <w:rFonts w:eastAsiaTheme="minorEastAsia"/>
                <w:color w:val="000000"/>
                <w:sz w:val="24"/>
              </w:rPr>
              <w:t>男，中国籍，金融学硕士，持有中国证券投资基金业从业证书和特许金融分析师状（CFA），2003年7月至2006年9月先后任广发基金管理有限公司研究发展部产品设计人员、企业年金和债券研究员，2006年9月12日至2010年4月28日任广发货币基金的基金经理，2008年3月27日起任广发增强债券基金的基金经理，2008年4月17日至2012年2月14日先后任广发基金管理有限公司固定收益部总经理助理、副总经理、总经理，2011年3月15日至2014年3月20日任广发聚祥保本混合基金的基金经理，2012年2月15日起任广发基金管理有限公司固定收益部副总经理，2013年5月8日起任广发聚源定期债券基金的基金经理，2016年2月22日起任广发安享混合基金的基金经理，2016年11月7日起任广发安悦回报混合基金的基金经理；2016年11月9日起任广发服务业精选混合和广发鑫源混合基金的基金经理，2016年11月18日起任广发集瑞债券和广发鑫利混合基金的基金经理，2016年11月28日起任广发景华纯债基金的基金经理，2016年12月2日起任广发汇瑞一年定开债券基金的基金经理，2017年1月10日起任广发安泽回报纯债和广发鑫富混合基金的基金经理，2017年2月17日起任广发景源纯债的基金经理，2017年3月2日起任广发景祥纯债基金的基金经理，2017年7月5日起任广发理财年年红债券基金的基金经理。</w:t>
            </w:r>
          </w:p>
        </w:tc>
      </w:tr>
      <w:tr>
        <w:tc>
          <w:tcPr>
            <w:vAlign w:val="center"/>
          </w:tcPr>
          <w:p>
            <w:pPr>
              <w:jc w:val="center"/>
            </w:pPr>
            <w:r>
              <w:rPr>
                <w:rFonts w:eastAsiaTheme="minorEastAsia"/>
                <w:color w:val="000000"/>
                <w:sz w:val="24"/>
              </w:rPr>
              <w:t>王予柯</w:t>
            </w:r>
          </w:p>
        </w:tc>
        <w:tc>
          <w:tcPr>
            <w:vAlign w:val="center"/>
          </w:tcPr>
          <w:p>
            <w:pPr>
              <w:jc w:val="center"/>
            </w:pPr>
            <w:r>
              <w:rPr>
                <w:rFonts w:eastAsiaTheme="minorEastAsia"/>
                <w:color w:val="000000"/>
                <w:sz w:val="24"/>
              </w:rPr>
              <w:t>本基金的基金经理；广发聚盛混合基金的基金经理；广发安宏回报混合基金的基金经理；广发稳裕保本基金的基金经理；广发景盛纯债基金的基金经理；广发中债7-10年国开债指数基金的基金经理；广发鑫隆混合基金的基金经理；广发景丰纯债基金的基金经理；广发集富纯债基金的基金经理</w:t>
            </w:r>
          </w:p>
        </w:tc>
        <w:tc>
          <w:tcPr>
            <w:vAlign w:val="center"/>
          </w:tcPr>
          <w:p>
            <w:pPr>
              <w:jc w:val="center"/>
            </w:pPr>
            <w:r>
              <w:rPr>
                <w:rFonts w:eastAsiaTheme="minorEastAsia"/>
                <w:color w:val="000000"/>
                <w:sz w:val="24"/>
              </w:rPr>
              <w:t>2016-12-22</w:t>
            </w:r>
          </w:p>
        </w:tc>
        <w:tc>
          <w:tcPr>
            <w:vAlign w:val="center"/>
          </w:tcPr>
          <w:p>
            <w:pPr>
              <w:jc w:val="center"/>
            </w:pPr>
            <w:r>
              <w:rPr>
                <w:rFonts w:eastAsiaTheme="minorEastAsia"/>
                <w:color w:val="000000"/>
                <w:sz w:val="24"/>
              </w:rPr>
              <w:t>2017-08-24</w:t>
            </w:r>
          </w:p>
        </w:tc>
        <w:tc>
          <w:tcPr>
            <w:vAlign w:val="center"/>
          </w:tcPr>
          <w:p>
            <w:pPr>
              <w:jc w:val="center"/>
            </w:pPr>
            <w:r>
              <w:rPr>
                <w:rFonts w:eastAsiaTheme="minorEastAsia"/>
                <w:color w:val="000000"/>
                <w:sz w:val="24"/>
              </w:rPr>
              <w:t>10年</w:t>
            </w:r>
          </w:p>
        </w:tc>
        <w:tc>
          <w:tcPr>
            <w:vAlign w:val="center"/>
          </w:tcPr>
          <w:p>
            <w:pPr>
              <w:jc w:val="both"/>
            </w:pPr>
            <w:r>
              <w:rPr>
                <w:rFonts w:eastAsiaTheme="minorEastAsia"/>
                <w:color w:val="000000"/>
                <w:sz w:val="24"/>
              </w:rPr>
              <w:t>男，中国籍，经济学硕士，持有中国证券投资基金业从业证书，2007年1月至2011年2月在广发基金管理有限公司固定收益部债券交易员兼研究员，2011年3月25日至2015年3月26日先后在广发基金管理有限公司机构投资部、权益投资二部及固定收益部任投资经理，2015年5月27日至2016年6月23日任广发集鑫债券基金的基金经理，2015年12月25日起任广发聚盛混合基金的基金经理，2016年1月8日起任广发安宏回报混合基金的基金经理，2016年6月27日起任广发稳裕保本基金的基金经理，2016年8月30日起任广发景盛纯债债券型基金的基金经理，2016年9月26日起任广发中债7-10年国开债指数基金的基金经理，2016年11月7日起任广发鑫隆混合基金的基金经理，2016年11月23日起任广发景丰纯债基金的基金经理，2016年12月22日起任广发鑫富混合基金的基金经理，2017年1月13日起任广发集富纯债基金的基金经理。</w:t>
            </w:r>
          </w:p>
        </w:tc>
      </w:tr>
    </w:tbl>
    <w:p>
      <w:pPr>
        <w:spacing w:line="360" w:lineRule="auto"/>
        <w:ind w:firstLineChars="200" w:firstLine="480"/>
        <w:rPr>
          <w:rFonts w:eastAsiaTheme="minorEastAsia"/>
          <w:color w:val="000000"/>
          <w:sz w:val="24"/>
        </w:rPr>
      </w:pPr>
      <w:r>
        <w:rPr>
          <w:rFonts w:eastAsiaTheme="minorEastAsia"/>
          <w:color w:val="000000"/>
          <w:sz w:val="24"/>
        </w:rPr>
        <w:t>注：1.“任职日期”和“离职日期”指公司公告聘任或解聘日期。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2.证券从业的含义遵从行业协会《证券业从业人员资格管理办法》的相关规定。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鑫富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公司建立了严格的投资授权制度，投资组合经理在授权范围内可以自主决策，超过投资权限的操作需要经过严格的审批程序。在交易过程中，中央交易部按照“时间优先、价格优先、比例分配、综合平衡”的原则，公平分配投资指令。监察稽核部风险控制岗通过投资交易系统对投资交易过程进行实时监控及预警，实现投资风险的事中风险控制；稽核岗通过对投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5%。这些交易不存在任何利益输送的嫌疑。</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lastRenderedPageBreak/>
        <w:t>4.4</w:t>
      </w:r>
      <w:r>
        <w:rPr>
          <w:rFonts w:ascii="宋体" w:hAnsi="宋体" w:hint="eastAsia"/>
          <w:b/>
          <w:color w:val="000000"/>
          <w:sz w:val="24"/>
        </w:rPr>
        <w:t>报告期内基金的投资策略和运作分析</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三季度，宏观经济又一次脉冲式冲高，近期有所回落。但是整体上，当前经济增长动力仍然处于过去几年以来相对较高的水平，下滑速度很平缓。</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债市：债市收益率呈现窄幅震荡格局，收益率先下后上，然后再盘整，10年国债一度重新考验3.7%的阻力位置。利差维持低位盘整格局。</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本基金组合在4月中旬之前按照企业盈利、估值、成长、现金流、ROE五个方面的指标着重选取优质的个股作均衡配置，4月之后本基金面临加大的赎回，降低了配置品种和仓位。</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本报告期内，广发鑫富A净值增长率为13.23%，广发鑫富C净值增长率为11.92%；同期业绩比较基准收益率为1.78%。</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
      </w:r>
      <w:r w:rsidRPr="00C61B41">
        <w:rPr>
          <w:rFonts w:eastAsiaTheme="minorEastAsia"/>
          <w:color w:val="000000"/>
          <w:sz w:val="24"/>
        </w:rPr>
        <w:t/>
      </w:r>
      <w:r w:rsidRPr="00C61B41">
        <w:rPr>
          <w:rFonts w:eastAsiaTheme="minorEastAsia"/>
          <w:color w:val="000000" w:themeColor="text1"/>
          <w:kern w:val="0"/>
          <w:sz w:val="24"/>
        </w:rPr>
        <w:t>本报告期内，本基金存在连续二十个工作日基金资产净值低于五千万且基金份额持有人数量不满二百人的情形。基金管理人已向中国证监会报告此情形并将采取适当措施。</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firstRow="1" w:lastRow="0" w:firstColumn="1" w:lastColumn="0" w:noHBand="0" w:noVBand="1"/>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979,810.65</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32.15</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979,810.65</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32.15</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
            </w:r>
            <w:r w:rsidRPr="00D32161">
              <w:rPr>
                <w:rFonts w:eastAsiaTheme="minorEastAsia"/>
                <w:color w:val="000000"/>
                <w:sz w:val="24"/>
              </w:rPr>
              <w:lastRenderedPageBreak/>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lastRenderedPageBreak/>
              <w:t/>
            </w:r>
            <w:r w:rsidRPr="00D32161">
              <w:rPr>
                <w:rFonts w:eastAsiaTheme="minorEastAsia"/>
                <w:color w:val="000000"/>
                <w:sz w:val="24"/>
              </w:rPr>
              <w:lastRenderedPageBreak/>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w:t>
            </w:r>
            <w:r w:rsidRPr="00D32161">
              <w:rPr>
                <w:rFonts w:eastAsiaTheme="minorEastAsia"/>
                <w:color w:val="000000"/>
                <w:sz w:val="24"/>
              </w:rPr>
              <w:lastRenderedPageBreak/>
              <w:t>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lastRenderedPageBreak/>
              <w:t/>
            </w:r>
            <w:r w:rsidRPr="00D32161">
              <w:rPr>
                <w:rFonts w:eastAsiaTheme="minorEastAsia"/>
                <w:color w:val="000000"/>
                <w:sz w:val="24"/>
              </w:rPr>
              <w:lastRenderedPageBreak/>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lastRenderedPageBreak/>
              <w:t/>
            </w:r>
            <w:r w:rsidRPr="00D32161">
              <w:rPr>
                <w:rFonts w:eastAsiaTheme="minorEastAsia"/>
                <w:color w:val="000000"/>
                <w:sz w:val="24"/>
              </w:rPr>
              <w:lastRenderedPageBreak/>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lastRenderedPageBreak/>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1,997,702.95</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65.55</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69,962.05</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2.30</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3,047,475.65</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9552FC">
      <w:pPr>
        <w:autoSpaceDE w:val="0"/>
        <w:autoSpaceDN w:val="0"/>
        <w:adjustRightInd w:val="0"/>
        <w:spacing w:beforeLines="100" w:before="312"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Pr>
          <w:b/>
        </w:rPr>
        <w:t xml:space="preserve"> </w:t>
      </w: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5F458B" w:rsidRPr="00B75DF8" w:rsidTr="00BA7E30">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t>代码</w:t>
            </w:r>
            <w:r w:rsidR="00FA0527" w:rsidRPr="00D32161">
              <w:rPr>
                <w:rFonts w:eastAsiaTheme="minorEastAsia"/>
                <w:sz w:val="24"/>
              </w:rPr>
              <w:lastRenderedPageBreak/>
              <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lastRenderedPageBreak/>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t>占基金资产净</w:t>
            </w:r>
            <w:r w:rsidRPr="00D32161">
              <w:rPr>
                <w:rFonts w:eastAsiaTheme="minorEastAsia"/>
                <w:sz w:val="24"/>
              </w:rPr>
              <w:lastRenderedPageBreak/>
              <w:t>值比例（％）</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autoSpaceDE w:val="0"/>
              <w:autoSpaceDN w:val="0"/>
              <w:adjustRightInd w:val="0"/>
              <w:spacing w:before="29" w:line="360" w:lineRule="auto"/>
              <w:ind w:left="15"/>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utoSpaceDE w:val="0"/>
              <w:autoSpaceDN w:val="0"/>
              <w:adjustRightInd w:val="0"/>
              <w:spacing w:before="29" w:line="360" w:lineRule="auto"/>
              <w:ind w:left="15"/>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p w:rsidR="005F458B" w:rsidRPr="00D32161" w:rsidRDefault="005F458B" w:rsidP="003F7026">
            <w:pPr>
              <w:jc w:val="right"/>
              <w:rPr>
                <w:rFonts w:eastAsiaTheme="minorEastAsia"/>
                <w:sz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p w:rsidR="005F458B" w:rsidRPr="00D32161" w:rsidRDefault="005F458B" w:rsidP="003F7026">
            <w:pPr>
              <w:jc w:val="right"/>
              <w:rPr>
                <w:rFonts w:eastAsiaTheme="minorEastAsia"/>
                <w:sz w:val="24"/>
              </w:rPr>
            </w:pP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979,810.65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32.17</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lastRenderedPageBreak/>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lastRenderedPageBreak/>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979,810.65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32.17</w:t>
            </w:r>
          </w:p>
        </w:tc>
      </w:tr>
    </w:tbl>
    <w:p w:rsidR="009552FC" w:rsidRPr="009552FC" w:rsidRDefault="009552FC" w:rsidP="009552FC">
      <w:pPr>
        <w:jc w:val="left"/>
        <w:rPr>
          <w:rFonts w:asciiTheme="minorEastAsia" w:eastAsiaTheme="minorEastAsia" w:hAnsiTheme="minorEastAsia"/>
          <w:sz w:val="24"/>
        </w:rPr>
      </w:pPr>
      <w:bookmarkStart w:id="0" w:name="_GoBack"/>
      <w:bookmarkEnd w:id="0"/>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0871DB" w:rsidRPr="00B75DF8" w:rsidTr="000871DB">
        <w:tc>
          <w:tcPr>
            <w:tcW w:w="817"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1276"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股票代码</w:t>
            </w:r>
          </w:p>
        </w:tc>
        <w:tc>
          <w:tcPr>
            <w:tcW w:w="1701"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股票名称</w:t>
            </w:r>
          </w:p>
        </w:tc>
        <w:tc>
          <w:tcPr>
            <w:tcW w:w="1276"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数量</w:t>
            </w:r>
            <w:r w:rsidRPr="00D32161">
              <w:rPr>
                <w:rFonts w:eastAsiaTheme="minorEastAsia"/>
                <w:color w:val="000000"/>
                <w:sz w:val="24"/>
              </w:rPr>
              <w:t>(</w:t>
            </w:r>
            <w:r w:rsidRPr="00D32161">
              <w:rPr>
                <w:rFonts w:eastAsiaTheme="minorEastAsia"/>
                <w:color w:val="000000"/>
                <w:sz w:val="24"/>
              </w:rPr>
              <w:t>股</w:t>
            </w:r>
            <w:r w:rsidRPr="00D32161">
              <w:rPr>
                <w:rFonts w:eastAsiaTheme="minorEastAsia"/>
                <w:color w:val="000000"/>
                <w:sz w:val="24"/>
              </w:rPr>
              <w:t>)</w:t>
            </w:r>
          </w:p>
        </w:tc>
        <w:tc>
          <w:tcPr>
            <w:tcW w:w="1842" w:type="dxa"/>
            <w:vAlign w:val="center"/>
          </w:tcPr>
          <w:p w:rsidR="000871DB" w:rsidRPr="00D32161" w:rsidRDefault="000871DB" w:rsidP="000871DB">
            <w:pPr>
              <w:autoSpaceDE w:val="0"/>
              <w:autoSpaceDN w:val="0"/>
              <w:adjustRightInd w:val="0"/>
              <w:spacing w:before="29" w:line="360" w:lineRule="auto"/>
              <w:ind w:left="17"/>
              <w:jc w:val="center"/>
              <w:rPr>
                <w:rFonts w:eastAsiaTheme="minorEastAsia"/>
                <w:color w:val="000000"/>
                <w:sz w:val="24"/>
              </w:rPr>
            </w:pPr>
            <w:r w:rsidRPr="00D32161">
              <w:rPr>
                <w:rFonts w:eastAsiaTheme="minorEastAsia"/>
                <w:color w:val="000000"/>
                <w:sz w:val="24"/>
              </w:rPr>
              <w:t>公允价值</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616"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占基金资产净值比例</w:t>
            </w:r>
            <w:r w:rsidRPr="00D32161">
              <w:rPr>
                <w:rFonts w:eastAsiaTheme="minorEastAsia"/>
                <w:color w:val="000000"/>
                <w:sz w:val="24"/>
              </w:rPr>
              <w:t>(</w:t>
            </w:r>
            <w:r w:rsidRPr="00D32161">
              <w:rPr>
                <w:rFonts w:eastAsiaTheme="minorEastAsia"/>
                <w:color w:val="000000"/>
                <w:sz w:val="24"/>
              </w:rPr>
              <w:t>％</w:t>
            </w:r>
            <w:r w:rsidRPr="00D32161">
              <w:rPr>
                <w:rFonts w:eastAsiaTheme="minorEastAsia"/>
                <w:color w:val="000000"/>
                <w:sz w:val="24"/>
              </w:rPr>
              <w:t>)</w:t>
            </w:r>
          </w:p>
        </w:tc>
      </w:tr>
      <w:tr>
        <w:tc>
          <w:tcPr>
            <w:vAlign w:val="center"/>
          </w:tcPr>
          <w:p>
            <w:pPr>
              <w:jc w:val="center"/>
            </w:pPr>
            <w:r>
              <w:rPr>
                <w:rFonts w:eastAsiaTheme="minorEastAsia"/>
                <w:color w:val="000000"/>
                <w:sz w:val="24"/>
              </w:rPr>
              <w:t>1</w:t>
            </w:r>
          </w:p>
        </w:tc>
        <w:tc>
          <w:tcPr>
            <w:vAlign w:val="center"/>
          </w:tcPr>
          <w:p>
            <w:pPr>
              <w:jc w:val="center"/>
            </w:pPr>
            <w:r>
              <w:rPr>
                <w:rFonts w:eastAsiaTheme="minorEastAsia"/>
                <w:color w:val="000000"/>
                <w:sz w:val="24"/>
              </w:rPr>
              <w:t>002859</w:t>
            </w:r>
          </w:p>
        </w:tc>
        <w:tc>
          <w:tcPr>
            <w:vAlign w:val="center"/>
          </w:tcPr>
          <w:p>
            <w:pPr>
              <w:jc w:val="center"/>
            </w:pPr>
            <w:r>
              <w:rPr>
                <w:rFonts w:eastAsiaTheme="minorEastAsia"/>
                <w:color w:val="000000"/>
                <w:sz w:val="24"/>
              </w:rPr>
              <w:t>洁美科技</w:t>
            </w:r>
          </w:p>
        </w:tc>
        <w:tc>
          <w:tcPr>
            <w:vAlign w:val="center"/>
          </w:tcPr>
          <w:p>
            <w:pPr>
              <w:jc w:val="right"/>
            </w:pPr>
            <w:r>
              <w:rPr>
                <w:rFonts w:eastAsiaTheme="minorEastAsia"/>
                <w:color w:val="000000"/>
                <w:sz w:val="24"/>
              </w:rPr>
              <w:t>16,665</w:t>
            </w:r>
          </w:p>
        </w:tc>
        <w:tc>
          <w:tcPr>
            <w:vAlign w:val="center"/>
          </w:tcPr>
          <w:p>
            <w:pPr>
              <w:jc w:val="right"/>
            </w:pPr>
            <w:r>
              <w:rPr>
                <w:rFonts w:eastAsiaTheme="minorEastAsia"/>
                <w:color w:val="000000"/>
                <w:sz w:val="24"/>
              </w:rPr>
              <w:t>628,770.45</w:t>
            </w:r>
          </w:p>
        </w:tc>
        <w:tc>
          <w:tcPr>
            <w:vAlign w:val="center"/>
          </w:tcPr>
          <w:p>
            <w:pPr>
              <w:jc w:val="right"/>
            </w:pPr>
            <w:r>
              <w:rPr>
                <w:rFonts w:eastAsiaTheme="minorEastAsia"/>
                <w:color w:val="000000"/>
                <w:sz w:val="24"/>
              </w:rPr>
              <w:t>20.64</w:t>
            </w:r>
          </w:p>
        </w:tc>
      </w:tr>
      <w:tr>
        <w:tc>
          <w:tcPr>
            <w:vAlign w:val="center"/>
          </w:tcPr>
          <w:p>
            <w:pPr>
              <w:jc w:val="center"/>
            </w:pPr>
            <w:r>
              <w:rPr>
                <w:rFonts w:eastAsiaTheme="minorEastAsia"/>
                <w:color w:val="000000"/>
                <w:sz w:val="24"/>
              </w:rPr>
              <w:t>2</w:t>
            </w:r>
          </w:p>
        </w:tc>
        <w:tc>
          <w:tcPr>
            <w:vAlign w:val="center"/>
          </w:tcPr>
          <w:p>
            <w:pPr>
              <w:jc w:val="center"/>
            </w:pPr>
            <w:r>
              <w:rPr>
                <w:rFonts w:eastAsiaTheme="minorEastAsia"/>
                <w:color w:val="000000"/>
                <w:sz w:val="24"/>
              </w:rPr>
              <w:t>002860</w:t>
            </w:r>
          </w:p>
        </w:tc>
        <w:tc>
          <w:tcPr>
            <w:vAlign w:val="center"/>
          </w:tcPr>
          <w:p>
            <w:pPr>
              <w:jc w:val="center"/>
            </w:pPr>
            <w:r>
              <w:rPr>
                <w:rFonts w:eastAsiaTheme="minorEastAsia"/>
                <w:color w:val="000000"/>
                <w:sz w:val="24"/>
              </w:rPr>
              <w:t>星帅尔</w:t>
            </w:r>
          </w:p>
        </w:tc>
        <w:tc>
          <w:tcPr>
            <w:vAlign w:val="center"/>
          </w:tcPr>
          <w:p>
            <w:pPr>
              <w:jc w:val="right"/>
            </w:pPr>
            <w:r>
              <w:rPr>
                <w:rFonts w:eastAsiaTheme="minorEastAsia"/>
                <w:color w:val="000000"/>
                <w:sz w:val="24"/>
              </w:rPr>
              <w:t>7,980</w:t>
            </w:r>
          </w:p>
        </w:tc>
        <w:tc>
          <w:tcPr>
            <w:vAlign w:val="center"/>
          </w:tcPr>
          <w:p>
            <w:pPr>
              <w:jc w:val="right"/>
            </w:pPr>
            <w:r>
              <w:rPr>
                <w:rFonts w:eastAsiaTheme="minorEastAsia"/>
                <w:color w:val="000000"/>
                <w:sz w:val="24"/>
              </w:rPr>
              <w:t>351,040.20</w:t>
            </w:r>
          </w:p>
        </w:tc>
        <w:tc>
          <w:tcPr>
            <w:vAlign w:val="center"/>
          </w:tcPr>
          <w:p>
            <w:pPr>
              <w:jc w:val="right"/>
            </w:pPr>
            <w:r>
              <w:rPr>
                <w:rFonts w:eastAsiaTheme="minorEastAsia"/>
                <w:color w:val="000000"/>
                <w:sz w:val="24"/>
              </w:rPr>
              <w:t>11.52</w:t>
            </w:r>
          </w:p>
        </w:tc>
      </w:tr>
    </w:tbl>
    <w:p w:rsidR="00B76AA9" w:rsidRPr="00B76AA9" w:rsidRDefault="009238DB" w:rsidP="00B76AA9">
      <w:pPr>
        <w:autoSpaceDE w:val="0"/>
        <w:autoSpaceDN w:val="0"/>
        <w:adjustRightInd w:val="0"/>
        <w:spacing w:beforeLines="100" w:before="312"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lastRenderedPageBreak/>
        <w:t>本基金本报告期末未持有贵金属。</w:t>
      </w:r>
    </w:p>
    <w:p w:rsidR="009238DB" w:rsidRPr="00B75DF8" w:rsidRDefault="006D462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
      </w:r>
      <w:r w:rsidR="001D5CD0"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
      </w:r>
      <w:r w:rsidR="001D5CD0"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00407F66" w:rsidRPr="00264591">
        <w:rPr>
          <w:rFonts w:eastAsiaTheme="minorEastAsia"/>
          <w:color w:val="000000"/>
          <w:sz w:val="24"/>
        </w:rPr>
        <w:t/>
      </w: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pPr>
        <w:spacing w:line="360" w:lineRule="auto"/>
        <w:ind w:firstLineChars="200" w:firstLine="480"/>
        <w:rPr>
          <w:rFonts w:eastAsiaTheme="minorEastAsia"/>
          <w:color w:val="000000"/>
          <w:sz w:val="24"/>
        </w:rPr>
      </w:pPr>
      <w:r>
        <w:rPr>
          <w:rFonts w:eastAsiaTheme="minorEastAsia" w:hint="eastAsia"/>
          <w:color w:val="000000"/>
          <w:sz w:val="24"/>
        </w:rPr>
        <w:t>（1）本基金本报告期末未持有股指期货。</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（2）本基金本报告期内未进行股指期货交易。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pPr>
        <w:spacing w:line="360" w:lineRule="auto"/>
        <w:ind w:firstLineChars="200" w:firstLine="480"/>
        <w:rPr>
          <w:rFonts w:eastAsiaTheme="minorEastAsia"/>
          <w:color w:val="000000"/>
          <w:sz w:val="24"/>
        </w:rPr>
      </w:pPr>
      <w:r>
        <w:rPr>
          <w:rFonts w:eastAsiaTheme="minorEastAsia"/>
          <w:color w:val="000000"/>
          <w:sz w:val="24"/>
        </w:rPr>
        <w:t>（1）本基金本报告期末未持有国债期货。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（2）本基金本报告期内未进行国债期货交易。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firstRow="1" w:lastRow="0" w:firstColumn="1" w:lastColumn="0" w:noHBand="0" w:noVBand="1"/>
      </w:tblPr>
      <w:tblGrid>
        <w:gridCol w:w="1235"/>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69,580.42</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lastRenderedPageBreak/>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381.63</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69,962.05</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tbl>
      <w:tblPr>
        <w:tblStyle w:val="af2"/>
        <w:tblW w:w="0" w:type="auto"/>
        <w:tblInd w:w="15" w:type="dxa"/>
        <w:tblLayout w:type="fixed"/>
        <w:tblLook w:val="04A0" w:firstRow="1" w:lastRow="0" w:firstColumn="1" w:lastColumn="0" w:noHBand="0" w:noVBand="1"/>
      </w:tblPr>
      <w:tblGrid>
        <w:gridCol w:w="1083"/>
        <w:gridCol w:w="1302"/>
        <w:gridCol w:w="1301"/>
        <w:gridCol w:w="1805"/>
        <w:gridCol w:w="1655"/>
        <w:gridCol w:w="1367"/>
      </w:tblGrid>
      <w:tr w:rsidR="001D5CD0" w:rsidRPr="00B75DF8" w:rsidTr="00F22F9F">
        <w:tc>
          <w:tcPr>
            <w:tcW w:w="1083"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序号</w:t>
            </w:r>
          </w:p>
        </w:tc>
        <w:tc>
          <w:tcPr>
            <w:tcW w:w="1302"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股票代码</w:t>
            </w:r>
          </w:p>
        </w:tc>
        <w:tc>
          <w:tcPr>
            <w:tcW w:w="1301"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股票名称</w:t>
            </w:r>
          </w:p>
        </w:tc>
        <w:tc>
          <w:tcPr>
            <w:tcW w:w="1805"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流通受限部分的公允价值</w:t>
            </w:r>
            <w:r w:rsidRPr="008B4ABA">
              <w:rPr>
                <w:rFonts w:eastAsiaTheme="minorEastAsia"/>
                <w:color w:val="000000"/>
                <w:sz w:val="24"/>
              </w:rPr>
              <w:t>(</w:t>
            </w:r>
            <w:r w:rsidRPr="008B4ABA">
              <w:rPr>
                <w:rFonts w:eastAsiaTheme="minorEastAsia"/>
                <w:color w:val="000000"/>
                <w:sz w:val="24"/>
              </w:rPr>
              <w:t>元</w:t>
            </w:r>
            <w:r w:rsidRPr="008B4ABA">
              <w:rPr>
                <w:rFonts w:eastAsiaTheme="minorEastAsia"/>
                <w:color w:val="000000"/>
                <w:sz w:val="24"/>
              </w:rPr>
              <w:t>)</w:t>
            </w:r>
          </w:p>
        </w:tc>
        <w:tc>
          <w:tcPr>
            <w:tcW w:w="1655"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占基金资产净值比例</w:t>
            </w:r>
            <w:r w:rsidRPr="008B4ABA">
              <w:rPr>
                <w:rFonts w:eastAsiaTheme="minorEastAsia"/>
                <w:color w:val="000000"/>
                <w:sz w:val="24"/>
              </w:rPr>
              <w:t>(%)</w:t>
            </w:r>
          </w:p>
        </w:tc>
        <w:tc>
          <w:tcPr>
            <w:tcW w:w="1367"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流通受限情况说明</w:t>
            </w:r>
          </w:p>
        </w:tc>
      </w:tr>
      <w:tr>
        <w:tc>
          <w:tcPr>
            <w:vAlign w:val="center"/>
          </w:tcPr>
          <w:p>
            <w:pPr>
              <w:jc w:val="center"/>
            </w:pPr>
            <w:r>
              <w:rPr>
                <w:rFonts w:eastAsiaTheme="minorEastAsia"/>
                <w:color w:val="000000"/>
                <w:sz w:val="24"/>
              </w:rPr>
              <w:t>1</w:t>
            </w:r>
          </w:p>
        </w:tc>
        <w:tc>
          <w:tcPr>
            <w:vAlign w:val="center"/>
          </w:tcPr>
          <w:p>
            <w:pPr>
              <w:jc w:val="center"/>
            </w:pPr>
            <w:r>
              <w:rPr>
                <w:rFonts w:eastAsiaTheme="minorEastAsia"/>
                <w:color w:val="000000"/>
                <w:sz w:val="24"/>
              </w:rPr>
              <w:t>002859</w:t>
            </w:r>
          </w:p>
        </w:tc>
        <w:tc>
          <w:tcPr>
            <w:vAlign w:val="center"/>
          </w:tcPr>
          <w:p>
            <w:pPr>
              <w:jc w:val="center"/>
            </w:pPr>
            <w:r>
              <w:rPr>
                <w:rFonts w:eastAsiaTheme="minorEastAsia"/>
                <w:color w:val="000000"/>
                <w:sz w:val="24"/>
              </w:rPr>
              <w:t>洁美科技</w:t>
            </w:r>
          </w:p>
        </w:tc>
        <w:tc>
          <w:tcPr>
            <w:vAlign w:val="center"/>
          </w:tcPr>
          <w:p>
            <w:pPr>
              <w:jc w:val="right"/>
            </w:pPr>
            <w:r>
              <w:rPr>
                <w:rFonts w:eastAsiaTheme="minorEastAsia"/>
                <w:color w:val="000000"/>
                <w:sz w:val="24"/>
              </w:rPr>
              <w:t>628,770.45</w:t>
            </w:r>
          </w:p>
        </w:tc>
        <w:tc>
          <w:tcPr>
            <w:vAlign w:val="center"/>
          </w:tcPr>
          <w:p>
            <w:pPr>
              <w:jc w:val="right"/>
            </w:pPr>
            <w:r>
              <w:rPr>
                <w:rFonts w:eastAsiaTheme="minorEastAsia"/>
                <w:color w:val="000000"/>
                <w:sz w:val="24"/>
              </w:rPr>
              <w:t>20.64</w:t>
            </w:r>
          </w:p>
        </w:tc>
        <w:tc>
          <w:tcPr>
            <w:vAlign w:val="center"/>
          </w:tcPr>
          <w:p>
            <w:pPr>
              <w:jc w:val="right"/>
            </w:pPr>
            <w:r>
              <w:rPr>
                <w:rFonts w:eastAsiaTheme="minorEastAsia"/>
                <w:color w:val="000000"/>
                <w:sz w:val="24"/>
              </w:rPr>
              <w:t>新股流通受限</w:t>
            </w:r>
          </w:p>
        </w:tc>
      </w:tr>
      <w:tr>
        <w:tc>
          <w:tcPr>
            <w:vAlign w:val="center"/>
          </w:tcPr>
          <w:p>
            <w:pPr>
              <w:jc w:val="center"/>
            </w:pPr>
            <w:r>
              <w:rPr>
                <w:rFonts w:eastAsiaTheme="minorEastAsia"/>
                <w:color w:val="000000"/>
                <w:sz w:val="24"/>
              </w:rPr>
              <w:t>2</w:t>
            </w:r>
          </w:p>
        </w:tc>
        <w:tc>
          <w:tcPr>
            <w:vAlign w:val="center"/>
          </w:tcPr>
          <w:p>
            <w:pPr>
              <w:jc w:val="center"/>
            </w:pPr>
            <w:r>
              <w:rPr>
                <w:rFonts w:eastAsiaTheme="minorEastAsia"/>
                <w:color w:val="000000"/>
                <w:sz w:val="24"/>
              </w:rPr>
              <w:t>002860</w:t>
            </w:r>
          </w:p>
        </w:tc>
        <w:tc>
          <w:tcPr>
            <w:vAlign w:val="center"/>
          </w:tcPr>
          <w:p>
            <w:pPr>
              <w:jc w:val="center"/>
            </w:pPr>
            <w:r>
              <w:rPr>
                <w:rFonts w:eastAsiaTheme="minorEastAsia"/>
                <w:color w:val="000000"/>
                <w:sz w:val="24"/>
              </w:rPr>
              <w:t>星帅尔</w:t>
            </w:r>
          </w:p>
        </w:tc>
        <w:tc>
          <w:tcPr>
            <w:vAlign w:val="center"/>
          </w:tcPr>
          <w:p>
            <w:pPr>
              <w:jc w:val="right"/>
            </w:pPr>
            <w:r>
              <w:rPr>
                <w:rFonts w:eastAsiaTheme="minorEastAsia"/>
                <w:color w:val="000000"/>
                <w:sz w:val="24"/>
              </w:rPr>
              <w:t>351,040.20</w:t>
            </w:r>
          </w:p>
        </w:tc>
        <w:tc>
          <w:tcPr>
            <w:vAlign w:val="center"/>
          </w:tcPr>
          <w:p>
            <w:pPr>
              <w:jc w:val="right"/>
            </w:pPr>
            <w:r>
              <w:rPr>
                <w:rFonts w:eastAsiaTheme="minorEastAsia"/>
                <w:color w:val="000000"/>
                <w:sz w:val="24"/>
              </w:rPr>
              <w:t>11.52</w:t>
            </w:r>
          </w:p>
        </w:tc>
        <w:tc>
          <w:tcPr>
            <w:vAlign w:val="center"/>
          </w:tcPr>
          <w:p>
            <w:pPr>
              <w:jc w:val="right"/>
            </w:pPr>
            <w:r>
              <w:rPr>
                <w:rFonts w:eastAsiaTheme="minorEastAsia"/>
                <w:color w:val="000000"/>
                <w:sz w:val="24"/>
              </w:rPr>
              <w:t>新股流通受限</w:t>
            </w:r>
          </w:p>
        </w:tc>
      </w:tr>
    </w:tbl>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r w:rsidR="00BA0425" w:rsidRPr="008B4ABA">
              <w:rPr>
                <w:color w:val="000000"/>
                <w:kern w:val="0"/>
                <w:sz w:val="24"/>
              </w:rPr>
              <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kern w:val="0"/>
                <w:sz w:val="24"/>
              </w:rPr>
              <w:t/>
            </w:r>
            <w:r w:rsidRPr="008B4ABA">
              <w:rPr>
                <w:rFonts w:eastAsiaTheme="minorEastAsia"/>
                <w:sz w:val="24"/>
              </w:rPr>
              <w:t/>
            </w:r>
            <w:r w:rsidR="0042785F" w:rsidRPr="008B4ABA">
              <w:rPr>
                <w:rFonts w:eastAsiaTheme="minorEastAsia"/>
                <w:sz w:val="24"/>
              </w:rPr>
              <w:t>广发鑫富混合A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kern w:val="0"/>
                <w:sz w:val="24"/>
              </w:rPr>
              <w:t/>
            </w:r>
            <w:r w:rsidRPr="008B4ABA">
              <w:rPr>
                <w:rFonts w:eastAsiaTheme="minorEastAsia"/>
                <w:sz w:val="24"/>
              </w:rPr>
              <w:t/>
            </w:r>
            <w:r w:rsidR="004D614E" w:rsidRPr="008B4ABA">
              <w:rPr>
                <w:rFonts w:eastAsiaTheme="minorEastAsia"/>
                <w:sz w:val="24"/>
              </w:rPr>
              <w:t/>
            </w:r>
            <w:r w:rsidR="0042785F" w:rsidRPr="008B4ABA">
              <w:rPr>
                <w:rFonts w:eastAsiaTheme="minorEastAsia"/>
                <w:sz w:val="24"/>
              </w:rPr>
              <w:t>广发鑫富混合C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B011B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936D40" w:rsidRPr="008B4ABA">
              <w:rPr>
                <w:rFonts w:eastAsiaTheme="minorEastAsia"/>
                <w:color w:val="000000"/>
                <w:sz w:val="24"/>
              </w:rPr>
              <w:t/>
            </w:r>
            <w:r w:rsidR="0042785F" w:rsidRPr="008B4ABA">
              <w:rPr>
                <w:rFonts w:eastAsiaTheme="minorEastAsia"/>
                <w:color w:val="000000"/>
                <w:sz w:val="24"/>
              </w:rPr>
              <w:t>8,741,977.43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B011B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936D40" w:rsidRPr="008B4ABA">
              <w:rPr>
                <w:rFonts w:eastAsiaTheme="minorEastAsia"/>
                <w:color w:val="000000"/>
                <w:sz w:val="24"/>
              </w:rPr>
              <w:t/>
            </w:r>
            <w:r w:rsidR="00EA1D33" w:rsidRPr="008B4ABA">
              <w:rPr>
                <w:rFonts w:eastAsiaTheme="minorEastAsia"/>
                <w:color w:val="000000"/>
                <w:sz w:val="24"/>
              </w:rPr>
              <w:t/>
            </w:r>
            <w:r w:rsidR="0042785F" w:rsidRPr="008B4ABA">
              <w:rPr>
                <w:rFonts w:eastAsiaTheme="minorEastAsia"/>
                <w:color w:val="000000"/>
                <w:sz w:val="24"/>
              </w:rPr>
              <w:t>1,020.00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6,200,109.89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40.00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2,541,867.54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980.00</w:t>
            </w:r>
          </w:p>
        </w:tc>
      </w:tr>
    </w:tbl>
    <w:p w:rsidR="00935FB1" w:rsidRPr="00B75DF8" w:rsidRDefault="00935FB1" w:rsidP="00916E71">
      <w:pPr>
        <w:pStyle w:val="1"/>
        <w:tabs>
          <w:tab w:val="center" w:pos="4156"/>
          <w:tab w:val="right" w:pos="8312"/>
        </w:tabs>
        <w:spacing w:beforeLines="100" w:before="312" w:afterLines="100" w:after="312" w:line="360" w:lineRule="auto"/>
        <w:jc w:val="center"/>
        <w:rPr>
          <w:rFonts w:ascii="方正仿宋简体"/>
          <w:sz w:val="24"/>
          <w:szCs w:val="24"/>
        </w:rPr>
      </w:pPr>
      <w:r w:rsidRPr="00B75DF8">
        <w:rPr>
          <w:rFonts w:asciiTheme="minorEastAsia" w:eastAsiaTheme="minorEastAsia" w:hAnsiTheme="minorEastAsia" w:hint="eastAsia"/>
          <w:color w:val="000000"/>
          <w:kern w:val="0"/>
          <w:sz w:val="24"/>
          <w:szCs w:val="24"/>
        </w:rPr>
        <w:t/>
      </w: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B75DF8" w:rsidRDefault="00935FB1" w:rsidP="00935FB1">
      <w:pPr>
        <w:spacing w:line="360" w:lineRule="auto"/>
        <w:jc w:val="left"/>
        <w:rPr>
          <w:sz w:val="24"/>
        </w:rPr>
      </w:pPr>
      <w:r w:rsidRPr="00B75DF8">
        <w:rPr>
          <w:b/>
          <w:sz w:val="24"/>
        </w:rPr>
        <w:t/>
      </w:r>
      <w:r w:rsidRPr="00B75DF8">
        <w:rPr>
          <w:rFonts w:hint="eastAsia"/>
          <w:b/>
          <w:sz w:val="24"/>
        </w:rPr>
        <w:t>7</w:t>
      </w:r>
      <w:r w:rsidRPr="00B75DF8">
        <w:rPr>
          <w:b/>
          <w:sz w:val="24"/>
        </w:rPr>
        <w:t>.</w:t>
      </w:r>
      <w:r w:rsidRPr="00B75DF8">
        <w:rPr>
          <w:rFonts w:hint="eastAsia"/>
          <w:b/>
          <w:sz w:val="24"/>
        </w:rPr>
        <w:t xml:space="preserve">1 </w:t>
      </w:r>
      <w:r w:rsidRPr="00B75DF8">
        <w:rPr>
          <w:rFonts w:hint="eastAsia"/>
          <w:b/>
          <w:sz w:val="24"/>
        </w:rPr>
        <w:t>基</w:t>
      </w:r>
      <w:r w:rsidRPr="00B75DF8">
        <w:rPr>
          <w:b/>
          <w:sz w:val="24"/>
        </w:rPr>
        <w:t>金管理人运用固有资金投资本基金交易明细</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本报告期内，基金管理人不存在运用固有资金（认）申购、赎回或买卖本基金的情况。</w:t>
      </w:r>
    </w:p>
    <w:p w:rsidR="009E31C4" w:rsidRPr="009E31C4" w:rsidRDefault="009E31C4" w:rsidP="009E31C4">
      <w:pPr>
        <w:pStyle w:val="1"/>
        <w:spacing w:beforeLines="100" w:before="312" w:afterLines="100" w:after="312"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color w:val="000000" w:themeColor="text1"/>
          <w:kern w:val="0"/>
          <w:sz w:val="24"/>
        </w:rPr>
        <w:t/>
      </w:r>
      <w:r w:rsidRPr="009E31C4">
        <w:rPr>
          <w:rFonts w:eastAsiaTheme="minorEastAsia"/>
          <w:b/>
          <w:bCs/>
          <w:color w:val="000000" w:themeColor="text1"/>
          <w:kern w:val="0"/>
          <w:sz w:val="24"/>
        </w:rPr>
        <w:t>8.</w:t>
      </w:r>
      <w:r w:rsidRPr="009E31C4">
        <w:rPr>
          <w:rFonts w:eastAsiaTheme="minorEastAsia" w:hint="eastAsia"/>
          <w:b/>
          <w:bCs/>
          <w:color w:val="000000" w:themeColor="text1"/>
          <w:kern w:val="0"/>
          <w:sz w:val="24"/>
        </w:rPr>
        <w:t xml:space="preserve">1 </w:t>
      </w:r>
      <w:r w:rsidRPr="009E31C4">
        <w:rPr>
          <w:rFonts w:eastAsiaTheme="minorEastAsia" w:hint="eastAsia"/>
          <w:b/>
          <w:bCs/>
          <w:color w:val="000000" w:themeColor="text1"/>
          <w:kern w:val="0"/>
          <w:sz w:val="24"/>
        </w:rPr>
        <w:t>报告期内单一投资者持有基金份额比例达到或超过</w:t>
      </w:r>
      <w:r w:rsidRPr="009E31C4">
        <w:rPr>
          <w:rFonts w:eastAsiaTheme="minorEastAsia" w:hint="eastAsia"/>
          <w:b/>
          <w:bCs/>
          <w:color w:val="000000" w:themeColor="text1"/>
          <w:kern w:val="0"/>
          <w:sz w:val="24"/>
        </w:rPr>
        <w:t>20%</w:t>
      </w:r>
      <w:r w:rsidRPr="009E31C4">
        <w:rPr>
          <w:rFonts w:eastAsiaTheme="minorEastAsia" w:hint="eastAsia"/>
          <w:b/>
          <w:bCs/>
          <w:color w:val="000000" w:themeColor="text1"/>
          <w:kern w:val="0"/>
          <w:sz w:val="24"/>
        </w:rPr>
        <w:t>的情况</w:t>
      </w:r>
    </w:p>
    <w:tbl>
      <w:tblPr>
        <w:tblStyle w:val="af2"/>
        <w:tblW w:w="9212" w:type="dxa"/>
        <w:tblInd w:w="-176" w:type="dxa"/>
        <w:tblLayout w:type="fixed"/>
        <w:tblLook w:val="04A0" w:firstRow="1" w:lastRow="0" w:firstColumn="1" w:lastColumn="0" w:noHBand="0" w:noVBand="1"/>
      </w:tblPr>
      <w:tblGrid>
        <w:gridCol w:w="993"/>
        <w:gridCol w:w="992"/>
        <w:gridCol w:w="1843"/>
        <w:gridCol w:w="851"/>
        <w:gridCol w:w="850"/>
        <w:gridCol w:w="1134"/>
        <w:gridCol w:w="1419"/>
        <w:gridCol w:w="1130"/>
      </w:tblGrid>
      <w:tr w:rsidR="009E31C4" w:rsidRPr="009E31C4" w:rsidTr="00530D34">
        <w:tc>
          <w:tcPr>
            <w:tcW w:w="993" w:type="dxa"/>
            <w:vMerge w:val="restart"/>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Theme="minorEastAsia" w:eastAsiaTheme="minorEastAsia" w:hAnsiTheme="minorEastAsia" w:hint="eastAsia"/>
                <w:color w:val="000000"/>
                <w:sz w:val="24"/>
              </w:rPr>
              <w:t>投资者类别</w:t>
            </w:r>
            <w:r w:rsidRPr="009E31C4">
              <w:rPr>
                <w:color w:val="000000" w:themeColor="text1"/>
                <w:sz w:val="24"/>
              </w:rPr>
              <w:t/>
            </w:r>
            <w:r w:rsidRPr="009E31C4">
              <w:rPr>
                <w:rFonts w:ascii="宋体" w:hAnsi="宋体"/>
                <w:color w:val="000000" w:themeColor="text1"/>
                <w:sz w:val="24"/>
              </w:rPr>
              <w:t xml:space="preserve">  </w:t>
            </w:r>
          </w:p>
        </w:tc>
        <w:tc>
          <w:tcPr>
            <w:tcW w:w="5670" w:type="dxa"/>
            <w:gridSpan w:val="5"/>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报告期内持有基金份额变化情况</w:t>
            </w:r>
          </w:p>
        </w:tc>
        <w:tc>
          <w:tcPr>
            <w:tcW w:w="2549" w:type="dxa"/>
            <w:gridSpan w:val="2"/>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报告期末持有基金情况</w:t>
            </w:r>
          </w:p>
        </w:tc>
      </w:tr>
      <w:tr w:rsidR="009E31C4" w:rsidRPr="009E31C4" w:rsidTr="00530D34">
        <w:tc>
          <w:tcPr>
            <w:tcW w:w="993" w:type="dxa"/>
            <w:vMerge/>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p>
        </w:tc>
        <w:tc>
          <w:tcPr>
            <w:tcW w:w="992" w:type="dxa"/>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宋体" w:hAnsi="宋体" w:hint="eastAsia"/>
                <w:color w:val="000000"/>
                <w:sz w:val="24"/>
              </w:rPr>
              <w:t>序号</w:t>
            </w:r>
          </w:p>
        </w:tc>
        <w:tc>
          <w:tcPr>
            <w:tcW w:w="1843"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持有基金份额比例达到或者超过20%的时间区间</w:t>
            </w:r>
          </w:p>
        </w:tc>
        <w:tc>
          <w:tcPr>
            <w:tcW w:w="851"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期初份额</w:t>
            </w:r>
          </w:p>
        </w:tc>
        <w:tc>
          <w:tcPr>
            <w:tcW w:w="850"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申购份额</w:t>
            </w:r>
          </w:p>
        </w:tc>
        <w:tc>
          <w:tcPr>
            <w:tcW w:w="1134"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赎回份额</w:t>
            </w:r>
          </w:p>
        </w:tc>
        <w:tc>
          <w:tcPr>
            <w:tcW w:w="1419"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持有份额</w:t>
            </w:r>
          </w:p>
        </w:tc>
        <w:tc>
          <w:tcPr>
            <w:tcW w:w="1130"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份额占比</w:t>
            </w:r>
          </w:p>
        </w:tc>
      </w:tr>
      <w:tr>
        <w:tc>
          <w:tcPr>
            <w:vMerge w:val="restart"/>
          </w:tcPr>
          <w:p/>
          <w:p>
            <w:r>
              <w:rPr>
                <w:rFonts w:eastAsiaTheme="minorEastAsia" w:hint="eastAsia"/>
                <w:bCs/>
                <w:color w:val="000000" w:themeColor="text1"/>
                <w:sz w:val="24"/>
              </w:rPr>
              <w:t>机构</w:t>
            </w:r>
          </w:p>
        </w:tc>
        <w:tc>
          <w:tcPr>
            <w:vAlign w:val="center"/>
          </w:tcPr>
          <w:p>
            <w:pPr>
              <w:jc w:val="center"/>
            </w:pPr>
            <w:r>
              <w:rPr>
                <w:color w:val="000000"/>
                <w:sz w:val="24"/>
              </w:rPr>
              <w:t>1</w:t>
            </w:r>
          </w:p>
        </w:tc>
        <w:tc>
          <w:tcPr>
            <w:vAlign w:val="center"/>
          </w:tcPr>
          <w:p>
            <w:pPr>
              <w:jc w:val="center"/>
            </w:pPr>
            <w:r>
              <w:rPr>
                <w:color w:val="000000"/>
                <w:sz w:val="24"/>
              </w:rPr>
              <w:t>20170701-20170823</w:t>
            </w:r>
          </w:p>
        </w:tc>
        <w:tc>
          <w:tcPr>
            <w:vAlign w:val="center"/>
          </w:tcPr>
          <w:p>
            <w:pPr>
              <w:jc w:val="center"/>
            </w:pPr>
            <w:r>
              <w:rPr>
                <w:color w:val="000000"/>
                <w:sz w:val="24"/>
              </w:rPr>
              <w:t>8,740,908.50</w:t>
            </w:r>
          </w:p>
        </w:tc>
        <w:tc>
          <w:tcPr>
            <w:vAlign w:val="center"/>
          </w:tcPr>
          <w:p>
            <w:pPr>
              <w:jc w:val="center"/>
            </w:pPr>
            <w:r>
              <w:rPr>
                <w:color w:val="000000"/>
                <w:sz w:val="24"/>
              </w:rPr>
              <w:t>0.00</w:t>
            </w:r>
          </w:p>
        </w:tc>
        <w:tc>
          <w:tcPr>
            <w:vAlign w:val="center"/>
          </w:tcPr>
          <w:p>
            <w:pPr>
              <w:jc w:val="center"/>
            </w:pPr>
            <w:r>
              <w:rPr>
                <w:color w:val="000000"/>
                <w:sz w:val="24"/>
              </w:rPr>
              <w:t>6,200,000.00</w:t>
            </w:r>
          </w:p>
        </w:tc>
        <w:tc>
          <w:tcPr>
            <w:vAlign w:val="center"/>
          </w:tcPr>
          <w:p>
            <w:pPr>
              <w:jc w:val="center"/>
            </w:pPr>
            <w:r>
              <w:rPr>
                <w:color w:val="000000"/>
                <w:sz w:val="24"/>
              </w:rPr>
              <w:t>2,540,908.50</w:t>
            </w:r>
          </w:p>
        </w:tc>
        <w:tc>
          <w:tcPr>
            <w:vAlign w:val="center"/>
          </w:tcPr>
          <w:p>
            <w:pPr>
              <w:jc w:val="center"/>
            </w:pPr>
            <w:r>
              <w:rPr>
                <w:color w:val="000000"/>
                <w:sz w:val="24"/>
              </w:rPr>
              <w:t>99.92%</w:t>
            </w:r>
          </w:p>
        </w:tc>
      </w:tr>
    </w:tbl>
    <w:tbl>
      <w:tblPr>
        <w:tblStyle w:val="af2"/>
        <w:tblW w:w="9212" w:type="dxa"/>
        <w:tblInd w:w="-176" w:type="dxa"/>
        <w:tblLayout w:type="fixed"/>
        <w:tblLook w:val="04A0" w:firstRow="1" w:lastRow="0" w:firstColumn="1" w:lastColumn="0" w:noHBand="0" w:noVBand="1"/>
      </w:tblPr>
      <w:tblGrid>
        <w:gridCol w:w="9212"/>
      </w:tblGrid>
      <w:tr w:rsidR="009E31C4" w:rsidRPr="009E31C4" w:rsidTr="00530D34">
        <w:tc>
          <w:tcPr>
            <w:tcW w:w="9212" w:type="dxa"/>
            <w:vAlign w:val="center"/>
          </w:tcPr>
          <w:p w:rsidR="009E31C4" w:rsidRPr="009E31C4" w:rsidRDefault="009E31C4" w:rsidP="00530D34">
            <w:pPr>
              <w:autoSpaceDE w:val="0"/>
              <w:autoSpaceDN w:val="0"/>
              <w:adjustRightInd w:val="0"/>
              <w:jc w:val="center"/>
              <w:rPr>
                <w:sz w:val="24"/>
              </w:rPr>
            </w:pPr>
            <w:r w:rsidRPr="009E31C4">
              <w:rPr>
                <w:color w:val="000000"/>
                <w:sz w:val="24"/>
              </w:rPr>
              <w:t>产品特有风险</w:t>
            </w:r>
            <w:r w:rsidRPr="009E31C4">
              <w:rPr>
                <w:sz w:val="24"/>
              </w:rPr>
              <w:t/>
            </w:r>
            <w:r w:rsidRPr="009E31C4">
              <w:rPr>
                <w:rFonts w:hint="eastAsia"/>
                <w:sz w:val="24"/>
              </w:rPr>
              <w:t/>
            </w:r>
            <w:r w:rsidRPr="009E31C4">
              <w:rPr>
                <w:sz w:val="24"/>
              </w:rPr>
              <w:t/>
            </w:r>
          </w:p>
        </w:tc>
      </w:tr>
      <w:tr w:rsidR="009E31C4" w:rsidRPr="009E31C4" w:rsidTr="00530D34">
        <w:tc>
          <w:tcPr>
            <w:tcW w:w="9212" w:type="dxa"/>
            <w:vAlign w:val="center"/>
          </w:tcPr>
          <w:p w:rsidR="009E31C4" w:rsidRPr="009E31C4" w:rsidRDefault="009E31C4" w:rsidP="00530D34">
            <w:pPr>
              <w:autoSpaceDE w:val="0"/>
              <w:autoSpaceDN w:val="0"/>
              <w:adjustRightInd w:val="0"/>
              <w:jc w:val="left"/>
              <w:rPr>
                <w:sz w:val="24"/>
              </w:rPr>
            </w:pPr>
            <w:r w:rsidRPr="009E31C4">
              <w:rPr>
                <w:rFonts w:hint="eastAsia"/>
                <w:sz w:val="24"/>
              </w:rPr>
              <w:t/>
            </w:r>
            <w:r w:rsidRPr="009E31C4">
              <w:rPr>
                <w:sz w:val="24"/>
              </w:rPr>
              <w:t/>
            </w:r>
            <w:r w:rsidRPr="009E31C4">
              <w:rPr>
                <w:rFonts w:hint="eastAsia"/>
                <w:sz w:val="24"/>
              </w:rPr>
              <w:t>报告期内，本基金存在单一投资者持有份额比例达到或超过20%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 5000 万元，基金还可能面临转换运作方式、与其他基金合并或者终止基金合同等情形。本基金管理人将对基金的大额申赎进行审慎评估并合理应对，完善流动性风险管控机制，切实保护持有人利益。</w:t>
            </w:r>
            <w:r w:rsidRPr="009E31C4">
              <w:rPr>
                <w:sz w:val="24"/>
              </w:rPr>
              <w:t/>
            </w:r>
          </w:p>
        </w:tc>
      </w:tr>
    </w:tbl>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color w:val="000000" w:themeColor="text1"/>
          <w:kern w:val="0"/>
          <w:sz w:val="24"/>
        </w:rPr>
        <w:t/>
      </w:r>
      <w:r w:rsidRPr="009E31C4">
        <w:rPr>
          <w:rFonts w:eastAsiaTheme="minorEastAsia" w:hint="eastAsia"/>
          <w:b/>
          <w:bCs/>
          <w:color w:val="000000" w:themeColor="text1"/>
          <w:kern w:val="0"/>
          <w:sz w:val="24"/>
        </w:rPr>
        <w:t xml:space="preserve">8.2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截至2017年8月18日，广发鑫富灵活配置混合型证券投资基金（以下简称“本基金”）已出现了连续60 个工作日基金资产净值低于5000 万元的基金合同终止事由，为维护基金份额持有人利益，根据基金合同约定，无需召开基金份额持有人大会，本基金管理人决定终止本基金合同并于2017年8月25日起进入基金财产清算程序。本基金的最后运作日为2017年8月24日，自2017年8月25日起终止办理申购、赎回、转换（转入和转出）等业务。投资者可以登陆广发基金管理有限公司网站（www.gffunds.com.cn）或拨打广发基金管理有限公司全国统一客户服务号码95105828（免长途话费）咨询相关情况。</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
      </w:r>
      <w:r w:rsidR="00D13A01" w:rsidRPr="00B75DF8">
        <w:rPr>
          <w:rFonts w:asciiTheme="minorEastAsia" w:eastAsiaTheme="minorEastAsia" w:hAnsiTheme="minorEastAsia" w:cs="Arial" w:hint="eastAsia"/>
          <w:color w:val="000000"/>
          <w:kern w:val="0"/>
          <w:sz w:val="24"/>
          <w:szCs w:val="24"/>
        </w:rPr>
        <w:t/>
      </w:r>
      <w:r w:rsidR="00A14399" w:rsidRPr="00B75DF8">
        <w:rPr>
          <w:rFonts w:asciiTheme="minorEastAsia" w:eastAsiaTheme="minorEastAsia" w:hAnsiTheme="minorEastAsia" w:cs="Arial" w:hint="eastAsia"/>
          <w:color w:val="000000"/>
          <w:kern w:val="0"/>
          <w:sz w:val="24"/>
          <w:szCs w:val="24"/>
        </w:rPr>
        <w:t>9</w:t>
      </w:r>
      <w:r w:rsidR="003F7026" w:rsidRPr="00B75DF8">
        <w:rPr>
          <w:rFonts w:asciiTheme="minorEastAsia" w:eastAsiaTheme="minorEastAsia" w:hAnsiTheme="minorEastAsia" w:cs="Arial" w:hint="eastAsia"/>
          <w:color w:val="000000"/>
          <w:kern w:val="0"/>
          <w:sz w:val="24"/>
          <w:szCs w:val="24"/>
        </w:rPr>
        <w:t xml:space="preserve"> </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
      </w:r>
      <w:r w:rsidR="00D13A01" w:rsidRPr="00B75DF8">
        <w:rPr>
          <w:rFonts w:asciiTheme="minorEastAsia" w:eastAsiaTheme="minorEastAsia" w:hAnsiTheme="minorEastAsia" w:hint="eastAsia"/>
          <w:b/>
          <w:bCs/>
          <w:color w:val="000000"/>
          <w:kern w:val="0"/>
          <w:sz w:val="24"/>
        </w:rPr>
        <w:t/>
      </w: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（一）中国证监会批准广发鑫富灵活配置混合型证券投资基金募集的文件</w:t>
      </w:r>
    </w:p>
    <w:p>
      <w:pPr>
        <w:spacing w:line="360" w:lineRule="auto"/>
        <w:ind w:firstLineChars="200" w:firstLine="480"/>
        <w:rPr>
          <w:rFonts w:eastAsiaTheme="minorEastAsia"/>
          <w:color w:val="000000"/>
          <w:sz w:val="24"/>
        </w:rPr>
      </w:pPr>
      <w:r>
        <w:rPr>
          <w:rFonts w:eastAsiaTheme="minorEastAsia" w:hint="eastAsia"/>
          <w:color w:val="000000"/>
          <w:sz w:val="24"/>
        </w:rPr>
        <w:t>（二）《广发鑫富灵活配置混合型证券投资基金基金合同》</w:t>
      </w:r>
    </w:p>
    <w:p>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pPr>
        <w:spacing w:line="360" w:lineRule="auto"/>
        <w:ind w:firstLineChars="200" w:firstLine="480"/>
        <w:rPr>
          <w:rFonts w:eastAsiaTheme="minorEastAsia"/>
          <w:color w:val="000000"/>
          <w:sz w:val="24"/>
        </w:rPr>
      </w:pPr>
      <w:r>
        <w:rPr>
          <w:rFonts w:eastAsiaTheme="minorEastAsia" w:hint="eastAsia"/>
          <w:color w:val="000000"/>
          <w:sz w:val="24"/>
        </w:rPr>
        <w:t>（四）《广发鑫富灵活配置混合型证券投资基金托管协议》</w:t>
      </w:r>
    </w:p>
    <w:p>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广州市海珠区琶洲大道东1号保利国际广场南塔31-33楼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lastRenderedPageBreak/>
        <w:t>9.3</w:t>
      </w:r>
      <w:r w:rsidR="00FB3C94" w:rsidRPr="00B75DF8">
        <w:rPr>
          <w:rFonts w:asciiTheme="minorEastAsia" w:eastAsiaTheme="minorEastAsia" w:hAnsiTheme="minorEastAsia" w:hint="eastAsia"/>
          <w:b/>
          <w:bCs/>
          <w:color w:val="000000"/>
          <w:kern w:val="0"/>
          <w:sz w:val="24"/>
        </w:rPr>
        <w:t>查阅方式</w:t>
      </w:r>
    </w:p>
    <w:p>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1.书面查阅：查阅时间为每工作日8:30-11:30，13:30-17:00。投资者可免费查阅，也可按工本费购买复印件；</w:t>
      </w:r>
    </w:p>
    <w:p>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2.网站查阅：基金管理人网址：http://www.gffunds.com.cn。</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投资者如对本报告有疑问，可咨询本基金管理人广发基金管理有限公司，咨询电话95105828或020-83936999，或发电子邮件：services@gf-funds.com.cn。</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二〇一七年十月二十七日</w:t>
      </w:r>
    </w:p>
    <w:sectPr w:rsidR="009238DB" w:rsidRPr="00B75DF8" w:rsidSect="00A8324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9A" w:rsidRDefault="00FB419A">
      <w:r>
        <w:separator/>
      </w:r>
    </w:p>
  </w:endnote>
  <w:endnote w:type="continuationSeparator" w:id="0">
    <w:p w:rsidR="00FB419A" w:rsidRDefault="00F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Pr="001D0DB0" w:rsidRDefault="00F22F9F" w:rsidP="00F7094A">
    <w:pPr>
      <w:pStyle w:val="a6"/>
      <w:jc w:val="center"/>
    </w:pPr>
    <w:r>
      <w:rPr>
        <w:rFonts w:hint="eastAsia"/>
        <w:kern w:val="0"/>
        <w:szCs w:val="21"/>
      </w:rPr>
      <w:t>第</w:t>
    </w:r>
    <w:r w:rsidR="001763D8">
      <w:rPr>
        <w:kern w:val="0"/>
        <w:szCs w:val="21"/>
      </w:rPr>
      <w:fldChar w:fldCharType="begin"/>
    </w:r>
    <w:r>
      <w:rPr>
        <w:kern w:val="0"/>
        <w:szCs w:val="21"/>
      </w:rPr>
      <w:instrText xml:space="preserve"> PAGE </w:instrText>
    </w:r>
    <w:r w:rsidR="001763D8">
      <w:rPr>
        <w:kern w:val="0"/>
        <w:szCs w:val="21"/>
      </w:rPr>
      <w:fldChar w:fldCharType="separate"/>
    </w:r>
    <w:r w:rsidR="007242C7">
      <w:rPr>
        <w:noProof/>
        <w:kern w:val="0"/>
        <w:szCs w:val="21"/>
      </w:rPr>
      <w:t>1</w:t>
    </w:r>
    <w:r w:rsidR="001763D8">
      <w:rPr>
        <w:kern w:val="0"/>
        <w:szCs w:val="21"/>
      </w:rPr>
      <w:fldChar w:fldCharType="end"/>
    </w:r>
    <w:proofErr w:type="gramStart"/>
    <w:r>
      <w:rPr>
        <w:rFonts w:hint="eastAsia"/>
        <w:kern w:val="0"/>
        <w:szCs w:val="21"/>
      </w:rPr>
      <w:t>页共</w:t>
    </w:r>
    <w:proofErr w:type="gramEnd"/>
    <w:r w:rsidR="001763D8">
      <w:rPr>
        <w:kern w:val="0"/>
        <w:szCs w:val="21"/>
      </w:rPr>
      <w:fldChar w:fldCharType="begin"/>
    </w:r>
    <w:r>
      <w:rPr>
        <w:kern w:val="0"/>
        <w:szCs w:val="21"/>
      </w:rPr>
      <w:instrText xml:space="preserve"> NUMPAGES </w:instrText>
    </w:r>
    <w:r w:rsidR="001763D8">
      <w:rPr>
        <w:kern w:val="0"/>
        <w:szCs w:val="21"/>
      </w:rPr>
      <w:fldChar w:fldCharType="separate"/>
    </w:r>
    <w:r w:rsidR="007242C7">
      <w:rPr>
        <w:noProof/>
        <w:kern w:val="0"/>
        <w:szCs w:val="21"/>
      </w:rPr>
      <w:t>28</w:t>
    </w:r>
    <w:r w:rsidR="001763D8">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Default="001763D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Default="001763D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7242C7">
      <w:rPr>
        <w:rStyle w:val="a7"/>
        <w:noProof/>
      </w:rPr>
      <w:t>13</w:t>
    </w:r>
    <w:r>
      <w:rPr>
        <w:rStyle w:val="a7"/>
      </w:rPr>
      <w:fldChar w:fldCharType="end"/>
    </w:r>
  </w:p>
  <w:p w:rsidR="00F22F9F" w:rsidRDefault="00F22F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9A" w:rsidRDefault="00FB419A">
      <w:r>
        <w:separator/>
      </w:r>
    </w:p>
  </w:footnote>
  <w:footnote w:type="continuationSeparator" w:id="0">
    <w:p w:rsidR="00FB419A" w:rsidRDefault="00FB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Pr="0063693D" w:rsidRDefault="00F22F9F" w:rsidP="001207F2">
    <w:pPr>
      <w:pStyle w:val="a9"/>
      <w:pBdr>
        <w:bottom w:val="single" w:sz="6" w:space="0" w:color="auto"/>
      </w:pBdr>
      <w:jc w:val="right"/>
    </w:pPr>
    <w:r w:rsidRPr="0063693D">
      <w:t/>
    </w:r>
    <w:proofErr w:type="gramStart"/>
    <w:r w:rsidRPr="0063693D">
      <w:t/>
    </w:r>
    <w:proofErr w:type="gramEnd"/>
    <w:r w:rsidRPr="0063693D">
      <w:t>广发鑫富灵活配置混合型证券投资基金2017年第3季度报告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media/image1.jpeg" Type="http://schemas.openxmlformats.org/officeDocument/2006/relationships/image"/>
<Relationship Id="rId12" Target="media/image2.jpeg" Type="http://schemas.openxmlformats.org/officeDocument/2006/relationships/image"/>
<Relationship Id="rId13" Target="footer2.xml" Type="http://schemas.openxmlformats.org/officeDocument/2006/relationships/foot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463F-E8F8-40E2-8BE3-6E3E051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338</TotalTime>
  <Pages>28</Pages>
  <Words>4092</Words>
  <Characters>23331</Characters>
  <Application>Microsoft Office Word</Application>
  <DocSecurity>0</DocSecurity>
  <Lines>194</Lines>
  <Paragraphs>54</Paragraphs>
  <ScaleCrop>false</ScaleCrop>
  <Company>TRT. Ltd. Co.</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xbany</cp:lastModifiedBy>
  <cp:lastPrinted>2007-07-19T00:46:00Z</cp:lastPrinted>
  <dcterms:modified xsi:type="dcterms:W3CDTF">2017-07-12T09:04:00Z</dcterms:modified>
  <cp:revision>117</cp:revision>
</cp:coreProperties>
</file>