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4061AC" w:rsidRPr="00264E55" w:rsidRDefault="004061AC"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0C1E17" w:rsidRPr="00264E55" w:rsidRDefault="000C1E17" w:rsidP="004061AC">
      <w:pPr>
        <w:autoSpaceDE w:val="0"/>
        <w:autoSpaceDN w:val="0"/>
        <w:adjustRightInd w:val="0"/>
        <w:spacing w:line="360" w:lineRule="auto"/>
        <w:jc w:val="left"/>
        <w:rPr>
          <w:rFonts w:asciiTheme="minorEastAsia" w:eastAsiaTheme="minorEastAsia" w:hAnsiTheme="minorEastAsia"/>
          <w:color w:val="000000"/>
          <w:kern w:val="0"/>
          <w:sz w:val="24"/>
          <w:szCs w:val="24"/>
        </w:rPr>
      </w:pP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
      </w:r>
      <w:r w:rsidRPr="00264E55">
        <w:rPr>
          <w:rFonts w:asciiTheme="minorEastAsia" w:eastAsiaTheme="minorEastAsia" w:hAnsiTheme="minorEastAsia"/>
          <w:b/>
          <w:sz w:val="36"/>
          <w:szCs w:val="36"/>
        </w:rPr>
        <w:t/>
      </w:r>
      <w:r w:rsidRPr="00264E55">
        <w:rPr>
          <w:rFonts w:asciiTheme="minorEastAsia" w:eastAsiaTheme="minorEastAsia" w:hAnsiTheme="minorEastAsia" w:hint="eastAsia"/>
          <w:b/>
          <w:sz w:val="36"/>
          <w:szCs w:val="36"/>
        </w:rPr>
        <w:t/>
      </w:r>
      <w:r w:rsidRPr="00264E55">
        <w:rPr>
          <w:rFonts w:asciiTheme="minorEastAsia" w:eastAsiaTheme="minorEastAsia" w:hAnsiTheme="minorEastAsia"/>
          <w:b/>
          <w:sz w:val="36"/>
          <w:szCs w:val="36"/>
        </w:rPr>
        <w:t/>
      </w:r>
      <w:r w:rsidRPr="00264E55">
        <w:rPr>
          <w:rFonts w:asciiTheme="minorEastAsia" w:eastAsiaTheme="minorEastAsia" w:hAnsiTheme="minorEastAsia" w:hint="eastAsia"/>
          <w:b/>
          <w:sz w:val="36"/>
          <w:szCs w:val="36"/>
        </w:rPr>
        <w:t>广发新常态灵活配置混合型证券投资基金</w:t>
      </w:r>
    </w:p>
    <w:p w:rsidR="002279D3" w:rsidRPr="00264E55" w:rsidRDefault="002279D3" w:rsidP="00542546">
      <w:pPr>
        <w:spacing w:line="360" w:lineRule="auto"/>
        <w:jc w:val="center"/>
        <w:rPr>
          <w:rFonts w:asciiTheme="minorEastAsia" w:eastAsiaTheme="minorEastAsia" w:hAnsiTheme="minorEastAsia"/>
          <w:b/>
          <w:sz w:val="36"/>
          <w:szCs w:val="36"/>
        </w:rPr>
      </w:pPr>
      <w:r w:rsidRPr="00264E55">
        <w:rPr>
          <w:rFonts w:asciiTheme="minorEastAsia" w:eastAsiaTheme="minorEastAsia" w:hAnsiTheme="minorEastAsia" w:hint="eastAsia"/>
          <w:b/>
          <w:sz w:val="36"/>
          <w:szCs w:val="36"/>
        </w:rPr>
        <w:t>2017年第3季度报告</w:t>
      </w:r>
    </w:p>
    <w:p w:rsidR="004061AC" w:rsidRPr="00BF6314" w:rsidRDefault="00655CD8" w:rsidP="00542546">
      <w:pPr>
        <w:spacing w:line="360" w:lineRule="auto"/>
        <w:jc w:val="center"/>
        <w:rPr>
          <w:rFonts w:asciiTheme="minorEastAsia" w:eastAsiaTheme="minorEastAsia" w:hAnsiTheme="minorEastAsia"/>
          <w:b/>
          <w:sz w:val="24"/>
          <w:szCs w:val="24"/>
        </w:rPr>
      </w:pPr>
      <w:r w:rsidRPr="00BF6314">
        <w:rPr>
          <w:rFonts w:asciiTheme="minorEastAsia" w:eastAsiaTheme="minorEastAsia" w:hAnsiTheme="minorEastAsia"/>
          <w:b/>
          <w:sz w:val="24"/>
          <w:szCs w:val="24"/>
        </w:rPr>
        <w:t>2017年9月30日</w:t>
      </w: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jc w:val="center"/>
        <w:rPr>
          <w:rFonts w:asciiTheme="minorEastAsia" w:eastAsiaTheme="minorEastAsia" w:hAnsiTheme="minorEastAsia"/>
          <w:b/>
          <w:bCs/>
          <w:color w:val="000000"/>
          <w:sz w:val="24"/>
          <w:szCs w:val="24"/>
        </w:rPr>
      </w:pPr>
    </w:p>
    <w:p w:rsidR="004061AC" w:rsidRPr="00264E55" w:rsidRDefault="004061AC" w:rsidP="004061AC">
      <w:pPr>
        <w:spacing w:line="360" w:lineRule="auto"/>
        <w:rPr>
          <w:rFonts w:asciiTheme="minorEastAsia" w:eastAsiaTheme="minorEastAsia" w:hAnsiTheme="minorEastAsia"/>
          <w:b/>
          <w:bCs/>
          <w:color w:val="000000"/>
          <w:sz w:val="24"/>
          <w:szCs w:val="24"/>
        </w:rPr>
      </w:pP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基金管理人：</w:t>
      </w:r>
      <w:r w:rsidRPr="00264E55">
        <w:rPr>
          <w:rFonts w:asciiTheme="minorEastAsia" w:eastAsiaTheme="minorEastAsia" w:hAnsiTheme="minorEastAsia"/>
          <w:b/>
          <w:color w:val="000000"/>
          <w:sz w:val="24"/>
          <w:szCs w:val="24"/>
        </w:rPr>
        <w:t>广发基金管理有限公司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pPr>
      <w:r w:rsidRPr="00264E55">
        <w:rPr>
          <w:rFonts w:asciiTheme="minorEastAsia" w:eastAsiaTheme="minorEastAsia" w:hAnsiTheme="minorEastAsia" w:hint="eastAsia"/>
          <w:b/>
          <w:color w:val="000000"/>
          <w:sz w:val="24"/>
          <w:szCs w:val="24"/>
        </w:rPr>
        <w:t>基金托管人：</w:t>
      </w:r>
      <w:r w:rsidRPr="00264E55">
        <w:rPr>
          <w:rFonts w:asciiTheme="minorEastAsia" w:eastAsiaTheme="minorEastAsia" w:hAnsiTheme="minorEastAsia"/>
          <w:b/>
          <w:color w:val="000000"/>
          <w:sz w:val="24"/>
          <w:szCs w:val="24"/>
        </w:rPr>
        <w:t>平安银行股份有限公司</w:t>
      </w:r>
    </w:p>
    <w:p w:rsidR="004061AC" w:rsidRPr="00264E55" w:rsidRDefault="004061AC" w:rsidP="00542546">
      <w:pPr>
        <w:spacing w:line="360" w:lineRule="auto"/>
        <w:ind w:firstLineChars="900" w:firstLine="2168"/>
        <w:rPr>
          <w:rFonts w:asciiTheme="minorEastAsia" w:eastAsiaTheme="minorEastAsia" w:hAnsiTheme="minorEastAsia"/>
          <w:b/>
          <w:color w:val="000000"/>
          <w:sz w:val="24"/>
          <w:szCs w:val="24"/>
        </w:rPr>
        <w:sectPr w:rsidR="004061AC" w:rsidRPr="00264E55" w:rsidSect="00304A12">
          <w:headerReference w:type="default" r:id="rId9"/>
          <w:footerReference w:type="default" r:id="rId10"/>
          <w:pgSz w:w="11926" w:h="15840"/>
          <w:pgMar w:top="1418" w:right="1418" w:bottom="851" w:left="1418" w:header="851" w:footer="992" w:gutter="0"/>
          <w:cols w:space="720"/>
          <w:noEndnote/>
        </w:sectPr>
      </w:pPr>
      <w:r w:rsidRPr="00264E55">
        <w:rPr>
          <w:rFonts w:asciiTheme="minorEastAsia" w:eastAsiaTheme="minorEastAsia" w:hAnsiTheme="minorEastAsia" w:hint="eastAsia"/>
          <w:b/>
          <w:color w:val="000000"/>
          <w:sz w:val="24"/>
          <w:szCs w:val="24"/>
        </w:rPr>
        <w:t>报告送出日期：</w:t>
      </w:r>
      <w:r w:rsidR="00F16E3F" w:rsidRPr="00264E55">
        <w:rPr>
          <w:rFonts w:asciiTheme="minorEastAsia" w:eastAsiaTheme="minorEastAsia" w:hAnsiTheme="minorEastAsia"/>
          <w:b/>
          <w:color w:val="000000"/>
          <w:sz w:val="24"/>
          <w:szCs w:val="24"/>
        </w:rPr>
        <w:t/>
      </w:r>
      <w:r w:rsidR="00F16E3F" w:rsidRPr="00264E55">
        <w:rPr>
          <w:rFonts w:asciiTheme="minorEastAsia" w:eastAsiaTheme="minorEastAsia" w:hAnsiTheme="minorEastAsia" w:hint="eastAsia"/>
          <w:b/>
          <w:color w:val="000000"/>
          <w:sz w:val="24"/>
          <w:szCs w:val="24"/>
        </w:rPr>
        <w:t/>
      </w:r>
      <w:r w:rsidR="0042009D" w:rsidRPr="00264E55">
        <w:rPr>
          <w:rFonts w:asciiTheme="minorEastAsia" w:eastAsiaTheme="minorEastAsia" w:hAnsiTheme="minorEastAsia" w:hint="eastAsia"/>
          <w:b/>
          <w:color w:val="000000"/>
          <w:sz w:val="24"/>
          <w:szCs w:val="24"/>
        </w:rPr>
        <w:t/>
      </w:r>
      <w:r w:rsidR="00F16E3F" w:rsidRPr="00264E55">
        <w:rPr>
          <w:rFonts w:asciiTheme="minorEastAsia" w:eastAsiaTheme="minorEastAsia" w:hAnsiTheme="minorEastAsia"/>
          <w:b/>
          <w:color w:val="000000"/>
          <w:sz w:val="24"/>
          <w:szCs w:val="24"/>
        </w:rPr>
        <w:t>二〇一七年十月二十七日</w:t>
      </w:r>
    </w:p>
    <w:p w:rsidR="004061AC" w:rsidRPr="001611C5" w:rsidRDefault="004061AC" w:rsidP="001B2F35">
      <w:pPr>
        <w:pStyle w:val="1"/>
        <w:spacing w:beforeLines="100" w:before="312" w:afterLines="100" w:after="312" w:line="360" w:lineRule="auto"/>
        <w:jc w:val="center"/>
        <w:rPr>
          <w:rFonts w:asciiTheme="minorEastAsia" w:eastAsiaTheme="minorEastAsia" w:hAnsiTheme="minorEastAsia"/>
          <w:b w:val="0"/>
          <w:bCs w:val="0"/>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Pr="001611C5">
        <w:rPr>
          <w:rFonts w:asciiTheme="minorEastAsia" w:eastAsiaTheme="minorEastAsia" w:hAnsiTheme="minorEastAsia"/>
          <w:color w:val="000000"/>
          <w:kern w:val="0"/>
          <w:sz w:val="24"/>
          <w:szCs w:val="24"/>
        </w:rPr>
        <w:t xml:space="preserve">1  </w:t>
      </w:r>
      <w:r w:rsidRPr="001611C5">
        <w:rPr>
          <w:rFonts w:asciiTheme="minorEastAsia" w:eastAsiaTheme="minorEastAsia" w:hAnsiTheme="minorEastAsia" w:hint="eastAsia"/>
          <w:color w:val="000000"/>
          <w:kern w:val="0"/>
          <w:sz w:val="24"/>
          <w:szCs w:val="24"/>
        </w:rPr>
        <w:t>重要提示</w:t>
      </w:r>
    </w:p>
    <w:p>
      <w:pPr>
        <w:spacing w:line="360" w:lineRule="auto"/>
        <w:ind w:firstLineChars="200" w:firstLine="480"/>
        <w:rPr>
          <w:rFonts w:eastAsiaTheme="minorEastAsia"/>
          <w:color w:val="000000"/>
          <w:sz w:val="24"/>
          <w:szCs w:val="24"/>
        </w:rPr>
      </w:pPr>
      <w:r>
        <w:rPr>
          <w:rFonts w:eastAsiaTheme="minorEastAsia"/>
          <w:color w:val="000000"/>
          <w:sz w:val="24"/>
          <w:szCs w:val="24"/>
        </w:rPr>
        <w:t xml:space="preserve">基金管理人的董事会及董事保证本报告所载资料不存在虚假记载、误导性陈述或重大遗漏，并对其内容的真实性、准确性和完整性承担个别及连带责任。 </w:t>
      </w:r>
    </w:p>
    <w:p>
      <w:pPr>
        <w:spacing w:line="360" w:lineRule="auto"/>
        <w:ind w:firstLineChars="200" w:firstLine="480"/>
        <w:rPr>
          <w:rFonts w:eastAsiaTheme="minorEastAsia"/>
          <w:color w:val="000000"/>
          <w:sz w:val="24"/>
          <w:szCs w:val="24"/>
        </w:rPr>
      </w:pPr>
      <w:r>
        <w:rPr>
          <w:rFonts w:eastAsiaTheme="minorEastAsia"/>
          <w:color w:val="000000"/>
          <w:sz w:val="24"/>
          <w:szCs w:val="24"/>
        </w:rPr>
        <w:t xml:space="preserve">基金托管人平安银行股份有限公司根据本基金合同规定，于2017年10月25日复核了本报告中的财务指标、净值表现和投资组合报告等内容，保证复核内容不存在虚假记载、误导性陈述或者重大遗漏。 </w:t>
      </w:r>
    </w:p>
    <w:p>
      <w:pPr>
        <w:spacing w:line="360" w:lineRule="auto"/>
        <w:ind w:firstLineChars="200" w:firstLine="480"/>
        <w:rPr>
          <w:rFonts w:eastAsiaTheme="minorEastAsia"/>
          <w:color w:val="000000"/>
          <w:sz w:val="24"/>
          <w:szCs w:val="24"/>
        </w:rPr>
      </w:pPr>
      <w:r>
        <w:rPr>
          <w:rFonts w:eastAsiaTheme="minorEastAsia"/>
          <w:color w:val="000000"/>
          <w:sz w:val="24"/>
          <w:szCs w:val="24"/>
        </w:rPr>
        <w:t xml:space="preserve">基金管理人承诺以诚实信用、勤勉尽责的原则管理和运用基金资产，但不保证基金一定盈利。 </w:t>
      </w:r>
    </w:p>
    <w:p>
      <w:pPr>
        <w:spacing w:line="360" w:lineRule="auto"/>
        <w:ind w:firstLineChars="200" w:firstLine="480"/>
        <w:rPr>
          <w:rFonts w:eastAsiaTheme="minorEastAsia"/>
          <w:color w:val="000000"/>
          <w:sz w:val="24"/>
          <w:szCs w:val="24"/>
        </w:rPr>
      </w:pPr>
      <w:r>
        <w:rPr>
          <w:rFonts w:eastAsiaTheme="minorEastAsia"/>
          <w:color w:val="000000"/>
          <w:sz w:val="24"/>
          <w:szCs w:val="24"/>
        </w:rPr>
        <w:t xml:space="preserve">基金的过往业绩并不代表其未来表现。投资有风险，投资者在作出投资决策前应仔细阅读本基金的招募说明书。 </w:t>
      </w:r>
    </w:p>
    <w:p>
      <w:pPr>
        <w:spacing w:line="360" w:lineRule="auto"/>
        <w:ind w:firstLineChars="200" w:firstLine="480"/>
        <w:rPr>
          <w:rFonts w:eastAsiaTheme="minorEastAsia"/>
          <w:color w:val="000000"/>
          <w:sz w:val="24"/>
          <w:szCs w:val="24"/>
        </w:rPr>
      </w:pPr>
      <w:r>
        <w:rPr>
          <w:rFonts w:eastAsiaTheme="minorEastAsia"/>
          <w:color w:val="000000"/>
          <w:sz w:val="24"/>
          <w:szCs w:val="24"/>
        </w:rPr>
        <w:t>本报告中财务资料未经审计。</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本报告期自2017年7月1日起至9月30日止。</w:t>
      </w:r>
    </w:p>
    <w:p w:rsidR="004061AC" w:rsidRPr="001611C5" w:rsidRDefault="004061AC" w:rsidP="001B2F35">
      <w:pPr>
        <w:pStyle w:val="1"/>
        <w:spacing w:beforeLines="100" w:before="312" w:afterLines="100" w:after="312"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2  </w:t>
      </w:r>
      <w:r w:rsidRPr="001611C5">
        <w:rPr>
          <w:rFonts w:asciiTheme="minorEastAsia" w:eastAsiaTheme="minorEastAsia" w:hAnsiTheme="minorEastAsia" w:hint="eastAsia"/>
          <w:color w:val="000000"/>
          <w:kern w:val="0"/>
          <w:sz w:val="24"/>
          <w:szCs w:val="24"/>
        </w:rPr>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2739"/>
        <w:gridCol w:w="2740"/>
      </w:tblGrid>
      <w:tr w:rsidR="004061AC" w:rsidRPr="001611C5" w:rsidTr="00BF6314">
        <w:tc>
          <w:tcPr>
            <w:tcW w:w="2835" w:type="dxa"/>
            <w:vAlign w:val="center"/>
          </w:tcPr>
          <w:p w:rsidR="004061AC" w:rsidRPr="006B72F7" w:rsidRDefault="004061AC"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基金简称</w:t>
            </w:r>
          </w:p>
        </w:tc>
        <w:tc>
          <w:tcPr>
            <w:tcW w:w="5479" w:type="dxa"/>
            <w:gridSpan w:val="2"/>
            <w:vAlign w:val="center"/>
          </w:tcPr>
          <w:p w:rsidR="004061AC" w:rsidRPr="006B72F7" w:rsidRDefault="004061AC"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广发新常态混合</w:t>
            </w:r>
          </w:p>
        </w:tc>
      </w:tr>
      <w:tr w:rsidR="00D94B8D" w:rsidRPr="001611C5" w:rsidTr="00BF6314">
        <w:tc>
          <w:tcPr>
            <w:tcW w:w="2835" w:type="dxa"/>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基金主代码</w:t>
            </w:r>
          </w:p>
        </w:tc>
        <w:tc>
          <w:tcPr>
            <w:tcW w:w="5479" w:type="dxa"/>
            <w:gridSpan w:val="2"/>
            <w:tcBorders>
              <w:top w:val="single" w:sz="4" w:space="0" w:color="auto"/>
              <w:left w:val="single" w:sz="4" w:space="0" w:color="auto"/>
              <w:bottom w:val="single" w:sz="4" w:space="0" w:color="auto"/>
              <w:right w:val="single" w:sz="4" w:space="0" w:color="auto"/>
            </w:tcBorders>
            <w:vAlign w:val="center"/>
            <w:hideMark/>
          </w:tcPr>
          <w:p w:rsidR="00D94B8D" w:rsidRPr="006B72F7" w:rsidRDefault="00D94B8D" w:rsidP="00BF6314">
            <w:pPr>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002122</w:t>
            </w:r>
          </w:p>
        </w:tc>
      </w:tr>
      <w:tr w:rsidR="001B2F35" w:rsidRPr="001611C5" w:rsidTr="00BF6314">
        <w:tc>
          <w:tcPr>
            <w:tcW w:w="2835" w:type="dxa"/>
            <w:tcBorders>
              <w:top w:val="single" w:sz="4" w:space="0" w:color="auto"/>
              <w:left w:val="single" w:sz="4" w:space="0" w:color="auto"/>
              <w:bottom w:val="single" w:sz="4" w:space="0" w:color="auto"/>
              <w:right w:val="single" w:sz="4" w:space="0" w:color="auto"/>
            </w:tcBorders>
            <w:vAlign w:val="center"/>
          </w:tcPr>
          <w:p w:rsidR="001B2F35" w:rsidRPr="006B72F7" w:rsidRDefault="001B2F35" w:rsidP="00BF6314">
            <w:pPr>
              <w:adjustRightInd w:val="0"/>
              <w:spacing w:before="29" w:line="360" w:lineRule="auto"/>
              <w:ind w:left="17"/>
              <w:rPr>
                <w:rFonts w:eastAsiaTheme="minorEastAsia"/>
                <w:kern w:val="0"/>
                <w:sz w:val="24"/>
                <w:szCs w:val="24"/>
              </w:rPr>
            </w:pPr>
            <w:r w:rsidRPr="006B72F7">
              <w:rPr>
                <w:rFonts w:eastAsiaTheme="minorEastAsia"/>
                <w:kern w:val="0"/>
                <w:sz w:val="24"/>
                <w:szCs w:val="24"/>
              </w:rPr>
              <w:t>交易代码</w:t>
            </w:r>
          </w:p>
        </w:tc>
        <w:tc>
          <w:tcPr>
            <w:tcW w:w="5479" w:type="dxa"/>
            <w:gridSpan w:val="2"/>
            <w:tcBorders>
              <w:top w:val="single" w:sz="4" w:space="0" w:color="auto"/>
              <w:left w:val="single" w:sz="4" w:space="0" w:color="auto"/>
              <w:bottom w:val="single" w:sz="4" w:space="0" w:color="auto"/>
              <w:right w:val="single" w:sz="4" w:space="0" w:color="auto"/>
            </w:tcBorders>
            <w:vAlign w:val="center"/>
          </w:tcPr>
          <w:p w:rsidR="001B2F35" w:rsidRPr="006B72F7" w:rsidRDefault="00C5218C" w:rsidP="00BF6314">
            <w:pPr>
              <w:adjustRightInd w:val="0"/>
              <w:spacing w:before="29" w:line="360" w:lineRule="auto"/>
              <w:ind w:left="17"/>
              <w:rPr>
                <w:rFonts w:eastAsiaTheme="minorEastAsia"/>
                <w:color w:val="000000"/>
                <w:kern w:val="0"/>
                <w:sz w:val="24"/>
                <w:szCs w:val="24"/>
              </w:rPr>
            </w:pPr>
            <w:r w:rsidRPr="006B72F7">
              <w:rPr>
                <w:rFonts w:eastAsiaTheme="minorEastAsia"/>
                <w:kern w:val="0"/>
                <w:sz w:val="24"/>
                <w:szCs w:val="24"/>
              </w:rPr>
              <w:t>002122</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基金运作方式</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契约型开放式</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基金合同生效日</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2016年12月5日</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报告期末基金份额总额</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22,588,641.87</w:t>
            </w:r>
            <w:r w:rsidRPr="006B72F7">
              <w:rPr>
                <w:rFonts w:eastAsiaTheme="minorEastAsia"/>
                <w:color w:val="000000"/>
                <w:kern w:val="0"/>
                <w:sz w:val="24"/>
                <w:szCs w:val="24"/>
              </w:rPr>
              <w:t>份</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投资目标</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本基金挖掘在新常态下中国经济蕴含的投资机会，在严格控制风险的基础上，力求获得超越业绩比较基准的投资回报，实现基金资产的长期稳健增值。</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投资策略</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配置，确定合适的资产配置比例，并适时进行调整。</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业绩比较基准</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 xml:space="preserve">中证 800 指数收益率×65%+一年期人民币定期存款利率（税后）×35% </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风险收益特征</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本基金是混合型基金，其预期收益及风险水平高于货币市场基金和债券型基金，低于股票型基金，属于中高收益风险特征的基金。</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基金管理人</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广发基金管理有限公司</w:t>
            </w:r>
          </w:p>
        </w:tc>
      </w:tr>
      <w:tr w:rsidR="001B2F35" w:rsidRPr="001611C5" w:rsidTr="00BF6314">
        <w:tc>
          <w:tcPr>
            <w:tcW w:w="2835" w:type="dxa"/>
            <w:vAlign w:val="center"/>
          </w:tcPr>
          <w:p w:rsidR="001B2F35" w:rsidRPr="006B72F7" w:rsidRDefault="001B2F35" w:rsidP="00BF6314">
            <w:pPr>
              <w:adjustRightInd w:val="0"/>
              <w:spacing w:before="29" w:line="360" w:lineRule="auto"/>
              <w:ind w:left="17"/>
              <w:rPr>
                <w:rFonts w:eastAsiaTheme="minorEastAsia"/>
                <w:sz w:val="24"/>
                <w:szCs w:val="24"/>
              </w:rPr>
            </w:pPr>
            <w:r w:rsidRPr="006B72F7">
              <w:rPr>
                <w:rFonts w:eastAsiaTheme="minorEastAsia"/>
                <w:kern w:val="0"/>
                <w:sz w:val="24"/>
                <w:szCs w:val="24"/>
              </w:rPr>
              <w:t>基金托管人</w:t>
            </w:r>
          </w:p>
        </w:tc>
        <w:tc>
          <w:tcPr>
            <w:tcW w:w="5479" w:type="dxa"/>
            <w:gridSpan w:val="2"/>
            <w:vAlign w:val="center"/>
          </w:tcPr>
          <w:p w:rsidR="001B2F35" w:rsidRPr="006B72F7" w:rsidRDefault="001B2F35" w:rsidP="00BF6314">
            <w:pPr>
              <w:adjustRightInd w:val="0"/>
              <w:spacing w:before="29" w:line="360" w:lineRule="auto"/>
              <w:ind w:left="17"/>
              <w:rPr>
                <w:rFonts w:eastAsiaTheme="minorEastAsia"/>
                <w:color w:val="000000"/>
                <w:sz w:val="24"/>
                <w:szCs w:val="24"/>
              </w:rPr>
            </w:pPr>
            <w:r w:rsidRPr="006B72F7">
              <w:rPr>
                <w:rFonts w:eastAsiaTheme="minorEastAsia"/>
                <w:color w:val="000000"/>
                <w:kern w:val="0"/>
                <w:sz w:val="24"/>
                <w:szCs w:val="24"/>
              </w:rPr>
              <w:t>平安银行股份有限公司</w:t>
            </w:r>
          </w:p>
        </w:tc>
      </w:tr>
    </w:tbl>
    <w:p w:rsidR="004061AC" w:rsidRPr="001611C5" w:rsidRDefault="004061AC" w:rsidP="001B2F35">
      <w:pPr>
        <w:pStyle w:val="1"/>
        <w:spacing w:beforeLines="100" w:before="312" w:afterLines="100" w:after="312"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3  </w:t>
      </w:r>
      <w:r w:rsidRPr="001611C5">
        <w:rPr>
          <w:rFonts w:asciiTheme="minorEastAsia" w:eastAsiaTheme="minorEastAsia" w:hAnsiTheme="minorEastAsia" w:hint="eastAsia"/>
          <w:color w:val="000000"/>
          <w:kern w:val="0"/>
          <w:sz w:val="24"/>
          <w:szCs w:val="24"/>
        </w:rPr>
        <w:t>主要财务指标和基金净值表现</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3.1 </w:t>
      </w:r>
      <w:r w:rsidRPr="001611C5">
        <w:rPr>
          <w:rFonts w:asciiTheme="minorEastAsia" w:eastAsiaTheme="minorEastAsia" w:hAnsiTheme="minorEastAsia" w:hint="eastAsia"/>
          <w:b/>
          <w:bCs/>
          <w:color w:val="000000"/>
          <w:kern w:val="0"/>
          <w:sz w:val="24"/>
          <w:szCs w:val="24"/>
        </w:rPr>
        <w:t>主要财务指标</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lastRenderedPageBreak/>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552"/>
        <w:gridCol w:w="2410"/>
      </w:tblGrid>
      <w:tr w:rsidR="00C21520" w:rsidRPr="001611C5" w:rsidTr="00237F09">
        <w:tc>
          <w:tcPr>
            <w:tcW w:w="3402" w:type="dxa"/>
            <w:vAlign w:val="center"/>
          </w:tcPr>
          <w:p w:rsidR="00C21520" w:rsidRPr="006B72F7" w:rsidRDefault="00C21520" w:rsidP="00237F09">
            <w:pPr>
              <w:adjustRightInd w:val="0"/>
              <w:spacing w:before="29" w:line="360" w:lineRule="auto"/>
              <w:ind w:left="17"/>
              <w:jc w:val="center"/>
              <w:rPr>
                <w:rFonts w:eastAsiaTheme="minorEastAsia"/>
                <w:kern w:val="0"/>
                <w:sz w:val="24"/>
                <w:szCs w:val="24"/>
              </w:rPr>
            </w:pPr>
            <w:r w:rsidRPr="006B72F7">
              <w:rPr>
                <w:rFonts w:eastAsiaTheme="minorEastAsia"/>
                <w:kern w:val="0"/>
                <w:sz w:val="24"/>
                <w:szCs w:val="24"/>
              </w:rPr>
              <w:t>主要财务指标</w:t>
            </w:r>
            <w:r w:rsidR="00D96C8D" w:rsidRPr="006B72F7">
              <w:rPr>
                <w:rFonts w:eastAsiaTheme="minorEastAsia"/>
                <w:kern w:val="0"/>
                <w:sz w:val="24"/>
                <w:szCs w:val="24"/>
              </w:rPr>
              <w:t/>
            </w:r>
          </w:p>
        </w:tc>
        <w:tc>
          <w:tcPr>
            <w:tcW w:w="4962" w:type="dxa"/>
            <w:hMerge w:val="restart"/>
            <w:vAlign w:val="center"/>
          </w:tcPr>
          <w:p w:rsidR="009C60F7"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报告期</w:t>
            </w:r>
          </w:p>
          <w:p w:rsidR="00C21520" w:rsidRPr="006B72F7" w:rsidRDefault="009C60F7"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(2017年7月1日-2017年9月30日)</w:t>
            </w:r>
          </w:p>
        </w:tc>
        <w:tc>
          <w:tcPr>
            <w:tcW w:w="2410" w:type="dxa"/>
            <w:hMerge/>
            <w:vAlign w:val="center"/>
          </w:tcPr>
          <w:p w:rsidR="00C21520" w:rsidRPr="006B72F7" w:rsidRDefault="00C21520" w:rsidP="00237F09">
            <w:pPr>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上期金额</w:t>
            </w:r>
            <w:r w:rsidR="006A7AF1" w:rsidRPr="006B72F7">
              <w:rPr>
                <w:rFonts w:eastAsiaTheme="minorEastAsia"/>
                <w:color w:val="000000"/>
                <w:sz w:val="24"/>
                <w:szCs w:val="24"/>
              </w:rPr>
              <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1.</w:t>
            </w:r>
            <w:r w:rsidRPr="006B72F7">
              <w:rPr>
                <w:rFonts w:eastAsiaTheme="minorEastAsia"/>
                <w:kern w:val="0"/>
                <w:sz w:val="24"/>
                <w:szCs w:val="24"/>
              </w:rPr>
              <w:t>本期已实现收益</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259,747.21</w:t>
            </w:r>
          </w:p>
        </w:tc>
        <w:tc>
          <w:tcPr>
            <w:tcW w:w="2410" w:type="dxa"/>
            <w:hMerge/>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006A7AF1"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2.</w:t>
            </w:r>
            <w:r w:rsidRPr="006B72F7">
              <w:rPr>
                <w:rFonts w:eastAsiaTheme="minorEastAsia"/>
                <w:kern w:val="0"/>
                <w:sz w:val="24"/>
                <w:szCs w:val="24"/>
              </w:rPr>
              <w:t>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278,907.47</w:t>
            </w:r>
          </w:p>
        </w:tc>
        <w:tc>
          <w:tcPr>
            <w:tcW w:w="2410" w:type="dxa"/>
            <w:hMerge/>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006A7AF1"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3.</w:t>
            </w:r>
            <w:r w:rsidRPr="006B72F7">
              <w:rPr>
                <w:rFonts w:eastAsiaTheme="minorEastAsia"/>
                <w:kern w:val="0"/>
                <w:sz w:val="24"/>
                <w:szCs w:val="24"/>
              </w:rPr>
              <w:t>加权平均基金份额本期利润</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0.0077</w:t>
            </w:r>
          </w:p>
        </w:tc>
        <w:tc>
          <w:tcPr>
            <w:tcW w:w="2410" w:type="dxa"/>
            <w:hMerge/>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006A7AF1" w:rsidRPr="006B72F7">
              <w:rPr>
                <w:rFonts w:eastAsiaTheme="minorEastAsia"/>
                <w:color w:val="000000"/>
                <w:sz w:val="24"/>
                <w:szCs w:val="24"/>
              </w:rPr>
              <w:t>-</w:t>
            </w:r>
          </w:p>
        </w:tc>
      </w:tr>
      <w:tr w:rsidR="00C21520" w:rsidRPr="001611C5" w:rsidTr="00237F09">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4.</w:t>
            </w:r>
            <w:r w:rsidRPr="006B72F7">
              <w:rPr>
                <w:rFonts w:eastAsiaTheme="minorEastAsia"/>
                <w:kern w:val="0"/>
                <w:sz w:val="24"/>
                <w:szCs w:val="24"/>
              </w:rPr>
              <w:t>期末基金资产净值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25,418,152.88</w:t>
            </w:r>
          </w:p>
        </w:tc>
        <w:tc>
          <w:tcPr>
            <w:tcW w:w="2410" w:type="dxa"/>
            <w:hMerge/>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006A7AF1" w:rsidRPr="006B72F7">
              <w:rPr>
                <w:rFonts w:eastAsiaTheme="minorEastAsia"/>
                <w:color w:val="000000"/>
                <w:sz w:val="24"/>
                <w:szCs w:val="24"/>
              </w:rPr>
              <w:t>-</w:t>
            </w:r>
          </w:p>
        </w:tc>
      </w:tr>
      <w:tr w:rsidR="00C21520" w:rsidRPr="001611C5" w:rsidTr="00237F09">
        <w:trPr>
          <w:trHeight w:val="158"/>
        </w:trPr>
        <w:tc>
          <w:tcPr>
            <w:tcW w:w="3402" w:type="dxa"/>
            <w:vAlign w:val="center"/>
          </w:tcPr>
          <w:p w:rsidR="00C21520" w:rsidRPr="006B72F7" w:rsidRDefault="00C21520" w:rsidP="00237F09">
            <w:pPr>
              <w:adjustRightInd w:val="0"/>
              <w:spacing w:before="29" w:line="360" w:lineRule="auto"/>
              <w:ind w:left="17"/>
              <w:rPr>
                <w:rFonts w:eastAsiaTheme="minorEastAsia"/>
                <w:kern w:val="0"/>
                <w:sz w:val="24"/>
                <w:szCs w:val="24"/>
              </w:rPr>
            </w:pPr>
            <w:r w:rsidRPr="006B72F7">
              <w:rPr>
                <w:rFonts w:eastAsiaTheme="minorEastAsia"/>
                <w:kern w:val="0"/>
                <w:sz w:val="24"/>
                <w:szCs w:val="24"/>
              </w:rPr>
              <w:t>5.</w:t>
            </w:r>
            <w:r w:rsidRPr="006B72F7">
              <w:rPr>
                <w:rFonts w:eastAsiaTheme="minorEastAsia"/>
                <w:kern w:val="0"/>
                <w:sz w:val="24"/>
                <w:szCs w:val="24"/>
              </w:rPr>
              <w:t>期末基金份额净值</w:t>
            </w:r>
          </w:p>
        </w:tc>
        <w:tc>
          <w:tcPr>
            <w:tcW w:w="4962" w:type="dxa"/>
            <w:hMerge w:val="restart"/>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1.125</w:t>
            </w:r>
          </w:p>
        </w:tc>
        <w:tc>
          <w:tcPr>
            <w:tcW w:w="2410" w:type="dxa"/>
            <w:hMerge/>
            <w:vAlign w:val="center"/>
          </w:tcPr>
          <w:p w:rsidR="00C21520" w:rsidRPr="006B72F7" w:rsidRDefault="00C21520" w:rsidP="00237F09">
            <w:pPr>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006A7AF1" w:rsidRPr="006B72F7">
              <w:rPr>
                <w:rFonts w:eastAsiaTheme="minorEastAsia"/>
                <w:color w:val="000000"/>
                <w:sz w:val="24"/>
                <w:szCs w:val="24"/>
              </w:rPr>
              <w:t>-</w:t>
            </w:r>
          </w:p>
        </w:tc>
      </w:tr>
    </w:tbl>
    <w:p>
      <w:pPr>
        <w:spacing w:line="360" w:lineRule="auto"/>
        <w:ind w:firstLineChars="200" w:firstLine="480"/>
        <w:rPr>
          <w:rFonts w:eastAsiaTheme="minorEastAsia"/>
          <w:color w:val="000000"/>
          <w:sz w:val="24"/>
          <w:szCs w:val="24"/>
        </w:rPr>
      </w:pPr>
      <w:r>
        <w:rPr>
          <w:rFonts w:eastAsiaTheme="minorEastAsia"/>
          <w:color w:val="000000"/>
          <w:sz w:val="24"/>
          <w:szCs w:val="24"/>
        </w:rPr>
        <w:t>注：（1）所述基金业绩指标不包括持有人认购或交易基金的各项费用，计入费用后实际收益水平要低于所列数字。</w:t>
      </w:r>
    </w:p>
    <w:p w:rsidR="004061AC" w:rsidRPr="006B72F7" w:rsidRDefault="00A5612C"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004061AC" w:rsidRPr="00CD2DB1">
        <w:rPr>
          <w:rFonts w:eastAsiaTheme="minorEastAsia"/>
          <w:color w:val="000000"/>
          <w:sz w:val="24"/>
          <w:szCs w:val="24"/>
        </w:rPr>
        <w:t>（2）本期已实现收益指基金本期利息收入、投资收益、其他收入（不含公允价值变动收益）扣除相关费用后的余额，本期利润为本期已实现收益加上本期公允价值变动收益。</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3.2 </w:t>
      </w:r>
      <w:r w:rsidRPr="001611C5">
        <w:rPr>
          <w:rFonts w:asciiTheme="minorEastAsia" w:eastAsiaTheme="minorEastAsia" w:hAnsiTheme="minorEastAsia" w:hint="eastAsia"/>
          <w:b/>
          <w:bCs/>
          <w:color w:val="000000"/>
          <w:kern w:val="0"/>
          <w:sz w:val="24"/>
          <w:szCs w:val="24"/>
        </w:rPr>
        <w:t>基金净值表现</w:t>
      </w:r>
    </w:p>
    <w:p w:rsidR="00CF6572" w:rsidRPr="001611C5" w:rsidRDefault="004061AC" w:rsidP="009E7C6A">
      <w:pPr>
        <w:autoSpaceDE w:val="0"/>
        <w:autoSpaceDN w:val="0"/>
        <w:adjustRightInd w:val="0"/>
        <w:spacing w:line="360" w:lineRule="auto"/>
        <w:jc w:val="left"/>
        <w:rPr>
          <w:rFonts w:asciiTheme="minorEastAsia" w:eastAsiaTheme="minorEastAsia" w:hAnsiTheme="minorEastAsia" w:cs="宋体"/>
          <w:b/>
          <w:bCs/>
          <w:color w:val="000000"/>
          <w:kern w:val="0"/>
          <w:sz w:val="24"/>
          <w:szCs w:val="24"/>
        </w:rPr>
      </w:pPr>
      <w:r w:rsidRPr="001611C5">
        <w:rPr>
          <w:rFonts w:asciiTheme="minorEastAsia" w:eastAsiaTheme="minorEastAsia" w:hAnsiTheme="minorEastAsia"/>
          <w:b/>
          <w:bCs/>
          <w:color w:val="000000"/>
          <w:kern w:val="0"/>
          <w:sz w:val="24"/>
          <w:szCs w:val="24"/>
        </w:rPr>
        <w:t xml:space="preserve">3.2.1 </w:t>
      </w:r>
      <w:r w:rsidRPr="001611C5">
        <w:rPr>
          <w:rFonts w:asciiTheme="minorEastAsia" w:eastAsiaTheme="minorEastAsia" w:hAnsiTheme="minorEastAsia" w:cs="宋体" w:hint="eastAsia"/>
          <w:b/>
          <w:bCs/>
          <w:color w:val="000000"/>
          <w:kern w:val="0"/>
          <w:sz w:val="24"/>
          <w:szCs w:val="24"/>
        </w:rPr>
        <w:t>本报告期基金份额净值增长率及其与同期业绩比较基准收益率的比较</w:t>
      </w:r>
    </w:p>
    <w:tbl>
      <w:tblPr>
        <w:tblStyle w:val="af7"/>
        <w:tblW w:w="0" w:type="auto"/>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EF6FA5" w:rsidRPr="001611C5" w:rsidTr="00BD7703">
        <w:tc>
          <w:tcPr>
            <w:tcW w:w="1395"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阶段</w:t>
            </w:r>
            <w:r w:rsidR="00200FAB" w:rsidRPr="006B72F7">
              <w:rPr>
                <w:rFonts w:eastAsiaTheme="minorEastAsia"/>
                <w:color w:val="000000"/>
                <w:sz w:val="24"/>
                <w:szCs w:val="24"/>
              </w:rPr>
              <w:t/>
            </w:r>
          </w:p>
        </w:tc>
        <w:tc>
          <w:tcPr>
            <w:tcW w:w="1092"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w:t>
            </w:r>
            <w:r w:rsidRPr="006B72F7">
              <w:rPr>
                <w:rFonts w:ascii="宋体" w:hAnsi="宋体" w:cs="宋体" w:hint="eastAsia"/>
                <w:color w:val="000000"/>
                <w:sz w:val="24"/>
                <w:szCs w:val="24"/>
              </w:rPr>
              <w:t>①</w:t>
            </w:r>
          </w:p>
        </w:tc>
        <w:tc>
          <w:tcPr>
            <w:tcW w:w="116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净值增长率标准差</w:t>
            </w:r>
            <w:r w:rsidRPr="006B72F7">
              <w:rPr>
                <w:rFonts w:ascii="宋体" w:hAnsi="宋体" w:cs="宋体" w:hint="eastAsia"/>
                <w:color w:val="000000"/>
                <w:sz w:val="24"/>
                <w:szCs w:val="24"/>
              </w:rPr>
              <w:t>②</w:t>
            </w:r>
          </w:p>
        </w:tc>
        <w:tc>
          <w:tcPr>
            <w:tcW w:w="1181"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w:t>
            </w:r>
            <w:r w:rsidRPr="006B72F7">
              <w:rPr>
                <w:rFonts w:ascii="宋体" w:hAnsi="宋体" w:cs="宋体" w:hint="eastAsia"/>
                <w:color w:val="000000"/>
                <w:sz w:val="24"/>
                <w:szCs w:val="24"/>
              </w:rPr>
              <w:t>③</w:t>
            </w:r>
          </w:p>
        </w:tc>
        <w:tc>
          <w:tcPr>
            <w:tcW w:w="1188"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业绩比较基准收益率标准差</w:t>
            </w:r>
            <w:r w:rsidRPr="006B72F7">
              <w:rPr>
                <w:rFonts w:ascii="宋体" w:hAnsi="宋体" w:cs="宋体" w:hint="eastAsia"/>
                <w:color w:val="000000"/>
                <w:sz w:val="24"/>
                <w:szCs w:val="24"/>
              </w:rPr>
              <w:t>④</w:t>
            </w:r>
          </w:p>
        </w:tc>
        <w:tc>
          <w:tcPr>
            <w:tcW w:w="1199"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①</w:t>
            </w:r>
            <w:r w:rsidRPr="006B72F7">
              <w:rPr>
                <w:rFonts w:eastAsiaTheme="minorEastAsia"/>
                <w:color w:val="000000"/>
                <w:sz w:val="24"/>
                <w:szCs w:val="24"/>
              </w:rPr>
              <w:t>-</w:t>
            </w:r>
            <w:r w:rsidRPr="006B72F7">
              <w:rPr>
                <w:rFonts w:ascii="宋体" w:hAnsi="宋体" w:cs="宋体" w:hint="eastAsia"/>
                <w:color w:val="000000"/>
                <w:sz w:val="24"/>
                <w:szCs w:val="24"/>
              </w:rPr>
              <w:t>③</w:t>
            </w:r>
          </w:p>
        </w:tc>
        <w:tc>
          <w:tcPr>
            <w:tcW w:w="1204" w:type="dxa"/>
            <w:vAlign w:val="center"/>
          </w:tcPr>
          <w:p w:rsidR="00154BE1" w:rsidRPr="006B72F7" w:rsidRDefault="00154BE1" w:rsidP="00CF6572">
            <w:pPr>
              <w:autoSpaceDE w:val="0"/>
              <w:autoSpaceDN w:val="0"/>
              <w:adjustRightInd w:val="0"/>
              <w:spacing w:before="29" w:line="360" w:lineRule="auto"/>
              <w:ind w:left="17"/>
              <w:jc w:val="center"/>
              <w:rPr>
                <w:rFonts w:eastAsiaTheme="minorEastAsia"/>
                <w:color w:val="000000"/>
                <w:sz w:val="24"/>
                <w:szCs w:val="24"/>
              </w:rPr>
            </w:pPr>
            <w:r w:rsidRPr="006B72F7">
              <w:rPr>
                <w:rFonts w:ascii="宋体" w:hAnsi="宋体" w:cs="宋体" w:hint="eastAsia"/>
                <w:color w:val="000000"/>
                <w:sz w:val="24"/>
                <w:szCs w:val="24"/>
              </w:rPr>
              <w:t>②</w:t>
            </w:r>
            <w:r w:rsidRPr="006B72F7">
              <w:rPr>
                <w:rFonts w:eastAsiaTheme="minorEastAsia"/>
                <w:color w:val="000000"/>
                <w:sz w:val="24"/>
                <w:szCs w:val="24"/>
              </w:rPr>
              <w:t>-</w:t>
            </w:r>
            <w:r w:rsidRPr="006B72F7">
              <w:rPr>
                <w:rFonts w:ascii="宋体" w:hAnsi="宋体" w:cs="宋体" w:hint="eastAsia"/>
                <w:color w:val="000000"/>
                <w:sz w:val="24"/>
                <w:szCs w:val="24"/>
              </w:rPr>
              <w:t>④</w:t>
            </w:r>
          </w:p>
        </w:tc>
      </w:tr>
      <w:tr>
        <w:tc>
          <w:tcPr>
            <w:vAlign w:val="center"/>
          </w:tcPr>
          <w:p>
            <w:pPr>
              <w:jc w:val="left"/>
            </w:pPr>
            <w:r>
              <w:rPr>
                <w:rFonts w:eastAsiaTheme="minorEastAsia"/>
                <w:color w:val="000000"/>
                <w:sz w:val="24"/>
                <w:szCs w:val="24"/>
              </w:rPr>
              <w:t>过去三个月</w:t>
            </w:r>
          </w:p>
        </w:tc>
        <w:tc>
          <w:tcPr>
            <w:vAlign w:val="center"/>
          </w:tcPr>
          <w:p>
            <w:pPr>
              <w:jc w:val="center"/>
            </w:pPr>
            <w:r>
              <w:rPr>
                <w:rFonts w:eastAsiaTheme="minorEastAsia"/>
                <w:color w:val="000000"/>
                <w:sz w:val="24"/>
                <w:szCs w:val="24"/>
              </w:rPr>
              <w:t>1.26%</w:t>
            </w:r>
          </w:p>
        </w:tc>
        <w:tc>
          <w:tcPr>
            <w:vAlign w:val="center"/>
          </w:tcPr>
          <w:p>
            <w:pPr>
              <w:jc w:val="center"/>
            </w:pPr>
            <w:r>
              <w:rPr>
                <w:rFonts w:eastAsiaTheme="minorEastAsia"/>
                <w:color w:val="000000"/>
                <w:sz w:val="24"/>
                <w:szCs w:val="24"/>
              </w:rPr>
              <w:t>0.15%</w:t>
            </w:r>
          </w:p>
        </w:tc>
        <w:tc>
          <w:tcPr>
            <w:vAlign w:val="center"/>
          </w:tcPr>
          <w:p>
            <w:pPr>
              <w:jc w:val="center"/>
            </w:pPr>
            <w:r>
              <w:rPr>
                <w:rFonts w:eastAsiaTheme="minorEastAsia"/>
                <w:color w:val="000000"/>
                <w:sz w:val="24"/>
                <w:szCs w:val="24"/>
              </w:rPr>
              <w:t>3.67%</w:t>
            </w:r>
          </w:p>
        </w:tc>
        <w:tc>
          <w:tcPr>
            <w:vAlign w:val="center"/>
          </w:tcPr>
          <w:p>
            <w:pPr>
              <w:jc w:val="center"/>
            </w:pPr>
            <w:r>
              <w:rPr>
                <w:rFonts w:eastAsiaTheme="minorEastAsia"/>
                <w:color w:val="000000"/>
                <w:sz w:val="24"/>
                <w:szCs w:val="24"/>
              </w:rPr>
              <w:t>0.41%</w:t>
            </w:r>
          </w:p>
        </w:tc>
        <w:tc>
          <w:tcPr>
            <w:vAlign w:val="center"/>
          </w:tcPr>
          <w:p>
            <w:pPr>
              <w:jc w:val="center"/>
            </w:pPr>
            <w:r>
              <w:rPr>
                <w:rFonts w:eastAsiaTheme="minorEastAsia"/>
                <w:color w:val="000000"/>
                <w:sz w:val="24"/>
                <w:szCs w:val="24"/>
              </w:rPr>
              <w:t>-2.41%</w:t>
            </w:r>
          </w:p>
        </w:tc>
        <w:tc>
          <w:tcPr>
            <w:vAlign w:val="center"/>
          </w:tcPr>
          <w:p>
            <w:pPr>
              <w:jc w:val="center"/>
            </w:pPr>
            <w:r>
              <w:rPr>
                <w:rFonts w:eastAsiaTheme="minorEastAsia"/>
                <w:color w:val="000000"/>
                <w:sz w:val="24"/>
                <w:szCs w:val="24"/>
              </w:rPr>
              <w:t>-0.26%</w:t>
            </w:r>
          </w:p>
        </w:tc>
      </w:tr>
    </w:tbl>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3.2.2</w:t>
      </w:r>
      <w:r w:rsidR="00BF48B1" w:rsidRPr="00550FEB">
        <w:rPr>
          <w:rFonts w:asciiTheme="minorEastAsia" w:eastAsiaTheme="minorEastAsia" w:hAnsiTheme="minorEastAsia"/>
          <w:b/>
          <w:bCs/>
          <w:color w:val="000000"/>
          <w:sz w:val="24"/>
        </w:rPr>
        <w:t>自基金合同生效以来</w:t>
      </w:r>
      <w:r w:rsidR="00FB0BC9" w:rsidRPr="001611C5">
        <w:rPr>
          <w:rFonts w:asciiTheme="minorEastAsia" w:eastAsiaTheme="minorEastAsia" w:hAnsiTheme="minorEastAsia" w:hint="eastAsia"/>
          <w:b/>
          <w:bCs/>
          <w:color w:val="000000"/>
          <w:kern w:val="0"/>
          <w:sz w:val="24"/>
          <w:szCs w:val="24"/>
        </w:rPr>
        <w:t>基金累计</w:t>
      </w:r>
      <w:r w:rsidRPr="001611C5">
        <w:rPr>
          <w:rFonts w:asciiTheme="minorEastAsia" w:eastAsiaTheme="minorEastAsia" w:hAnsiTheme="minorEastAsia" w:hint="eastAsia"/>
          <w:b/>
          <w:bCs/>
          <w:color w:val="000000"/>
          <w:kern w:val="0"/>
          <w:sz w:val="24"/>
          <w:szCs w:val="24"/>
        </w:rPr>
        <w:t>净值增长率变动及其与同期业绩比较基准收益率变动的比较</w:t>
      </w:r>
    </w:p>
    <w:p w:rsidR="008606B6" w:rsidRPr="006B72F7" w:rsidRDefault="008606B6" w:rsidP="009E7C6A">
      <w:pPr>
        <w:spacing w:line="360" w:lineRule="auto"/>
        <w:jc w:val="center"/>
        <w:rPr>
          <w:rFonts w:eastAsiaTheme="minorEastAsia"/>
          <w:color w:val="000000"/>
          <w:sz w:val="24"/>
          <w:szCs w:val="24"/>
        </w:rPr>
      </w:pPr>
      <w:r w:rsidRPr="006B72F7">
        <w:rPr>
          <w:rFonts w:eastAsiaTheme="minorEastAsia"/>
          <w:color w:val="000000"/>
          <w:sz w:val="24"/>
          <w:szCs w:val="24"/>
        </w:rPr>
        <w:t>广发新常态灵活配置混合型证券投资基金</w:t>
      </w:r>
    </w:p>
    <w:p w:rsidR="004061AC" w:rsidRPr="006B72F7" w:rsidRDefault="00FB0BC9" w:rsidP="009E7C6A">
      <w:pPr>
        <w:pStyle w:val="a5"/>
        <w:snapToGrid w:val="0"/>
        <w:spacing w:line="360" w:lineRule="auto"/>
        <w:jc w:val="center"/>
        <w:rPr>
          <w:rFonts w:ascii="Times New Roman" w:eastAsiaTheme="minorEastAsia" w:hAnsi="Times New Roman" w:cs="Times New Roman"/>
          <w:color w:val="000000"/>
          <w:sz w:val="24"/>
          <w:szCs w:val="24"/>
        </w:rPr>
      </w:pPr>
      <w:r w:rsidRPr="006B72F7">
        <w:rPr>
          <w:rFonts w:ascii="Times New Roman" w:eastAsiaTheme="minorEastAsia" w:hAnsi="Times New Roman" w:cs="Times New Roman"/>
          <w:color w:val="000000"/>
          <w:sz w:val="24"/>
          <w:szCs w:val="24"/>
        </w:rPr>
        <w:t>累计净值增长率与业绩比较基准收益率</w:t>
      </w:r>
      <w:r w:rsidR="004061AC" w:rsidRPr="006B72F7">
        <w:rPr>
          <w:rFonts w:ascii="Times New Roman" w:eastAsiaTheme="minorEastAsia" w:hAnsi="Times New Roman" w:cs="Times New Roman"/>
          <w:color w:val="000000"/>
          <w:sz w:val="24"/>
          <w:szCs w:val="24"/>
        </w:rPr>
        <w:t>历史走势对比图</w:t>
      </w:r>
    </w:p>
    <w:p w:rsidR="00AE7962" w:rsidRPr="006B72F7" w:rsidRDefault="00AE7962" w:rsidP="009E7C6A">
      <w:pPr>
        <w:pStyle w:val="a5"/>
        <w:snapToGrid w:val="0"/>
        <w:spacing w:line="360" w:lineRule="auto"/>
        <w:ind w:firstLine="480"/>
        <w:jc w:val="center"/>
        <w:rPr>
          <w:rFonts w:ascii="Times New Roman" w:eastAsiaTheme="minorEastAsia" w:hAnsi="Times New Roman" w:cs="Times New Roman"/>
          <w:sz w:val="24"/>
          <w:szCs w:val="24"/>
        </w:rPr>
      </w:pPr>
      <w:r w:rsidRPr="006B72F7">
        <w:rPr>
          <w:rFonts w:ascii="Times New Roman" w:eastAsiaTheme="minorEastAsia" w:hAnsi="Times New Roman" w:cs="Times New Roman"/>
          <w:sz w:val="24"/>
          <w:szCs w:val="24"/>
        </w:rPr>
        <w:t>(</w:t>
      </w:r>
      <w:r w:rsidR="0042009D" w:rsidRPr="006B72F7">
        <w:rPr>
          <w:rFonts w:ascii="Times New Roman" w:eastAsiaTheme="minorEastAsia" w:hAnsi="Times New Roman" w:cs="Times New Roman"/>
          <w:sz w:val="24"/>
          <w:szCs w:val="24"/>
        </w:rPr>
        <w:t>2016年12月5日</w:t>
      </w:r>
      <w:r w:rsidRPr="006B72F7">
        <w:rPr>
          <w:rFonts w:ascii="Times New Roman" w:eastAsiaTheme="minorEastAsia" w:hAnsi="Times New Roman" w:cs="Times New Roman"/>
          <w:sz w:val="24"/>
          <w:szCs w:val="24"/>
        </w:rPr>
        <w:t>至</w:t>
      </w:r>
      <w:r w:rsidRPr="006B72F7">
        <w:rPr>
          <w:rFonts w:ascii="Times New Roman" w:eastAsiaTheme="minorEastAsia" w:hAnsi="Times New Roman" w:cs="Times New Roman"/>
          <w:sz w:val="24"/>
          <w:szCs w:val="24"/>
        </w:rPr>
        <w:t>2017年9月30日)</w:t>
      </w:r>
    </w:p>
    <w:p w:rsidR="004061AC" w:rsidRPr="001611C5" w:rsidRDefault="00866CF2" w:rsidP="004061AC">
      <w:pPr>
        <w:pStyle w:val="a5"/>
        <w:snapToGrid w:val="0"/>
        <w:spacing w:before="120" w:line="360" w:lineRule="auto"/>
        <w:jc w:val="center"/>
        <w:rPr>
          <w:rFonts w:asciiTheme="minorEastAsia" w:eastAsiaTheme="minorEastAsia" w:hAnsiTheme="minorEastAsia"/>
          <w:color w:val="000000"/>
          <w:sz w:val="24"/>
          <w:szCs w:val="24"/>
        </w:rPr>
      </w:pPr>
      <w:r w:rsidRPr="001611C5">
        <w:rPr>
          <w:rFonts w:asciiTheme="minorEastAsia" w:eastAsiaTheme="minorEastAsia" w:hAnsiTheme="minorEastAsia"/>
          <w:noProof/>
          <w:color w:val="000000"/>
          <w:sz w:val="24"/>
          <w:szCs w:val="24"/>
        </w:rPr>
        <w:drawing>
          <wp:inline distT="0" distB="0" distL="0" distR="0" wp14:anchorId="45E0F678" wp14:editId="625C2D49">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6850" cy="3086100"/>
                    </a:xfrm>
                    <a:prstGeom prst="rect">
                      <a:avLst/>
                    </a:prstGeom>
                    <a:noFill/>
                    <a:ln>
                      <a:noFill/>
                    </a:ln>
                  </pic:spPr>
                </pic:pic>
              </a:graphicData>
            </a:graphic>
          </wp:inline>
        </w:drawing>
      </w:r>
    </w:p>
    <w:p>
      <w:pPr>
        <w:spacing w:line="360" w:lineRule="auto"/>
        <w:ind w:firstLineChars="200" w:firstLine="480"/>
        <w:rPr>
          <w:rFonts w:eastAsiaTheme="minorEastAsia"/>
          <w:color w:val="000000"/>
          <w:sz w:val="24"/>
          <w:szCs w:val="24"/>
        </w:rPr>
      </w:pPr>
      <w:r>
        <w:rPr>
          <w:rFonts w:eastAsiaTheme="minorEastAsia"/>
          <w:color w:val="000000"/>
          <w:sz w:val="24"/>
          <w:szCs w:val="24"/>
        </w:rPr>
        <w:t>注：（1）本基金合同生效日期为2016年12月5日，至披露时点本基金成立未满一年。</w:t>
      </w:r>
    </w:p>
    <w:p w:rsidR="00957594" w:rsidRPr="006B72F7" w:rsidRDefault="001C79F2"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008700EC" w:rsidRPr="00CD2DB1">
        <w:rPr>
          <w:rFonts w:eastAsiaTheme="minorEastAsia" w:hint="eastAsia"/>
          <w:color w:val="000000"/>
          <w:sz w:val="24"/>
          <w:szCs w:val="24"/>
        </w:rPr>
        <w:t/>
      </w:r>
      <w:r w:rsidRPr="00CD2DB1">
        <w:rPr>
          <w:rFonts w:eastAsiaTheme="minorEastAsia" w:hint="eastAsia"/>
          <w:color w:val="000000"/>
          <w:sz w:val="24"/>
          <w:szCs w:val="24"/>
        </w:rPr>
        <w:t/>
      </w:r>
      <w:r w:rsidR="004061AC" w:rsidRPr="00CD2DB1">
        <w:rPr>
          <w:rFonts w:eastAsiaTheme="minorEastAsia"/>
          <w:color w:val="000000"/>
          <w:sz w:val="24"/>
          <w:szCs w:val="24"/>
        </w:rPr>
        <w:t>（2）本基金建仓期为基金合同生效后6个月，建仓期结束时各项资产配置比例符合本基金合同有关规定。</w:t>
      </w:r>
    </w:p>
    <w:p w:rsidR="004061AC" w:rsidRPr="001611C5" w:rsidRDefault="004061AC" w:rsidP="001B2F35">
      <w:pPr>
        <w:pStyle w:val="1"/>
        <w:spacing w:beforeLines="100" w:before="312" w:afterLines="100" w:after="312"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4  </w:t>
      </w:r>
      <w:r w:rsidRPr="001611C5">
        <w:rPr>
          <w:rFonts w:asciiTheme="minorEastAsia" w:eastAsiaTheme="minorEastAsia" w:hAnsiTheme="minorEastAsia" w:hint="eastAsia"/>
          <w:color w:val="000000"/>
          <w:kern w:val="0"/>
          <w:sz w:val="24"/>
          <w:szCs w:val="24"/>
        </w:rPr>
        <w:t>管理人报告</w:t>
      </w:r>
    </w:p>
    <w:p w:rsidR="00B12B7D"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4.1 </w:t>
      </w:r>
      <w:r w:rsidRPr="001611C5">
        <w:rPr>
          <w:rFonts w:asciiTheme="minorEastAsia" w:eastAsiaTheme="minorEastAsia" w:hAnsiTheme="minorEastAsia" w:hint="eastAsia"/>
          <w:b/>
          <w:bCs/>
          <w:color w:val="000000"/>
          <w:kern w:val="0"/>
          <w:sz w:val="24"/>
          <w:szCs w:val="24"/>
        </w:rPr>
        <w:t>基金经理</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或基金经理小组</w:t>
      </w:r>
      <w:r w:rsidR="00D57B7C" w:rsidRPr="001611C5">
        <w:rPr>
          <w:rFonts w:asciiTheme="minorEastAsia" w:eastAsiaTheme="minorEastAsia" w:hAnsiTheme="minorEastAsia" w:hint="eastAsia"/>
          <w:b/>
          <w:bCs/>
          <w:color w:val="000000"/>
          <w:kern w:val="0"/>
          <w:sz w:val="24"/>
          <w:szCs w:val="24"/>
        </w:rPr>
        <w:t>)</w:t>
      </w:r>
      <w:r w:rsidRPr="001611C5">
        <w:rPr>
          <w:rFonts w:asciiTheme="minorEastAsia" w:eastAsiaTheme="minorEastAsia" w:hAnsiTheme="minorEastAsia" w:hint="eastAsia"/>
          <w:b/>
          <w:bCs/>
          <w:color w:val="000000"/>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701"/>
        <w:gridCol w:w="1134"/>
        <w:gridCol w:w="1134"/>
        <w:gridCol w:w="1417"/>
        <w:gridCol w:w="2694"/>
      </w:tblGrid>
      <w:tr w:rsidR="00286BEF" w:rsidRPr="001611C5" w:rsidTr="00091D41">
        <w:trPr>
          <w:cantSplit/>
          <w:trHeight w:val="292"/>
        </w:trPr>
        <w:tc>
          <w:tcPr>
            <w:tcW w:w="85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姓名</w:t>
            </w:r>
          </w:p>
        </w:tc>
        <w:tc>
          <w:tcPr>
            <w:tcW w:w="1701"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职务</w:t>
            </w:r>
          </w:p>
        </w:tc>
        <w:tc>
          <w:tcPr>
            <w:tcW w:w="2268" w:type="dxa"/>
            <w:gridSpan w:val="2"/>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任本基金的基金经理期限</w:t>
            </w:r>
          </w:p>
        </w:tc>
        <w:tc>
          <w:tcPr>
            <w:tcW w:w="1417" w:type="dxa"/>
            <w:vMerge w:val="restart"/>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证券从业年限</w:t>
            </w:r>
          </w:p>
        </w:tc>
        <w:tc>
          <w:tcPr>
            <w:tcW w:w="2694" w:type="dxa"/>
            <w:vMerge w:val="restart"/>
            <w:vAlign w:val="center"/>
          </w:tcPr>
          <w:p w:rsidR="004061AC" w:rsidRPr="006B72F7" w:rsidRDefault="004061AC" w:rsidP="008014F9">
            <w:pPr>
              <w:widowControl/>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说明</w:t>
            </w:r>
          </w:p>
        </w:tc>
      </w:tr>
      <w:tr w:rsidR="00D13737" w:rsidRPr="001611C5" w:rsidTr="00091D41">
        <w:trPr>
          <w:cantSplit/>
        </w:trPr>
        <w:tc>
          <w:tcPr>
            <w:tcW w:w="85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701"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任职日期</w:t>
            </w:r>
          </w:p>
        </w:tc>
        <w:tc>
          <w:tcPr>
            <w:tcW w:w="1134" w:type="dxa"/>
            <w:vAlign w:val="center"/>
          </w:tcPr>
          <w:p w:rsidR="004061AC" w:rsidRPr="006B72F7" w:rsidRDefault="004061AC" w:rsidP="008014F9">
            <w:pPr>
              <w:autoSpaceDE w:val="0"/>
              <w:autoSpaceDN w:val="0"/>
              <w:adjustRightInd w:val="0"/>
              <w:spacing w:before="29" w:line="360" w:lineRule="auto"/>
              <w:ind w:left="17"/>
              <w:jc w:val="center"/>
              <w:rPr>
                <w:rFonts w:eastAsiaTheme="minorEastAsia"/>
                <w:color w:val="000000"/>
                <w:kern w:val="0"/>
                <w:sz w:val="24"/>
                <w:szCs w:val="24"/>
              </w:rPr>
            </w:pPr>
            <w:r w:rsidRPr="006B72F7">
              <w:rPr>
                <w:rFonts w:eastAsiaTheme="minorEastAsia"/>
                <w:color w:val="000000"/>
                <w:kern w:val="0"/>
                <w:sz w:val="24"/>
                <w:szCs w:val="24"/>
              </w:rPr>
              <w:t>离任日期</w:t>
            </w:r>
          </w:p>
        </w:tc>
        <w:tc>
          <w:tcPr>
            <w:tcW w:w="1417"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c>
          <w:tcPr>
            <w:tcW w:w="2694" w:type="dxa"/>
            <w:vMerge/>
            <w:vAlign w:val="center"/>
          </w:tcPr>
          <w:p w:rsidR="004061AC" w:rsidRPr="006B72F7" w:rsidRDefault="004061AC" w:rsidP="008014F9">
            <w:pPr>
              <w:widowControl/>
              <w:spacing w:line="360" w:lineRule="auto"/>
              <w:jc w:val="left"/>
              <w:rPr>
                <w:rFonts w:eastAsiaTheme="minorEastAsia"/>
                <w:color w:val="000000"/>
                <w:kern w:val="0"/>
                <w:sz w:val="24"/>
                <w:szCs w:val="24"/>
              </w:rPr>
            </w:pPr>
          </w:p>
        </w:tc>
      </w:tr>
      <w:tr>
        <w:tc>
          <w:tcPr>
            <w:vAlign w:val="center"/>
          </w:tcPr>
          <w:p>
            <w:pPr>
              <w:jc w:val="center"/>
            </w:pPr>
            <w:r>
              <w:rPr>
                <w:rFonts w:eastAsiaTheme="minorEastAsia"/>
                <w:color w:val="000000"/>
                <w:sz w:val="24"/>
                <w:szCs w:val="24"/>
              </w:rPr>
              <w:t>代宇</w:t>
            </w:r>
          </w:p>
        </w:tc>
        <w:tc>
          <w:tcPr>
            <w:vAlign w:val="center"/>
          </w:tcPr>
          <w:p>
            <w:pPr>
              <w:jc w:val="center"/>
            </w:pPr>
            <w:r>
              <w:rPr>
                <w:rFonts w:eastAsiaTheme="minorEastAsia"/>
                <w:color w:val="000000"/>
                <w:sz w:val="24"/>
                <w:szCs w:val="24"/>
              </w:rPr>
              <w:t>本基金的基金经理；广发聚利债券基金的基金经理；广发聚财信用债券基金的基金经理；广发集利一年定期开放债券基金的基金经理；广发成长优选混合基金的基金经理；广发聚惠混合基金的基金经理；广发安泰回报基金的基金经理；广发安心回报基金的基金经理；广发双债添利债券基金的基金经理；广发安瑞回报混合基金的基金经理；广发安祥回报混合基金的基金经理；广发集丰债券基金的基金经理；广发汇瑞一年定开债券基金的基金经理；广发汇平一年定期债券基金的基金经理；广发安泽回报纯债基金的基金经理；广发汇富一年定期债券基金的基金经理；广发汇安18个月定期债券基金的基金经理；广发汇祥一年定期债券基金的基金经理；广发量化稳健混合基金的基金经理；固定收益部副总经理</w:t>
            </w:r>
          </w:p>
        </w:tc>
        <w:tc>
          <w:tcPr>
            <w:vAlign w:val="center"/>
          </w:tcPr>
          <w:p>
            <w:pPr>
              <w:jc w:val="center"/>
            </w:pPr>
            <w:r>
              <w:rPr>
                <w:rFonts w:eastAsiaTheme="minorEastAsia"/>
                <w:color w:val="000000"/>
                <w:sz w:val="24"/>
                <w:szCs w:val="24"/>
              </w:rPr>
              <w:t>2016-12-12</w:t>
            </w:r>
          </w:p>
        </w:tc>
        <w:tc>
          <w:tcPr>
            <w:vAlign w:val="center"/>
          </w:tcPr>
          <w:p>
            <w:pPr>
              <w:jc w:val="center"/>
            </w:pPr>
            <w:r>
              <w:rPr>
                <w:rFonts w:eastAsiaTheme="minorEastAsia"/>
                <w:color w:val="000000"/>
                <w:sz w:val="24"/>
                <w:szCs w:val="24"/>
              </w:rPr>
              <w:t>2017-09-01</w:t>
            </w:r>
          </w:p>
        </w:tc>
        <w:tc>
          <w:tcPr>
            <w:vAlign w:val="center"/>
          </w:tcPr>
          <w:p>
            <w:pPr>
              <w:jc w:val="center"/>
            </w:pPr>
            <w:r>
              <w:rPr>
                <w:rFonts w:eastAsiaTheme="minorEastAsia"/>
                <w:color w:val="000000"/>
                <w:sz w:val="24"/>
                <w:szCs w:val="24"/>
              </w:rPr>
              <w:t>12年</w:t>
            </w:r>
          </w:p>
        </w:tc>
        <w:tc>
          <w:tcPr>
            <w:vAlign w:val="center"/>
          </w:tcPr>
          <w:p>
            <w:pPr>
              <w:jc w:val="both"/>
            </w:pPr>
            <w:r>
              <w:rPr>
                <w:rFonts w:eastAsiaTheme="minorEastAsia"/>
                <w:color w:val="000000"/>
                <w:sz w:val="24"/>
                <w:szCs w:val="24"/>
              </w:rPr>
              <w:t>女，中国籍，金融学硕士，持有中国证券投资基金业从业证书，2005年7月至2011年6月先后任广发基金管理有限公司固定收益部研究员及交易员、国际业务部研究员、机构投资部专户投资经理，2011年7月调入固定收益部任投资人员，2011年8月5日起任广发聚利债券基金的基金经理，2012年3月13日起任广发聚财信用债券基金的基金经理，2013年6月5日至2015年7月23日任广发聚鑫债券基金的基金经理，2013年8月21日起任广发集利一年定期开放债券基金的基金经理，2015年2月17日起任广发成长优选混合基金的基金经理，2015年4月15日起任广发聚惠混合基金的基金经理，2015年5月14日起任广发安泰回报混合基金和广发安心回报混合基金的基金经理，2015年5月27日起任广发双债添利债券基金的基金经理，2016年4月26日起任固定收益部副总经理，2016年7月26日起任广发安瑞回报混合基金的基金经理，2016年8月19日起任广发安祥回报混合基金的基金经理，2016年11月9日起任广发集丰债券基金的基金经理，2016年11月28日起任广发汇瑞一年定开债券基金的基金经理，2016年12月13日起任广发新常态混合基金的基金经理，2017年1月6日起任广发汇平一年定期债券基金的基金经理，2017年2月8日起任广发安泽回报纯债债券基金的基金经理，2017年2月13日起任广发汇富一年定期债券基金的基金经理，2017年3月31日起任广发汇安18个月定期债券基金的基金经理，2017年6月27日起任广发汇祥一年定期债券基金的基金经理，2017年8月4日起任广发量化稳健混合基金的基金经理。</w:t>
            </w:r>
          </w:p>
        </w:tc>
      </w:tr>
      <w:tr>
        <w:tc>
          <w:tcPr>
            <w:vAlign w:val="center"/>
          </w:tcPr>
          <w:p>
            <w:pPr>
              <w:jc w:val="center"/>
            </w:pPr>
            <w:r>
              <w:rPr>
                <w:rFonts w:eastAsiaTheme="minorEastAsia"/>
                <w:color w:val="000000"/>
                <w:sz w:val="24"/>
                <w:szCs w:val="24"/>
              </w:rPr>
              <w:t>王小松</w:t>
            </w:r>
          </w:p>
        </w:tc>
        <w:tc>
          <w:tcPr>
            <w:vAlign w:val="center"/>
          </w:tcPr>
          <w:p>
            <w:pPr>
              <w:jc w:val="center"/>
            </w:pPr>
            <w:r>
              <w:rPr>
                <w:rFonts w:eastAsiaTheme="minorEastAsia"/>
                <w:color w:val="000000"/>
                <w:sz w:val="24"/>
                <w:szCs w:val="24"/>
              </w:rPr>
              <w:t>本基金的基金经理；广发策略优选混合基金的基金经理；广发成长优选混合基金的基金经理；广发内需增长混合基金的基金经理；广发新兴产业精选混合基金的基金经理；广发改革混合基金的基金经理</w:t>
            </w:r>
          </w:p>
        </w:tc>
        <w:tc>
          <w:tcPr>
            <w:vAlign w:val="center"/>
          </w:tcPr>
          <w:p>
            <w:pPr>
              <w:jc w:val="center"/>
            </w:pPr>
            <w:r>
              <w:rPr>
                <w:rFonts w:eastAsiaTheme="minorEastAsia"/>
                <w:color w:val="000000"/>
                <w:sz w:val="24"/>
                <w:szCs w:val="24"/>
              </w:rPr>
              <w:t>2016-12-05</w:t>
            </w:r>
          </w:p>
        </w:tc>
        <w:tc>
          <w:tcPr>
            <w:vAlign w:val="center"/>
          </w:tcPr>
          <w:p>
            <w:pPr>
              <w:jc w:val="center"/>
            </w:pPr>
            <w:r>
              <w:rPr>
                <w:rFonts w:eastAsiaTheme="minorEastAsia"/>
                <w:color w:val="000000"/>
                <w:sz w:val="24"/>
                <w:szCs w:val="24"/>
              </w:rPr>
              <w:t>2017-09-01</w:t>
            </w:r>
          </w:p>
        </w:tc>
        <w:tc>
          <w:tcPr>
            <w:vAlign w:val="center"/>
          </w:tcPr>
          <w:p>
            <w:pPr>
              <w:jc w:val="center"/>
            </w:pPr>
            <w:r>
              <w:rPr>
                <w:rFonts w:eastAsiaTheme="minorEastAsia"/>
                <w:color w:val="000000"/>
                <w:sz w:val="24"/>
                <w:szCs w:val="24"/>
              </w:rPr>
              <w:t>10年</w:t>
            </w:r>
          </w:p>
        </w:tc>
        <w:tc>
          <w:tcPr>
            <w:vAlign w:val="center"/>
          </w:tcPr>
          <w:p>
            <w:pPr>
              <w:jc w:val="both"/>
            </w:pPr>
            <w:r>
              <w:rPr>
                <w:rFonts w:eastAsiaTheme="minorEastAsia"/>
                <w:color w:val="000000"/>
                <w:sz w:val="24"/>
                <w:szCs w:val="24"/>
              </w:rPr>
              <w:t>男，中国籍，经济学硕士，持有中国证券投资基金业从业证书，自2007年7月至2009年9月在联合证券有限责任公司投资银行总部从事投行业务，2009年10月至2013年5月先后在华泰联合证券有限责任公司和国联安基金管理有限公司任研究员，2013年6月起加入广发基金管理有限公司，先后在研究发展部和权益投资一部任研究员，2014年12月24日起任广发策略优选混合基金的基金经理，2015年2月17日起任广发成长优选混合基金的基金经理，2015年6月13日起任广发内需增长混合基金的基金经理，2016年1月29日起任广发新兴产业精选混合基金的基金经理，2016年12月5日起任广发新常态混合基金的基金经理，2017年4月21日起任广发改革混合基金的基金经理。</w:t>
            </w:r>
          </w:p>
        </w:tc>
      </w:tr>
    </w:tbl>
    <w:p>
      <w:pPr>
        <w:spacing w:line="360" w:lineRule="auto"/>
        <w:ind w:firstLineChars="200" w:firstLine="480"/>
        <w:rPr>
          <w:rFonts w:eastAsiaTheme="minorEastAsia"/>
          <w:color w:val="000000"/>
          <w:sz w:val="24"/>
          <w:szCs w:val="24"/>
        </w:rPr>
      </w:pPr>
      <w:r>
        <w:rPr>
          <w:rFonts w:eastAsiaTheme="minorEastAsia"/>
          <w:color w:val="000000"/>
          <w:sz w:val="24"/>
          <w:szCs w:val="24"/>
        </w:rPr>
        <w:t>注：1.“任职日期”和“离职日期”指公司公告聘任或解聘日期。</w:t>
      </w:r>
    </w:p>
    <w:p w:rsidR="004061AC" w:rsidRPr="006B72F7" w:rsidRDefault="00F743D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004061AC" w:rsidRPr="00CD2DB1">
        <w:rPr>
          <w:rFonts w:eastAsiaTheme="minorEastAsia"/>
          <w:color w:val="000000"/>
          <w:sz w:val="24"/>
          <w:szCs w:val="24"/>
        </w:rPr>
        <w:t>2.证券从业的含义遵从行业协会《证券业从业人员资格管理办法》的相关规定。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4.2 </w:t>
      </w:r>
      <w:r w:rsidRPr="001611C5">
        <w:rPr>
          <w:rFonts w:asciiTheme="minorEastAsia" w:eastAsiaTheme="minorEastAsia" w:hAnsiTheme="minorEastAsia" w:hint="eastAsia"/>
          <w:b/>
          <w:bCs/>
          <w:color w:val="000000"/>
          <w:kern w:val="0"/>
          <w:sz w:val="24"/>
          <w:szCs w:val="24"/>
        </w:rPr>
        <w:t>管理人对报告期内本基金运作遵规守信情况的说明</w:t>
      </w:r>
    </w:p>
    <w:p w:rsidR="004061AC" w:rsidRPr="006B72F7" w:rsidRDefault="004061AC"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报告期内，本基金管理人严格遵守《中华人民共和国证券投资基金法》及其配套法规、《广发新常态灵活配置混合型证券投资基金基金合同》和其他有关法律法规的规定，本着诚实信用、勤勉尽责的原则管理和运用基金资产，在严格控制风险的基础上，为基金份额持有人谋求最大利益。本报告期内，基金运作合法合规，无损害基金持有人利益的行为，基金的投资管理符合有关法规及基金合同的规定。</w:t>
      </w:r>
    </w:p>
    <w:p w:rsidR="004061AC" w:rsidRPr="001611C5" w:rsidRDefault="004061AC" w:rsidP="009E7C6A">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4.3 </w:t>
      </w:r>
      <w:r w:rsidRPr="001611C5">
        <w:rPr>
          <w:rFonts w:asciiTheme="minorEastAsia" w:eastAsiaTheme="minorEastAsia" w:hAnsiTheme="minorEastAsia" w:hint="eastAsia"/>
          <w:b/>
          <w:bCs/>
          <w:color w:val="000000"/>
          <w:kern w:val="0"/>
          <w:sz w:val="24"/>
          <w:szCs w:val="24"/>
        </w:rPr>
        <w:t>公平交易专项说明</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4.3.1 </w:t>
      </w:r>
      <w:r w:rsidRPr="001611C5">
        <w:rPr>
          <w:rFonts w:asciiTheme="minorEastAsia" w:eastAsiaTheme="minorEastAsia" w:hAnsiTheme="minorEastAsia" w:hint="eastAsia"/>
          <w:color w:val="000000"/>
          <w:sz w:val="24"/>
          <w:szCs w:val="24"/>
        </w:rPr>
        <w:t>公平交易制度的执行情况</w:t>
      </w:r>
    </w:p>
    <w:p>
      <w:pPr>
        <w:spacing w:line="360" w:lineRule="auto"/>
        <w:ind w:firstLineChars="200" w:firstLine="480"/>
        <w:rPr>
          <w:rFonts w:eastAsiaTheme="minorEastAsia"/>
          <w:color w:val="000000"/>
          <w:sz w:val="24"/>
          <w:szCs w:val="24"/>
        </w:rPr>
      </w:pPr>
      <w:r>
        <w:rPr>
          <w:rFonts w:eastAsiaTheme="minorEastAsia"/>
          <w:color w:val="000000"/>
          <w:sz w:val="24"/>
          <w:szCs w:val="24"/>
        </w:rPr>
        <w:t>公司通过建立科学、制衡的投资决策体系，加强交易分配环节的内部控制，并通过实时的行为监控与及时的分析评估，保证公平交易原则的实现。</w:t>
      </w:r>
    </w:p>
    <w:p>
      <w:pPr>
        <w:spacing w:line="360" w:lineRule="auto"/>
        <w:ind w:firstLineChars="200" w:firstLine="480"/>
        <w:rPr>
          <w:rFonts w:eastAsiaTheme="minorEastAsia"/>
          <w:color w:val="000000"/>
          <w:sz w:val="24"/>
          <w:szCs w:val="24"/>
        </w:rPr>
      </w:pPr>
      <w:r>
        <w:rPr>
          <w:rFonts w:eastAsiaTheme="minorEastAsia"/>
          <w:color w:val="000000"/>
          <w:sz w:val="24"/>
          <w:szCs w:val="24"/>
        </w:rPr>
        <w:t>在投资决策的内部控制方面，公司制度规定投资组合投资的股票必须来源于备选股票库，重点投资的股票必须来源于核心股票库。公司建立了严格的投资授权制度，投资组合经理在授权范围内可以自主决策，超过投资权限的操作需要经过严格的审批程序。在交易过程中，中央交易部按照“时间优先、价格优先、比例分配、综合平衡”的原则，公平分配投资指令。监察稽核部风险控制岗通过投资交易系统对投资交易过程进行实时监控及预警，实现投资风险的事中风险控制；稽核岗通过对投资、研究及交易等全流程的独立监察稽核，实现投资风险的事后控制。</w:t>
      </w:r>
    </w:p>
    <w:p w:rsidR="004061AC" w:rsidRPr="00CD2DB1" w:rsidRDefault="004061AC" w:rsidP="001611C5">
      <w:pPr>
        <w:spacing w:line="360" w:lineRule="auto"/>
        <w:ind w:firstLineChars="200" w:firstLine="480"/>
        <w:rPr>
          <w:rFonts w:eastAsiaTheme="minorEastAsia"/>
          <w:color w:val="000000"/>
          <w:sz w:val="24"/>
          <w:szCs w:val="24"/>
        </w:rPr>
      </w:pPr>
      <w:r w:rsidRPr="00CD2DB1">
        <w:rPr>
          <w:rFonts w:eastAsiaTheme="minorEastAsia"/>
          <w:color w:val="000000"/>
          <w:sz w:val="24"/>
          <w:szCs w:val="24"/>
        </w:rPr>
        <w:t/>
      </w:r>
      <w:r w:rsidR="00957594" w:rsidRPr="00CD2DB1">
        <w:rPr>
          <w:rFonts w:eastAsiaTheme="minorEastAsia"/>
          <w:color w:val="000000"/>
          <w:sz w:val="24"/>
          <w:szCs w:val="24"/>
        </w:rPr>
        <w:t/>
      </w:r>
      <w:r w:rsidRPr="00CD2DB1">
        <w:rPr>
          <w:rFonts w:eastAsiaTheme="minorEastAsia"/>
          <w:color w:val="000000"/>
          <w:sz w:val="24"/>
          <w:szCs w:val="24"/>
        </w:rPr>
        <w:t>本报告期内，上述公平交易制度总体执行情况良好，不同的投资组合受到了公平对待，未发生任何不公平的交易事项。</w:t>
      </w:r>
    </w:p>
    <w:p w:rsidR="004061AC" w:rsidRPr="001611C5" w:rsidRDefault="004061AC" w:rsidP="009E7C6A">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color w:val="000000"/>
          <w:sz w:val="24"/>
          <w:szCs w:val="24"/>
        </w:rPr>
        <w:t xml:space="preserve">4.3.2 </w:t>
      </w:r>
      <w:r w:rsidRPr="001611C5">
        <w:rPr>
          <w:rFonts w:asciiTheme="minorEastAsia" w:eastAsiaTheme="minorEastAsia" w:hAnsiTheme="minorEastAsia" w:hint="eastAsia"/>
          <w:color w:val="000000"/>
          <w:sz w:val="24"/>
          <w:szCs w:val="24"/>
        </w:rPr>
        <w:t>异常交易行为的专项说明</w:t>
      </w:r>
    </w:p>
    <w:p>
      <w:pPr>
        <w:spacing w:line="360" w:lineRule="auto"/>
        <w:ind w:firstLineChars="200" w:firstLine="480"/>
        <w:rPr>
          <w:rFonts w:eastAsiaTheme="minorEastAsia"/>
          <w:color w:val="000000"/>
          <w:sz w:val="24"/>
          <w:szCs w:val="24"/>
        </w:rPr>
      </w:pPr>
      <w:r>
        <w:rPr>
          <w:rFonts w:eastAsiaTheme="minorEastAsia" w:hint="eastAsia"/>
          <w:color w:val="000000"/>
          <w:sz w:val="24"/>
          <w:szCs w:val="24"/>
        </w:rPr>
        <w:t>本公司原则上禁止不同投资组合之间（完全按照有关指数的构成比例进行证券投资的投资组合除外）或同一投资组合在同一交易日内进行反向交易。如果因应对大额赎回等特殊情况需要进行反向交易的，则需经公司领导严格审批并留痕备查。</w:t>
      </w:r>
    </w:p>
    <w:p w:rsidR="004061AC" w:rsidRPr="006B72F7" w:rsidRDefault="0095759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Pr="00CD2DB1">
        <w:rPr>
          <w:rFonts w:eastAsiaTheme="minorEastAsia"/>
          <w:color w:val="000000"/>
          <w:sz w:val="24"/>
          <w:szCs w:val="24"/>
        </w:rPr>
        <w:t/>
      </w:r>
      <w:r w:rsidRPr="00CD2DB1">
        <w:rPr>
          <w:rFonts w:eastAsiaTheme="minorEastAsia" w:hint="eastAsia"/>
          <w:color w:val="000000"/>
          <w:sz w:val="24"/>
          <w:szCs w:val="24"/>
        </w:rPr>
        <w:t>本投资组合为主动型开放式基金。本报告期内，本投资组合与本公司管理的其他主动型投资组合未发生过同日反向交易的情况；与本公司管理的被动型投资组合发生过同日反向交易的情况，但成交较少的单边交易量不超过该证券当日成交量的5%。这些交易不存在任何利益输送的嫌疑。</w:t>
      </w:r>
    </w:p>
    <w:p w:rsidR="00091D41" w:rsidRPr="00B75DF8"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B75DF8">
        <w:rPr>
          <w:rFonts w:asciiTheme="minorEastAsia" w:eastAsiaTheme="minorEastAsia" w:hAnsiTheme="minorEastAsia" w:cs="Arial"/>
          <w:b/>
          <w:color w:val="000000"/>
          <w:kern w:val="0"/>
          <w:sz w:val="24"/>
        </w:rPr>
        <w:t>4.4</w:t>
      </w:r>
      <w:r w:rsidR="007650D9">
        <w:rPr>
          <w:rFonts w:asciiTheme="minorEastAsia" w:eastAsiaTheme="minorEastAsia" w:hAnsiTheme="minorEastAsia" w:cs="Arial" w:hint="eastAsia"/>
          <w:b/>
          <w:color w:val="000000"/>
          <w:kern w:val="0"/>
          <w:sz w:val="24"/>
        </w:rPr>
        <w:t xml:space="preserve"> </w:t>
      </w:r>
      <w:r>
        <w:rPr>
          <w:rFonts w:ascii="宋体" w:hAnsi="宋体" w:hint="eastAsia"/>
          <w:b/>
          <w:color w:val="000000"/>
          <w:sz w:val="24"/>
        </w:rPr>
        <w:t>报告期内基金的投资策略和运作分析</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2017年第3季度的债券市场仿佛是缩小版的第2季度,同样都是先跌后涨,振幅较大,前后对比整体继续下跌。并且国债表现都差过金融债和企业债。</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基本面来看，2017年第三季度和第二季度亦有相似之处。上一季度，始自2016年来的经济复苏小高潮有暂告一段落的迹象，3月多项数据为当期高点，四五月逐次降低。同样，6月数据显著超预期，之后7-8月接连回落，整体来说宏观经济呈现稳中趋降的特征。从生产看，6月工业增加值同比7.6%，大幅超出市场预期；7-8月工业增速下滑至6.0%，这一方面与环保限产带来的供给冲击有关，另一方面反映外需拉动的减弱；从国内需求来看，社零名义与实际增速6月以来震荡下行，地产相关类消费拖累整体数据表现，另外汽车消费也受到基数抬高的影响。固定资产投资方面，6-8月同样呈现下行走势，7月三大投资全线下滑，8月基建投资拖累整体投资表现。外贸方面，7-8月出口增速连续回落，进口尚属平稳。金融数据方面，6-8月整体反应出社融、信贷两旺的特征，9月信贷更是大超预期，同时广义货币增速不断创历史新低，8月M2增速更是跌破9%，9月回升到9.2%，反映金融同业杠杆的肃清。</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伴随以上基本面的变化，三季度，债市收益率整体先上后下，呈现倒“V型”走势。从时间节奏上看，7月-8月是收益率震荡上行期，推动收益率上行的因素包括大宗商品上行冲击市场通胀预期、低超储率背景下资金面阶段性收紧超预期等；9月是行情的转折点，流动性阶段性缓和、经济数据意外低于预期等因素推动收益率快速下行，9月中下旬开始重新转入震荡。全季来看利率债收益率小幅上行，收益率曲线先陡后平，信用利差先上后下。较上季末，10年国债上行5bp至3.61%附近；10年国开基本持平于4.19%附近。</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可转债市场方面，股市涨幅可观，尤其是白马股屡创新高，转债也有所表现。</w:t>
      </w:r>
    </w:p>
    <w:p>
      <w:pPr>
        <w:spacing w:line="360" w:lineRule="auto"/>
        <w:ind w:firstLineChars="200" w:firstLine="480"/>
        <w:rPr>
          <w:rFonts w:asciiTheme="minorEastAsia" w:eastAsiaTheme="minorEastAsia" w:hAnsiTheme="minorEastAsia"/>
          <w:color w:val="000000"/>
          <w:sz w:val="24"/>
        </w:rPr>
      </w:pPr>
      <w:r>
        <w:rPr>
          <w:rFonts w:eastAsiaTheme="minorEastAsia"/>
          <w:color w:val="000000"/>
          <w:sz w:val="24"/>
        </w:rPr>
        <w:t>截至9月30日，中债综合净价指数下跌0.35%。分品种看，中债国债总净价指数下跌0.87%；中证金融债净价指数下跌0.36%；中证企业债净价指数下跌0.25%。</w:t>
      </w:r>
    </w:p>
    <w:p w:rsidR="00091D41" w:rsidRPr="00B75DF8" w:rsidRDefault="00091D41" w:rsidP="00091D41">
      <w:pPr>
        <w:spacing w:line="360" w:lineRule="auto"/>
        <w:ind w:firstLineChars="200" w:firstLine="480"/>
        <w:rPr>
          <w:rFonts w:asciiTheme="minorEastAsia" w:eastAsiaTheme="minorEastAsia" w:hAnsiTheme="minorEastAsia"/>
          <w:color w:val="000000"/>
          <w:sz w:val="24"/>
        </w:rPr>
      </w:pPr>
      <w:r w:rsidRPr="00264591">
        <w:rPr>
          <w:rFonts w:eastAsiaTheme="minorEastAsia"/>
          <w:color w:val="000000"/>
          <w:sz w:val="24"/>
        </w:rPr>
        <w:lastRenderedPageBreak/>
        <w:t>本季度无操作。</w:t>
      </w:r>
    </w:p>
    <w:p w:rsidR="00091D41" w:rsidRPr="000A6C57"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Pr>
          <w:rFonts w:asciiTheme="minorEastAsia" w:eastAsiaTheme="minorEastAsia" w:hAnsiTheme="minorEastAsia" w:cs="Arial" w:hint="eastAsia"/>
          <w:b/>
          <w:color w:val="000000"/>
          <w:kern w:val="0"/>
          <w:sz w:val="24"/>
        </w:rPr>
        <w:t>4.5</w:t>
      </w:r>
      <w:r w:rsidR="007650D9">
        <w:rPr>
          <w:rFonts w:asciiTheme="minorEastAsia" w:eastAsiaTheme="minorEastAsia" w:hAnsiTheme="minorEastAsia" w:cs="Arial" w:hint="eastAsia"/>
          <w:b/>
          <w:color w:val="000000"/>
          <w:kern w:val="0"/>
          <w:sz w:val="24"/>
        </w:rPr>
        <w:t xml:space="preserve"> </w:t>
      </w:r>
      <w:r>
        <w:rPr>
          <w:rFonts w:ascii="宋体" w:hAnsi="宋体" w:hint="eastAsia"/>
          <w:b/>
          <w:color w:val="000000"/>
          <w:sz w:val="24"/>
        </w:rPr>
        <w:t>报告期内基金的业绩表现</w:t>
      </w:r>
    </w:p>
    <w:p w:rsidR="00091D41" w:rsidRPr="00264591" w:rsidRDefault="00091D41" w:rsidP="00091D41">
      <w:pPr>
        <w:spacing w:line="360" w:lineRule="auto"/>
        <w:ind w:firstLineChars="200" w:firstLine="480"/>
        <w:rPr>
          <w:rFonts w:eastAsiaTheme="minorEastAsia"/>
          <w:color w:val="000000"/>
          <w:sz w:val="24"/>
        </w:rPr>
      </w:pPr>
      <w:r w:rsidRPr="00264591">
        <w:rPr>
          <w:rFonts w:eastAsiaTheme="minorEastAsia"/>
          <w:color w:val="000000"/>
          <w:sz w:val="24"/>
        </w:rPr>
        <w:t>本报告期内，广发新常态净值增长率为1.26%，同期业绩比较基准收益率为3.67%。</w:t>
      </w:r>
    </w:p>
    <w:p w:rsidR="00091D41" w:rsidRPr="00C61B41" w:rsidRDefault="00091D41" w:rsidP="00091D41">
      <w:pPr>
        <w:autoSpaceDE w:val="0"/>
        <w:autoSpaceDN w:val="0"/>
        <w:adjustRightInd w:val="0"/>
        <w:spacing w:line="360" w:lineRule="auto"/>
        <w:jc w:val="left"/>
        <w:rPr>
          <w:rFonts w:asciiTheme="minorEastAsia" w:eastAsiaTheme="minorEastAsia" w:hAnsiTheme="minorEastAsia" w:cs="Arial"/>
          <w:b/>
          <w:color w:val="000000"/>
          <w:kern w:val="0"/>
          <w:sz w:val="24"/>
        </w:rPr>
      </w:pPr>
      <w:r w:rsidRPr="00C61B41">
        <w:rPr>
          <w:rFonts w:asciiTheme="minorEastAsia" w:eastAsiaTheme="minorEastAsia" w:hAnsiTheme="minorEastAsia" w:cs="Arial"/>
          <w:b/>
          <w:color w:val="000000"/>
          <w:kern w:val="0"/>
          <w:sz w:val="24"/>
        </w:rPr>
        <w:t>4</w:t>
      </w:r>
      <w:r>
        <w:rPr>
          <w:rFonts w:asciiTheme="minorEastAsia" w:eastAsiaTheme="minorEastAsia" w:hAnsiTheme="minorEastAsia" w:cs="Arial" w:hint="eastAsia"/>
          <w:b/>
          <w:color w:val="000000"/>
          <w:kern w:val="0"/>
          <w:sz w:val="24"/>
        </w:rPr>
        <w:t>.</w:t>
      </w:r>
      <w:r w:rsidRPr="00C61B41">
        <w:rPr>
          <w:rFonts w:asciiTheme="minorEastAsia" w:eastAsiaTheme="minorEastAsia" w:hAnsiTheme="minorEastAsia" w:cs="Arial" w:hint="eastAsia"/>
          <w:b/>
          <w:color w:val="000000"/>
          <w:kern w:val="0"/>
          <w:sz w:val="24"/>
        </w:rPr>
        <w:t>6</w:t>
      </w:r>
      <w:r w:rsidRPr="004841CF">
        <w:rPr>
          <w:rFonts w:ascii="宋体" w:hAnsi="宋体" w:hint="eastAsia"/>
          <w:b/>
          <w:color w:val="000000"/>
          <w:sz w:val="24"/>
        </w:rPr>
        <w:t>报告期内基金持有人数或基金资产净值预警说明</w:t>
      </w:r>
    </w:p>
    <w:p w:rsidR="00091D41" w:rsidRPr="00CB1AA0" w:rsidRDefault="00091D41" w:rsidP="00091D41">
      <w:pPr>
        <w:spacing w:line="360" w:lineRule="auto"/>
        <w:ind w:firstLineChars="200" w:firstLine="480"/>
        <w:rPr>
          <w:rFonts w:eastAsiaTheme="minorEastAsia"/>
          <w:color w:val="000000"/>
          <w:sz w:val="24"/>
        </w:rPr>
      </w:pPr>
      <w:r w:rsidRPr="00C61B41">
        <w:rPr>
          <w:rFonts w:eastAsiaTheme="minorEastAsia"/>
          <w:color w:val="000000" w:themeColor="text1"/>
          <w:kern w:val="0"/>
          <w:sz w:val="24"/>
        </w:rPr>
        <w:t/>
      </w:r>
      <w:r w:rsidRPr="00C61B41">
        <w:rPr>
          <w:rFonts w:eastAsiaTheme="minorEastAsia"/>
          <w:color w:val="000000"/>
          <w:sz w:val="24"/>
        </w:rPr>
        <w:t/>
      </w:r>
      <w:r w:rsidRPr="00C61B41">
        <w:rPr>
          <w:rFonts w:eastAsiaTheme="minorEastAsia"/>
          <w:color w:val="000000" w:themeColor="text1"/>
          <w:kern w:val="0"/>
          <w:sz w:val="24"/>
        </w:rPr>
        <w:t>本报告期内，本基金存在连续二十个工作日基金资产净值低于五千万的情形。基金管理人已向中国证监会报告此情形并将采取适当措施。</w:t>
      </w:r>
    </w:p>
    <w:p w:rsidR="004061AC" w:rsidRPr="001611C5" w:rsidRDefault="004061AC" w:rsidP="001B2F35">
      <w:pPr>
        <w:pStyle w:val="1"/>
        <w:spacing w:beforeLines="100" w:before="312" w:afterLines="100" w:after="312"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001C0993" w:rsidRPr="001611C5">
        <w:rPr>
          <w:rFonts w:asciiTheme="minorEastAsia" w:eastAsiaTheme="minorEastAsia" w:hAnsiTheme="minorEastAsia" w:hint="eastAsia"/>
          <w:color w:val="000000"/>
          <w:kern w:val="0"/>
          <w:sz w:val="24"/>
          <w:szCs w:val="24"/>
        </w:rPr>
        <w:t>5</w:t>
      </w:r>
      <w:r w:rsidRPr="001611C5">
        <w:rPr>
          <w:rFonts w:asciiTheme="minorEastAsia" w:eastAsiaTheme="minorEastAsia" w:hAnsiTheme="minorEastAsia"/>
          <w:color w:val="000000"/>
          <w:kern w:val="0"/>
          <w:sz w:val="24"/>
          <w:szCs w:val="24"/>
        </w:rPr>
        <w:t xml:space="preserve">  </w:t>
      </w:r>
      <w:r w:rsidRPr="001611C5">
        <w:rPr>
          <w:rFonts w:asciiTheme="minorEastAsia" w:eastAsiaTheme="minorEastAsia" w:hAnsiTheme="minorEastAsia" w:hint="eastAsia"/>
          <w:color w:val="000000"/>
          <w:kern w:val="0"/>
          <w:sz w:val="24"/>
          <w:szCs w:val="24"/>
        </w:rPr>
        <w:t>投资组合报告</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5.1 </w:t>
      </w:r>
      <w:r w:rsidRPr="001611C5">
        <w:rPr>
          <w:rFonts w:asciiTheme="minorEastAsia" w:eastAsiaTheme="minorEastAsia" w:hAnsiTheme="minorEastAsia" w:hint="eastAsia"/>
          <w:b/>
          <w:bCs/>
          <w:color w:val="000000"/>
          <w:kern w:val="0"/>
          <w:sz w:val="24"/>
          <w:szCs w:val="24"/>
        </w:rPr>
        <w:t>报告期末基金资产组合情况</w:t>
      </w:r>
    </w:p>
    <w:tbl>
      <w:tblPr>
        <w:tblStyle w:val="af7"/>
        <w:tblW w:w="8897" w:type="dxa"/>
        <w:jc w:val="center"/>
        <w:tblLayout w:type="fixed"/>
        <w:tblLook w:val="04A0" w:firstRow="1" w:lastRow="0" w:firstColumn="1" w:lastColumn="0" w:noHBand="0" w:noVBand="1"/>
      </w:tblPr>
      <w:tblGrid>
        <w:gridCol w:w="720"/>
        <w:gridCol w:w="3357"/>
        <w:gridCol w:w="2977"/>
        <w:gridCol w:w="1843"/>
      </w:tblGrid>
      <w:tr w:rsidR="00C91E1B" w:rsidRPr="001611C5" w:rsidTr="0069426C">
        <w:trPr>
          <w:jc w:val="center"/>
        </w:trPr>
        <w:tc>
          <w:tcPr>
            <w:tcW w:w="720"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3357" w:type="dxa"/>
            <w:vAlign w:val="center"/>
          </w:tcPr>
          <w:p w:rsidR="00853140" w:rsidRPr="006B72F7" w:rsidRDefault="00853140" w:rsidP="00F71057">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项目</w:t>
            </w:r>
          </w:p>
        </w:tc>
        <w:tc>
          <w:tcPr>
            <w:tcW w:w="2977"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00D57B7C" w:rsidRPr="006B72F7">
              <w:rPr>
                <w:rFonts w:eastAsiaTheme="minorEastAsia"/>
                <w:color w:val="000000"/>
                <w:sz w:val="24"/>
                <w:szCs w:val="24"/>
              </w:rPr>
              <w:t>(</w:t>
            </w:r>
            <w:r w:rsidRPr="006B72F7">
              <w:rPr>
                <w:rFonts w:eastAsiaTheme="minorEastAsia"/>
                <w:color w:val="000000"/>
                <w:sz w:val="24"/>
                <w:szCs w:val="24"/>
              </w:rPr>
              <w:t>元</w:t>
            </w:r>
            <w:r w:rsidR="00D57B7C" w:rsidRPr="006B72F7">
              <w:rPr>
                <w:rFonts w:eastAsiaTheme="minorEastAsia"/>
                <w:color w:val="000000"/>
                <w:sz w:val="24"/>
                <w:szCs w:val="24"/>
              </w:rPr>
              <w:t>)</w:t>
            </w:r>
          </w:p>
        </w:tc>
        <w:tc>
          <w:tcPr>
            <w:tcW w:w="1843" w:type="dxa"/>
            <w:vAlign w:val="center"/>
          </w:tcPr>
          <w:p w:rsidR="00853140" w:rsidRPr="006B72F7" w:rsidRDefault="00853140" w:rsidP="00316484">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占基金总资产的比例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1</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权益投资</w:t>
            </w:r>
          </w:p>
        </w:tc>
        <w:tc>
          <w:tcPr>
            <w:tcW w:w="2977" w:type="dxa"/>
            <w:vAlign w:val="center"/>
          </w:tcPr>
          <w:p w:rsidR="00853140" w:rsidRPr="006B72F7" w:rsidRDefault="00C77AEF" w:rsidP="00C77AEF">
            <w:pPr>
              <w:spacing w:before="29" w:line="360" w:lineRule="auto"/>
              <w:ind w:left="17"/>
              <w:jc w:val="right"/>
              <w:rPr>
                <w:rFonts w:eastAsiaTheme="minorEastAsia"/>
                <w:color w:val="000000"/>
                <w:sz w:val="24"/>
                <w:szCs w:val="24"/>
              </w:rPr>
            </w:pPr>
            <w:r w:rsidRPr="006B72F7">
              <w:rPr>
                <w:rFonts w:eastAsiaTheme="minorEastAsia"/>
                <w:color w:val="000000"/>
                <w:sz w:val="24"/>
                <w:szCs w:val="24"/>
              </w:rPr>
              <w:t>4,944,100.00</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19.45</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其中：股票</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4,944,100.00</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19.45</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2</w:t>
            </w: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固定收益投资</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其中：债券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Pr="006B72F7">
              <w:rPr>
                <w:rFonts w:eastAsiaTheme="minorEastAsia"/>
                <w:color w:val="000000"/>
                <w:sz w:val="24"/>
                <w:szCs w:val="24"/>
              </w:rPr>
              <w:lastRenderedPageBreak/>
              <w:t>-</w:t>
            </w:r>
          </w:p>
        </w:tc>
      </w:tr>
      <w:tr w:rsidR="00C91E1B" w:rsidRPr="001611C5" w:rsidTr="0069426C">
        <w:trPr>
          <w:jc w:val="center"/>
        </w:trPr>
        <w:tc>
          <w:tcPr>
            <w:tcW w:w="720" w:type="dxa"/>
            <w:vAlign w:val="center"/>
          </w:tcPr>
          <w:p w:rsidR="00853140" w:rsidRPr="006B72F7" w:rsidRDefault="00853140" w:rsidP="00A03AAC">
            <w:pPr>
              <w:spacing w:before="29" w:line="360" w:lineRule="auto"/>
              <w:ind w:left="17"/>
              <w:jc w:val="center"/>
              <w:rPr>
                <w:rFonts w:eastAsiaTheme="minorEastAsia"/>
                <w:color w:val="000000"/>
                <w:sz w:val="24"/>
                <w:szCs w:val="24"/>
              </w:rPr>
            </w:pPr>
          </w:p>
        </w:tc>
        <w:tc>
          <w:tcPr>
            <w:tcW w:w="3357" w:type="dxa"/>
            <w:vAlign w:val="center"/>
          </w:tcPr>
          <w:p w:rsidR="00853140" w:rsidRPr="006B72F7" w:rsidRDefault="00853140" w:rsidP="001611C5">
            <w:pPr>
              <w:autoSpaceDE w:val="0"/>
              <w:autoSpaceDN w:val="0"/>
              <w:adjustRightInd w:val="0"/>
              <w:spacing w:before="29" w:line="360" w:lineRule="auto"/>
              <w:ind w:left="17" w:firstLineChars="250" w:firstLine="600"/>
              <w:jc w:val="left"/>
              <w:rPr>
                <w:rFonts w:eastAsiaTheme="minorEastAsia"/>
                <w:color w:val="000000"/>
                <w:sz w:val="24"/>
                <w:szCs w:val="24"/>
              </w:rPr>
            </w:pPr>
            <w:r w:rsidRPr="006B72F7">
              <w:rPr>
                <w:rFonts w:eastAsiaTheme="minorEastAsia"/>
                <w:color w:val="000000"/>
                <w:sz w:val="24"/>
                <w:szCs w:val="24"/>
              </w:rPr>
              <w:t>资产支持证券</w:t>
            </w:r>
          </w:p>
        </w:tc>
        <w:tc>
          <w:tcPr>
            <w:tcW w:w="2977"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853140" w:rsidRPr="006B72F7" w:rsidRDefault="001675CD"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195020">
        <w:trPr>
          <w:jc w:val="center"/>
        </w:trPr>
        <w:tc>
          <w:tcPr>
            <w:tcW w:w="720" w:type="dxa"/>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3</w:t>
            </w:r>
          </w:p>
        </w:tc>
        <w:tc>
          <w:tcPr>
            <w:tcW w:w="3357" w:type="dxa"/>
          </w:tcPr>
          <w:p w:rsidR="001D63BB" w:rsidRPr="006B72F7" w:rsidRDefault="001D63BB" w:rsidP="001D63BB">
            <w:pPr>
              <w:spacing w:before="29" w:line="360" w:lineRule="auto"/>
              <w:ind w:leftChars="50" w:left="105"/>
              <w:rPr>
                <w:rFonts w:eastAsiaTheme="minorEastAsia"/>
                <w:color w:val="000000"/>
                <w:sz w:val="24"/>
                <w:szCs w:val="24"/>
              </w:rPr>
            </w:pPr>
            <w:r w:rsidRPr="006B72F7">
              <w:rPr>
                <w:rFonts w:eastAsiaTheme="minorEastAsia"/>
                <w:color w:val="000000"/>
                <w:sz w:val="24"/>
                <w:szCs w:val="24"/>
              </w:rPr>
              <w:t>贵金属投资</w:t>
            </w:r>
          </w:p>
        </w:tc>
        <w:tc>
          <w:tcPr>
            <w:tcW w:w="2977"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DD272F">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4</w:t>
            </w:r>
          </w:p>
        </w:tc>
        <w:tc>
          <w:tcPr>
            <w:tcW w:w="3357" w:type="dxa"/>
            <w:vAlign w:val="center"/>
          </w:tcPr>
          <w:p w:rsidR="001D63BB" w:rsidRPr="006B72F7" w:rsidRDefault="001D63BB" w:rsidP="00EA70F1">
            <w:pPr>
              <w:spacing w:before="29" w:line="360" w:lineRule="auto"/>
              <w:ind w:left="17"/>
              <w:jc w:val="left"/>
              <w:rPr>
                <w:rFonts w:eastAsiaTheme="minorEastAsia"/>
                <w:color w:val="000000"/>
                <w:sz w:val="24"/>
                <w:szCs w:val="24"/>
              </w:rPr>
            </w:pPr>
            <w:r w:rsidRPr="006B72F7">
              <w:rPr>
                <w:rFonts w:eastAsiaTheme="minorEastAsia"/>
                <w:color w:val="000000"/>
                <w:sz w:val="24"/>
                <w:szCs w:val="24"/>
              </w:rPr>
              <w:t>金融衍生品投资</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t>5</w:t>
            </w: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p>
        </w:tc>
        <w:tc>
          <w:tcPr>
            <w:tcW w:w="3357" w:type="dxa"/>
            <w:vAlign w:val="center"/>
          </w:tcPr>
          <w:p w:rsidR="001D63BB" w:rsidRPr="006B72F7" w:rsidRDefault="001D63BB" w:rsidP="00EA70F1">
            <w:pPr>
              <w:spacing w:before="29" w:line="360" w:lineRule="auto"/>
              <w:ind w:left="17"/>
              <w:jc w:val="left"/>
              <w:rPr>
                <w:rFonts w:eastAsiaTheme="minorEastAsia"/>
                <w:sz w:val="24"/>
                <w:szCs w:val="24"/>
              </w:rPr>
            </w:pPr>
            <w:r w:rsidRPr="006B72F7">
              <w:rPr>
                <w:rFonts w:eastAsiaTheme="minorEastAsia"/>
                <w:color w:val="000000"/>
                <w:sz w:val="24"/>
                <w:szCs w:val="24"/>
              </w:rPr>
              <w:t>其中：买断式回购的买入返售金融资产</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Pr="006B72F7">
              <w:rPr>
                <w:rFonts w:eastAsiaTheme="minorEastAsia"/>
                <w:color w:val="000000"/>
                <w:sz w:val="24"/>
                <w:szCs w:val="24"/>
              </w:rPr>
              <w:lastRenderedPageBreak/>
              <w:t>-</w:t>
            </w:r>
          </w:p>
        </w:tc>
        <w:tc>
          <w:tcPr>
            <w:tcW w:w="1843"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lastRenderedPageBreak/>
              <w:t/>
            </w:r>
            <w:r w:rsidRPr="006B72F7">
              <w:rPr>
                <w:rFonts w:eastAsiaTheme="minorEastAsia"/>
                <w:color w:val="000000"/>
                <w:sz w:val="24"/>
                <w:szCs w:val="24"/>
              </w:rPr>
              <w:lastRenderedPageBreak/>
              <w:t>-</w:t>
            </w:r>
          </w:p>
        </w:tc>
      </w:tr>
      <w:tr w:rsidR="001D63BB" w:rsidRPr="001611C5" w:rsidTr="0069426C">
        <w:trPr>
          <w:jc w:val="center"/>
        </w:trPr>
        <w:tc>
          <w:tcPr>
            <w:tcW w:w="720" w:type="dxa"/>
            <w:vAlign w:val="center"/>
          </w:tcPr>
          <w:p w:rsidR="001D63BB" w:rsidRPr="006B72F7" w:rsidRDefault="001D63BB" w:rsidP="00A03AAC">
            <w:pPr>
              <w:spacing w:before="29" w:line="360" w:lineRule="auto"/>
              <w:ind w:left="17"/>
              <w:jc w:val="center"/>
              <w:rPr>
                <w:rFonts w:eastAsiaTheme="minorEastAsia"/>
                <w:color w:val="000000"/>
                <w:sz w:val="24"/>
                <w:szCs w:val="24"/>
              </w:rPr>
            </w:pPr>
            <w:r w:rsidRPr="006B72F7">
              <w:rPr>
                <w:rFonts w:eastAsiaTheme="minorEastAsia"/>
                <w:color w:val="000000"/>
                <w:sz w:val="24"/>
                <w:szCs w:val="24"/>
              </w:rPr>
              <w:lastRenderedPageBreak/>
              <w:t>6</w:t>
            </w:r>
          </w:p>
        </w:tc>
        <w:tc>
          <w:tcPr>
            <w:tcW w:w="3357" w:type="dxa"/>
            <w:vAlign w:val="center"/>
          </w:tcPr>
          <w:p w:rsidR="001D63BB" w:rsidRPr="006B72F7" w:rsidRDefault="001D63BB" w:rsidP="00A03AAC">
            <w:pPr>
              <w:spacing w:before="29" w:line="360" w:lineRule="auto"/>
              <w:ind w:left="17"/>
              <w:jc w:val="left"/>
              <w:rPr>
                <w:rFonts w:eastAsiaTheme="minorEastAsia"/>
                <w:sz w:val="24"/>
                <w:szCs w:val="24"/>
              </w:rPr>
            </w:pPr>
            <w:r w:rsidRPr="006B72F7">
              <w:rPr>
                <w:rFonts w:eastAsiaTheme="minorEastAsia"/>
                <w:color w:val="000000"/>
                <w:sz w:val="24"/>
                <w:szCs w:val="24"/>
              </w:rPr>
              <w:t>银行存款和结算备付金合计</w:t>
            </w:r>
          </w:p>
        </w:tc>
        <w:tc>
          <w:tcPr>
            <w:tcW w:w="2977" w:type="dxa"/>
            <w:vAlign w:val="center"/>
          </w:tcPr>
          <w:p w:rsidR="001D63BB" w:rsidRPr="006B72F7" w:rsidRDefault="001D63BB" w:rsidP="00A03AAC">
            <w:pPr>
              <w:spacing w:before="29" w:line="360" w:lineRule="auto"/>
              <w:ind w:left="17"/>
              <w:jc w:val="right"/>
              <w:rPr>
                <w:rFonts w:eastAsiaTheme="minorEastAsia"/>
                <w:color w:val="000000"/>
                <w:sz w:val="24"/>
                <w:szCs w:val="24"/>
              </w:rPr>
            </w:pPr>
            <w:r w:rsidRPr="006B72F7">
              <w:rPr>
                <w:rFonts w:eastAsiaTheme="minorEastAsia"/>
                <w:color w:val="000000"/>
                <w:sz w:val="24"/>
                <w:szCs w:val="24"/>
              </w:rPr>
              <w:t>20,356,418.95</w:t>
            </w:r>
          </w:p>
        </w:tc>
        <w:tc>
          <w:tcPr>
            <w:tcW w:w="1843" w:type="dxa"/>
            <w:vAlign w:val="center"/>
          </w:tcPr>
          <w:p w:rsidR="001D63BB" w:rsidRPr="006B72F7" w:rsidRDefault="001D63BB" w:rsidP="001675CD">
            <w:pPr>
              <w:spacing w:before="29" w:line="360" w:lineRule="auto"/>
              <w:ind w:left="17"/>
              <w:jc w:val="right"/>
              <w:rPr>
                <w:rFonts w:eastAsiaTheme="minorEastAsia"/>
                <w:color w:val="000000"/>
                <w:sz w:val="24"/>
                <w:szCs w:val="24"/>
              </w:rPr>
            </w:pPr>
            <w:r w:rsidRPr="006B72F7">
              <w:rPr>
                <w:rFonts w:eastAsiaTheme="minorEastAsia"/>
                <w:color w:val="000000"/>
                <w:sz w:val="24"/>
                <w:szCs w:val="24"/>
              </w:rPr>
              <w:t>80.08</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7</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其他各项资产</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118,660.74</w:t>
            </w:r>
          </w:p>
        </w:tc>
        <w:tc>
          <w:tcPr>
            <w:tcW w:w="1843"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0.47</w:t>
            </w:r>
          </w:p>
        </w:tc>
      </w:tr>
      <w:tr w:rsidR="001D63BB" w:rsidRPr="001611C5" w:rsidTr="0069426C">
        <w:trPr>
          <w:jc w:val="center"/>
        </w:trPr>
        <w:tc>
          <w:tcPr>
            <w:tcW w:w="720" w:type="dxa"/>
            <w:vAlign w:val="center"/>
          </w:tcPr>
          <w:p w:rsidR="001D63BB" w:rsidRPr="006B72F7" w:rsidRDefault="001D63BB" w:rsidP="001D63BB">
            <w:pPr>
              <w:spacing w:before="29" w:line="360" w:lineRule="auto"/>
              <w:ind w:left="17"/>
              <w:jc w:val="center"/>
              <w:rPr>
                <w:rFonts w:eastAsiaTheme="minorEastAsia"/>
                <w:color w:val="000000"/>
                <w:sz w:val="24"/>
                <w:szCs w:val="24"/>
              </w:rPr>
            </w:pPr>
            <w:r w:rsidRPr="006B72F7">
              <w:rPr>
                <w:rFonts w:eastAsiaTheme="minorEastAsia"/>
                <w:color w:val="000000"/>
                <w:sz w:val="24"/>
                <w:szCs w:val="24"/>
              </w:rPr>
              <w:t>8</w:t>
            </w:r>
          </w:p>
        </w:tc>
        <w:tc>
          <w:tcPr>
            <w:tcW w:w="3357" w:type="dxa"/>
            <w:vAlign w:val="center"/>
          </w:tcPr>
          <w:p w:rsidR="001D63BB" w:rsidRPr="006B72F7" w:rsidRDefault="001D63BB" w:rsidP="00A03AAC">
            <w:pPr>
              <w:jc w:val="left"/>
              <w:rPr>
                <w:rFonts w:eastAsiaTheme="minorEastAsia"/>
                <w:sz w:val="24"/>
                <w:szCs w:val="24"/>
              </w:rPr>
            </w:pPr>
            <w:r w:rsidRPr="006B72F7">
              <w:rPr>
                <w:rFonts w:eastAsiaTheme="minorEastAsia"/>
                <w:color w:val="000000"/>
                <w:sz w:val="24"/>
                <w:szCs w:val="24"/>
              </w:rPr>
              <w:t>合计</w:t>
            </w:r>
          </w:p>
        </w:tc>
        <w:tc>
          <w:tcPr>
            <w:tcW w:w="2977" w:type="dxa"/>
            <w:vAlign w:val="center"/>
          </w:tcPr>
          <w:p w:rsidR="001D63BB" w:rsidRPr="006B72F7" w:rsidRDefault="001D63BB" w:rsidP="00A03AAC">
            <w:pPr>
              <w:jc w:val="right"/>
              <w:rPr>
                <w:rFonts w:eastAsiaTheme="minorEastAsia"/>
                <w:color w:val="000000"/>
                <w:sz w:val="24"/>
                <w:szCs w:val="24"/>
              </w:rPr>
            </w:pPr>
            <w:r w:rsidRPr="006B72F7">
              <w:rPr>
                <w:rFonts w:eastAsiaTheme="minorEastAsia"/>
                <w:color w:val="000000"/>
                <w:sz w:val="24"/>
                <w:szCs w:val="24"/>
              </w:rPr>
              <w:t>25,419,179.69</w:t>
            </w:r>
          </w:p>
        </w:tc>
        <w:tc>
          <w:tcPr>
            <w:tcW w:w="1843" w:type="dxa"/>
            <w:vAlign w:val="center"/>
          </w:tcPr>
          <w:p w:rsidR="001D63BB" w:rsidRPr="006B72F7" w:rsidRDefault="001D63BB" w:rsidP="001675CD">
            <w:pPr>
              <w:jc w:val="right"/>
              <w:rPr>
                <w:rFonts w:eastAsiaTheme="minorEastAsia"/>
                <w:color w:val="000000"/>
                <w:sz w:val="24"/>
                <w:szCs w:val="24"/>
              </w:rPr>
            </w:pPr>
            <w:r w:rsidRPr="006B72F7">
              <w:rPr>
                <w:rFonts w:eastAsiaTheme="minorEastAsia"/>
                <w:color w:val="000000"/>
                <w:sz w:val="24"/>
                <w:szCs w:val="24"/>
              </w:rPr>
              <w:t>100.00</w:t>
            </w:r>
          </w:p>
        </w:tc>
      </w:tr>
    </w:tbl>
    <w:p w:rsidR="001043C1" w:rsidRPr="00220C32" w:rsidRDefault="001043C1" w:rsidP="00D065B4">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220C32">
        <w:rPr>
          <w:rFonts w:asciiTheme="minorEastAsia" w:eastAsiaTheme="minorEastAsia" w:hAnsiTheme="minorEastAsia"/>
          <w:b/>
          <w:bCs/>
          <w:color w:val="000000" w:themeColor="text1"/>
          <w:kern w:val="0"/>
          <w:sz w:val="24"/>
          <w:szCs w:val="24"/>
        </w:rPr>
        <w:t xml:space="preserve">5.2 </w:t>
      </w:r>
      <w:r w:rsidRPr="00220C32">
        <w:rPr>
          <w:rFonts w:asciiTheme="minorEastAsia" w:eastAsiaTheme="minorEastAsia" w:hAnsiTheme="minorEastAsia" w:hint="eastAsia"/>
          <w:b/>
          <w:bCs/>
          <w:color w:val="000000" w:themeColor="text1"/>
          <w:kern w:val="0"/>
          <w:sz w:val="24"/>
          <w:szCs w:val="24"/>
        </w:rPr>
        <w:t>报告期末按行业分类的股票投资组合</w:t>
      </w:r>
    </w:p>
    <w:p w:rsidR="001043C1" w:rsidRPr="00791180"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hint="eastAsia"/>
          <w:b/>
          <w:bCs/>
          <w:color w:val="000000" w:themeColor="text1"/>
          <w:kern w:val="0"/>
          <w:sz w:val="24"/>
          <w:szCs w:val="24"/>
        </w:rPr>
        <w:t>5.2.1报告期末按行业分类的境内股票投资组合</w:t>
      </w:r>
    </w:p>
    <w:tbl>
      <w:tblPr>
        <w:tblW w:w="8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540"/>
        <w:gridCol w:w="3691"/>
        <w:gridCol w:w="2846"/>
        <w:gridCol w:w="1780"/>
      </w:tblGrid>
      <w:tr w:rsidR="00531F10" w:rsidRPr="001611C5" w:rsidTr="00175D4F">
        <w:trPr>
          <w:trHeight w:val="39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C73BCD">
            <w:pPr>
              <w:adjustRightInd w:val="0"/>
              <w:snapToGrid w:val="0"/>
              <w:spacing w:line="400" w:lineRule="exact"/>
              <w:jc w:val="center"/>
              <w:rPr>
                <w:rFonts w:eastAsiaTheme="minorEastAsia"/>
                <w:sz w:val="24"/>
                <w:szCs w:val="24"/>
              </w:rPr>
            </w:pPr>
            <w:r w:rsidRPr="006B72F7">
              <w:rPr>
                <w:rFonts w:eastAsiaTheme="minorEastAsia"/>
                <w:sz w:val="24"/>
                <w:szCs w:val="24"/>
              </w:rPr>
              <w:t>行业类别</w:t>
            </w:r>
            <w:r w:rsidR="005E475E" w:rsidRPr="006B72F7">
              <w:rPr>
                <w:rFonts w:eastAsiaTheme="minorEastAsia"/>
                <w:sz w:val="24"/>
                <w:szCs w:val="24"/>
              </w:rPr>
              <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1EF0">
            <w:pPr>
              <w:adjustRightInd w:val="0"/>
              <w:snapToGrid w:val="0"/>
              <w:spacing w:line="400" w:lineRule="exact"/>
              <w:jc w:val="center"/>
              <w:rPr>
                <w:rFonts w:eastAsiaTheme="minorEastAsia"/>
                <w:sz w:val="24"/>
                <w:szCs w:val="24"/>
              </w:rPr>
            </w:pPr>
            <w:r w:rsidRPr="006B72F7">
              <w:rPr>
                <w:rFonts w:eastAsiaTheme="minorEastAsia"/>
                <w:sz w:val="24"/>
                <w:szCs w:val="24"/>
              </w:rPr>
              <w:t>公允价值（元）</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1EF0">
            <w:pPr>
              <w:adjustRightInd w:val="0"/>
              <w:snapToGrid w:val="0"/>
              <w:spacing w:line="400" w:lineRule="exact"/>
              <w:jc w:val="center"/>
              <w:rPr>
                <w:rFonts w:eastAsiaTheme="minorEastAsia"/>
                <w:sz w:val="24"/>
                <w:szCs w:val="24"/>
              </w:rPr>
            </w:pPr>
            <w:r w:rsidRPr="006B72F7">
              <w:rPr>
                <w:rFonts w:eastAsiaTheme="minorEastAsia"/>
                <w:sz w:val="24"/>
                <w:szCs w:val="24"/>
              </w:rPr>
              <w:t>占基金资产净值比例（％）</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lastRenderedPageBreak/>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农、林、牧、渔业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1EF0">
            <w:pPr>
              <w:autoSpaceDE w:val="0"/>
              <w:autoSpaceDN w:val="0"/>
              <w:adjustRightInd w:val="0"/>
              <w:spacing w:before="29" w:line="360" w:lineRule="auto"/>
              <w:ind w:left="15"/>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1EF0">
            <w:pPr>
              <w:autoSpaceDE w:val="0"/>
              <w:autoSpaceDN w:val="0"/>
              <w:adjustRightInd w:val="0"/>
              <w:spacing w:before="29" w:line="360" w:lineRule="auto"/>
              <w:ind w:left="15"/>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采矿业</w:t>
            </w:r>
          </w:p>
        </w:tc>
        <w:tc>
          <w:tcPr>
            <w:tcW w:w="2846" w:type="dxa"/>
            <w:tcBorders>
              <w:top w:val="single" w:sz="4" w:space="0" w:color="000000"/>
              <w:left w:val="single" w:sz="4" w:space="0" w:color="auto"/>
              <w:bottom w:val="single" w:sz="4" w:space="0" w:color="000000"/>
              <w:right w:val="single" w:sz="4" w:space="0" w:color="000000"/>
            </w:tcBorders>
            <w:vAlign w:val="bottom"/>
          </w:tcPr>
          <w:p w:rsidR="00531F10" w:rsidRPr="006B72F7" w:rsidRDefault="00531F10" w:rsidP="00171EF0">
            <w:pPr>
              <w:jc w:val="right"/>
              <w:rPr>
                <w:rFonts w:eastAsiaTheme="minorEastAsia"/>
                <w:sz w:val="24"/>
                <w:szCs w:val="24"/>
              </w:rPr>
            </w:pPr>
            <w:r w:rsidRPr="006B72F7">
              <w:rPr>
                <w:rFonts w:eastAsiaTheme="minorEastAsia"/>
                <w:sz w:val="24"/>
                <w:szCs w:val="24"/>
              </w:rPr>
              <w:t>-</w:t>
            </w:r>
          </w:p>
          <w:p w:rsidR="00531F10" w:rsidRPr="006B72F7" w:rsidRDefault="00531F10" w:rsidP="00171EF0">
            <w:pPr>
              <w:jc w:val="right"/>
              <w:rPr>
                <w:rFonts w:eastAsiaTheme="minorEastAsia"/>
                <w:sz w:val="24"/>
                <w:szCs w:val="24"/>
              </w:rPr>
            </w:pP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6B72F7" w:rsidRDefault="00531F10" w:rsidP="00171EF0">
            <w:pPr>
              <w:jc w:val="right"/>
              <w:rPr>
                <w:rFonts w:eastAsiaTheme="minorEastAsia"/>
                <w:sz w:val="24"/>
                <w:szCs w:val="24"/>
              </w:rPr>
            </w:pPr>
            <w:r w:rsidRPr="006B72F7">
              <w:rPr>
                <w:rFonts w:eastAsiaTheme="minorEastAsia"/>
                <w:sz w:val="24"/>
                <w:szCs w:val="24"/>
              </w:rPr>
              <w:t>-</w:t>
            </w:r>
          </w:p>
          <w:p w:rsidR="00531F10" w:rsidRPr="006B72F7" w:rsidRDefault="00531F10" w:rsidP="00171EF0">
            <w:pPr>
              <w:jc w:val="right"/>
              <w:rPr>
                <w:rFonts w:eastAsiaTheme="minorEastAsia"/>
                <w:sz w:val="24"/>
                <w:szCs w:val="24"/>
              </w:rPr>
            </w:pP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制造业</w:t>
            </w:r>
          </w:p>
        </w:tc>
        <w:tc>
          <w:tcPr>
            <w:tcW w:w="2846" w:type="dxa"/>
            <w:tcBorders>
              <w:top w:val="single" w:sz="4" w:space="0" w:color="000000"/>
              <w:left w:val="single" w:sz="4" w:space="0" w:color="auto"/>
              <w:bottom w:val="single" w:sz="4" w:space="0" w:color="000000"/>
              <w:right w:val="single" w:sz="4" w:space="0" w:color="000000"/>
            </w:tcBorders>
            <w:vAlign w:val="bottom"/>
          </w:tcPr>
          <w:p w:rsidR="00531F10" w:rsidRPr="006B72F7" w:rsidRDefault="00531F10" w:rsidP="00171EF0">
            <w:pPr>
              <w:jc w:val="right"/>
              <w:rPr>
                <w:rFonts w:eastAsiaTheme="minorEastAsia"/>
                <w:sz w:val="24"/>
                <w:szCs w:val="24"/>
              </w:rPr>
            </w:pPr>
            <w:r w:rsidRPr="006B72F7">
              <w:rPr>
                <w:rFonts w:eastAsiaTheme="minorEastAsia"/>
                <w:sz w:val="24"/>
                <w:szCs w:val="24"/>
              </w:rPr>
              <w:t>4,944,100.00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bottom"/>
          </w:tcPr>
          <w:p w:rsidR="00531F10" w:rsidRPr="006B72F7" w:rsidRDefault="00531F10" w:rsidP="00171EF0">
            <w:pPr>
              <w:jc w:val="right"/>
              <w:rPr>
                <w:rFonts w:eastAsiaTheme="minorEastAsia"/>
                <w:sz w:val="24"/>
                <w:szCs w:val="24"/>
              </w:rPr>
            </w:pPr>
            <w:r w:rsidRPr="006B72F7">
              <w:rPr>
                <w:rFonts w:eastAsiaTheme="minorEastAsia"/>
                <w:sz w:val="24"/>
                <w:szCs w:val="24"/>
              </w:rPr>
              <w:t>19.45</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电力、热力、燃气及水生产和供应业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建筑业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批发和零售业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交通运输、仓储和邮政业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住宿和餐饮业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sz w:val="24"/>
                <w:szCs w:val="24"/>
              </w:rPr>
            </w:pPr>
            <w:r w:rsidRPr="006B72F7">
              <w:rPr>
                <w:rFonts w:eastAsiaTheme="minorEastAsia"/>
                <w:sz w:val="24"/>
                <w:szCs w:val="24"/>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171EF0" w:rsidRPr="006B72F7" w:rsidRDefault="00531F10" w:rsidP="00175D4F">
            <w:pPr>
              <w:adjustRightInd w:val="0"/>
              <w:snapToGrid w:val="0"/>
              <w:spacing w:line="400" w:lineRule="exact"/>
              <w:rPr>
                <w:rFonts w:eastAsiaTheme="minorEastAsia"/>
                <w:sz w:val="24"/>
                <w:szCs w:val="24"/>
              </w:rPr>
            </w:pPr>
            <w:r w:rsidRPr="006B72F7">
              <w:rPr>
                <w:rFonts w:eastAsiaTheme="minorEastAsia"/>
                <w:sz w:val="24"/>
                <w:szCs w:val="24"/>
              </w:rPr>
              <w:t>信息传输、软件和信息技术服务业</w:t>
            </w:r>
          </w:p>
          <w:p w:rsidR="00531F10" w:rsidRPr="006B72F7" w:rsidRDefault="00531F10" w:rsidP="00175D4F">
            <w:pPr>
              <w:rPr>
                <w:rFonts w:eastAsiaTheme="minorEastAsia"/>
                <w:sz w:val="24"/>
                <w:szCs w:val="24"/>
              </w:rPr>
            </w:pP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金融业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lastRenderedPageBreak/>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房地产业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租赁和商务服务业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科学研究和技术服务业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水利、环境和公共设施管理业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居民服务、修理和其他服务业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教育</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卫生和社会工作</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文化、体育和娱乐业</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r w:rsidRPr="006B72F7">
              <w:rPr>
                <w:rFonts w:eastAsiaTheme="minorEastAsia"/>
                <w:color w:val="000000"/>
                <w:sz w:val="24"/>
                <w:szCs w:val="24"/>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综合</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w:t>
            </w:r>
          </w:p>
        </w:tc>
      </w:tr>
      <w:tr w:rsidR="00531F10" w:rsidRPr="001611C5" w:rsidTr="00175D4F">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jc w:val="center"/>
              <w:rPr>
                <w:rFonts w:eastAsiaTheme="minorEastAsia"/>
                <w:color w:val="000000"/>
                <w:sz w:val="24"/>
                <w:szCs w:val="24"/>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31F10" w:rsidRPr="006B72F7" w:rsidRDefault="00531F10" w:rsidP="00175D4F">
            <w:pPr>
              <w:adjustRightInd w:val="0"/>
              <w:snapToGrid w:val="0"/>
              <w:spacing w:line="400" w:lineRule="exact"/>
              <w:rPr>
                <w:rFonts w:eastAsiaTheme="minorEastAsia"/>
                <w:color w:val="000000"/>
                <w:sz w:val="24"/>
                <w:szCs w:val="24"/>
              </w:rPr>
            </w:pPr>
            <w:r w:rsidRPr="006B72F7">
              <w:rPr>
                <w:rFonts w:eastAsiaTheme="minorEastAsia"/>
                <w:color w:val="000000"/>
                <w:sz w:val="24"/>
                <w:szCs w:val="24"/>
              </w:rPr>
              <w:t>合计</w:t>
            </w:r>
          </w:p>
        </w:tc>
        <w:tc>
          <w:tcPr>
            <w:tcW w:w="2846" w:type="dxa"/>
            <w:tcBorders>
              <w:top w:val="single" w:sz="4" w:space="0" w:color="000000"/>
              <w:left w:val="single" w:sz="4" w:space="0" w:color="auto"/>
              <w:bottom w:val="single" w:sz="4" w:space="0" w:color="000000"/>
              <w:right w:val="single" w:sz="4" w:space="0" w:color="000000"/>
            </w:tcBorders>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4,944,100.00</w:t>
            </w:r>
          </w:p>
        </w:tc>
        <w:tc>
          <w:tcPr>
            <w:tcW w:w="17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31F10" w:rsidRPr="006B72F7" w:rsidRDefault="00531F10" w:rsidP="00175D4F">
            <w:pPr>
              <w:jc w:val="right"/>
              <w:rPr>
                <w:rFonts w:eastAsiaTheme="minorEastAsia"/>
                <w:sz w:val="24"/>
                <w:szCs w:val="24"/>
              </w:rPr>
            </w:pPr>
            <w:r w:rsidRPr="006B72F7">
              <w:rPr>
                <w:rFonts w:eastAsiaTheme="minorEastAsia"/>
                <w:sz w:val="24"/>
                <w:szCs w:val="24"/>
              </w:rPr>
              <w:t>19.45</w:t>
            </w:r>
          </w:p>
        </w:tc>
      </w:tr>
    </w:tbl>
    <w:p w:rsidR="001043C1" w:rsidRPr="008A409E" w:rsidRDefault="001043C1" w:rsidP="00791180">
      <w:pPr>
        <w:autoSpaceDE w:val="0"/>
        <w:autoSpaceDN w:val="0"/>
        <w:adjustRightInd w:val="0"/>
        <w:spacing w:line="360" w:lineRule="auto"/>
        <w:jc w:val="left"/>
        <w:rPr>
          <w:rFonts w:asciiTheme="minorEastAsia" w:eastAsiaTheme="minorEastAsia" w:hAnsiTheme="minorEastAsia"/>
          <w:b/>
          <w:bCs/>
          <w:color w:val="000000" w:themeColor="text1"/>
          <w:kern w:val="0"/>
          <w:sz w:val="24"/>
          <w:szCs w:val="24"/>
        </w:rPr>
      </w:pPr>
      <w:r w:rsidRPr="00791180">
        <w:rPr>
          <w:rFonts w:asciiTheme="minorEastAsia" w:eastAsiaTheme="minorEastAsia" w:hAnsiTheme="minorEastAsia"/>
          <w:b/>
          <w:bCs/>
          <w:color w:val="000000" w:themeColor="text1"/>
          <w:kern w:val="0"/>
          <w:sz w:val="24"/>
          <w:szCs w:val="24"/>
        </w:rPr>
        <w:t>5.2.2</w:t>
      </w:r>
      <w:r w:rsidR="00374488">
        <w:rPr>
          <w:rFonts w:asciiTheme="minorEastAsia" w:eastAsiaTheme="minorEastAsia" w:hAnsiTheme="minorEastAsia" w:hint="eastAsia"/>
          <w:b/>
          <w:bCs/>
          <w:color w:val="000000" w:themeColor="text1"/>
          <w:kern w:val="0"/>
          <w:sz w:val="24"/>
          <w:szCs w:val="24"/>
        </w:rPr>
        <w:t>报告期末按行业分类的港股通</w:t>
      </w:r>
      <w:r w:rsidRPr="00791180">
        <w:rPr>
          <w:rFonts w:asciiTheme="minorEastAsia" w:eastAsiaTheme="minorEastAsia" w:hAnsiTheme="minorEastAsia" w:hint="eastAsia"/>
          <w:b/>
          <w:bCs/>
          <w:color w:val="000000" w:themeColor="text1"/>
          <w:kern w:val="0"/>
          <w:sz w:val="24"/>
          <w:szCs w:val="24"/>
        </w:rPr>
        <w:t>投资股票投资组合</w:t>
      </w:r>
    </w:p>
    <w:p w:rsidR="001043C1" w:rsidRPr="00FE5D8B" w:rsidRDefault="001043C1"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本基金本报告期末未持有通过港股通投资的股票。</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5.3 </w:t>
      </w:r>
      <w:r w:rsidRPr="001611C5">
        <w:rPr>
          <w:rFonts w:asciiTheme="minorEastAsia" w:eastAsiaTheme="minorEastAsia" w:hAnsiTheme="minorEastAsia" w:hint="eastAsia"/>
          <w:b/>
          <w:bCs/>
          <w:color w:val="000000"/>
          <w:kern w:val="0"/>
          <w:sz w:val="24"/>
          <w:szCs w:val="24"/>
        </w:rPr>
        <w:t>报告期末按公允价值占基金资产净值比例大小排序的前十名股票投资明细</w:t>
      </w:r>
    </w:p>
    <w:tbl>
      <w:tblPr>
        <w:tblStyle w:val="af7"/>
        <w:tblW w:w="0" w:type="auto"/>
        <w:tblLayout w:type="fixed"/>
        <w:tblLook w:val="04A0" w:firstRow="1" w:lastRow="0" w:firstColumn="1" w:lastColumn="0" w:noHBand="0" w:noVBand="1"/>
      </w:tblPr>
      <w:tblGrid>
        <w:gridCol w:w="817"/>
        <w:gridCol w:w="1276"/>
        <w:gridCol w:w="1701"/>
        <w:gridCol w:w="1276"/>
        <w:gridCol w:w="1842"/>
        <w:gridCol w:w="1616"/>
      </w:tblGrid>
      <w:tr w:rsidR="00AC592E" w:rsidRPr="001611C5" w:rsidTr="00D57B7C">
        <w:tc>
          <w:tcPr>
            <w:tcW w:w="817" w:type="dxa"/>
            <w:vAlign w:val="center"/>
          </w:tcPr>
          <w:p w:rsidR="00853140" w:rsidRPr="006B72F7" w:rsidRDefault="00853140" w:rsidP="006E042A">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1276" w:type="dxa"/>
            <w:vAlign w:val="center"/>
          </w:tcPr>
          <w:p w:rsidR="00853140" w:rsidRPr="006B72F7" w:rsidRDefault="00853140" w:rsidP="006E042A">
            <w:pPr>
              <w:spacing w:before="29" w:line="360" w:lineRule="auto"/>
              <w:ind w:left="17"/>
              <w:jc w:val="center"/>
              <w:rPr>
                <w:rFonts w:eastAsiaTheme="minorEastAsia"/>
                <w:color w:val="000000"/>
                <w:sz w:val="24"/>
                <w:szCs w:val="24"/>
              </w:rPr>
            </w:pPr>
            <w:r w:rsidRPr="006B72F7">
              <w:rPr>
                <w:rFonts w:eastAsiaTheme="minorEastAsia"/>
                <w:color w:val="000000"/>
                <w:sz w:val="24"/>
                <w:szCs w:val="24"/>
              </w:rPr>
              <w:t>股票代码</w:t>
            </w:r>
          </w:p>
        </w:tc>
        <w:tc>
          <w:tcPr>
            <w:tcW w:w="1701" w:type="dxa"/>
            <w:vAlign w:val="center"/>
          </w:tcPr>
          <w:p w:rsidR="00853140" w:rsidRPr="006B72F7" w:rsidRDefault="00853140" w:rsidP="006E042A">
            <w:pPr>
              <w:spacing w:before="29" w:line="360" w:lineRule="auto"/>
              <w:ind w:left="17"/>
              <w:jc w:val="center"/>
              <w:rPr>
                <w:rFonts w:eastAsiaTheme="minorEastAsia"/>
                <w:color w:val="000000"/>
                <w:sz w:val="24"/>
                <w:szCs w:val="24"/>
              </w:rPr>
            </w:pPr>
            <w:r w:rsidRPr="006B72F7">
              <w:rPr>
                <w:rFonts w:eastAsiaTheme="minorEastAsia"/>
                <w:color w:val="000000"/>
                <w:sz w:val="24"/>
                <w:szCs w:val="24"/>
              </w:rPr>
              <w:t>股票名称</w:t>
            </w:r>
          </w:p>
        </w:tc>
        <w:tc>
          <w:tcPr>
            <w:tcW w:w="1276" w:type="dxa"/>
            <w:vAlign w:val="center"/>
          </w:tcPr>
          <w:p w:rsidR="00853140" w:rsidRPr="006B72F7" w:rsidRDefault="00853140" w:rsidP="006E042A">
            <w:pPr>
              <w:spacing w:before="29" w:line="360" w:lineRule="auto"/>
              <w:ind w:left="17"/>
              <w:jc w:val="center"/>
              <w:rPr>
                <w:rFonts w:eastAsiaTheme="minorEastAsia"/>
                <w:color w:val="000000"/>
                <w:sz w:val="24"/>
                <w:szCs w:val="24"/>
              </w:rPr>
            </w:pPr>
            <w:r w:rsidRPr="006B72F7">
              <w:rPr>
                <w:rFonts w:eastAsiaTheme="minorEastAsia"/>
                <w:color w:val="000000"/>
                <w:sz w:val="24"/>
                <w:szCs w:val="24"/>
              </w:rPr>
              <w:t>数量</w:t>
            </w:r>
            <w:r w:rsidR="00D57B7C" w:rsidRPr="006B72F7">
              <w:rPr>
                <w:rFonts w:eastAsiaTheme="minorEastAsia"/>
                <w:color w:val="000000"/>
                <w:sz w:val="24"/>
                <w:szCs w:val="24"/>
              </w:rPr>
              <w:t>(</w:t>
            </w:r>
            <w:r w:rsidRPr="006B72F7">
              <w:rPr>
                <w:rFonts w:eastAsiaTheme="minorEastAsia"/>
                <w:color w:val="000000"/>
                <w:sz w:val="24"/>
                <w:szCs w:val="24"/>
              </w:rPr>
              <w:t>股</w:t>
            </w:r>
            <w:r w:rsidR="00D57B7C" w:rsidRPr="006B72F7">
              <w:rPr>
                <w:rFonts w:eastAsiaTheme="minorEastAsia"/>
                <w:color w:val="000000"/>
                <w:sz w:val="24"/>
                <w:szCs w:val="24"/>
              </w:rPr>
              <w:t>)</w:t>
            </w:r>
          </w:p>
        </w:tc>
        <w:tc>
          <w:tcPr>
            <w:tcW w:w="1842" w:type="dxa"/>
            <w:vAlign w:val="center"/>
          </w:tcPr>
          <w:p w:rsidR="00853140" w:rsidRPr="006B72F7" w:rsidRDefault="00853140" w:rsidP="006E042A">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公允价值</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c>
          <w:tcPr>
            <w:tcW w:w="1616" w:type="dxa"/>
            <w:vAlign w:val="center"/>
          </w:tcPr>
          <w:p w:rsidR="00853140" w:rsidRPr="006B72F7" w:rsidRDefault="00853140" w:rsidP="006E042A">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占基金资产净值比例</w:t>
            </w:r>
            <w:r w:rsidR="00D57B7C" w:rsidRPr="006B72F7">
              <w:rPr>
                <w:rFonts w:eastAsiaTheme="minorEastAsia"/>
                <w:color w:val="000000"/>
                <w:sz w:val="24"/>
                <w:szCs w:val="24"/>
              </w:rPr>
              <w:t>(</w:t>
            </w:r>
            <w:r w:rsidRPr="006B72F7">
              <w:rPr>
                <w:rFonts w:eastAsiaTheme="minorEastAsia"/>
                <w:color w:val="000000"/>
                <w:sz w:val="24"/>
                <w:szCs w:val="24"/>
              </w:rPr>
              <w:t>％</w:t>
            </w:r>
            <w:r w:rsidR="00D57B7C" w:rsidRPr="006B72F7">
              <w:rPr>
                <w:rFonts w:eastAsiaTheme="minorEastAsia"/>
                <w:color w:val="000000"/>
                <w:sz w:val="24"/>
                <w:szCs w:val="24"/>
              </w:rPr>
              <w:t>)</w:t>
            </w:r>
          </w:p>
        </w:tc>
      </w:tr>
      <w:tr>
        <w:tc>
          <w:tcPr>
            <w:vAlign w:val="center"/>
          </w:tcPr>
          <w:p>
            <w:pPr>
              <w:jc w:val="center"/>
            </w:pPr>
            <w:r>
              <w:rPr>
                <w:rFonts w:eastAsiaTheme="minorEastAsia"/>
                <w:color w:val="000000"/>
                <w:sz w:val="24"/>
                <w:szCs w:val="24"/>
              </w:rPr>
              <w:t>1</w:t>
            </w:r>
          </w:p>
        </w:tc>
        <w:tc>
          <w:tcPr>
            <w:vAlign w:val="center"/>
          </w:tcPr>
          <w:p>
            <w:pPr>
              <w:jc w:val="center"/>
            </w:pPr>
            <w:r>
              <w:rPr>
                <w:rFonts w:eastAsiaTheme="minorEastAsia"/>
                <w:color w:val="000000"/>
                <w:sz w:val="24"/>
                <w:szCs w:val="24"/>
              </w:rPr>
              <w:t>002168</w:t>
            </w:r>
          </w:p>
        </w:tc>
        <w:tc>
          <w:tcPr>
            <w:vAlign w:val="center"/>
          </w:tcPr>
          <w:p>
            <w:pPr>
              <w:jc w:val="center"/>
            </w:pPr>
            <w:r>
              <w:rPr>
                <w:rFonts w:eastAsiaTheme="minorEastAsia"/>
                <w:color w:val="000000"/>
                <w:sz w:val="24"/>
                <w:szCs w:val="24"/>
              </w:rPr>
              <w:t>深圳惠程</w:t>
            </w:r>
          </w:p>
        </w:tc>
        <w:tc>
          <w:tcPr>
            <w:vAlign w:val="center"/>
          </w:tcPr>
          <w:p>
            <w:pPr>
              <w:jc w:val="right"/>
            </w:pPr>
            <w:r>
              <w:rPr>
                <w:rFonts w:eastAsiaTheme="minorEastAsia"/>
                <w:color w:val="000000"/>
                <w:sz w:val="24"/>
                <w:szCs w:val="24"/>
              </w:rPr>
              <w:t>245,000</w:t>
            </w:r>
          </w:p>
        </w:tc>
        <w:tc>
          <w:tcPr>
            <w:vAlign w:val="center"/>
          </w:tcPr>
          <w:p>
            <w:pPr>
              <w:jc w:val="right"/>
            </w:pPr>
            <w:r>
              <w:rPr>
                <w:rFonts w:eastAsiaTheme="minorEastAsia"/>
                <w:color w:val="000000"/>
                <w:sz w:val="24"/>
                <w:szCs w:val="24"/>
              </w:rPr>
              <w:t>4,944,100.00</w:t>
            </w:r>
          </w:p>
        </w:tc>
        <w:tc>
          <w:tcPr>
            <w:vAlign w:val="center"/>
          </w:tcPr>
          <w:p>
            <w:pPr>
              <w:jc w:val="right"/>
            </w:pPr>
            <w:r>
              <w:rPr>
                <w:rFonts w:eastAsiaTheme="minorEastAsia"/>
                <w:color w:val="000000"/>
                <w:sz w:val="24"/>
                <w:szCs w:val="24"/>
              </w:rPr>
              <w:t>19.45</w:t>
            </w:r>
          </w:p>
        </w:tc>
      </w:tr>
    </w:tbl>
    <w:p w:rsidR="00C073E9" w:rsidRPr="00C073E9" w:rsidRDefault="004061AC" w:rsidP="00C073E9">
      <w:pPr>
        <w:autoSpaceDE w:val="0"/>
        <w:autoSpaceDN w:val="0"/>
        <w:adjustRightInd w:val="0"/>
        <w:spacing w:line="360" w:lineRule="auto"/>
        <w:jc w:val="left"/>
        <w:rPr>
          <w:rFonts w:eastAsiaTheme="minorEastAsia"/>
          <w:b/>
          <w:bCs/>
          <w:color w:val="000000" w:themeColor="text1"/>
          <w:kern w:val="0"/>
          <w:sz w:val="24"/>
          <w:szCs w:val="24"/>
        </w:rPr>
      </w:pPr>
      <w:r w:rsidRPr="001611C5">
        <w:rPr>
          <w:rFonts w:asciiTheme="minorEastAsia" w:eastAsiaTheme="minorEastAsia" w:hAnsiTheme="minorEastAsia"/>
          <w:b/>
          <w:bCs/>
          <w:color w:val="000000"/>
          <w:kern w:val="0"/>
          <w:sz w:val="24"/>
          <w:szCs w:val="24"/>
        </w:rPr>
        <w:t xml:space="preserve">5.4 </w:t>
      </w:r>
      <w:r w:rsidRPr="001611C5">
        <w:rPr>
          <w:rFonts w:asciiTheme="minorEastAsia" w:eastAsiaTheme="minorEastAsia" w:hAnsiTheme="minorEastAsia" w:hint="eastAsia"/>
          <w:b/>
          <w:bCs/>
          <w:color w:val="000000"/>
          <w:kern w:val="0"/>
          <w:sz w:val="24"/>
          <w:szCs w:val="24"/>
        </w:rPr>
        <w:t>报告期末按债券品种分类的债券投资组合</w:t>
      </w:r>
    </w:p>
    <w:p w:rsidR="004061AC" w:rsidRPr="00FE5D8B" w:rsidRDefault="00C073E9" w:rsidP="00FE5D8B">
      <w:pPr>
        <w:spacing w:line="360" w:lineRule="auto"/>
        <w:ind w:firstLineChars="200" w:firstLine="480"/>
        <w:rPr>
          <w:rFonts w:eastAsiaTheme="minorEastAsia"/>
          <w:color w:val="000000"/>
          <w:sz w:val="24"/>
          <w:szCs w:val="24"/>
        </w:rPr>
      </w:pPr>
      <w:r w:rsidRPr="00FE5D8B">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5.5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的前五名债券投资明细</w:t>
      </w:r>
    </w:p>
    <w:p w:rsidR="004061AC" w:rsidRPr="006B72F7" w:rsidRDefault="00F743D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004061AC" w:rsidRPr="00CD2DB1">
        <w:rPr>
          <w:rFonts w:eastAsiaTheme="minorEastAsia"/>
          <w:color w:val="000000"/>
          <w:sz w:val="24"/>
          <w:szCs w:val="24"/>
        </w:rPr>
        <w:t>本基金本报告期末未持有债券。</w:t>
      </w:r>
    </w:p>
    <w:p w:rsidR="004061AC" w:rsidRPr="001611C5" w:rsidRDefault="004061AC"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xml:space="preserve">5.6 </w:t>
      </w:r>
      <w:r w:rsidRPr="001611C5">
        <w:rPr>
          <w:rFonts w:asciiTheme="minorEastAsia" w:eastAsiaTheme="minorEastAsia" w:hAnsiTheme="minorEastAsia" w:hint="eastAsia"/>
          <w:b/>
          <w:bCs/>
          <w:color w:val="000000"/>
          <w:kern w:val="0"/>
          <w:sz w:val="24"/>
          <w:szCs w:val="24"/>
        </w:rPr>
        <w:t>报告期末按公允价值占基金资产净值比例大小排</w:t>
      </w:r>
      <w:r w:rsidR="001D63BB" w:rsidRPr="001611C5">
        <w:rPr>
          <w:rFonts w:asciiTheme="minorEastAsia" w:eastAsiaTheme="minorEastAsia" w:hAnsiTheme="minorEastAsia" w:hint="eastAsia"/>
          <w:b/>
          <w:bCs/>
          <w:color w:val="000000"/>
          <w:kern w:val="0"/>
          <w:sz w:val="24"/>
          <w:szCs w:val="24"/>
        </w:rPr>
        <w:t>序</w:t>
      </w:r>
      <w:r w:rsidRPr="001611C5">
        <w:rPr>
          <w:rFonts w:asciiTheme="minorEastAsia" w:eastAsiaTheme="minorEastAsia" w:hAnsiTheme="minorEastAsia" w:hint="eastAsia"/>
          <w:b/>
          <w:bCs/>
          <w:color w:val="000000"/>
          <w:kern w:val="0"/>
          <w:sz w:val="24"/>
          <w:szCs w:val="24"/>
        </w:rPr>
        <w:t>的前十名资产支持证券投资明细</w:t>
      </w:r>
    </w:p>
    <w:p w:rsidR="001D63BB" w:rsidRPr="006B72F7" w:rsidRDefault="00F743D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004061AC" w:rsidRPr="00CD2DB1">
        <w:rPr>
          <w:rFonts w:eastAsiaTheme="minorEastAsia"/>
          <w:color w:val="000000"/>
          <w:sz w:val="24"/>
          <w:szCs w:val="24"/>
        </w:rPr>
        <w:t>本基金本报告期末未持有资产支持证券。</w:t>
      </w:r>
    </w:p>
    <w:p w:rsidR="001D63BB" w:rsidRPr="001611C5" w:rsidRDefault="001D63BB" w:rsidP="001D63BB">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5.7 报告期末按公允价值占基金资产净值比例大小排序的前五名贵金属投资明细</w:t>
      </w:r>
    </w:p>
    <w:p w:rsidR="004061AC" w:rsidRPr="006B72F7" w:rsidRDefault="001D63BB" w:rsidP="006B72F7">
      <w:pPr>
        <w:spacing w:line="360" w:lineRule="auto"/>
        <w:ind w:firstLineChars="200" w:firstLine="480"/>
        <w:rPr>
          <w:rFonts w:eastAsiaTheme="minorEastAsia"/>
          <w:color w:val="000000"/>
          <w:sz w:val="24"/>
          <w:szCs w:val="24"/>
        </w:rPr>
      </w:pPr>
      <w:r w:rsidRPr="00CD2DB1">
        <w:rPr>
          <w:rFonts w:eastAsiaTheme="minorEastAsia"/>
          <w:color w:val="000000"/>
          <w:sz w:val="24"/>
          <w:szCs w:val="24"/>
        </w:rPr>
        <w:t>本基金本报告期末未持有贵金属。</w:t>
      </w:r>
    </w:p>
    <w:p w:rsidR="004061AC" w:rsidRPr="001611C5" w:rsidRDefault="001D63BB"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
      </w:r>
      <w:r w:rsidR="00A917BF" w:rsidRPr="001611C5">
        <w:rPr>
          <w:rFonts w:asciiTheme="minorEastAsia" w:eastAsiaTheme="minorEastAsia" w:hAnsiTheme="minorEastAsia" w:hint="eastAsia"/>
          <w:b/>
          <w:bCs/>
          <w:color w:val="000000"/>
          <w:kern w:val="0"/>
          <w:sz w:val="24"/>
          <w:szCs w:val="24"/>
        </w:rPr>
        <w:t>5.</w:t>
      </w:r>
      <w:r w:rsidRPr="001611C5">
        <w:rPr>
          <w:rFonts w:asciiTheme="minorEastAsia" w:eastAsiaTheme="minorEastAsia" w:hAnsiTheme="minorEastAsia" w:hint="eastAsia"/>
          <w:b/>
          <w:bCs/>
          <w:color w:val="000000"/>
          <w:kern w:val="0"/>
          <w:sz w:val="24"/>
          <w:szCs w:val="24"/>
        </w:rPr>
        <w:t/>
      </w:r>
      <w:r w:rsidR="00A917BF" w:rsidRPr="001611C5">
        <w:rPr>
          <w:rFonts w:asciiTheme="minorEastAsia" w:eastAsiaTheme="minorEastAsia" w:hAnsiTheme="minorEastAsia" w:hint="eastAsia"/>
          <w:b/>
          <w:bCs/>
          <w:color w:val="000000"/>
          <w:kern w:val="0"/>
          <w:sz w:val="24"/>
          <w:szCs w:val="24"/>
        </w:rPr>
        <w:t>8</w:t>
      </w:r>
      <w:r w:rsidR="004061AC" w:rsidRPr="001611C5">
        <w:rPr>
          <w:rFonts w:asciiTheme="minorEastAsia" w:eastAsiaTheme="minorEastAsia" w:hAnsiTheme="minorEastAsia"/>
          <w:b/>
          <w:bCs/>
          <w:color w:val="000000"/>
          <w:kern w:val="0"/>
          <w:sz w:val="24"/>
          <w:szCs w:val="24"/>
        </w:rPr>
        <w:t xml:space="preserve"> </w:t>
      </w:r>
      <w:r w:rsidR="004061AC" w:rsidRPr="001611C5">
        <w:rPr>
          <w:rFonts w:asciiTheme="minorEastAsia" w:eastAsiaTheme="minorEastAsia" w:hAnsiTheme="minorEastAsia" w:hint="eastAsia"/>
          <w:b/>
          <w:bCs/>
          <w:color w:val="000000"/>
          <w:kern w:val="0"/>
          <w:sz w:val="24"/>
          <w:szCs w:val="24"/>
        </w:rPr>
        <w:t>报告期末按公允价值占基金资产净值比例大小排</w:t>
      </w:r>
      <w:r w:rsidRPr="001611C5">
        <w:rPr>
          <w:rFonts w:asciiTheme="minorEastAsia" w:eastAsiaTheme="minorEastAsia" w:hAnsiTheme="minorEastAsia" w:hint="eastAsia"/>
          <w:b/>
          <w:bCs/>
          <w:color w:val="000000"/>
          <w:kern w:val="0"/>
          <w:sz w:val="24"/>
          <w:szCs w:val="24"/>
        </w:rPr>
        <w:t>序</w:t>
      </w:r>
      <w:r w:rsidR="004061AC" w:rsidRPr="001611C5">
        <w:rPr>
          <w:rFonts w:asciiTheme="minorEastAsia" w:eastAsiaTheme="minorEastAsia" w:hAnsiTheme="minorEastAsia" w:hint="eastAsia"/>
          <w:b/>
          <w:bCs/>
          <w:color w:val="000000"/>
          <w:kern w:val="0"/>
          <w:sz w:val="24"/>
          <w:szCs w:val="24"/>
        </w:rPr>
        <w:t>的前五名权证投资明细</w:t>
      </w:r>
    </w:p>
    <w:p w:rsidR="004061AC" w:rsidRPr="006B72F7" w:rsidRDefault="00F743D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004061AC" w:rsidRPr="00CD2DB1">
        <w:rPr>
          <w:rFonts w:eastAsiaTheme="minorEastAsia"/>
          <w:color w:val="000000"/>
          <w:sz w:val="24"/>
          <w:szCs w:val="24"/>
        </w:rPr>
        <w:t/>
      </w:r>
      <w:r w:rsidR="00315D5D" w:rsidRPr="00CD2DB1">
        <w:rPr>
          <w:rFonts w:eastAsiaTheme="minorEastAsia"/>
          <w:color w:val="000000"/>
          <w:sz w:val="24"/>
          <w:szCs w:val="24"/>
        </w:rPr>
        <w:t/>
      </w:r>
      <w:r w:rsidR="004061AC" w:rsidRPr="00CD2DB1">
        <w:rPr>
          <w:rFonts w:eastAsiaTheme="minorEastAsia"/>
          <w:color w:val="000000"/>
          <w:sz w:val="24"/>
          <w:szCs w:val="24"/>
        </w:rPr>
        <w:t>本基金本报告期末未持有权证。</w:t>
      </w:r>
    </w:p>
    <w:p w:rsidR="00275745" w:rsidRPr="001611C5" w:rsidRDefault="00CD5707"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
      </w:r>
      <w:r w:rsidR="00A83500" w:rsidRPr="001611C5">
        <w:rPr>
          <w:rFonts w:asciiTheme="minorEastAsia" w:eastAsiaTheme="minorEastAsia" w:hAnsiTheme="minorEastAsia" w:hint="eastAsia"/>
          <w:b/>
          <w:bCs/>
          <w:color w:val="000000"/>
          <w:kern w:val="0"/>
          <w:sz w:val="24"/>
          <w:szCs w:val="24"/>
        </w:rPr>
        <w:t/>
      </w:r>
      <w:r w:rsidR="003259C8" w:rsidRPr="001611C5">
        <w:rPr>
          <w:rFonts w:asciiTheme="minorEastAsia" w:eastAsiaTheme="minorEastAsia" w:hAnsiTheme="minorEastAsia" w:hint="eastAsia"/>
          <w:b/>
          <w:bCs/>
          <w:color w:val="000000"/>
          <w:kern w:val="0"/>
          <w:sz w:val="24"/>
          <w:szCs w:val="24"/>
        </w:rPr>
        <w:t>5</w:t>
      </w:r>
      <w:r w:rsidR="00A917BF" w:rsidRPr="001611C5">
        <w:rPr>
          <w:rFonts w:asciiTheme="minorEastAsia" w:eastAsiaTheme="minorEastAsia" w:hAnsiTheme="minorEastAsia" w:hint="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9</w:t>
      </w:r>
      <w:r w:rsidR="00275745" w:rsidRPr="001611C5">
        <w:rPr>
          <w:rFonts w:asciiTheme="minorEastAsia" w:eastAsiaTheme="minorEastAsia" w:hAnsiTheme="minorEastAsia" w:hint="eastAsia"/>
          <w:b/>
          <w:bCs/>
          <w:color w:val="000000"/>
          <w:kern w:val="0"/>
          <w:sz w:val="24"/>
          <w:szCs w:val="24"/>
        </w:rPr>
        <w:t xml:space="preserve"> 报告期末本基金投资的股指期货交易情况说明</w:t>
      </w:r>
    </w:p>
    <w:p>
      <w:pPr>
        <w:spacing w:line="360" w:lineRule="auto"/>
        <w:ind w:firstLineChars="200" w:firstLine="480"/>
        <w:rPr>
          <w:rFonts w:eastAsiaTheme="minorEastAsia"/>
          <w:color w:val="000000"/>
          <w:sz w:val="24"/>
          <w:szCs w:val="24"/>
        </w:rPr>
      </w:pPr>
      <w:r>
        <w:rPr>
          <w:rFonts w:eastAsiaTheme="minorEastAsia"/>
          <w:color w:val="000000"/>
          <w:sz w:val="24"/>
          <w:szCs w:val="24"/>
        </w:rPr>
        <w:t>（1）本基金本报告期末未持有股指期货。</w:t>
      </w:r>
    </w:p>
    <w:p w:rsidR="00AA3A38" w:rsidRPr="006B72F7" w:rsidRDefault="00AA3A3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lastRenderedPageBreak/>
        <w:t/>
      </w:r>
      <w:r w:rsidRPr="00CD2DB1">
        <w:rPr>
          <w:rFonts w:eastAsiaTheme="minorEastAsia"/>
          <w:color w:val="000000"/>
          <w:sz w:val="24"/>
          <w:szCs w:val="24"/>
        </w:rPr>
        <w:t>（2）本基金本报告期内未进行股指期货交易。</w:t>
      </w:r>
    </w:p>
    <w:p w:rsidR="00312A9F" w:rsidRPr="001611C5" w:rsidRDefault="00312A9F"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5.10报告期末本基金投资的国债期货交易情况说明</w:t>
      </w:r>
    </w:p>
    <w:p>
      <w:pPr>
        <w:spacing w:line="360" w:lineRule="auto"/>
        <w:ind w:firstLineChars="200" w:firstLine="480"/>
        <w:rPr>
          <w:rFonts w:eastAsiaTheme="minorEastAsia"/>
          <w:color w:val="000000"/>
          <w:sz w:val="24"/>
          <w:szCs w:val="24"/>
        </w:rPr>
      </w:pPr>
      <w:r>
        <w:rPr>
          <w:rFonts w:eastAsiaTheme="minorEastAsia"/>
          <w:color w:val="000000"/>
          <w:sz w:val="24"/>
          <w:szCs w:val="24"/>
        </w:rPr>
        <w:t>（1）本基金本报告期末未持有国债期货。</w:t>
      </w:r>
    </w:p>
    <w:p w:rsidR="00312A9F" w:rsidRPr="00CD2DB1" w:rsidRDefault="00312A9F"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Pr="00CD2DB1">
        <w:rPr>
          <w:rFonts w:eastAsiaTheme="minorEastAsia"/>
          <w:color w:val="000000"/>
          <w:sz w:val="24"/>
          <w:szCs w:val="24"/>
        </w:rPr>
        <w:t>（2）本基金本报告期内未进行国债期货交易。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b/>
          <w:bCs/>
          <w:color w:val="000000"/>
          <w:kern w:val="0"/>
          <w:sz w:val="24"/>
          <w:szCs w:val="24"/>
        </w:rPr>
        <w:t/>
      </w:r>
      <w:r w:rsidRPr="001611C5">
        <w:rPr>
          <w:rFonts w:asciiTheme="minorEastAsia" w:eastAsiaTheme="minorEastAsia" w:hAnsiTheme="minorEastAsia" w:hint="eastAsia"/>
          <w:b/>
          <w:bCs/>
          <w:color w:val="000000"/>
          <w:kern w:val="0"/>
          <w:sz w:val="24"/>
          <w:szCs w:val="24"/>
        </w:rPr>
        <w:t/>
      </w:r>
      <w:r w:rsidRPr="001611C5">
        <w:rPr>
          <w:rFonts w:asciiTheme="minorEastAsia" w:eastAsiaTheme="minorEastAsia" w:hAnsiTheme="minor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4061AC" w:rsidRPr="001611C5">
        <w:rPr>
          <w:rFonts w:asciiTheme="minorEastAsia" w:eastAsiaTheme="minorEastAsia" w:hAnsiTheme="minorEastAsia"/>
          <w:b/>
          <w:bCs/>
          <w:color w:val="000000"/>
          <w:kern w:val="0"/>
          <w:sz w:val="24"/>
          <w:szCs w:val="24"/>
        </w:rPr>
        <w:t xml:space="preserve"> </w:t>
      </w:r>
      <w:r w:rsidR="004061AC" w:rsidRPr="001611C5">
        <w:rPr>
          <w:rFonts w:asciiTheme="minorEastAsia" w:eastAsiaTheme="minorEastAsia" w:hAnsiTheme="minorEastAsia" w:hint="eastAsia"/>
          <w:b/>
          <w:bCs/>
          <w:color w:val="000000"/>
          <w:kern w:val="0"/>
          <w:sz w:val="24"/>
          <w:szCs w:val="24"/>
        </w:rPr>
        <w:t>投资组合报告附注</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w:t>
      </w:r>
      <w:r w:rsidR="004061AC" w:rsidRPr="006B72F7">
        <w:rPr>
          <w:rFonts w:eastAsiaTheme="minorEastAsia"/>
          <w:color w:val="000000"/>
          <w:sz w:val="24"/>
          <w:szCs w:val="24"/>
        </w:rPr>
        <w:t>本基金投资的前十名证券的发行主体在本报告期内没有出现被监管部门立案调查，或在报告编制日前一年内受到公开谴责、处罚的情形。</w:t>
      </w:r>
    </w:p>
    <w:p w:rsidR="004061AC" w:rsidRPr="001611C5" w:rsidRDefault="003259C8" w:rsidP="001B0A62">
      <w:pPr>
        <w:spacing w:line="360" w:lineRule="auto"/>
        <w:rPr>
          <w:rFonts w:asciiTheme="minorEastAsia" w:eastAsiaTheme="minorEastAsia" w:hAnsiTheme="minorEastAsia"/>
          <w:color w:val="000000"/>
          <w:sz w:val="24"/>
          <w:szCs w:val="24"/>
        </w:rPr>
      </w:pPr>
      <w:r w:rsidRPr="001611C5">
        <w:rPr>
          <w:rFonts w:asciiTheme="minorEastAsia" w:eastAsiaTheme="minorEastAsia" w:hAnsiTheme="minorEastAsia" w:hint="eastAsia"/>
          <w:color w:val="000000"/>
          <w:sz w:val="24"/>
          <w:szCs w:val="24"/>
        </w:rPr>
        <w:t>5</w:t>
      </w:r>
      <w:r w:rsidR="00275745"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11</w:t>
      </w:r>
      <w:r w:rsidR="004061AC" w:rsidRPr="001611C5">
        <w:rPr>
          <w:rFonts w:asciiTheme="minorEastAsia" w:eastAsiaTheme="minorEastAsia" w:hAnsiTheme="minorEastAsia"/>
          <w:color w:val="000000"/>
          <w:sz w:val="24"/>
          <w:szCs w:val="24"/>
        </w:rPr>
        <w:t>.</w:t>
      </w:r>
      <w:r w:rsidR="0059076B" w:rsidRPr="001611C5">
        <w:rPr>
          <w:rFonts w:asciiTheme="minorEastAsia" w:eastAsiaTheme="minorEastAsia" w:hAnsiTheme="minorEastAsia" w:hint="eastAsia"/>
          <w:color w:val="000000"/>
          <w:sz w:val="24"/>
          <w:szCs w:val="24"/>
        </w:rPr>
        <w:t>2</w:t>
      </w:r>
      <w:r w:rsidR="004061AC" w:rsidRPr="006B72F7">
        <w:rPr>
          <w:rFonts w:eastAsiaTheme="minorEastAsia"/>
          <w:color w:val="000000"/>
          <w:sz w:val="24"/>
          <w:szCs w:val="24"/>
        </w:rPr>
        <w:t>报告期内本基金投资的前十名股票未超出基金合同规定的备选股票库。</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b/>
          <w:bCs/>
          <w:color w:val="000000"/>
          <w:kern w:val="0"/>
          <w:sz w:val="24"/>
          <w:szCs w:val="24"/>
        </w:rPr>
        <w:t xml:space="preserve"> </w:t>
      </w:r>
      <w:r w:rsidR="004061AC" w:rsidRPr="001611C5">
        <w:rPr>
          <w:rFonts w:asciiTheme="minorEastAsia" w:eastAsiaTheme="minorEastAsia" w:hAnsiTheme="minorEastAsia" w:hint="eastAsia"/>
          <w:b/>
          <w:bCs/>
          <w:color w:val="000000"/>
          <w:kern w:val="0"/>
          <w:sz w:val="24"/>
          <w:szCs w:val="24"/>
        </w:rPr>
        <w:t>其他各项资产构成</w:t>
      </w:r>
    </w:p>
    <w:tbl>
      <w:tblPr>
        <w:tblStyle w:val="af7"/>
        <w:tblW w:w="0" w:type="auto"/>
        <w:tblInd w:w="15" w:type="dxa"/>
        <w:tblLook w:val="04A0" w:firstRow="1" w:lastRow="0" w:firstColumn="1" w:lastColumn="0" w:noHBand="0" w:noVBand="1"/>
      </w:tblPr>
      <w:tblGrid>
        <w:gridCol w:w="1235"/>
        <w:gridCol w:w="2470"/>
        <w:gridCol w:w="4808"/>
      </w:tblGrid>
      <w:tr w:rsidR="00F31F6E" w:rsidRPr="001611C5" w:rsidTr="00F31F6E">
        <w:tc>
          <w:tcPr>
            <w:tcW w:w="1235"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2470"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名称</w:t>
            </w:r>
          </w:p>
        </w:tc>
        <w:tc>
          <w:tcPr>
            <w:tcW w:w="4808" w:type="dxa"/>
            <w:vAlign w:val="center"/>
          </w:tcPr>
          <w:p w:rsidR="00F31F6E" w:rsidRPr="006B72F7" w:rsidRDefault="00F31F6E" w:rsidP="00FB41D3">
            <w:pPr>
              <w:autoSpaceDE w:val="0"/>
              <w:autoSpaceDN w:val="0"/>
              <w:adjustRightInd w:val="0"/>
              <w:spacing w:before="29" w:line="360" w:lineRule="auto"/>
              <w:ind w:left="17"/>
              <w:jc w:val="center"/>
              <w:rPr>
                <w:rFonts w:eastAsiaTheme="minorEastAsia"/>
                <w:color w:val="000000"/>
                <w:sz w:val="24"/>
                <w:szCs w:val="24"/>
              </w:rPr>
            </w:pPr>
            <w:r w:rsidRPr="006B72F7">
              <w:rPr>
                <w:rFonts w:eastAsiaTheme="minorEastAsia"/>
                <w:color w:val="000000"/>
                <w:sz w:val="24"/>
                <w:szCs w:val="24"/>
              </w:rPr>
              <w:t>金额</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1</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存出保证金</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114,944.91</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2</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应收证券清算款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3</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应收股利</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4</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应收利息</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3,715.83</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5</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应收申购款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6</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其他应收款</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EB2C07" w:rsidRPr="001611C5" w:rsidTr="00175D4F">
        <w:tc>
          <w:tcPr>
            <w:tcW w:w="1235" w:type="dxa"/>
            <w:vAlign w:val="center"/>
          </w:tcPr>
          <w:p w:rsidR="00EB2C07" w:rsidRPr="006B72F7" w:rsidRDefault="00EB2C07"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7</w:t>
            </w:r>
          </w:p>
        </w:tc>
        <w:tc>
          <w:tcPr>
            <w:tcW w:w="2470" w:type="dxa"/>
            <w:vAlign w:val="center"/>
          </w:tcPr>
          <w:p w:rsidR="00EB2C07" w:rsidRPr="006B72F7" w:rsidRDefault="00EB2C07"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待摊费用</w:t>
            </w:r>
          </w:p>
        </w:tc>
        <w:tc>
          <w:tcPr>
            <w:tcW w:w="4808" w:type="dxa"/>
            <w:vAlign w:val="center"/>
          </w:tcPr>
          <w:p w:rsidR="00EB2C07" w:rsidRPr="006B72F7" w:rsidRDefault="00EB2C07"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F31F6E"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
            </w:r>
            <w:r w:rsidR="004D495A" w:rsidRPr="006B72F7">
              <w:rPr>
                <w:rFonts w:eastAsiaTheme="minorEastAsia"/>
                <w:color w:val="000000"/>
                <w:sz w:val="24"/>
                <w:szCs w:val="24"/>
              </w:rPr>
              <w:t/>
            </w:r>
            <w:r w:rsidRPr="006B72F7">
              <w:rPr>
                <w:rFonts w:eastAsiaTheme="minorEastAsia"/>
                <w:color w:val="000000"/>
                <w:sz w:val="24"/>
                <w:szCs w:val="24"/>
              </w:rPr>
              <w:t>8</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其他</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w:t>
            </w:r>
          </w:p>
        </w:tc>
      </w:tr>
      <w:tr w:rsidR="00F31F6E" w:rsidRPr="001611C5" w:rsidTr="00175D4F">
        <w:tc>
          <w:tcPr>
            <w:tcW w:w="1235" w:type="dxa"/>
            <w:vAlign w:val="center"/>
          </w:tcPr>
          <w:p w:rsidR="00F31F6E" w:rsidRPr="006B72F7" w:rsidRDefault="004D495A" w:rsidP="00FB41D3">
            <w:pPr>
              <w:autoSpaceDE w:val="0"/>
              <w:autoSpaceDN w:val="0"/>
              <w:adjustRightInd w:val="0"/>
              <w:spacing w:before="29" w:line="360" w:lineRule="auto"/>
              <w:ind w:left="15"/>
              <w:jc w:val="center"/>
              <w:rPr>
                <w:rFonts w:eastAsiaTheme="minorEastAsia"/>
                <w:color w:val="000000"/>
                <w:sz w:val="24"/>
                <w:szCs w:val="24"/>
              </w:rPr>
            </w:pPr>
            <w:r w:rsidRPr="006B72F7">
              <w:rPr>
                <w:rFonts w:eastAsiaTheme="minorEastAsia"/>
                <w:color w:val="000000"/>
                <w:sz w:val="24"/>
                <w:szCs w:val="24"/>
              </w:rPr>
              <w:t/>
            </w:r>
            <w:r w:rsidR="00F31F6E" w:rsidRPr="006B72F7">
              <w:rPr>
                <w:rFonts w:eastAsiaTheme="minorEastAsia"/>
                <w:color w:val="000000"/>
                <w:sz w:val="24"/>
                <w:szCs w:val="24"/>
              </w:rPr>
              <w:t>9</w:t>
            </w:r>
          </w:p>
        </w:tc>
        <w:tc>
          <w:tcPr>
            <w:tcW w:w="2470" w:type="dxa"/>
            <w:vAlign w:val="center"/>
          </w:tcPr>
          <w:p w:rsidR="00F31F6E" w:rsidRPr="006B72F7" w:rsidRDefault="00F31F6E" w:rsidP="00175D4F">
            <w:pPr>
              <w:autoSpaceDE w:val="0"/>
              <w:autoSpaceDN w:val="0"/>
              <w:adjustRightInd w:val="0"/>
              <w:spacing w:before="29" w:line="360" w:lineRule="auto"/>
              <w:ind w:left="15"/>
              <w:rPr>
                <w:rFonts w:eastAsiaTheme="minorEastAsia"/>
                <w:color w:val="000000"/>
                <w:sz w:val="24"/>
                <w:szCs w:val="24"/>
              </w:rPr>
            </w:pPr>
            <w:r w:rsidRPr="006B72F7">
              <w:rPr>
                <w:rFonts w:eastAsiaTheme="minorEastAsia"/>
                <w:color w:val="000000"/>
                <w:sz w:val="24"/>
                <w:szCs w:val="24"/>
              </w:rPr>
              <w:t>合计</w:t>
            </w:r>
          </w:p>
        </w:tc>
        <w:tc>
          <w:tcPr>
            <w:tcW w:w="4808" w:type="dxa"/>
            <w:vAlign w:val="center"/>
          </w:tcPr>
          <w:p w:rsidR="00F31F6E" w:rsidRPr="006B72F7" w:rsidRDefault="00F31F6E" w:rsidP="00FB41D3">
            <w:pPr>
              <w:autoSpaceDE w:val="0"/>
              <w:autoSpaceDN w:val="0"/>
              <w:adjustRightInd w:val="0"/>
              <w:spacing w:before="29" w:line="360" w:lineRule="auto"/>
              <w:ind w:left="15"/>
              <w:jc w:val="right"/>
              <w:rPr>
                <w:rFonts w:eastAsiaTheme="minorEastAsia"/>
                <w:color w:val="000000"/>
                <w:sz w:val="24"/>
                <w:szCs w:val="24"/>
              </w:rPr>
            </w:pPr>
            <w:r w:rsidRPr="006B72F7">
              <w:rPr>
                <w:rFonts w:eastAsiaTheme="minorEastAsia"/>
                <w:color w:val="000000"/>
                <w:sz w:val="24"/>
                <w:szCs w:val="24"/>
              </w:rPr>
              <w:t>118,660.74</w:t>
            </w:r>
          </w:p>
        </w:tc>
      </w:tr>
    </w:tbl>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275745"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4</w:t>
      </w:r>
      <w:r w:rsidR="004061AC" w:rsidRPr="001611C5">
        <w:rPr>
          <w:rFonts w:asciiTheme="minorEastAsia" w:eastAsiaTheme="minorEastAsia" w:hAnsiTheme="minorEastAsia" w:hint="eastAsia"/>
          <w:b/>
          <w:bCs/>
          <w:color w:val="000000"/>
          <w:kern w:val="0"/>
          <w:sz w:val="24"/>
          <w:szCs w:val="24"/>
        </w:rPr>
        <w:t>报告期末持有的处于转股期的可转换债券明细</w:t>
      </w:r>
    </w:p>
    <w:p w:rsidR="002918E3" w:rsidRPr="006B72F7" w:rsidRDefault="00F743D4"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004061AC" w:rsidRPr="00CD2DB1">
        <w:rPr>
          <w:rFonts w:eastAsiaTheme="minorEastAsia"/>
          <w:color w:val="000000"/>
          <w:sz w:val="24"/>
          <w:szCs w:val="24"/>
        </w:rPr>
        <w:t>本基金本报告期末未持有处于转股期的可转换债券。</w:t>
      </w:r>
    </w:p>
    <w:p w:rsidR="004061AC" w:rsidRPr="001611C5" w:rsidRDefault="003259C8" w:rsidP="001B0A62">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11</w:t>
      </w:r>
      <w:r w:rsidR="0059076B" w:rsidRPr="001611C5">
        <w:rPr>
          <w:rFonts w:asciiTheme="minorEastAsia" w:eastAsiaTheme="minorEastAsia" w:hAnsiTheme="minorEastAsia"/>
          <w:b/>
          <w:bCs/>
          <w:color w:val="000000"/>
          <w:kern w:val="0"/>
          <w:sz w:val="24"/>
          <w:szCs w:val="24"/>
        </w:rPr>
        <w:t>.</w:t>
      </w:r>
      <w:r w:rsidR="0059076B" w:rsidRPr="001611C5">
        <w:rPr>
          <w:rFonts w:asciiTheme="minorEastAsia" w:eastAsiaTheme="minorEastAsia" w:hAnsiTheme="minorEastAsia" w:hint="eastAsia"/>
          <w:b/>
          <w:bCs/>
          <w:color w:val="000000"/>
          <w:kern w:val="0"/>
          <w:sz w:val="24"/>
          <w:szCs w:val="24"/>
        </w:rPr>
        <w:t>5</w:t>
      </w:r>
      <w:r w:rsidR="004061AC" w:rsidRPr="001611C5">
        <w:rPr>
          <w:rFonts w:asciiTheme="minorEastAsia" w:eastAsiaTheme="minorEastAsia" w:hAnsiTheme="minorEastAsia" w:hint="eastAsia"/>
          <w:b/>
          <w:bCs/>
          <w:color w:val="000000"/>
          <w:kern w:val="0"/>
          <w:sz w:val="24"/>
          <w:szCs w:val="24"/>
        </w:rPr>
        <w:t>报告期末前十名股票中存在流通受限情况的说明</w:t>
      </w:r>
    </w:p>
    <w:tbl>
      <w:tblPr>
        <w:tblStyle w:val="af7"/>
        <w:tblW w:w="0" w:type="auto"/>
        <w:tblInd w:w="15" w:type="dxa"/>
        <w:tblLayout w:type="fixed"/>
        <w:tblLook w:val="04A0" w:firstRow="1" w:lastRow="0" w:firstColumn="1" w:lastColumn="0" w:noHBand="0" w:noVBand="1"/>
      </w:tblPr>
      <w:tblGrid>
        <w:gridCol w:w="1083"/>
        <w:gridCol w:w="1302"/>
        <w:gridCol w:w="1301"/>
        <w:gridCol w:w="1805"/>
        <w:gridCol w:w="1655"/>
        <w:gridCol w:w="1367"/>
      </w:tblGrid>
      <w:tr w:rsidR="003E62FB" w:rsidRPr="001611C5" w:rsidTr="00BD7703">
        <w:tc>
          <w:tcPr>
            <w:tcW w:w="1083" w:type="dxa"/>
            <w:vAlign w:val="center"/>
          </w:tcPr>
          <w:p w:rsidR="003E62FB" w:rsidRPr="006B72F7" w:rsidRDefault="003E62FB" w:rsidP="00924582">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序号</w:t>
            </w:r>
          </w:p>
        </w:tc>
        <w:tc>
          <w:tcPr>
            <w:tcW w:w="1302" w:type="dxa"/>
            <w:vAlign w:val="center"/>
          </w:tcPr>
          <w:p w:rsidR="003E62FB" w:rsidRPr="006B72F7" w:rsidRDefault="003E62FB" w:rsidP="00924582">
            <w:pPr>
              <w:spacing w:before="29" w:line="360" w:lineRule="auto"/>
              <w:ind w:left="17"/>
              <w:jc w:val="center"/>
              <w:rPr>
                <w:rFonts w:eastAsiaTheme="minorEastAsia"/>
                <w:color w:val="000000"/>
                <w:sz w:val="24"/>
                <w:szCs w:val="24"/>
              </w:rPr>
            </w:pPr>
            <w:r w:rsidRPr="006B72F7">
              <w:rPr>
                <w:rFonts w:eastAsiaTheme="minorEastAsia"/>
                <w:color w:val="000000"/>
                <w:sz w:val="24"/>
                <w:szCs w:val="24"/>
              </w:rPr>
              <w:t>股票代码</w:t>
            </w:r>
          </w:p>
        </w:tc>
        <w:tc>
          <w:tcPr>
            <w:tcW w:w="1301" w:type="dxa"/>
            <w:vAlign w:val="center"/>
          </w:tcPr>
          <w:p w:rsidR="003E62FB" w:rsidRPr="006B72F7" w:rsidRDefault="003E62FB" w:rsidP="00924582">
            <w:pPr>
              <w:spacing w:before="29" w:line="360" w:lineRule="auto"/>
              <w:ind w:left="17"/>
              <w:jc w:val="center"/>
              <w:rPr>
                <w:rFonts w:eastAsiaTheme="minorEastAsia"/>
                <w:color w:val="000000"/>
                <w:sz w:val="24"/>
                <w:szCs w:val="24"/>
              </w:rPr>
            </w:pPr>
            <w:r w:rsidRPr="006B72F7">
              <w:rPr>
                <w:rFonts w:eastAsiaTheme="minorEastAsia"/>
                <w:color w:val="000000"/>
                <w:sz w:val="24"/>
                <w:szCs w:val="24"/>
              </w:rPr>
              <w:t>股票名称</w:t>
            </w:r>
          </w:p>
        </w:tc>
        <w:tc>
          <w:tcPr>
            <w:tcW w:w="1805" w:type="dxa"/>
            <w:vAlign w:val="center"/>
          </w:tcPr>
          <w:p w:rsidR="003E62FB" w:rsidRPr="006B72F7" w:rsidRDefault="003E62FB" w:rsidP="00924582">
            <w:pPr>
              <w:spacing w:before="29" w:line="360" w:lineRule="auto"/>
              <w:ind w:left="17"/>
              <w:jc w:val="center"/>
              <w:rPr>
                <w:rFonts w:eastAsiaTheme="minorEastAsia"/>
                <w:color w:val="000000"/>
                <w:sz w:val="24"/>
                <w:szCs w:val="24"/>
              </w:rPr>
            </w:pPr>
            <w:r w:rsidRPr="006B72F7">
              <w:rPr>
                <w:rFonts w:eastAsiaTheme="minorEastAsia"/>
                <w:color w:val="000000"/>
                <w:sz w:val="24"/>
                <w:szCs w:val="24"/>
              </w:rPr>
              <w:t>流通受限部分的公允价值</w:t>
            </w:r>
            <w:r w:rsidRPr="006B72F7">
              <w:rPr>
                <w:rFonts w:eastAsiaTheme="minorEastAsia"/>
                <w:color w:val="000000"/>
                <w:sz w:val="24"/>
                <w:szCs w:val="24"/>
              </w:rPr>
              <w:t>(</w:t>
            </w:r>
            <w:r w:rsidRPr="006B72F7">
              <w:rPr>
                <w:rFonts w:eastAsiaTheme="minorEastAsia"/>
                <w:color w:val="000000"/>
                <w:sz w:val="24"/>
                <w:szCs w:val="24"/>
              </w:rPr>
              <w:t>元</w:t>
            </w:r>
            <w:r w:rsidRPr="006B72F7">
              <w:rPr>
                <w:rFonts w:eastAsiaTheme="minorEastAsia"/>
                <w:color w:val="000000"/>
                <w:sz w:val="24"/>
                <w:szCs w:val="24"/>
              </w:rPr>
              <w:t>)</w:t>
            </w:r>
          </w:p>
        </w:tc>
        <w:tc>
          <w:tcPr>
            <w:tcW w:w="1655" w:type="dxa"/>
            <w:vAlign w:val="center"/>
          </w:tcPr>
          <w:p w:rsidR="003E62FB" w:rsidRPr="006B72F7" w:rsidRDefault="003E62FB" w:rsidP="00924582">
            <w:pPr>
              <w:spacing w:before="29" w:line="360" w:lineRule="auto"/>
              <w:ind w:left="17"/>
              <w:jc w:val="center"/>
              <w:rPr>
                <w:rFonts w:eastAsiaTheme="minorEastAsia"/>
                <w:color w:val="000000"/>
                <w:sz w:val="24"/>
                <w:szCs w:val="24"/>
              </w:rPr>
            </w:pPr>
            <w:r w:rsidRPr="006B72F7">
              <w:rPr>
                <w:rFonts w:eastAsiaTheme="minorEastAsia"/>
                <w:color w:val="000000"/>
                <w:sz w:val="24"/>
                <w:szCs w:val="24"/>
              </w:rPr>
              <w:t>占基金资产净值比例</w:t>
            </w:r>
            <w:r w:rsidRPr="006B72F7">
              <w:rPr>
                <w:rFonts w:eastAsiaTheme="minorEastAsia"/>
                <w:color w:val="000000"/>
                <w:sz w:val="24"/>
                <w:szCs w:val="24"/>
              </w:rPr>
              <w:t>(%)</w:t>
            </w:r>
          </w:p>
        </w:tc>
        <w:tc>
          <w:tcPr>
            <w:tcW w:w="1367" w:type="dxa"/>
            <w:vAlign w:val="center"/>
          </w:tcPr>
          <w:p w:rsidR="003E62FB" w:rsidRPr="006B72F7" w:rsidRDefault="003E62FB" w:rsidP="00924582">
            <w:pPr>
              <w:spacing w:before="29" w:line="360" w:lineRule="auto"/>
              <w:ind w:left="17"/>
              <w:jc w:val="center"/>
              <w:rPr>
                <w:rFonts w:eastAsiaTheme="minorEastAsia"/>
                <w:color w:val="000000"/>
                <w:sz w:val="24"/>
                <w:szCs w:val="24"/>
              </w:rPr>
            </w:pPr>
            <w:r w:rsidRPr="006B72F7">
              <w:rPr>
                <w:rFonts w:eastAsiaTheme="minorEastAsia"/>
                <w:color w:val="000000"/>
                <w:sz w:val="24"/>
                <w:szCs w:val="24"/>
              </w:rPr>
              <w:t>流通受限情况说明</w:t>
            </w:r>
          </w:p>
        </w:tc>
      </w:tr>
      <w:tr>
        <w:tc>
          <w:tcPr>
            <w:vAlign w:val="center"/>
          </w:tcPr>
          <w:p>
            <w:pPr>
              <w:jc w:val="center"/>
            </w:pPr>
            <w:r>
              <w:rPr>
                <w:rFonts w:eastAsiaTheme="minorEastAsia"/>
                <w:color w:val="000000"/>
                <w:sz w:val="24"/>
                <w:szCs w:val="24"/>
              </w:rPr>
              <w:t>1</w:t>
            </w:r>
          </w:p>
        </w:tc>
        <w:tc>
          <w:tcPr>
            <w:vAlign w:val="center"/>
          </w:tcPr>
          <w:p>
            <w:pPr>
              <w:jc w:val="center"/>
            </w:pPr>
            <w:r>
              <w:rPr>
                <w:rFonts w:eastAsiaTheme="minorEastAsia"/>
                <w:color w:val="000000"/>
                <w:sz w:val="24"/>
                <w:szCs w:val="24"/>
              </w:rPr>
              <w:t>002168</w:t>
            </w:r>
          </w:p>
        </w:tc>
        <w:tc>
          <w:tcPr>
            <w:vAlign w:val="center"/>
          </w:tcPr>
          <w:p>
            <w:pPr>
              <w:jc w:val="center"/>
            </w:pPr>
            <w:r>
              <w:rPr>
                <w:rFonts w:eastAsiaTheme="minorEastAsia"/>
                <w:color w:val="000000"/>
                <w:sz w:val="24"/>
                <w:szCs w:val="24"/>
              </w:rPr>
              <w:t>深圳惠程</w:t>
            </w:r>
          </w:p>
        </w:tc>
        <w:tc>
          <w:tcPr>
            <w:vAlign w:val="center"/>
          </w:tcPr>
          <w:p>
            <w:pPr>
              <w:jc w:val="right"/>
            </w:pPr>
            <w:r>
              <w:rPr>
                <w:rFonts w:eastAsiaTheme="minorEastAsia"/>
                <w:color w:val="000000"/>
                <w:sz w:val="24"/>
                <w:szCs w:val="24"/>
              </w:rPr>
              <w:t>4,944,100.00</w:t>
            </w:r>
          </w:p>
        </w:tc>
        <w:tc>
          <w:tcPr>
            <w:vAlign w:val="center"/>
          </w:tcPr>
          <w:p>
            <w:pPr>
              <w:jc w:val="right"/>
            </w:pPr>
            <w:r>
              <w:rPr>
                <w:rFonts w:eastAsiaTheme="minorEastAsia"/>
                <w:color w:val="000000"/>
                <w:sz w:val="24"/>
                <w:szCs w:val="24"/>
              </w:rPr>
              <w:t>19.45</w:t>
            </w:r>
          </w:p>
        </w:tc>
        <w:tc>
          <w:tcPr>
            <w:vAlign w:val="center"/>
          </w:tcPr>
          <w:p>
            <w:pPr>
              <w:jc w:val="right"/>
            </w:pPr>
            <w:r>
              <w:rPr>
                <w:rFonts w:eastAsiaTheme="minorEastAsia"/>
                <w:color w:val="000000"/>
                <w:sz w:val="24"/>
                <w:szCs w:val="24"/>
              </w:rPr>
              <w:t>重大事项停牌</w:t>
            </w:r>
          </w:p>
        </w:tc>
      </w:tr>
    </w:tbl>
    <w:p w:rsidR="004061AC" w:rsidRPr="001611C5" w:rsidRDefault="004061AC" w:rsidP="001B2F35">
      <w:pPr>
        <w:pStyle w:val="1"/>
        <w:spacing w:beforeLines="100" w:before="312" w:afterLines="100" w:after="312"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t>§</w:t>
      </w:r>
      <w:r w:rsidRPr="001611C5">
        <w:rPr>
          <w:rFonts w:asciiTheme="minorEastAsia" w:eastAsiaTheme="minorEastAsia" w:hAnsiTheme="minorEastAsia"/>
          <w:color w:val="000000"/>
          <w:kern w:val="0"/>
          <w:sz w:val="24"/>
          <w:szCs w:val="24"/>
        </w:rPr>
        <w:t xml:space="preserve">6  </w:t>
      </w:r>
      <w:r w:rsidRPr="001611C5">
        <w:rPr>
          <w:rFonts w:asciiTheme="minorEastAsia" w:eastAsiaTheme="minorEastAsia" w:hAnsiTheme="minorEastAsia" w:hint="eastAsia"/>
          <w:color w:val="000000"/>
          <w:kern w:val="0"/>
          <w:sz w:val="24"/>
          <w:szCs w:val="24"/>
        </w:rPr>
        <w:t>开放式基金份额变动</w:t>
      </w:r>
    </w:p>
    <w:p w:rsidR="004061AC" w:rsidRPr="001611C5" w:rsidRDefault="004061AC" w:rsidP="004061AC">
      <w:pPr>
        <w:autoSpaceDE w:val="0"/>
        <w:autoSpaceDN w:val="0"/>
        <w:adjustRightInd w:val="0"/>
        <w:spacing w:before="29" w:line="360" w:lineRule="auto"/>
        <w:ind w:left="15"/>
        <w:jc w:val="right"/>
        <w:rPr>
          <w:rFonts w:asciiTheme="minorEastAsia" w:eastAsiaTheme="minorEastAsia" w:hAnsiTheme="minorEastAsia"/>
          <w:color w:val="000000"/>
          <w:kern w:val="0"/>
          <w:sz w:val="24"/>
          <w:szCs w:val="24"/>
        </w:rPr>
      </w:pPr>
      <w:r w:rsidRPr="001611C5">
        <w:rPr>
          <w:rFonts w:asciiTheme="minorEastAsia" w:eastAsiaTheme="minorEastAsia" w:hAnsiTheme="minorEastAsia" w:cs="宋体" w:hint="eastAsia"/>
          <w:color w:val="000000"/>
          <w:kern w:val="0"/>
          <w:sz w:val="24"/>
          <w:szCs w:val="24"/>
        </w:rPr>
        <w:t>单位：份</w:t>
      </w:r>
    </w:p>
    <w:tbl>
      <w:tblPr>
        <w:tblW w:w="0" w:type="auto"/>
        <w:tblInd w:w="-106" w:type="dxa"/>
        <w:tblLayout w:type="fixed"/>
        <w:tblLook w:val="0000" w:firstRow="0" w:lastRow="0" w:firstColumn="0" w:lastColumn="0" w:noHBand="0" w:noVBand="0"/>
      </w:tblPr>
      <w:tblGrid>
        <w:gridCol w:w="4609"/>
        <w:gridCol w:w="4025"/>
      </w:tblGrid>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lastRenderedPageBreak/>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8F60F2"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006D7FF8" w:rsidRPr="006B72F7">
              <w:rPr>
                <w:rFonts w:eastAsiaTheme="minorEastAsia"/>
                <w:color w:val="000000"/>
                <w:sz w:val="24"/>
                <w:szCs w:val="24"/>
              </w:rPr>
              <w:t/>
            </w:r>
            <w:r w:rsidR="00355364" w:rsidRPr="006B72F7">
              <w:rPr>
                <w:rFonts w:eastAsiaTheme="minorEastAsia"/>
                <w:color w:val="000000"/>
                <w:sz w:val="24"/>
                <w:szCs w:val="24"/>
              </w:rPr>
              <w:t/>
            </w:r>
            <w:r w:rsidR="006D7FF8" w:rsidRPr="006B72F7">
              <w:rPr>
                <w:rFonts w:eastAsiaTheme="minorEastAsia"/>
                <w:color w:val="000000"/>
                <w:sz w:val="24"/>
                <w:szCs w:val="24"/>
              </w:rPr>
              <w:t>45,622,520.52</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646,669.63</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减：</w:t>
            </w:r>
            <w:r w:rsidR="00FE179F" w:rsidRPr="006B72F7">
              <w:rPr>
                <w:rFonts w:eastAsiaTheme="minorEastAsia"/>
                <w:color w:val="000000"/>
                <w:kern w:val="0"/>
                <w:sz w:val="24"/>
                <w:szCs w:val="24"/>
              </w:rPr>
              <w:t>本报告期</w:t>
            </w:r>
            <w:r w:rsidRPr="006B72F7">
              <w:rPr>
                <w:rFonts w:eastAsiaTheme="minorEastAsia"/>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23,680,548.28</w:t>
            </w:r>
          </w:p>
        </w:tc>
      </w:tr>
      <w:tr w:rsidR="004061AC"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FE179F"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w:t>
            </w:r>
            <w:r w:rsidR="004061AC" w:rsidRPr="006B72F7">
              <w:rPr>
                <w:rFonts w:eastAsiaTheme="minorEastAsia"/>
                <w:color w:val="000000"/>
                <w:kern w:val="0"/>
                <w:sz w:val="24"/>
                <w:szCs w:val="24"/>
              </w:rPr>
              <w:t>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6B72F7" w:rsidRDefault="004061AC" w:rsidP="00924582">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w:t>
            </w:r>
          </w:p>
        </w:tc>
      </w:tr>
      <w:tr w:rsidR="006D7FF8" w:rsidRPr="001611C5" w:rsidTr="00175D4F">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175D4F">
            <w:pPr>
              <w:autoSpaceDE w:val="0"/>
              <w:autoSpaceDN w:val="0"/>
              <w:adjustRightInd w:val="0"/>
              <w:spacing w:before="29" w:line="360" w:lineRule="auto"/>
              <w:ind w:left="17"/>
              <w:rPr>
                <w:rFonts w:eastAsiaTheme="minorEastAsia"/>
                <w:color w:val="000000"/>
                <w:kern w:val="0"/>
                <w:sz w:val="24"/>
                <w:szCs w:val="24"/>
              </w:rPr>
            </w:pPr>
            <w:r w:rsidRPr="006B72F7">
              <w:rPr>
                <w:rFonts w:eastAsiaTheme="minorEastAsia"/>
                <w:color w:val="000000"/>
                <w:kern w:val="0"/>
                <w:sz w:val="24"/>
                <w:szCs w:val="24"/>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6B72F7" w:rsidRDefault="006D7FF8" w:rsidP="000A2B53">
            <w:pPr>
              <w:autoSpaceDE w:val="0"/>
              <w:autoSpaceDN w:val="0"/>
              <w:adjustRightInd w:val="0"/>
              <w:spacing w:before="29" w:line="360" w:lineRule="auto"/>
              <w:ind w:left="17"/>
              <w:jc w:val="right"/>
              <w:rPr>
                <w:rFonts w:eastAsiaTheme="minorEastAsia"/>
                <w:color w:val="000000"/>
                <w:sz w:val="24"/>
                <w:szCs w:val="24"/>
              </w:rPr>
            </w:pPr>
            <w:r w:rsidRPr="006B72F7">
              <w:rPr>
                <w:rFonts w:eastAsiaTheme="minorEastAsia"/>
                <w:color w:val="000000"/>
                <w:sz w:val="24"/>
                <w:szCs w:val="24"/>
              </w:rPr>
              <w:t/>
            </w:r>
            <w:r w:rsidR="00355364" w:rsidRPr="006B72F7">
              <w:rPr>
                <w:rFonts w:eastAsiaTheme="minorEastAsia"/>
                <w:color w:val="000000"/>
                <w:sz w:val="24"/>
                <w:szCs w:val="24"/>
              </w:rPr>
              <w:t/>
            </w:r>
            <w:r w:rsidRPr="006B72F7">
              <w:rPr>
                <w:rFonts w:eastAsiaTheme="minorEastAsia"/>
                <w:color w:val="000000"/>
                <w:sz w:val="24"/>
                <w:szCs w:val="24"/>
              </w:rPr>
              <w:t>22,588,641.87</w:t>
            </w:r>
          </w:p>
        </w:tc>
      </w:tr>
    </w:tbl>
    <w:p w:rsidR="00EB374A" w:rsidRPr="001611C5" w:rsidRDefault="00EB374A" w:rsidP="00EB374A">
      <w:pPr>
        <w:pStyle w:val="1"/>
        <w:tabs>
          <w:tab w:val="center" w:pos="4156"/>
          <w:tab w:val="right" w:pos="8312"/>
        </w:tabs>
        <w:spacing w:beforeLines="100" w:before="312" w:afterLines="100" w:after="312" w:line="360" w:lineRule="auto"/>
        <w:jc w:val="center"/>
        <w:rPr>
          <w:rFonts w:ascii="方正仿宋简体"/>
          <w:sz w:val="24"/>
          <w:szCs w:val="24"/>
        </w:rPr>
      </w:pPr>
      <w:r w:rsidRPr="001611C5">
        <w:rPr>
          <w:rFonts w:asciiTheme="minorEastAsia" w:eastAsiaTheme="minorEastAsia" w:hAnsiTheme="minorEastAsia" w:hint="eastAsia"/>
          <w:color w:val="000000"/>
          <w:kern w:val="0"/>
          <w:sz w:val="24"/>
          <w:szCs w:val="24"/>
        </w:rPr>
        <w:t/>
      </w:r>
      <w:r w:rsidRPr="001611C5">
        <w:rPr>
          <w:rFonts w:asciiTheme="minorEastAsia" w:eastAsiaTheme="minorEastAsia" w:hAnsiTheme="minorEastAsia" w:cs="Arial" w:hint="eastAsia"/>
          <w:color w:val="000000"/>
          <w:kern w:val="0"/>
          <w:sz w:val="24"/>
          <w:szCs w:val="24"/>
        </w:rPr>
        <w:t xml:space="preserve">§7  </w:t>
      </w:r>
      <w:r w:rsidRPr="001611C5">
        <w:rPr>
          <w:rFonts w:ascii="方正仿宋简体" w:hint="eastAsia"/>
          <w:sz w:val="24"/>
          <w:szCs w:val="24"/>
        </w:rPr>
        <w:t>基金管理人运用固有资金投资本基金情况</w:t>
      </w:r>
    </w:p>
    <w:p w:rsidR="00EB374A" w:rsidRPr="001611C5" w:rsidRDefault="00EB374A" w:rsidP="00EB374A">
      <w:pPr>
        <w:spacing w:line="360" w:lineRule="auto"/>
        <w:jc w:val="left"/>
        <w:rPr>
          <w:sz w:val="24"/>
          <w:szCs w:val="24"/>
        </w:rPr>
      </w:pPr>
      <w:r w:rsidRPr="001611C5">
        <w:rPr>
          <w:b/>
          <w:sz w:val="24"/>
          <w:szCs w:val="24"/>
        </w:rPr>
        <w:t xml:space="preserve">7.1 </w:t>
      </w:r>
      <w:r w:rsidRPr="001611C5">
        <w:rPr>
          <w:rFonts w:hint="eastAsia"/>
          <w:b/>
          <w:sz w:val="24"/>
          <w:szCs w:val="24"/>
        </w:rPr>
        <w:t>基金管理人持有本基金份额变动情况</w:t>
      </w:r>
    </w:p>
    <w:p w:rsidR="00EB374A" w:rsidRPr="001611C5" w:rsidRDefault="00EB374A" w:rsidP="00EB374A">
      <w:pPr>
        <w:autoSpaceDE w:val="0"/>
        <w:autoSpaceDN w:val="0"/>
        <w:adjustRightInd w:val="0"/>
        <w:spacing w:before="29" w:line="360" w:lineRule="auto"/>
        <w:ind w:left="15"/>
        <w:jc w:val="right"/>
        <w:rPr>
          <w:rFonts w:asciiTheme="minorEastAsia" w:eastAsiaTheme="minorEastAsia" w:hAnsiTheme="minorEastAsia" w:cs="Arial"/>
          <w:color w:val="000000"/>
          <w:kern w:val="0"/>
          <w:sz w:val="24"/>
          <w:szCs w:val="24"/>
        </w:rPr>
      </w:pPr>
      <w:r w:rsidRPr="001611C5">
        <w:rPr>
          <w:rFonts w:asciiTheme="minorEastAsia" w:eastAsiaTheme="minorEastAsia" w:hAnsiTheme="minorEastAsia" w:hint="eastAsia"/>
          <w:sz w:val="24"/>
          <w:szCs w:val="24"/>
        </w:rPr>
        <w:t/>
      </w:r>
      <w:r w:rsidRPr="001611C5">
        <w:rPr>
          <w:rFonts w:asciiTheme="minorEastAsia" w:eastAsiaTheme="minorEastAsia" w:hAnsiTheme="minorEastAsia" w:cs="Arial" w:hint="eastAsia"/>
          <w:color w:val="000000"/>
          <w:kern w:val="0"/>
          <w:sz w:val="24"/>
          <w:szCs w:val="24"/>
        </w:rPr>
        <w:t>单位：份</w:t>
      </w:r>
    </w:p>
    <w:tbl>
      <w:tblPr>
        <w:tblW w:w="8415" w:type="dxa"/>
        <w:tblInd w:w="108" w:type="dxa"/>
        <w:tblLayout w:type="fixed"/>
        <w:tblLook w:val="04A0" w:firstRow="1" w:lastRow="0" w:firstColumn="1" w:lastColumn="0" w:noHBand="0" w:noVBand="1"/>
      </w:tblPr>
      <w:tblGrid>
        <w:gridCol w:w="5037"/>
        <w:gridCol w:w="3378"/>
      </w:tblGrid>
      <w:tr w:rsidR="00EB374A" w:rsidRPr="001611C5" w:rsidTr="00EB374A">
        <w:tc>
          <w:tcPr>
            <w:tcW w:w="504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pStyle w:val="ad"/>
              <w:adjustRightInd w:val="0"/>
              <w:snapToGrid w:val="0"/>
              <w:spacing w:line="360" w:lineRule="exact"/>
              <w:rPr>
                <w:rFonts w:eastAsia="方正仿宋简体"/>
                <w:color w:val="000000"/>
              </w:rPr>
            </w:pPr>
            <w:r w:rsidRPr="006B72F7">
              <w:rPr>
                <w:color w:val="000000"/>
              </w:rPr>
              <w:t>报告期期初管理人持有的本基金份额</w:t>
            </w:r>
            <w:r w:rsidRPr="006B72F7">
              <w:rPr>
                <w:rFonts w:eastAsiaTheme="minorEastAsia"/>
              </w:rPr>
              <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jc w:val="right"/>
              <w:rPr>
                <w:rFonts w:eastAsiaTheme="minorEastAsia"/>
                <w:sz w:val="24"/>
                <w:szCs w:val="24"/>
              </w:rPr>
            </w:pPr>
            <w:r w:rsidRPr="006B72F7">
              <w:rPr>
                <w:rFonts w:eastAsiaTheme="minorEastAsia"/>
                <w:color w:val="000000"/>
                <w:sz w:val="24"/>
                <w:szCs w:val="24"/>
              </w:rPr>
              <w:t>22,522,522.52</w:t>
            </w:r>
          </w:p>
        </w:tc>
      </w:tr>
      <w:tr w:rsidR="00EB374A" w:rsidRPr="001611C5" w:rsidTr="00EB374A">
        <w:tc>
          <w:tcPr>
            <w:tcW w:w="504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adjustRightInd w:val="0"/>
              <w:snapToGrid w:val="0"/>
              <w:spacing w:line="360" w:lineRule="exact"/>
              <w:rPr>
                <w:color w:val="000000"/>
                <w:sz w:val="24"/>
                <w:szCs w:val="24"/>
              </w:rPr>
            </w:pPr>
            <w:r w:rsidRPr="006B72F7">
              <w:rPr>
                <w:rFonts w:eastAsiaTheme="minorEastAsia"/>
                <w:color w:val="000000"/>
                <w:kern w:val="0"/>
                <w:sz w:val="24"/>
                <w:szCs w:val="24"/>
              </w:rPr>
              <w:t>本报告期</w:t>
            </w:r>
            <w:r w:rsidRPr="006B72F7">
              <w:rPr>
                <w:color w:val="000000"/>
                <w:sz w:val="24"/>
                <w:szCs w:val="24"/>
              </w:rPr>
              <w:t>买入</w:t>
            </w:r>
            <w:r w:rsidRPr="006B72F7">
              <w:rPr>
                <w:color w:val="000000"/>
                <w:sz w:val="24"/>
                <w:szCs w:val="24"/>
              </w:rPr>
              <w:t>/</w:t>
            </w:r>
            <w:r w:rsidRPr="006B72F7">
              <w:rPr>
                <w:color w:val="000000"/>
                <w:sz w:val="24"/>
                <w:szCs w:val="24"/>
              </w:rPr>
              <w:t>申购总份额</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jc w:val="right"/>
              <w:rPr>
                <w:rFonts w:eastAsiaTheme="minorEastAsia"/>
                <w:color w:val="000000"/>
                <w:kern w:val="0"/>
                <w:sz w:val="24"/>
                <w:szCs w:val="24"/>
              </w:rPr>
            </w:pPr>
            <w:r w:rsidRPr="006B72F7">
              <w:rPr>
                <w:rFonts w:eastAsiaTheme="minorEastAsia"/>
                <w:color w:val="000000"/>
                <w:sz w:val="24"/>
                <w:szCs w:val="24"/>
              </w:rPr>
              <w:t>-</w:t>
            </w:r>
          </w:p>
        </w:tc>
      </w:tr>
      <w:tr w:rsidR="00EB374A" w:rsidRPr="001611C5" w:rsidTr="00EB374A">
        <w:tc>
          <w:tcPr>
            <w:tcW w:w="504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adjustRightInd w:val="0"/>
              <w:snapToGrid w:val="0"/>
              <w:spacing w:line="360" w:lineRule="exact"/>
              <w:rPr>
                <w:color w:val="000000"/>
                <w:sz w:val="24"/>
                <w:szCs w:val="24"/>
              </w:rPr>
            </w:pPr>
            <w:r w:rsidRPr="006B72F7">
              <w:rPr>
                <w:rFonts w:eastAsiaTheme="minorEastAsia"/>
                <w:color w:val="000000"/>
                <w:kern w:val="0"/>
                <w:sz w:val="24"/>
                <w:szCs w:val="24"/>
              </w:rPr>
              <w:t>本报告期</w:t>
            </w:r>
            <w:r w:rsidRPr="006B72F7">
              <w:rPr>
                <w:color w:val="000000"/>
                <w:sz w:val="24"/>
                <w:szCs w:val="24"/>
              </w:rPr>
              <w:t>卖出</w:t>
            </w:r>
            <w:r w:rsidRPr="006B72F7">
              <w:rPr>
                <w:color w:val="000000"/>
                <w:sz w:val="24"/>
                <w:szCs w:val="24"/>
              </w:rPr>
              <w:t>/</w:t>
            </w:r>
            <w:r w:rsidRPr="006B72F7">
              <w:rPr>
                <w:color w:val="000000"/>
                <w:sz w:val="24"/>
                <w:szCs w:val="24"/>
              </w:rPr>
              <w:t>赎回总份额</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jc w:val="right"/>
              <w:rPr>
                <w:rFonts w:eastAsiaTheme="minorEastAsia"/>
                <w:color w:val="000000"/>
                <w:kern w:val="0"/>
                <w:sz w:val="24"/>
                <w:szCs w:val="24"/>
              </w:rPr>
            </w:pPr>
            <w:r w:rsidRPr="006B72F7">
              <w:rPr>
                <w:rFonts w:eastAsiaTheme="minorEastAsia"/>
                <w:color w:val="000000"/>
                <w:sz w:val="24"/>
                <w:szCs w:val="24"/>
              </w:rPr>
              <w:t>-</w:t>
            </w:r>
          </w:p>
        </w:tc>
      </w:tr>
      <w:tr w:rsidR="00EB374A" w:rsidRPr="001611C5" w:rsidTr="00EB374A">
        <w:tc>
          <w:tcPr>
            <w:tcW w:w="504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adjustRightInd w:val="0"/>
              <w:snapToGrid w:val="0"/>
              <w:spacing w:line="360" w:lineRule="exact"/>
              <w:rPr>
                <w:color w:val="000000"/>
                <w:sz w:val="24"/>
                <w:szCs w:val="24"/>
              </w:rPr>
            </w:pPr>
            <w:r w:rsidRPr="006B72F7">
              <w:rPr>
                <w:color w:val="000000"/>
                <w:sz w:val="24"/>
                <w:szCs w:val="24"/>
              </w:rPr>
              <w:t>报告期期末管理人持有的本基金份额</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jc w:val="right"/>
              <w:rPr>
                <w:rFonts w:eastAsiaTheme="minorEastAsia"/>
                <w:sz w:val="24"/>
                <w:szCs w:val="24"/>
              </w:rPr>
            </w:pPr>
            <w:r w:rsidRPr="006B72F7">
              <w:rPr>
                <w:rFonts w:eastAsiaTheme="minorEastAsia"/>
                <w:color w:val="000000"/>
                <w:sz w:val="24"/>
                <w:szCs w:val="24"/>
              </w:rPr>
              <w:t>22,522,522.52</w:t>
            </w:r>
          </w:p>
        </w:tc>
      </w:tr>
      <w:tr w:rsidR="00EB374A" w:rsidRPr="001611C5" w:rsidTr="00EB374A">
        <w:tc>
          <w:tcPr>
            <w:tcW w:w="504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adjustRightInd w:val="0"/>
              <w:snapToGrid w:val="0"/>
              <w:spacing w:line="360" w:lineRule="exact"/>
              <w:rPr>
                <w:color w:val="000000"/>
                <w:sz w:val="24"/>
                <w:szCs w:val="24"/>
              </w:rPr>
            </w:pPr>
            <w:r w:rsidRPr="006B72F7">
              <w:rPr>
                <w:color w:val="000000"/>
                <w:sz w:val="24"/>
                <w:szCs w:val="24"/>
              </w:rPr>
              <w:t>报告期期末持有的本基金份额占基金总份额比例（</w:t>
            </w:r>
            <w:r w:rsidRPr="006B72F7">
              <w:rPr>
                <w:color w:val="000000"/>
                <w:sz w:val="24"/>
                <w:szCs w:val="24"/>
              </w:rPr>
              <w:t>%</w:t>
            </w:r>
            <w:r w:rsidRPr="006B72F7">
              <w:rPr>
                <w:color w:val="000000"/>
                <w:sz w:val="24"/>
                <w:szCs w:val="24"/>
              </w:rPr>
              <w:t>）</w:t>
            </w:r>
          </w:p>
        </w:tc>
        <w:tc>
          <w:tcPr>
            <w:tcW w:w="3380" w:type="dxa"/>
            <w:tcBorders>
              <w:top w:val="single" w:sz="8" w:space="0" w:color="000000"/>
              <w:left w:val="single" w:sz="8" w:space="0" w:color="000000"/>
              <w:bottom w:val="single" w:sz="8" w:space="0" w:color="000000"/>
              <w:right w:val="single" w:sz="8" w:space="0" w:color="000000"/>
            </w:tcBorders>
            <w:vAlign w:val="center"/>
            <w:hideMark/>
          </w:tcPr>
          <w:p w:rsidR="00EB374A" w:rsidRPr="006B72F7" w:rsidRDefault="00EB374A">
            <w:pPr>
              <w:jc w:val="right"/>
              <w:rPr>
                <w:rFonts w:eastAsiaTheme="minorEastAsia"/>
                <w:color w:val="000000"/>
                <w:kern w:val="0"/>
                <w:sz w:val="24"/>
                <w:szCs w:val="24"/>
              </w:rPr>
            </w:pPr>
            <w:r w:rsidRPr="006B72F7">
              <w:rPr>
                <w:rFonts w:eastAsiaTheme="minorEastAsia"/>
                <w:color w:val="000000"/>
                <w:sz w:val="24"/>
                <w:szCs w:val="24"/>
              </w:rPr>
              <w:t>99.71</w:t>
            </w:r>
          </w:p>
        </w:tc>
      </w:tr>
    </w:tbl>
    <w:p w:rsidR="00EB374A" w:rsidRPr="001611C5" w:rsidRDefault="00EB374A" w:rsidP="00EB374A">
      <w:pPr>
        <w:spacing w:line="360" w:lineRule="auto"/>
        <w:jc w:val="left"/>
        <w:rPr>
          <w:sz w:val="24"/>
          <w:szCs w:val="24"/>
        </w:rPr>
      </w:pPr>
      <w:r w:rsidRPr="001611C5">
        <w:rPr>
          <w:b/>
          <w:sz w:val="24"/>
          <w:szCs w:val="24"/>
        </w:rPr>
        <w:t xml:space="preserve">7.2 </w:t>
      </w:r>
      <w:r w:rsidRPr="001611C5">
        <w:rPr>
          <w:rFonts w:hint="eastAsia"/>
          <w:b/>
          <w:sz w:val="24"/>
          <w:szCs w:val="24"/>
        </w:rPr>
        <w:t>基金管理人运用固有资金投资本基金交易明细</w:t>
      </w:r>
    </w:p>
    <w:p w:rsidR="00EB374A" w:rsidRPr="00CD2DB1" w:rsidRDefault="00EB374A" w:rsidP="00CD2DB1">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本报告期内，基金管理人不存在运用固有资金（认）申购、赎回或买卖本基金的情况。</w:t>
      </w:r>
    </w:p>
    <w:p w:rsidR="0079131B" w:rsidRPr="0079131B" w:rsidRDefault="0079131B" w:rsidP="0079131B">
      <w:pPr>
        <w:pStyle w:val="1"/>
        <w:spacing w:beforeLines="100" w:before="312" w:afterLines="100" w:after="312" w:line="360" w:lineRule="auto"/>
        <w:jc w:val="center"/>
        <w:rPr>
          <w:rFonts w:eastAsiaTheme="minorEastAsia"/>
          <w:color w:val="000000" w:themeColor="text1"/>
          <w:kern w:val="0"/>
          <w:sz w:val="24"/>
          <w:szCs w:val="24"/>
        </w:rPr>
      </w:pPr>
      <w:r w:rsidRPr="0079131B">
        <w:rPr>
          <w:rFonts w:eastAsiaTheme="minorEastAsia"/>
          <w:color w:val="000000" w:themeColor="text1"/>
          <w:kern w:val="0"/>
          <w:sz w:val="24"/>
          <w:szCs w:val="24"/>
        </w:rPr>
        <w:t>§8</w:t>
      </w:r>
      <w:r w:rsidRPr="0079131B">
        <w:rPr>
          <w:rFonts w:eastAsiaTheme="minorEastAsia"/>
          <w:color w:val="000000" w:themeColor="text1"/>
          <w:kern w:val="0"/>
          <w:sz w:val="24"/>
          <w:szCs w:val="24"/>
        </w:rPr>
        <w:t>影响投资者决策的其他重要信息</w:t>
      </w:r>
    </w:p>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color w:val="000000" w:themeColor="text1"/>
          <w:kern w:val="0"/>
          <w:sz w:val="24"/>
          <w:szCs w:val="24"/>
        </w:rPr>
        <w:t/>
      </w:r>
      <w:r w:rsidRPr="00636531">
        <w:rPr>
          <w:rFonts w:eastAsiaTheme="minorEastAsia"/>
          <w:b/>
          <w:bCs/>
          <w:color w:val="000000" w:themeColor="text1"/>
          <w:kern w:val="0"/>
          <w:sz w:val="24"/>
          <w:szCs w:val="24"/>
        </w:rPr>
        <w:t>8.</w:t>
      </w:r>
      <w:r w:rsidRPr="00636531">
        <w:rPr>
          <w:rFonts w:eastAsiaTheme="minorEastAsia" w:hint="eastAsia"/>
          <w:b/>
          <w:bCs/>
          <w:color w:val="000000" w:themeColor="text1"/>
          <w:kern w:val="0"/>
          <w:sz w:val="24"/>
          <w:szCs w:val="24"/>
        </w:rPr>
        <w:t xml:space="preserve">1 </w:t>
      </w:r>
      <w:r w:rsidRPr="00636531">
        <w:rPr>
          <w:rFonts w:eastAsiaTheme="minorEastAsia" w:hint="eastAsia"/>
          <w:b/>
          <w:bCs/>
          <w:color w:val="000000" w:themeColor="text1"/>
          <w:kern w:val="0"/>
          <w:sz w:val="24"/>
          <w:szCs w:val="24"/>
        </w:rPr>
        <w:t>报告期内单一投资者持有基金份额比例达到或超过</w:t>
      </w:r>
      <w:r w:rsidRPr="00636531">
        <w:rPr>
          <w:rFonts w:eastAsiaTheme="minorEastAsia" w:hint="eastAsia"/>
          <w:b/>
          <w:bCs/>
          <w:color w:val="000000" w:themeColor="text1"/>
          <w:kern w:val="0"/>
          <w:sz w:val="24"/>
          <w:szCs w:val="24"/>
        </w:rPr>
        <w:t>20%</w:t>
      </w:r>
      <w:r w:rsidRPr="00636531">
        <w:rPr>
          <w:rFonts w:eastAsiaTheme="minorEastAsia" w:hint="eastAsia"/>
          <w:b/>
          <w:bCs/>
          <w:color w:val="000000" w:themeColor="text1"/>
          <w:kern w:val="0"/>
          <w:sz w:val="24"/>
          <w:szCs w:val="24"/>
        </w:rPr>
        <w:t>的情况</w:t>
      </w:r>
    </w:p>
    <w:tbl>
      <w:tblPr>
        <w:tblStyle w:val="af7"/>
        <w:tblW w:w="9212" w:type="dxa"/>
        <w:tblInd w:w="-176" w:type="dxa"/>
        <w:tblLayout w:type="fixed"/>
        <w:tblLook w:val="04A0" w:firstRow="1" w:lastRow="0" w:firstColumn="1" w:lastColumn="0" w:noHBand="0" w:noVBand="1"/>
      </w:tblPr>
      <w:tblGrid>
        <w:gridCol w:w="993"/>
        <w:gridCol w:w="992"/>
        <w:gridCol w:w="1843"/>
        <w:gridCol w:w="851"/>
        <w:gridCol w:w="992"/>
        <w:gridCol w:w="850"/>
        <w:gridCol w:w="1418"/>
        <w:gridCol w:w="1273"/>
      </w:tblGrid>
      <w:tr w:rsidR="00F21783" w:rsidRPr="003131FD" w:rsidTr="00C10F10">
        <w:tc>
          <w:tcPr>
            <w:tcW w:w="993" w:type="dxa"/>
            <w:vMerge w:val="restart"/>
            <w:vAlign w:val="center"/>
          </w:tcPr>
          <w:p w:rsidR="00F21783" w:rsidRPr="003131FD" w:rsidRDefault="00F21783" w:rsidP="00C10F10">
            <w:pPr>
              <w:jc w:val="center"/>
              <w:rPr>
                <w:sz w:val="24"/>
                <w:szCs w:val="24"/>
              </w:rPr>
            </w:pPr>
            <w:r w:rsidRPr="003131FD">
              <w:rPr>
                <w:sz w:val="24"/>
                <w:szCs w:val="24"/>
              </w:rPr>
              <w:t>投资者类别</w:t>
            </w:r>
            <w:r w:rsidRPr="003131FD">
              <w:rPr>
                <w:sz w:val="24"/>
                <w:szCs w:val="24"/>
              </w:rPr>
              <w:t/>
            </w:r>
          </w:p>
        </w:tc>
        <w:tc>
          <w:tcPr>
            <w:tcW w:w="5528" w:type="dxa"/>
            <w:gridSpan w:val="5"/>
            <w:vAlign w:val="center"/>
          </w:tcPr>
          <w:p w:rsidR="00F21783" w:rsidRPr="003131FD" w:rsidRDefault="00F21783" w:rsidP="00C10F10">
            <w:pPr>
              <w:jc w:val="center"/>
              <w:rPr>
                <w:sz w:val="24"/>
                <w:szCs w:val="24"/>
              </w:rPr>
            </w:pPr>
            <w:r w:rsidRPr="003131FD">
              <w:rPr>
                <w:sz w:val="24"/>
                <w:szCs w:val="24"/>
              </w:rPr>
              <w:t>报告期内持有基金份额变化情况</w:t>
            </w:r>
          </w:p>
        </w:tc>
        <w:tc>
          <w:tcPr>
            <w:tcW w:w="2691" w:type="dxa"/>
            <w:gridSpan w:val="2"/>
            <w:vAlign w:val="center"/>
          </w:tcPr>
          <w:p w:rsidR="00F21783" w:rsidRPr="003131FD" w:rsidRDefault="00F21783" w:rsidP="00C10F10">
            <w:pPr>
              <w:jc w:val="center"/>
              <w:rPr>
                <w:sz w:val="24"/>
                <w:szCs w:val="24"/>
              </w:rPr>
            </w:pPr>
            <w:r w:rsidRPr="003131FD">
              <w:rPr>
                <w:sz w:val="24"/>
                <w:szCs w:val="24"/>
              </w:rPr>
              <w:t>报告期末持有基金情况</w:t>
            </w:r>
          </w:p>
        </w:tc>
      </w:tr>
      <w:tr w:rsidR="00F21783" w:rsidRPr="003131FD" w:rsidTr="00C10F10">
        <w:tc>
          <w:tcPr>
            <w:tcW w:w="993" w:type="dxa"/>
            <w:vMerge/>
            <w:vAlign w:val="center"/>
          </w:tcPr>
          <w:p w:rsidR="00F21783" w:rsidRPr="003131FD" w:rsidRDefault="00F21783" w:rsidP="00C10F10">
            <w:pPr>
              <w:jc w:val="center"/>
              <w:rPr>
                <w:sz w:val="24"/>
                <w:szCs w:val="24"/>
              </w:rPr>
            </w:pPr>
          </w:p>
        </w:tc>
        <w:tc>
          <w:tcPr>
            <w:tcW w:w="992" w:type="dxa"/>
            <w:vAlign w:val="center"/>
          </w:tcPr>
          <w:p w:rsidR="00F21783" w:rsidRPr="003131FD" w:rsidRDefault="00F21783" w:rsidP="00C10F10">
            <w:pPr>
              <w:jc w:val="center"/>
              <w:rPr>
                <w:sz w:val="24"/>
                <w:szCs w:val="24"/>
              </w:rPr>
            </w:pPr>
            <w:r w:rsidRPr="003131FD">
              <w:rPr>
                <w:sz w:val="24"/>
                <w:szCs w:val="24"/>
              </w:rPr>
              <w:t>序号</w:t>
            </w:r>
          </w:p>
        </w:tc>
        <w:tc>
          <w:tcPr>
            <w:tcW w:w="1843" w:type="dxa"/>
            <w:vAlign w:val="center"/>
          </w:tcPr>
          <w:p w:rsidR="00F21783" w:rsidRPr="003131FD" w:rsidRDefault="00F21783" w:rsidP="00C10F10">
            <w:pPr>
              <w:jc w:val="center"/>
              <w:rPr>
                <w:sz w:val="24"/>
                <w:szCs w:val="24"/>
              </w:rPr>
            </w:pPr>
            <w:r w:rsidRPr="003131FD">
              <w:rPr>
                <w:sz w:val="24"/>
                <w:szCs w:val="24"/>
              </w:rPr>
              <w:t>持有基金份额比例达到或者超过</w:t>
            </w:r>
            <w:r w:rsidRPr="003131FD">
              <w:rPr>
                <w:sz w:val="24"/>
                <w:szCs w:val="24"/>
              </w:rPr>
              <w:t>20%</w:t>
            </w:r>
            <w:r w:rsidRPr="003131FD">
              <w:rPr>
                <w:sz w:val="24"/>
                <w:szCs w:val="24"/>
              </w:rPr>
              <w:t>的时间区间</w:t>
            </w:r>
          </w:p>
        </w:tc>
        <w:tc>
          <w:tcPr>
            <w:tcW w:w="851" w:type="dxa"/>
            <w:vAlign w:val="center"/>
          </w:tcPr>
          <w:p w:rsidR="00F21783" w:rsidRPr="003131FD" w:rsidRDefault="00F21783" w:rsidP="00C10F10">
            <w:pPr>
              <w:jc w:val="center"/>
              <w:rPr>
                <w:sz w:val="24"/>
                <w:szCs w:val="24"/>
              </w:rPr>
            </w:pPr>
            <w:r w:rsidRPr="003131FD">
              <w:rPr>
                <w:sz w:val="24"/>
                <w:szCs w:val="24"/>
              </w:rPr>
              <w:t>期初份额</w:t>
            </w:r>
          </w:p>
        </w:tc>
        <w:tc>
          <w:tcPr>
            <w:tcW w:w="992" w:type="dxa"/>
            <w:vAlign w:val="center"/>
          </w:tcPr>
          <w:p w:rsidR="00F21783" w:rsidRPr="003131FD" w:rsidRDefault="00F21783" w:rsidP="00C10F10">
            <w:pPr>
              <w:jc w:val="center"/>
              <w:rPr>
                <w:sz w:val="24"/>
                <w:szCs w:val="24"/>
              </w:rPr>
            </w:pPr>
            <w:r w:rsidRPr="003131FD">
              <w:rPr>
                <w:sz w:val="24"/>
                <w:szCs w:val="24"/>
              </w:rPr>
              <w:t>申购份额</w:t>
            </w:r>
          </w:p>
        </w:tc>
        <w:tc>
          <w:tcPr>
            <w:tcW w:w="850" w:type="dxa"/>
            <w:vAlign w:val="center"/>
          </w:tcPr>
          <w:p w:rsidR="00F21783" w:rsidRPr="003131FD" w:rsidRDefault="00F21783" w:rsidP="00C10F10">
            <w:pPr>
              <w:jc w:val="center"/>
              <w:rPr>
                <w:sz w:val="24"/>
                <w:szCs w:val="24"/>
              </w:rPr>
            </w:pPr>
            <w:r w:rsidRPr="003131FD">
              <w:rPr>
                <w:sz w:val="24"/>
                <w:szCs w:val="24"/>
              </w:rPr>
              <w:t>赎回份额</w:t>
            </w:r>
          </w:p>
        </w:tc>
        <w:tc>
          <w:tcPr>
            <w:tcW w:w="1418" w:type="dxa"/>
            <w:vAlign w:val="center"/>
          </w:tcPr>
          <w:p w:rsidR="00F21783" w:rsidRPr="003131FD" w:rsidRDefault="00F21783" w:rsidP="00C10F10">
            <w:pPr>
              <w:jc w:val="center"/>
              <w:rPr>
                <w:sz w:val="24"/>
                <w:szCs w:val="24"/>
              </w:rPr>
            </w:pPr>
            <w:r w:rsidRPr="003131FD">
              <w:rPr>
                <w:sz w:val="24"/>
                <w:szCs w:val="24"/>
              </w:rPr>
              <w:t>持有份额</w:t>
            </w:r>
          </w:p>
        </w:tc>
        <w:tc>
          <w:tcPr>
            <w:tcW w:w="1273" w:type="dxa"/>
            <w:vAlign w:val="center"/>
          </w:tcPr>
          <w:p w:rsidR="00F21783" w:rsidRPr="003131FD" w:rsidRDefault="00F21783" w:rsidP="00C10F10">
            <w:pPr>
              <w:jc w:val="center"/>
              <w:rPr>
                <w:sz w:val="24"/>
                <w:szCs w:val="24"/>
              </w:rPr>
            </w:pPr>
            <w:r w:rsidRPr="003131FD">
              <w:rPr>
                <w:sz w:val="24"/>
                <w:szCs w:val="24"/>
              </w:rPr>
              <w:t>份额占比</w:t>
            </w:r>
          </w:p>
        </w:tc>
      </w:tr>
      <w:tr>
        <w:tc>
          <w:tcPr>
            <w:vMerge w:val="restart"/>
          </w:tcPr>
          <w:p/>
          <w:p>
            <w:r>
              <w:rPr>
                <w:sz w:val="24"/>
                <w:szCs w:val="24"/>
              </w:rPr>
              <w:t>机构</w:t>
            </w:r>
          </w:p>
        </w:tc>
        <w:tc>
          <w:tcPr>
            <w:vAlign w:val="center"/>
          </w:tcPr>
          <w:p>
            <w:pPr>
              <w:jc w:val="center"/>
            </w:pPr>
            <w:r>
              <w:rPr>
                <w:sz w:val="24"/>
                <w:szCs w:val="24"/>
              </w:rPr>
              <w:t>1</w:t>
            </w:r>
          </w:p>
        </w:tc>
        <w:tc>
          <w:tcPr>
            <w:vAlign w:val="center"/>
          </w:tcPr>
          <w:p>
            <w:pPr>
              <w:jc w:val="center"/>
            </w:pPr>
            <w:r>
              <w:rPr>
                <w:sz w:val="24"/>
                <w:szCs w:val="24"/>
              </w:rPr>
              <w:t>20170701-20170831</w:t>
            </w:r>
          </w:p>
        </w:tc>
        <w:tc>
          <w:tcPr>
            <w:vAlign w:val="center"/>
          </w:tcPr>
          <w:p>
            <w:pPr>
              <w:jc w:val="center"/>
            </w:pPr>
            <w:r>
              <w:rPr>
                <w:sz w:val="24"/>
                <w:szCs w:val="24"/>
              </w:rPr>
              <w:t>22,522,522.52</w:t>
            </w:r>
          </w:p>
        </w:tc>
        <w:tc>
          <w:tcPr>
            <w:vAlign w:val="center"/>
          </w:tcPr>
          <w:p>
            <w:pPr>
              <w:jc w:val="center"/>
            </w:pPr>
            <w:r>
              <w:rPr>
                <w:sz w:val="24"/>
                <w:szCs w:val="24"/>
              </w:rPr>
              <w:t>0.00</w:t>
            </w:r>
          </w:p>
        </w:tc>
        <w:tc>
          <w:tcPr>
            <w:vAlign w:val="center"/>
          </w:tcPr>
          <w:p>
            <w:pPr>
              <w:jc w:val="center"/>
            </w:pPr>
            <w:r>
              <w:rPr>
                <w:sz w:val="24"/>
                <w:szCs w:val="24"/>
              </w:rPr>
              <w:t>0.00</w:t>
            </w:r>
          </w:p>
        </w:tc>
        <w:tc>
          <w:tcPr>
            <w:vAlign w:val="center"/>
          </w:tcPr>
          <w:p>
            <w:pPr>
              <w:jc w:val="center"/>
            </w:pPr>
            <w:r>
              <w:rPr>
                <w:sz w:val="24"/>
                <w:szCs w:val="24"/>
              </w:rPr>
              <w:t>22,522,522.52</w:t>
            </w:r>
          </w:p>
        </w:tc>
        <w:tc>
          <w:tcPr>
            <w:vAlign w:val="center"/>
          </w:tcPr>
          <w:p>
            <w:pPr>
              <w:jc w:val="center"/>
            </w:pPr>
            <w:r>
              <w:rPr>
                <w:sz w:val="24"/>
                <w:szCs w:val="24"/>
              </w:rPr>
              <w:t>99.71%</w:t>
            </w:r>
          </w:p>
        </w:tc>
      </w:tr>
      <w:tr>
        <w:tc>
          <w:tcPr>
            <w:vMerge/>
          </w:tcPr>
          <w:p/>
        </w:tc>
        <w:tc>
          <w:tcPr>
            <w:vAlign w:val="center"/>
          </w:tcPr>
          <w:p>
            <w:pPr>
              <w:jc w:val="center"/>
            </w:pPr>
            <w:r>
              <w:rPr>
                <w:sz w:val="24"/>
                <w:szCs w:val="24"/>
              </w:rPr>
              <w:t>2</w:t>
            </w:r>
          </w:p>
        </w:tc>
        <w:tc>
          <w:tcPr>
            <w:vAlign w:val="center"/>
          </w:tcPr>
          <w:p>
            <w:pPr>
              <w:jc w:val="center"/>
            </w:pPr>
            <w:r>
              <w:rPr>
                <w:sz w:val="24"/>
                <w:szCs w:val="24"/>
              </w:rPr>
              <w:t>20170701-20170824</w:t>
            </w:r>
          </w:p>
        </w:tc>
        <w:tc>
          <w:tcPr>
            <w:vAlign w:val="center"/>
          </w:tcPr>
          <w:p>
            <w:pPr>
              <w:jc w:val="center"/>
            </w:pPr>
            <w:r>
              <w:rPr>
                <w:sz w:val="24"/>
                <w:szCs w:val="24"/>
              </w:rPr>
              <w:t>21,595,612.61</w:t>
            </w:r>
          </w:p>
        </w:tc>
        <w:tc>
          <w:tcPr>
            <w:vAlign w:val="center"/>
          </w:tcPr>
          <w:p>
            <w:pPr>
              <w:jc w:val="center"/>
            </w:pPr>
            <w:r>
              <w:rPr>
                <w:sz w:val="24"/>
                <w:szCs w:val="24"/>
              </w:rPr>
              <w:t>0.00</w:t>
            </w:r>
          </w:p>
        </w:tc>
        <w:tc>
          <w:tcPr>
            <w:vAlign w:val="center"/>
          </w:tcPr>
          <w:p>
            <w:pPr>
              <w:jc w:val="center"/>
            </w:pPr>
            <w:r>
              <w:rPr>
                <w:sz w:val="24"/>
                <w:szCs w:val="24"/>
              </w:rPr>
              <w:t>21,595,612.61</w:t>
            </w:r>
          </w:p>
        </w:tc>
        <w:tc>
          <w:tcPr>
            <w:vAlign w:val="center"/>
          </w:tcPr>
          <w:p>
            <w:pPr>
              <w:jc w:val="center"/>
            </w:pPr>
            <w:r>
              <w:rPr>
                <w:sz w:val="24"/>
                <w:szCs w:val="24"/>
              </w:rPr>
              <w:t>0.00</w:t>
            </w:r>
          </w:p>
        </w:tc>
        <w:tc>
          <w:tcPr>
            <w:vAlign w:val="center"/>
          </w:tcPr>
          <w:p>
            <w:pPr>
              <w:jc w:val="center"/>
            </w:pPr>
            <w:r>
              <w:rPr>
                <w:sz w:val="24"/>
                <w:szCs w:val="24"/>
              </w:rPr>
              <w:t>0.00%</w:t>
            </w:r>
          </w:p>
        </w:tc>
      </w:tr>
    </w:tbl>
    <w:tbl>
      <w:tblPr>
        <w:tblStyle w:val="af7"/>
        <w:tblW w:w="9212" w:type="dxa"/>
        <w:tblInd w:w="-176" w:type="dxa"/>
        <w:tblLayout w:type="fixed"/>
        <w:tblLook w:val="04A0" w:firstRow="1" w:lastRow="0" w:firstColumn="1" w:lastColumn="0" w:noHBand="0" w:noVBand="1"/>
      </w:tblPr>
      <w:tblGrid>
        <w:gridCol w:w="9212"/>
      </w:tblGrid>
      <w:tr w:rsidR="00F21783" w:rsidRPr="003131FD" w:rsidTr="00C10F10">
        <w:tc>
          <w:tcPr>
            <w:tcW w:w="9212" w:type="dxa"/>
            <w:vAlign w:val="center"/>
          </w:tcPr>
          <w:p w:rsidR="00F21783" w:rsidRPr="003131FD" w:rsidRDefault="00F21783" w:rsidP="00C10F10">
            <w:pPr>
              <w:autoSpaceDE w:val="0"/>
              <w:autoSpaceDN w:val="0"/>
              <w:adjustRightInd w:val="0"/>
              <w:ind w:firstLine="1126"/>
              <w:jc w:val="center"/>
              <w:rPr>
                <w:sz w:val="24"/>
                <w:szCs w:val="24"/>
              </w:rPr>
            </w:pPr>
            <w:r w:rsidRPr="003131FD">
              <w:rPr>
                <w:color w:val="000000"/>
                <w:sz w:val="24"/>
                <w:szCs w:val="24"/>
              </w:rPr>
              <w:t>产品特有风险</w:t>
            </w:r>
            <w:r w:rsidRPr="003131FD">
              <w:rPr>
                <w:sz w:val="24"/>
                <w:szCs w:val="24"/>
              </w:rPr>
              <w:t/>
            </w:r>
          </w:p>
        </w:tc>
      </w:tr>
      <w:tr w:rsidR="00F21783" w:rsidRPr="003131FD" w:rsidTr="00C10F10">
        <w:tc>
          <w:tcPr>
            <w:tcW w:w="9212" w:type="dxa"/>
            <w:vAlign w:val="center"/>
          </w:tcPr>
          <w:p w:rsidR="00F21783" w:rsidRPr="003131FD" w:rsidRDefault="00F21783" w:rsidP="00C10F10">
            <w:pPr>
              <w:autoSpaceDE w:val="0"/>
              <w:autoSpaceDN w:val="0"/>
              <w:adjustRightInd w:val="0"/>
              <w:jc w:val="left"/>
              <w:rPr>
                <w:sz w:val="24"/>
                <w:szCs w:val="24"/>
              </w:rPr>
            </w:pPr>
            <w:r w:rsidRPr="003131FD">
              <w:rPr>
                <w:sz w:val="24"/>
                <w:szCs w:val="24"/>
              </w:rPr>
              <w:t/>
            </w:r>
            <w:bookmarkStart w:id="0" w:name="_GoBack"/>
            <w:bookmarkEnd w:id="0"/>
            <w:r w:rsidRPr="003131FD">
              <w:rPr>
                <w:sz w:val="24"/>
                <w:szCs w:val="24"/>
              </w:rPr>
              <w:t>报告期内，本基金存在单一投资者持有份额比例达到或超过20%的情况，由此可能导致的特有风险主要包括：当投资者持有份额占比较为集中时，个别投资者的大额赎回可能会对基金资产运作及净值表现产生较大影响；极端情况下基金管理人可能无法及时变现基金资产以应对投资者的赎回申请；若个别投资者大额赎回后本基金出现连续六十个工作日基金资产净值低于 5000 万元，基金还可能面临转换运作方式、与其他基金合并或者终止基金合同等情形。本基金管理人将对基金的大额申赎进行审慎评估并合理应对，完善流动性风险管控机制，切实保护持有人利益。</w:t>
            </w:r>
          </w:p>
        </w:tc>
      </w:tr>
    </w:tbl>
    <w:p w:rsidR="00200C59" w:rsidRPr="00636531" w:rsidRDefault="00200C59" w:rsidP="00200C59">
      <w:pPr>
        <w:autoSpaceDE w:val="0"/>
        <w:autoSpaceDN w:val="0"/>
        <w:adjustRightInd w:val="0"/>
        <w:spacing w:line="360" w:lineRule="auto"/>
        <w:jc w:val="left"/>
        <w:rPr>
          <w:rFonts w:eastAsiaTheme="minorEastAsia"/>
          <w:b/>
          <w:bCs/>
          <w:color w:val="000000" w:themeColor="text1"/>
          <w:kern w:val="0"/>
          <w:sz w:val="24"/>
          <w:szCs w:val="24"/>
        </w:rPr>
      </w:pPr>
      <w:r w:rsidRPr="00636531">
        <w:rPr>
          <w:rFonts w:eastAsiaTheme="minorEastAsia"/>
          <w:b/>
          <w:color w:val="000000" w:themeColor="text1"/>
          <w:kern w:val="0"/>
          <w:sz w:val="24"/>
          <w:szCs w:val="24"/>
        </w:rPr>
        <w:t/>
      </w:r>
      <w:r w:rsidRPr="00636531">
        <w:rPr>
          <w:rFonts w:eastAsiaTheme="minorEastAsia" w:hint="eastAsia"/>
          <w:b/>
          <w:bCs/>
          <w:color w:val="000000" w:themeColor="text1"/>
          <w:kern w:val="0"/>
          <w:sz w:val="24"/>
          <w:szCs w:val="24"/>
        </w:rPr>
        <w:t/>
      </w:r>
      <w:proofErr w:type="gramStart"/>
      <w:r w:rsidRPr="00636531">
        <w:rPr>
          <w:rFonts w:eastAsiaTheme="minorEastAsia" w:hint="eastAsia"/>
          <w:b/>
          <w:bCs/>
          <w:color w:val="000000" w:themeColor="text1"/>
          <w:kern w:val="0"/>
          <w:sz w:val="24"/>
          <w:szCs w:val="24"/>
        </w:rPr>
        <w:t/>
      </w:r>
      <w:proofErr w:type="gramEnd"/>
      <w:r w:rsidRPr="00636531">
        <w:rPr>
          <w:rFonts w:eastAsiaTheme="minorEastAsia" w:hint="eastAsia"/>
          <w:b/>
          <w:bCs/>
          <w:color w:val="000000" w:themeColor="text1"/>
          <w:kern w:val="0"/>
          <w:sz w:val="24"/>
          <w:szCs w:val="24"/>
        </w:rPr>
        <w:t xml:space="preserve">8.2 </w:t>
      </w:r>
      <w:r w:rsidRPr="00636531">
        <w:rPr>
          <w:rFonts w:eastAsiaTheme="minorEastAsia" w:hint="eastAsia"/>
          <w:b/>
          <w:bCs/>
          <w:color w:val="000000" w:themeColor="text1"/>
          <w:kern w:val="0"/>
          <w:sz w:val="24"/>
          <w:szCs w:val="24"/>
        </w:rPr>
        <w:t>影响投资者决策的其他重要信息</w:t>
      </w:r>
    </w:p>
    <w:p w:rsidR="0079131B" w:rsidRPr="00200C59" w:rsidRDefault="00200C59" w:rsidP="00200C59">
      <w:pPr>
        <w:spacing w:line="360" w:lineRule="auto"/>
        <w:ind w:firstLineChars="200" w:firstLine="480"/>
        <w:rPr>
          <w:rFonts w:eastAsiaTheme="minorEastAsia"/>
          <w:color w:val="000000" w:themeColor="text1"/>
          <w:sz w:val="24"/>
          <w:szCs w:val="24"/>
        </w:rPr>
      </w:pPr>
      <w:r w:rsidRPr="00636531">
        <w:rPr>
          <w:rFonts w:eastAsiaTheme="minorEastAsia"/>
          <w:color w:val="000000" w:themeColor="text1"/>
          <w:sz w:val="24"/>
          <w:szCs w:val="24"/>
        </w:rPr>
        <w:t>2017年7月28日至2017年8月28日15：00 止，广发新常态灵活配置混合型证券投资基金（以下简称“本基金”）以通讯方式召开了基金份额持有人大会，本次会议议案《关于终止广发新常态灵活配置混合型证券投资基金基金合同相关事项的议案》在2017年8月30日的计票会议上获得通过。根据持有人大会通过的议案及方案说明，本基金从2017年9月4日起进入清算期。基金管理人将按照《广发新常态灵活配置混合型证券投资基金基金合同》的约定，组织成立基金财产清算小组履行基金财产清算程序，并将清算结果及时予以公告。有关重要事项详情可见本基金管理人在《中国证券报》、《上海证券报》、《证券时报》及本公司网站（www.gffunds.com.cn） 于2017年9月1日刊登的《关于广发新常态灵活配置混合型证券投资基金份额持有人大会表决结果暨决议生效的公告》。</w:t>
      </w:r>
    </w:p>
    <w:p w:rsidR="004061AC" w:rsidRPr="001611C5" w:rsidRDefault="004061AC" w:rsidP="001B2F35">
      <w:pPr>
        <w:pStyle w:val="1"/>
        <w:spacing w:beforeLines="100" w:before="312" w:afterLines="100" w:after="312" w:line="360" w:lineRule="auto"/>
        <w:jc w:val="center"/>
        <w:rPr>
          <w:rFonts w:asciiTheme="minorEastAsia" w:eastAsiaTheme="minorEastAsia" w:hAnsiTheme="minorEastAsia"/>
          <w:color w:val="000000"/>
          <w:kern w:val="0"/>
          <w:sz w:val="24"/>
          <w:szCs w:val="24"/>
        </w:rPr>
      </w:pPr>
      <w:r w:rsidRPr="001611C5">
        <w:rPr>
          <w:rFonts w:asciiTheme="minorEastAsia" w:eastAsiaTheme="minorEastAsia" w:hAnsiTheme="minorEastAsia" w:hint="eastAsia"/>
          <w:color w:val="000000"/>
          <w:kern w:val="0"/>
          <w:sz w:val="24"/>
          <w:szCs w:val="24"/>
        </w:rPr>
        <w:lastRenderedPageBreak/>
        <w:t>§</w:t>
      </w:r>
      <w:r w:rsidR="00D02347" w:rsidRPr="001611C5">
        <w:rPr>
          <w:rFonts w:asciiTheme="minorEastAsia" w:eastAsiaTheme="minorEastAsia" w:hAnsiTheme="minorEastAsia" w:hint="eastAsia"/>
          <w:color w:val="000000"/>
          <w:kern w:val="0"/>
          <w:sz w:val="24"/>
          <w:szCs w:val="24"/>
        </w:rPr>
        <w:t/>
      </w:r>
      <w:r w:rsidR="00676095" w:rsidRPr="001611C5">
        <w:rPr>
          <w:rFonts w:asciiTheme="minorEastAsia" w:eastAsiaTheme="minorEastAsia" w:hAnsiTheme="minorEastAsia" w:hint="eastAsia"/>
          <w:color w:val="000000"/>
          <w:kern w:val="0"/>
          <w:sz w:val="24"/>
          <w:szCs w:val="24"/>
        </w:rPr>
        <w:t/>
      </w:r>
      <w:r w:rsidR="00D02347" w:rsidRPr="001611C5">
        <w:rPr>
          <w:rFonts w:asciiTheme="minorEastAsia" w:eastAsiaTheme="minorEastAsia" w:hAnsiTheme="minorEastAsia" w:hint="eastAsia"/>
          <w:color w:val="000000"/>
          <w:kern w:val="0"/>
          <w:sz w:val="24"/>
          <w:szCs w:val="24"/>
        </w:rPr>
        <w:t>9</w:t>
      </w:r>
      <w:r w:rsidRPr="001611C5">
        <w:rPr>
          <w:rFonts w:asciiTheme="minorEastAsia" w:eastAsiaTheme="minorEastAsia" w:hAnsiTheme="minorEastAsia"/>
          <w:color w:val="000000"/>
          <w:kern w:val="0"/>
          <w:sz w:val="24"/>
          <w:szCs w:val="24"/>
        </w:rPr>
        <w:t xml:space="preserve">  </w:t>
      </w:r>
      <w:r w:rsidRPr="001611C5">
        <w:rPr>
          <w:rFonts w:asciiTheme="minorEastAsia" w:eastAsiaTheme="minorEastAsia" w:hAnsiTheme="minorEastAsia" w:hint="eastAsia"/>
          <w:color w:val="000000"/>
          <w:kern w:val="0"/>
          <w:sz w:val="24"/>
          <w:szCs w:val="24"/>
        </w:rPr>
        <w:t>备查文件目录</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
      </w:r>
      <w:r w:rsidR="00676095" w:rsidRPr="001611C5">
        <w:rPr>
          <w:rFonts w:asciiTheme="minorEastAsia" w:eastAsiaTheme="minorEastAsia" w:hAnsiTheme="minorEastAsia" w:hint="eastAsia"/>
          <w:b/>
          <w:bCs/>
          <w:color w:val="000000"/>
          <w:kern w:val="0"/>
          <w:sz w:val="24"/>
          <w:szCs w:val="24"/>
        </w:rPr>
        <w:t/>
      </w: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1</w:t>
      </w:r>
      <w:r w:rsidR="004061AC" w:rsidRPr="001611C5">
        <w:rPr>
          <w:rFonts w:asciiTheme="minorEastAsia" w:eastAsiaTheme="minorEastAsia" w:hAnsiTheme="minorEastAsia"/>
          <w:b/>
          <w:bCs/>
          <w:color w:val="000000"/>
          <w:kern w:val="0"/>
          <w:sz w:val="24"/>
          <w:szCs w:val="24"/>
        </w:rPr>
        <w:t xml:space="preserve"> </w:t>
      </w:r>
      <w:r w:rsidR="004061AC" w:rsidRPr="001611C5">
        <w:rPr>
          <w:rFonts w:asciiTheme="minorEastAsia" w:eastAsiaTheme="minorEastAsia" w:hAnsiTheme="minorEastAsia" w:hint="eastAsia"/>
          <w:b/>
          <w:bCs/>
          <w:color w:val="000000"/>
          <w:kern w:val="0"/>
          <w:sz w:val="24"/>
          <w:szCs w:val="24"/>
        </w:rPr>
        <w:t>备查文件目录</w:t>
      </w:r>
    </w:p>
    <w:p>
      <w:pPr>
        <w:spacing w:line="360" w:lineRule="auto"/>
        <w:ind w:firstLineChars="200" w:firstLine="480"/>
        <w:rPr>
          <w:rFonts w:eastAsiaTheme="minorEastAsia"/>
          <w:color w:val="000000"/>
          <w:sz w:val="24"/>
          <w:szCs w:val="24"/>
        </w:rPr>
      </w:pPr>
      <w:r>
        <w:rPr>
          <w:rFonts w:eastAsiaTheme="minorEastAsia" w:hint="eastAsia"/>
          <w:color w:val="000000"/>
          <w:sz w:val="24"/>
          <w:szCs w:val="24"/>
        </w:rPr>
        <w:t>（一）中国证监会注册广发新常态灵活配置混合型证券投资基金募集的文件</w:t>
      </w:r>
    </w:p>
    <w:p>
      <w:pPr>
        <w:spacing w:line="360" w:lineRule="auto"/>
        <w:ind w:firstLineChars="200" w:firstLine="480"/>
        <w:rPr>
          <w:rFonts w:eastAsiaTheme="minorEastAsia"/>
          <w:color w:val="000000"/>
          <w:sz w:val="24"/>
          <w:szCs w:val="24"/>
        </w:rPr>
      </w:pPr>
      <w:r>
        <w:rPr>
          <w:rFonts w:eastAsiaTheme="minorEastAsia" w:hint="eastAsia"/>
          <w:color w:val="000000"/>
          <w:sz w:val="24"/>
          <w:szCs w:val="24"/>
        </w:rPr>
        <w:t>（二）《广发新常态灵活配置混合型证券投资基金基金合同》</w:t>
      </w:r>
    </w:p>
    <w:p>
      <w:pPr>
        <w:spacing w:line="360" w:lineRule="auto"/>
        <w:ind w:firstLineChars="200" w:firstLine="480"/>
        <w:rPr>
          <w:rFonts w:eastAsiaTheme="minorEastAsia"/>
          <w:color w:val="000000"/>
          <w:sz w:val="24"/>
          <w:szCs w:val="24"/>
        </w:rPr>
      </w:pPr>
      <w:r>
        <w:rPr>
          <w:rFonts w:eastAsiaTheme="minorEastAsia" w:hint="eastAsia"/>
          <w:color w:val="000000"/>
          <w:sz w:val="24"/>
          <w:szCs w:val="24"/>
        </w:rPr>
        <w:t>（三）《广发基金管理有限公司开放式基金业务规则》</w:t>
      </w:r>
    </w:p>
    <w:p>
      <w:pPr>
        <w:spacing w:line="360" w:lineRule="auto"/>
        <w:ind w:firstLineChars="200" w:firstLine="480"/>
        <w:rPr>
          <w:rFonts w:eastAsiaTheme="minorEastAsia"/>
          <w:color w:val="000000"/>
          <w:sz w:val="24"/>
          <w:szCs w:val="24"/>
        </w:rPr>
      </w:pPr>
      <w:r>
        <w:rPr>
          <w:rFonts w:eastAsiaTheme="minorEastAsia" w:hint="eastAsia"/>
          <w:color w:val="000000"/>
          <w:sz w:val="24"/>
          <w:szCs w:val="24"/>
        </w:rPr>
        <w:t>（四）《广发新常态灵活配置混合型证券投资基金托管协议》</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Pr="00CD2DB1">
        <w:rPr>
          <w:rFonts w:eastAsiaTheme="minorEastAsia"/>
          <w:color w:val="000000"/>
          <w:sz w:val="24"/>
          <w:szCs w:val="24"/>
        </w:rPr>
        <w:t/>
      </w:r>
      <w:r w:rsidRPr="00CD2DB1">
        <w:rPr>
          <w:rFonts w:eastAsiaTheme="minorEastAsia" w:hint="eastAsia"/>
          <w:color w:val="000000"/>
          <w:sz w:val="24"/>
          <w:szCs w:val="24"/>
        </w:rPr>
        <w:t>（五）法律意见书</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
      </w:r>
      <w:r w:rsidR="00676095" w:rsidRPr="001611C5">
        <w:rPr>
          <w:rFonts w:asciiTheme="minorEastAsia" w:eastAsiaTheme="minorEastAsia" w:hAnsiTheme="minorEastAsia" w:hint="eastAsia"/>
          <w:b/>
          <w:bCs/>
          <w:color w:val="000000"/>
          <w:kern w:val="0"/>
          <w:sz w:val="24"/>
          <w:szCs w:val="24"/>
        </w:rPr>
        <w:t/>
      </w: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2</w:t>
      </w:r>
      <w:r w:rsidR="004061AC" w:rsidRPr="001611C5">
        <w:rPr>
          <w:rFonts w:asciiTheme="minorEastAsia" w:eastAsiaTheme="minorEastAsia" w:hAnsiTheme="minorEastAsia"/>
          <w:b/>
          <w:bCs/>
          <w:color w:val="000000"/>
          <w:kern w:val="0"/>
          <w:sz w:val="24"/>
          <w:szCs w:val="24"/>
        </w:rPr>
        <w:t xml:space="preserve"> </w:t>
      </w:r>
      <w:r w:rsidR="004061AC" w:rsidRPr="001611C5">
        <w:rPr>
          <w:rFonts w:asciiTheme="minorEastAsia" w:eastAsiaTheme="minorEastAsia" w:hAnsiTheme="minorEastAsia" w:hint="eastAsia"/>
          <w:b/>
          <w:bCs/>
          <w:color w:val="000000"/>
          <w:kern w:val="0"/>
          <w:sz w:val="24"/>
          <w:szCs w:val="24"/>
        </w:rPr>
        <w:t>存放地点</w:t>
      </w:r>
    </w:p>
    <w:p w:rsidR="006A48FD" w:rsidRPr="006B72F7" w:rsidRDefault="006D7FF8" w:rsidP="006B72F7">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Pr="00CD2DB1">
        <w:rPr>
          <w:rFonts w:eastAsiaTheme="minorEastAsia"/>
          <w:color w:val="000000"/>
          <w:sz w:val="24"/>
          <w:szCs w:val="24"/>
        </w:rPr>
        <w:t/>
      </w:r>
      <w:r w:rsidRPr="00CD2DB1">
        <w:rPr>
          <w:rFonts w:eastAsiaTheme="minorEastAsia" w:hint="eastAsia"/>
          <w:color w:val="000000"/>
          <w:sz w:val="24"/>
          <w:szCs w:val="24"/>
        </w:rPr>
        <w:t>广州市海珠区琶洲大道东1号保利国际广场南塔31-33楼</w:t>
      </w:r>
    </w:p>
    <w:p w:rsidR="004061AC" w:rsidRPr="001611C5" w:rsidRDefault="00D02347" w:rsidP="00C71497">
      <w:pPr>
        <w:autoSpaceDE w:val="0"/>
        <w:autoSpaceDN w:val="0"/>
        <w:adjustRightInd w:val="0"/>
        <w:spacing w:line="360" w:lineRule="auto"/>
        <w:jc w:val="left"/>
        <w:rPr>
          <w:rFonts w:asciiTheme="minorEastAsia" w:eastAsiaTheme="minorEastAsia" w:hAnsiTheme="minorEastAsia"/>
          <w:b/>
          <w:bCs/>
          <w:color w:val="000000"/>
          <w:kern w:val="0"/>
          <w:sz w:val="24"/>
          <w:szCs w:val="24"/>
        </w:rPr>
      </w:pPr>
      <w:r w:rsidRPr="001611C5">
        <w:rPr>
          <w:rFonts w:asciiTheme="minorEastAsia" w:eastAsiaTheme="minorEastAsia" w:hAnsiTheme="minorEastAsia" w:hint="eastAsia"/>
          <w:b/>
          <w:bCs/>
          <w:color w:val="000000"/>
          <w:kern w:val="0"/>
          <w:sz w:val="24"/>
          <w:szCs w:val="24"/>
        </w:rPr>
        <w:t/>
      </w:r>
      <w:r w:rsidR="00676095" w:rsidRPr="001611C5">
        <w:rPr>
          <w:rFonts w:asciiTheme="minorEastAsia" w:eastAsiaTheme="minorEastAsia" w:hAnsiTheme="minorEastAsia" w:hint="eastAsia"/>
          <w:b/>
          <w:bCs/>
          <w:color w:val="000000"/>
          <w:kern w:val="0"/>
          <w:sz w:val="24"/>
          <w:szCs w:val="24"/>
        </w:rPr>
        <w:t/>
      </w:r>
      <w:r w:rsidRPr="001611C5">
        <w:rPr>
          <w:rFonts w:asciiTheme="minorEastAsia" w:eastAsiaTheme="minorEastAsia" w:hAnsiTheme="minorEastAsia" w:hint="eastAsia"/>
          <w:b/>
          <w:bCs/>
          <w:color w:val="000000"/>
          <w:kern w:val="0"/>
          <w:sz w:val="24"/>
          <w:szCs w:val="24"/>
        </w:rPr>
        <w:t>9</w:t>
      </w:r>
      <w:r w:rsidR="004061AC" w:rsidRPr="001611C5">
        <w:rPr>
          <w:rFonts w:asciiTheme="minorEastAsia" w:eastAsiaTheme="minorEastAsia" w:hAnsiTheme="minorEastAsia"/>
          <w:b/>
          <w:bCs/>
          <w:color w:val="000000"/>
          <w:kern w:val="0"/>
          <w:sz w:val="24"/>
          <w:szCs w:val="24"/>
        </w:rPr>
        <w:t>.</w:t>
      </w:r>
      <w:r w:rsidR="00676095" w:rsidRPr="001611C5">
        <w:rPr>
          <w:rFonts w:asciiTheme="minorEastAsia" w:eastAsiaTheme="minorEastAsia" w:hAnsiTheme="minorEastAsia" w:hint="eastAsia"/>
          <w:b/>
          <w:bCs/>
          <w:color w:val="000000"/>
          <w:kern w:val="0"/>
          <w:sz w:val="24"/>
          <w:szCs w:val="24"/>
        </w:rPr>
        <w:t>3</w:t>
      </w:r>
      <w:r w:rsidR="004061AC" w:rsidRPr="001611C5">
        <w:rPr>
          <w:rFonts w:asciiTheme="minorEastAsia" w:eastAsiaTheme="minorEastAsia" w:hAnsiTheme="minorEastAsia"/>
          <w:b/>
          <w:bCs/>
          <w:color w:val="000000"/>
          <w:kern w:val="0"/>
          <w:sz w:val="24"/>
          <w:szCs w:val="24"/>
        </w:rPr>
        <w:t xml:space="preserve"> </w:t>
      </w:r>
      <w:r w:rsidR="004061AC" w:rsidRPr="001611C5">
        <w:rPr>
          <w:rFonts w:asciiTheme="minorEastAsia" w:eastAsiaTheme="minorEastAsia" w:hAnsiTheme="minorEastAsia" w:hint="eastAsia"/>
          <w:b/>
          <w:bCs/>
          <w:color w:val="000000"/>
          <w:kern w:val="0"/>
          <w:sz w:val="24"/>
          <w:szCs w:val="24"/>
        </w:rPr>
        <w:t>查阅方式</w:t>
      </w:r>
    </w:p>
    <w:p>
      <w:pPr>
        <w:spacing w:line="360" w:lineRule="auto"/>
        <w:ind w:firstLineChars="200" w:firstLine="480"/>
        <w:rPr>
          <w:rFonts w:eastAsiaTheme="minorEastAsia"/>
          <w:color w:val="000000"/>
          <w:sz w:val="24"/>
          <w:szCs w:val="24"/>
        </w:rPr>
      </w:pPr>
      <w:r>
        <w:rPr>
          <w:rFonts w:eastAsiaTheme="minorEastAsia" w:hint="eastAsia"/>
          <w:color w:val="000000"/>
          <w:sz w:val="24"/>
          <w:szCs w:val="24"/>
        </w:rPr>
        <w:t>1.书面查阅：查阅时间为每工作日8:30-11:30，13:30-17:00。投资者可免费查阅，也可按工本费购买复印件；</w:t>
      </w:r>
    </w:p>
    <w:p>
      <w:pPr>
        <w:spacing w:line="360" w:lineRule="auto"/>
        <w:ind w:firstLineChars="200" w:firstLine="480"/>
        <w:rPr>
          <w:rFonts w:eastAsiaTheme="minorEastAsia"/>
          <w:color w:val="000000"/>
          <w:sz w:val="24"/>
          <w:szCs w:val="24"/>
        </w:rPr>
      </w:pPr>
      <w:r>
        <w:rPr>
          <w:rFonts w:eastAsiaTheme="minorEastAsia" w:hint="eastAsia"/>
          <w:color w:val="000000"/>
          <w:sz w:val="24"/>
          <w:szCs w:val="24"/>
        </w:rPr>
        <w:t>2.网站查阅：基金管理人网址：http://www.gffunds.com.cn。</w:t>
      </w:r>
    </w:p>
    <w:p w:rsidR="00636DB7" w:rsidRPr="00CD2DB1" w:rsidRDefault="006D7FF8" w:rsidP="001611C5">
      <w:pPr>
        <w:spacing w:line="360" w:lineRule="auto"/>
        <w:ind w:firstLineChars="200" w:firstLine="480"/>
        <w:rPr>
          <w:rFonts w:eastAsiaTheme="minorEastAsia"/>
          <w:color w:val="000000"/>
          <w:sz w:val="24"/>
          <w:szCs w:val="24"/>
        </w:rPr>
      </w:pPr>
      <w:r w:rsidRPr="00CD2DB1">
        <w:rPr>
          <w:rFonts w:eastAsiaTheme="minorEastAsia" w:hint="eastAsia"/>
          <w:color w:val="000000"/>
          <w:sz w:val="24"/>
          <w:szCs w:val="24"/>
        </w:rPr>
        <w:t/>
      </w:r>
      <w:r w:rsidRPr="00CD2DB1">
        <w:rPr>
          <w:rFonts w:eastAsiaTheme="minorEastAsia"/>
          <w:color w:val="000000"/>
          <w:sz w:val="24"/>
          <w:szCs w:val="24"/>
        </w:rPr>
        <w:t/>
      </w:r>
      <w:r w:rsidRPr="00CD2DB1">
        <w:rPr>
          <w:rFonts w:eastAsiaTheme="minorEastAsia" w:hint="eastAsia"/>
          <w:color w:val="000000"/>
          <w:sz w:val="24"/>
          <w:szCs w:val="24"/>
        </w:rPr>
        <w:t>投资者如对本报告有疑问，可咨询本基金管理人广发基金管理有限公司，咨询电话95105828或020-83936999，或发电子邮件：services@gf-funds.com.cn。</w:t>
      </w: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C71497" w:rsidRPr="001611C5" w:rsidRDefault="00C71497"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4061AC" w:rsidP="004061AC">
      <w:pPr>
        <w:spacing w:line="360" w:lineRule="auto"/>
        <w:ind w:left="840"/>
        <w:jc w:val="right"/>
        <w:rPr>
          <w:rFonts w:asciiTheme="minorEastAsia" w:eastAsiaTheme="minorEastAsia" w:hAnsiTheme="minorEastAsia"/>
          <w:color w:val="000000"/>
          <w:sz w:val="24"/>
          <w:szCs w:val="24"/>
        </w:rPr>
      </w:pPr>
    </w:p>
    <w:p w:rsidR="004061AC" w:rsidRPr="001611C5" w:rsidRDefault="00832A00"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广发基金管理有限公司</w:t>
      </w:r>
    </w:p>
    <w:p w:rsidR="004061AC" w:rsidRPr="001611C5" w:rsidRDefault="00945AF6" w:rsidP="00C71497">
      <w:pPr>
        <w:spacing w:line="360" w:lineRule="auto"/>
        <w:jc w:val="right"/>
        <w:rPr>
          <w:rFonts w:asciiTheme="minorEastAsia" w:eastAsiaTheme="minorEastAsia" w:hAnsiTheme="minorEastAsia"/>
          <w:b/>
          <w:bCs/>
          <w:sz w:val="24"/>
          <w:szCs w:val="24"/>
        </w:rPr>
      </w:pPr>
      <w:r w:rsidRPr="001611C5">
        <w:rPr>
          <w:rFonts w:asciiTheme="minorEastAsia" w:eastAsiaTheme="minorEastAsia" w:hAnsiTheme="minorEastAsia"/>
          <w:b/>
          <w:bCs/>
          <w:sz w:val="24"/>
          <w:szCs w:val="24"/>
        </w:rPr>
        <w:t>二〇一七年十月二十七日</w:t>
      </w:r>
    </w:p>
    <w:p w:rsidR="00304A12" w:rsidRPr="001611C5" w:rsidRDefault="00304A12" w:rsidP="00955BE8">
      <w:pPr>
        <w:spacing w:line="360" w:lineRule="auto"/>
        <w:ind w:left="840"/>
        <w:jc w:val="right"/>
        <w:rPr>
          <w:rFonts w:asciiTheme="minorEastAsia" w:eastAsiaTheme="minorEastAsia" w:hAnsiTheme="minorEastAsia"/>
          <w:b/>
          <w:bCs/>
          <w:sz w:val="24"/>
          <w:szCs w:val="24"/>
        </w:rPr>
      </w:pPr>
    </w:p>
    <w:p w:rsidR="00A90049" w:rsidRPr="00264E55" w:rsidRDefault="00A90049">
      <w:pPr>
        <w:rPr>
          <w:rFonts w:asciiTheme="minorEastAsia" w:eastAsiaTheme="minorEastAsia" w:hAnsiTheme="minorEastAsia"/>
          <w:sz w:val="24"/>
          <w:szCs w:val="24"/>
        </w:rPr>
      </w:pPr>
    </w:p>
    <w:sectPr w:rsidR="00A90049" w:rsidRPr="00264E55" w:rsidSect="00304A12">
      <w:footerReference w:type="default" r:id="rId12"/>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55E" w:rsidRDefault="0013155E" w:rsidP="00876D65">
      <w:r>
        <w:separator/>
      </w:r>
    </w:p>
  </w:endnote>
  <w:endnote w:type="continuationSeparator" w:id="0">
    <w:p w:rsidR="0013155E" w:rsidRDefault="0013155E"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 w:name="方正仿宋简体">
    <w:altName w:val="Arial Unicode MS"/>
    <w:charset w:val="86"/>
    <w:family w:val="auto"/>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F0" w:rsidRPr="001D0DB0" w:rsidRDefault="00171EF0" w:rsidP="00F11104">
    <w:pPr>
      <w:pStyle w:val="a6"/>
      <w:tabs>
        <w:tab w:val="left" w:pos="4215"/>
        <w:tab w:val="center" w:pos="4545"/>
      </w:tabs>
    </w:pPr>
    <w:r>
      <w:ptab w:relativeTo="margin" w:alignment="center" w:leader="none"/>
    </w:r>
    <w:r>
      <w:ptab w:relativeTo="margin" w:alignment="center" w:leader="none"/>
    </w:r>
    <w:r w:rsidR="008E2DCB">
      <w:fldChar w:fldCharType="begin"/>
    </w:r>
    <w:r>
      <w:instrText xml:space="preserve"> PAGE   \* MERGEFORMAT </w:instrText>
    </w:r>
    <w:r w:rsidR="008E2DCB">
      <w:fldChar w:fldCharType="separate"/>
    </w:r>
    <w:r w:rsidR="00F21783" w:rsidRPr="00F21783">
      <w:rPr>
        <w:noProof/>
        <w:lang w:val="zh-CN"/>
      </w:rPr>
      <w:t>1</w:t>
    </w:r>
    <w:r w:rsidR="008E2DCB">
      <w:rPr>
        <w:noProof/>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F0" w:rsidRDefault="008E2DCB">
    <w:pPr>
      <w:pStyle w:val="a6"/>
      <w:framePr w:wrap="auto" w:vAnchor="text" w:hAnchor="margin" w:xAlign="center" w:y="1"/>
      <w:rPr>
        <w:rStyle w:val="a7"/>
      </w:rPr>
    </w:pPr>
    <w:r>
      <w:rPr>
        <w:rStyle w:val="a7"/>
      </w:rPr>
      <w:fldChar w:fldCharType="begin"/>
    </w:r>
    <w:r w:rsidR="00171EF0">
      <w:rPr>
        <w:rStyle w:val="a7"/>
      </w:rPr>
      <w:instrText xml:space="preserve">PAGE  </w:instrText>
    </w:r>
    <w:r>
      <w:rPr>
        <w:rStyle w:val="a7"/>
      </w:rPr>
      <w:fldChar w:fldCharType="separate"/>
    </w:r>
    <w:r w:rsidR="00F21783">
      <w:rPr>
        <w:rStyle w:val="a7"/>
        <w:noProof/>
      </w:rPr>
      <w:t>24</w:t>
    </w:r>
    <w:r>
      <w:rPr>
        <w:rStyle w:val="a7"/>
      </w:rPr>
      <w:fldChar w:fldCharType="end"/>
    </w:r>
  </w:p>
  <w:p w:rsidR="00171EF0" w:rsidRDefault="00171E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55E" w:rsidRDefault="0013155E" w:rsidP="00876D65">
      <w:r>
        <w:separator/>
      </w:r>
    </w:p>
  </w:footnote>
  <w:footnote w:type="continuationSeparator" w:id="0">
    <w:p w:rsidR="0013155E" w:rsidRDefault="0013155E"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F0" w:rsidRPr="007120CC" w:rsidRDefault="00171EF0" w:rsidP="00090A26">
    <w:pPr>
      <w:pStyle w:val="a9"/>
      <w:pBdr>
        <w:bottom w:val="single" w:sz="6" w:space="0" w:color="auto"/>
      </w:pBdr>
      <w:jc w:val="right"/>
    </w:pPr>
    <w:r w:rsidRPr="007120CC">
      <w:rPr>
        <w:rFonts w:hint="eastAsia"/>
      </w:rPr>
      <w:t/>
    </w:r>
    <w:proofErr w:type="gramStart"/>
    <w:r w:rsidRPr="007120CC">
      <w:t/>
    </w:r>
    <w:r w:rsidRPr="007120CC">
      <w:rPr>
        <w:rFonts w:hint="eastAsia"/>
      </w:rPr>
      <w:t/>
    </w:r>
    <w:r w:rsidRPr="007120CC">
      <w:t/>
    </w:r>
    <w:proofErr w:type="gramEnd"/>
    <w:r w:rsidRPr="007120CC">
      <w:rPr>
        <w:rFonts w:hint="eastAsia"/>
      </w:rPr>
      <w:t>广发新常态灵活配置混合型证券投资基金2017年第3季度报告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1775D"/>
    <w:rsid w:val="000210E7"/>
    <w:rsid w:val="00031EBB"/>
    <w:rsid w:val="00033B8D"/>
    <w:rsid w:val="00043852"/>
    <w:rsid w:val="000450DD"/>
    <w:rsid w:val="000463DE"/>
    <w:rsid w:val="0008313A"/>
    <w:rsid w:val="000907D2"/>
    <w:rsid w:val="00090A26"/>
    <w:rsid w:val="00091D41"/>
    <w:rsid w:val="000A2B53"/>
    <w:rsid w:val="000B624F"/>
    <w:rsid w:val="000B73C6"/>
    <w:rsid w:val="000C190B"/>
    <w:rsid w:val="000C1E17"/>
    <w:rsid w:val="000C5216"/>
    <w:rsid w:val="000D0E6C"/>
    <w:rsid w:val="000D3ED4"/>
    <w:rsid w:val="000F6CC8"/>
    <w:rsid w:val="001043C1"/>
    <w:rsid w:val="00111261"/>
    <w:rsid w:val="0013155E"/>
    <w:rsid w:val="00137452"/>
    <w:rsid w:val="00144F93"/>
    <w:rsid w:val="00147376"/>
    <w:rsid w:val="00150E7E"/>
    <w:rsid w:val="00154BE1"/>
    <w:rsid w:val="00160EDC"/>
    <w:rsid w:val="001611C5"/>
    <w:rsid w:val="001675CD"/>
    <w:rsid w:val="00171EF0"/>
    <w:rsid w:val="00175D4F"/>
    <w:rsid w:val="001761D2"/>
    <w:rsid w:val="001830D7"/>
    <w:rsid w:val="00185A34"/>
    <w:rsid w:val="00196E6C"/>
    <w:rsid w:val="001A73E8"/>
    <w:rsid w:val="001B0A62"/>
    <w:rsid w:val="001B2F35"/>
    <w:rsid w:val="001C0993"/>
    <w:rsid w:val="001C79F2"/>
    <w:rsid w:val="001D63BB"/>
    <w:rsid w:val="001D6A4B"/>
    <w:rsid w:val="001E4630"/>
    <w:rsid w:val="001F0964"/>
    <w:rsid w:val="001F30DA"/>
    <w:rsid w:val="001F5DC5"/>
    <w:rsid w:val="00200C59"/>
    <w:rsid w:val="00200FAB"/>
    <w:rsid w:val="00213821"/>
    <w:rsid w:val="00217B92"/>
    <w:rsid w:val="002279D3"/>
    <w:rsid w:val="00237F09"/>
    <w:rsid w:val="00240248"/>
    <w:rsid w:val="0024363B"/>
    <w:rsid w:val="00261111"/>
    <w:rsid w:val="00264E55"/>
    <w:rsid w:val="00275745"/>
    <w:rsid w:val="0027688F"/>
    <w:rsid w:val="00276E44"/>
    <w:rsid w:val="002835C9"/>
    <w:rsid w:val="00286BEF"/>
    <w:rsid w:val="00286FA2"/>
    <w:rsid w:val="002918E3"/>
    <w:rsid w:val="00296604"/>
    <w:rsid w:val="002973A9"/>
    <w:rsid w:val="002B1D1A"/>
    <w:rsid w:val="002D6FB6"/>
    <w:rsid w:val="002E1B9F"/>
    <w:rsid w:val="002E3B09"/>
    <w:rsid w:val="002E52B3"/>
    <w:rsid w:val="00304A12"/>
    <w:rsid w:val="00305636"/>
    <w:rsid w:val="00311662"/>
    <w:rsid w:val="00312A9F"/>
    <w:rsid w:val="00315D5D"/>
    <w:rsid w:val="00316484"/>
    <w:rsid w:val="00316E01"/>
    <w:rsid w:val="00320300"/>
    <w:rsid w:val="00324508"/>
    <w:rsid w:val="003259C8"/>
    <w:rsid w:val="003307FE"/>
    <w:rsid w:val="003470E2"/>
    <w:rsid w:val="00352719"/>
    <w:rsid w:val="0035422F"/>
    <w:rsid w:val="00355364"/>
    <w:rsid w:val="00364CCB"/>
    <w:rsid w:val="00374488"/>
    <w:rsid w:val="0039085F"/>
    <w:rsid w:val="00394069"/>
    <w:rsid w:val="003A6061"/>
    <w:rsid w:val="003B6FBC"/>
    <w:rsid w:val="003E2240"/>
    <w:rsid w:val="003E62FB"/>
    <w:rsid w:val="003F39DF"/>
    <w:rsid w:val="003F63BE"/>
    <w:rsid w:val="004061AC"/>
    <w:rsid w:val="004149AC"/>
    <w:rsid w:val="0042009D"/>
    <w:rsid w:val="00425A74"/>
    <w:rsid w:val="00427F58"/>
    <w:rsid w:val="00433805"/>
    <w:rsid w:val="00471408"/>
    <w:rsid w:val="004858E0"/>
    <w:rsid w:val="004934E9"/>
    <w:rsid w:val="004943C2"/>
    <w:rsid w:val="004A11A7"/>
    <w:rsid w:val="004B0661"/>
    <w:rsid w:val="004C702F"/>
    <w:rsid w:val="004D495A"/>
    <w:rsid w:val="004D59A3"/>
    <w:rsid w:val="004E5975"/>
    <w:rsid w:val="004E790A"/>
    <w:rsid w:val="004F50FD"/>
    <w:rsid w:val="00500A03"/>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DB7"/>
    <w:rsid w:val="0063783A"/>
    <w:rsid w:val="006423B9"/>
    <w:rsid w:val="00654270"/>
    <w:rsid w:val="00654B0D"/>
    <w:rsid w:val="00655CD8"/>
    <w:rsid w:val="006571DC"/>
    <w:rsid w:val="00660D4B"/>
    <w:rsid w:val="00664ECC"/>
    <w:rsid w:val="00670989"/>
    <w:rsid w:val="006757DC"/>
    <w:rsid w:val="00676095"/>
    <w:rsid w:val="00676FB8"/>
    <w:rsid w:val="00693843"/>
    <w:rsid w:val="0069426C"/>
    <w:rsid w:val="00694DFB"/>
    <w:rsid w:val="006A1C62"/>
    <w:rsid w:val="006A48FD"/>
    <w:rsid w:val="006A67F8"/>
    <w:rsid w:val="006A7AF1"/>
    <w:rsid w:val="006B11BB"/>
    <w:rsid w:val="006B72F7"/>
    <w:rsid w:val="006C12B8"/>
    <w:rsid w:val="006C37FC"/>
    <w:rsid w:val="006C7EA3"/>
    <w:rsid w:val="006D39E9"/>
    <w:rsid w:val="006D3BE3"/>
    <w:rsid w:val="006D7004"/>
    <w:rsid w:val="006D789D"/>
    <w:rsid w:val="006D7FF8"/>
    <w:rsid w:val="006E042A"/>
    <w:rsid w:val="006E48F5"/>
    <w:rsid w:val="006F5E68"/>
    <w:rsid w:val="0070412A"/>
    <w:rsid w:val="00706D60"/>
    <w:rsid w:val="007075E3"/>
    <w:rsid w:val="00707F66"/>
    <w:rsid w:val="007120CC"/>
    <w:rsid w:val="007142B8"/>
    <w:rsid w:val="00720D28"/>
    <w:rsid w:val="00722509"/>
    <w:rsid w:val="00727FCD"/>
    <w:rsid w:val="00733DDD"/>
    <w:rsid w:val="00750CDF"/>
    <w:rsid w:val="00752BA5"/>
    <w:rsid w:val="00753A7D"/>
    <w:rsid w:val="00755D86"/>
    <w:rsid w:val="007650D9"/>
    <w:rsid w:val="00767C98"/>
    <w:rsid w:val="00770971"/>
    <w:rsid w:val="00791180"/>
    <w:rsid w:val="0079131B"/>
    <w:rsid w:val="00796CA8"/>
    <w:rsid w:val="00797305"/>
    <w:rsid w:val="007B035B"/>
    <w:rsid w:val="007B4C04"/>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1D9E"/>
    <w:rsid w:val="00866CF2"/>
    <w:rsid w:val="008700EC"/>
    <w:rsid w:val="00876D65"/>
    <w:rsid w:val="0089068C"/>
    <w:rsid w:val="00891261"/>
    <w:rsid w:val="008A21B2"/>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431FA"/>
    <w:rsid w:val="00945AF6"/>
    <w:rsid w:val="009550BE"/>
    <w:rsid w:val="00955531"/>
    <w:rsid w:val="00955BE8"/>
    <w:rsid w:val="00957594"/>
    <w:rsid w:val="00963F40"/>
    <w:rsid w:val="0098122D"/>
    <w:rsid w:val="00986596"/>
    <w:rsid w:val="00990685"/>
    <w:rsid w:val="0099405D"/>
    <w:rsid w:val="009A0ABE"/>
    <w:rsid w:val="009B2D4B"/>
    <w:rsid w:val="009C0430"/>
    <w:rsid w:val="009C4E99"/>
    <w:rsid w:val="009C5186"/>
    <w:rsid w:val="009C60F7"/>
    <w:rsid w:val="009D0952"/>
    <w:rsid w:val="009E31DA"/>
    <w:rsid w:val="009E402C"/>
    <w:rsid w:val="009E7C6A"/>
    <w:rsid w:val="009F7ED4"/>
    <w:rsid w:val="00A03AAC"/>
    <w:rsid w:val="00A047D1"/>
    <w:rsid w:val="00A161C8"/>
    <w:rsid w:val="00A22AD0"/>
    <w:rsid w:val="00A22DA8"/>
    <w:rsid w:val="00A31671"/>
    <w:rsid w:val="00A33989"/>
    <w:rsid w:val="00A45320"/>
    <w:rsid w:val="00A52F8F"/>
    <w:rsid w:val="00A5612C"/>
    <w:rsid w:val="00A5689C"/>
    <w:rsid w:val="00A57AE4"/>
    <w:rsid w:val="00A63F19"/>
    <w:rsid w:val="00A66F42"/>
    <w:rsid w:val="00A71882"/>
    <w:rsid w:val="00A76625"/>
    <w:rsid w:val="00A83500"/>
    <w:rsid w:val="00A90049"/>
    <w:rsid w:val="00A917BF"/>
    <w:rsid w:val="00A96A94"/>
    <w:rsid w:val="00AA3A38"/>
    <w:rsid w:val="00AA4F94"/>
    <w:rsid w:val="00AB047E"/>
    <w:rsid w:val="00AC592E"/>
    <w:rsid w:val="00AC6C10"/>
    <w:rsid w:val="00AC7BC6"/>
    <w:rsid w:val="00AD24AA"/>
    <w:rsid w:val="00AE7962"/>
    <w:rsid w:val="00B12B7D"/>
    <w:rsid w:val="00B16985"/>
    <w:rsid w:val="00B221B8"/>
    <w:rsid w:val="00B27206"/>
    <w:rsid w:val="00B32AA7"/>
    <w:rsid w:val="00B4012D"/>
    <w:rsid w:val="00B40F64"/>
    <w:rsid w:val="00B42A76"/>
    <w:rsid w:val="00B7378D"/>
    <w:rsid w:val="00B82413"/>
    <w:rsid w:val="00B85352"/>
    <w:rsid w:val="00B87214"/>
    <w:rsid w:val="00B92FF5"/>
    <w:rsid w:val="00B959E6"/>
    <w:rsid w:val="00BA604D"/>
    <w:rsid w:val="00BC4585"/>
    <w:rsid w:val="00BC50F1"/>
    <w:rsid w:val="00BC73E5"/>
    <w:rsid w:val="00BD7473"/>
    <w:rsid w:val="00BD7703"/>
    <w:rsid w:val="00BE420D"/>
    <w:rsid w:val="00BF48B1"/>
    <w:rsid w:val="00BF6314"/>
    <w:rsid w:val="00C073E9"/>
    <w:rsid w:val="00C21520"/>
    <w:rsid w:val="00C222B2"/>
    <w:rsid w:val="00C225FB"/>
    <w:rsid w:val="00C37530"/>
    <w:rsid w:val="00C46B88"/>
    <w:rsid w:val="00C5218C"/>
    <w:rsid w:val="00C52191"/>
    <w:rsid w:val="00C5642F"/>
    <w:rsid w:val="00C63554"/>
    <w:rsid w:val="00C71497"/>
    <w:rsid w:val="00C72F5B"/>
    <w:rsid w:val="00C73BCD"/>
    <w:rsid w:val="00C77AEF"/>
    <w:rsid w:val="00C849CF"/>
    <w:rsid w:val="00C87129"/>
    <w:rsid w:val="00C91E1B"/>
    <w:rsid w:val="00CA5FD5"/>
    <w:rsid w:val="00CA7703"/>
    <w:rsid w:val="00CB0F92"/>
    <w:rsid w:val="00CD2DB1"/>
    <w:rsid w:val="00CD4E6D"/>
    <w:rsid w:val="00CD5707"/>
    <w:rsid w:val="00CD7702"/>
    <w:rsid w:val="00CE29EA"/>
    <w:rsid w:val="00CF6572"/>
    <w:rsid w:val="00D01F6A"/>
    <w:rsid w:val="00D02347"/>
    <w:rsid w:val="00D04755"/>
    <w:rsid w:val="00D13737"/>
    <w:rsid w:val="00D1638E"/>
    <w:rsid w:val="00D21FFF"/>
    <w:rsid w:val="00D272A5"/>
    <w:rsid w:val="00D43AFB"/>
    <w:rsid w:val="00D57B7C"/>
    <w:rsid w:val="00D65B44"/>
    <w:rsid w:val="00D8099B"/>
    <w:rsid w:val="00D866A8"/>
    <w:rsid w:val="00D92F47"/>
    <w:rsid w:val="00D94B8D"/>
    <w:rsid w:val="00D96C8D"/>
    <w:rsid w:val="00DA2876"/>
    <w:rsid w:val="00DC0B51"/>
    <w:rsid w:val="00DE27F7"/>
    <w:rsid w:val="00E44E18"/>
    <w:rsid w:val="00E54301"/>
    <w:rsid w:val="00E55ABD"/>
    <w:rsid w:val="00E60817"/>
    <w:rsid w:val="00E90C35"/>
    <w:rsid w:val="00EA70F1"/>
    <w:rsid w:val="00EB2516"/>
    <w:rsid w:val="00EB2C07"/>
    <w:rsid w:val="00EB374A"/>
    <w:rsid w:val="00ED62BE"/>
    <w:rsid w:val="00EF17AB"/>
    <w:rsid w:val="00EF6FA5"/>
    <w:rsid w:val="00F11104"/>
    <w:rsid w:val="00F13122"/>
    <w:rsid w:val="00F14CC6"/>
    <w:rsid w:val="00F16E3F"/>
    <w:rsid w:val="00F21783"/>
    <w:rsid w:val="00F22499"/>
    <w:rsid w:val="00F22B0F"/>
    <w:rsid w:val="00F246CB"/>
    <w:rsid w:val="00F24B42"/>
    <w:rsid w:val="00F24F73"/>
    <w:rsid w:val="00F27299"/>
    <w:rsid w:val="00F31F6E"/>
    <w:rsid w:val="00F3389C"/>
    <w:rsid w:val="00F375F2"/>
    <w:rsid w:val="00F54EAE"/>
    <w:rsid w:val="00F65334"/>
    <w:rsid w:val="00F66A51"/>
    <w:rsid w:val="00F71057"/>
    <w:rsid w:val="00F71A4B"/>
    <w:rsid w:val="00F728CF"/>
    <w:rsid w:val="00F743D4"/>
    <w:rsid w:val="00F83B17"/>
    <w:rsid w:val="00F87EDA"/>
    <w:rsid w:val="00F94113"/>
    <w:rsid w:val="00F970EE"/>
    <w:rsid w:val="00FB0BC9"/>
    <w:rsid w:val="00FB41D3"/>
    <w:rsid w:val="00FB4F70"/>
    <w:rsid w:val="00FB5EFC"/>
    <w:rsid w:val="00FB77BB"/>
    <w:rsid w:val="00FC15AA"/>
    <w:rsid w:val="00FC6C07"/>
    <w:rsid w:val="00FD1375"/>
    <w:rsid w:val="00FD359E"/>
    <w:rsid w:val="00FD5F37"/>
    <w:rsid w:val="00FE0A17"/>
    <w:rsid w:val="00FE179F"/>
    <w:rsid w:val="00FE5D8B"/>
    <w:rsid w:val="00FF213A"/>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uiPriority w:val="99"/>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633707909">
      <w:bodyDiv w:val="1"/>
      <w:marLeft w:val="0"/>
      <w:marRight w:val="0"/>
      <w:marTop w:val="0"/>
      <w:marBottom w:val="0"/>
      <w:divBdr>
        <w:top w:val="none" w:sz="0" w:space="0" w:color="auto"/>
        <w:left w:val="none" w:sz="0" w:space="0" w:color="auto"/>
        <w:bottom w:val="none" w:sz="0" w:space="0" w:color="auto"/>
        <w:right w:val="none" w:sz="0" w:space="0" w:color="auto"/>
      </w:divBdr>
    </w:div>
    <w:div w:id="202513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media/image1.jpeg" Type="http://schemas.openxmlformats.org/officeDocument/2006/relationships/image"/>
<Relationship Id="rId12" Target="footer2.xml" Type="http://schemas.openxmlformats.org/officeDocument/2006/relationships/footer"/>
<Relationship Id="rId13" Target="fontTable.xml" Type="http://schemas.openxmlformats.org/officeDocument/2006/relationships/fontTable"/>
<Relationship Id="rId14"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tylesWithEffects.xml" Type="http://schemas.microsoft.com/office/2007/relationships/stylesWithEffect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header1.xml" Type="http://schemas.openxmlformats.org/officeDocument/2006/relationships/header"/>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232AF-68F7-457D-8FD0-40204A42B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1683</TotalTime>
  <Pages>25</Pages>
  <Words>3743</Words>
  <Characters>21337</Characters>
  <Application>Microsoft Office Word</Application>
  <DocSecurity>0</DocSecurity>
  <Lines>177</Lines>
  <Paragraphs>50</Paragraphs>
  <ScaleCrop>false</ScaleCrop>
  <Company/>
  <LinksUpToDate>false</LinksUpToDate>
  <CharactersWithSpaces>25030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2012-10-16T06:07:00Z</dcterms:created>
  <cp:lastModifiedBy>xbany</cp:lastModifiedBy>
  <dcterms:modified xsi:type="dcterms:W3CDTF">2017-07-14T06:51:00Z</dcterms:modified>
  <cp:revision>269</cp:revision>
</cp:coreProperties>
</file>