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1AC" w:rsidRPr="00264E55" w:rsidRDefault="004061AC" w:rsidP="004061AC">
      <w:pPr>
        <w:autoSpaceDE w:val="0"/>
        <w:autoSpaceDN w:val="0"/>
        <w:adjustRightInd w:val="0"/>
        <w:spacing w:line="360" w:lineRule="auto"/>
        <w:jc w:val="left"/>
        <w:rPr>
          <w:rFonts w:asciiTheme="minorEastAsia" w:eastAsiaTheme="minorEastAsia" w:hAnsiTheme="minorEastAsia"/>
          <w:color w:val="000000"/>
          <w:kern w:val="0"/>
          <w:sz w:val="24"/>
          <w:szCs w:val="24"/>
        </w:rPr>
      </w:pPr>
    </w:p>
    <w:p w:rsidR="004061AC" w:rsidRPr="00264E55" w:rsidRDefault="004061AC" w:rsidP="004061AC">
      <w:pPr>
        <w:autoSpaceDE w:val="0"/>
        <w:autoSpaceDN w:val="0"/>
        <w:adjustRightInd w:val="0"/>
        <w:spacing w:line="360" w:lineRule="auto"/>
        <w:jc w:val="left"/>
        <w:rPr>
          <w:rFonts w:asciiTheme="minorEastAsia" w:eastAsiaTheme="minorEastAsia" w:hAnsiTheme="minorEastAsia"/>
          <w:color w:val="000000"/>
          <w:kern w:val="0"/>
          <w:sz w:val="24"/>
          <w:szCs w:val="24"/>
        </w:rPr>
      </w:pPr>
    </w:p>
    <w:p w:rsidR="004061AC" w:rsidRPr="00264E55" w:rsidRDefault="004061AC" w:rsidP="004061AC">
      <w:pPr>
        <w:autoSpaceDE w:val="0"/>
        <w:autoSpaceDN w:val="0"/>
        <w:adjustRightInd w:val="0"/>
        <w:spacing w:line="360" w:lineRule="auto"/>
        <w:jc w:val="left"/>
        <w:rPr>
          <w:rFonts w:asciiTheme="minorEastAsia" w:eastAsiaTheme="minorEastAsia" w:hAnsiTheme="minorEastAsia"/>
          <w:color w:val="000000"/>
          <w:kern w:val="0"/>
          <w:sz w:val="24"/>
          <w:szCs w:val="24"/>
        </w:rPr>
      </w:pPr>
    </w:p>
    <w:p w:rsidR="000C1E17" w:rsidRPr="00264E55" w:rsidRDefault="000C1E17" w:rsidP="004061AC">
      <w:pPr>
        <w:autoSpaceDE w:val="0"/>
        <w:autoSpaceDN w:val="0"/>
        <w:adjustRightInd w:val="0"/>
        <w:spacing w:line="360" w:lineRule="auto"/>
        <w:jc w:val="left"/>
        <w:rPr>
          <w:rFonts w:asciiTheme="minorEastAsia" w:eastAsiaTheme="minorEastAsia" w:hAnsiTheme="minorEastAsia"/>
          <w:color w:val="000000"/>
          <w:kern w:val="0"/>
          <w:sz w:val="24"/>
          <w:szCs w:val="24"/>
        </w:rPr>
      </w:pPr>
    </w:p>
    <w:p w:rsidR="000C1E17" w:rsidRPr="00264E55" w:rsidRDefault="000C1E17" w:rsidP="004061AC">
      <w:pPr>
        <w:autoSpaceDE w:val="0"/>
        <w:autoSpaceDN w:val="0"/>
        <w:adjustRightInd w:val="0"/>
        <w:spacing w:line="360" w:lineRule="auto"/>
        <w:jc w:val="left"/>
        <w:rPr>
          <w:rFonts w:asciiTheme="minorEastAsia" w:eastAsiaTheme="minorEastAsia" w:hAnsiTheme="minorEastAsia"/>
          <w:color w:val="000000"/>
          <w:kern w:val="0"/>
          <w:sz w:val="24"/>
          <w:szCs w:val="24"/>
        </w:rPr>
      </w:pPr>
    </w:p>
    <w:p w:rsidR="002279D3" w:rsidRPr="00264E55" w:rsidRDefault="002279D3" w:rsidP="00542546">
      <w:pPr>
        <w:spacing w:line="360" w:lineRule="auto"/>
        <w:jc w:val="center"/>
        <w:rPr>
          <w:rFonts w:asciiTheme="minorEastAsia" w:eastAsiaTheme="minorEastAsia" w:hAnsiTheme="minorEastAsia"/>
          <w:b/>
          <w:sz w:val="36"/>
          <w:szCs w:val="36"/>
        </w:rPr>
      </w:pPr>
      <w:r w:rsidRPr="00264E55">
        <w:rPr>
          <w:rFonts w:asciiTheme="minorEastAsia" w:eastAsiaTheme="minorEastAsia" w:hAnsiTheme="minorEastAsia" w:hint="eastAsia"/>
          <w:b/>
          <w:sz w:val="36"/>
          <w:szCs w:val="36"/>
        </w:rPr>
        <w:t/>
      </w:r>
      <w:r w:rsidRPr="00264E55">
        <w:rPr>
          <w:rFonts w:asciiTheme="minorEastAsia" w:eastAsiaTheme="minorEastAsia" w:hAnsiTheme="minorEastAsia"/>
          <w:b/>
          <w:sz w:val="36"/>
          <w:szCs w:val="36"/>
        </w:rPr>
        <w:t/>
      </w:r>
      <w:r w:rsidRPr="00264E55">
        <w:rPr>
          <w:rFonts w:asciiTheme="minorEastAsia" w:eastAsiaTheme="minorEastAsia" w:hAnsiTheme="minorEastAsia" w:hint="eastAsia"/>
          <w:b/>
          <w:sz w:val="36"/>
          <w:szCs w:val="36"/>
        </w:rPr>
        <w:t/>
      </w:r>
      <w:r w:rsidRPr="00264E55">
        <w:rPr>
          <w:rFonts w:asciiTheme="minorEastAsia" w:eastAsiaTheme="minorEastAsia" w:hAnsiTheme="minorEastAsia"/>
          <w:b/>
          <w:sz w:val="36"/>
          <w:szCs w:val="36"/>
        </w:rPr>
        <w:t/>
      </w:r>
      <w:r w:rsidRPr="00264E55">
        <w:rPr>
          <w:rFonts w:asciiTheme="minorEastAsia" w:eastAsiaTheme="minorEastAsia" w:hAnsiTheme="minorEastAsia" w:hint="eastAsia"/>
          <w:b/>
          <w:sz w:val="36"/>
          <w:szCs w:val="36"/>
        </w:rPr>
        <w:t>广发新常态灵活配置混合型证券投资基金</w:t>
      </w:r>
    </w:p>
    <w:p w:rsidR="002279D3" w:rsidRPr="00264E55" w:rsidRDefault="002279D3" w:rsidP="00542546">
      <w:pPr>
        <w:spacing w:line="360" w:lineRule="auto"/>
        <w:jc w:val="center"/>
        <w:rPr>
          <w:rFonts w:asciiTheme="minorEastAsia" w:eastAsiaTheme="minorEastAsia" w:hAnsiTheme="minorEastAsia"/>
          <w:b/>
          <w:sz w:val="36"/>
          <w:szCs w:val="36"/>
        </w:rPr>
      </w:pPr>
      <w:r w:rsidRPr="00264E55">
        <w:rPr>
          <w:rFonts w:asciiTheme="minorEastAsia" w:eastAsiaTheme="minorEastAsia" w:hAnsiTheme="minorEastAsia" w:hint="eastAsia"/>
          <w:b/>
          <w:sz w:val="36"/>
          <w:szCs w:val="36"/>
        </w:rPr>
        <w:t>2017年第3季度报告</w:t>
      </w:r>
    </w:p>
    <w:p w:rsidR="004061AC" w:rsidRPr="00BF6314" w:rsidRDefault="00655CD8" w:rsidP="00542546">
      <w:pPr>
        <w:spacing w:line="360" w:lineRule="auto"/>
        <w:jc w:val="center"/>
        <w:rPr>
          <w:rFonts w:asciiTheme="minorEastAsia" w:eastAsiaTheme="minorEastAsia" w:hAnsiTheme="minorEastAsia"/>
          <w:b/>
          <w:sz w:val="24"/>
          <w:szCs w:val="24"/>
        </w:rPr>
      </w:pPr>
      <w:r w:rsidRPr="00BF6314">
        <w:rPr>
          <w:rFonts w:asciiTheme="minorEastAsia" w:eastAsiaTheme="minorEastAsia" w:hAnsiTheme="minorEastAsia"/>
          <w:b/>
          <w:sz w:val="24"/>
          <w:szCs w:val="24"/>
        </w:rPr>
        <w:t>2017年9月30日</w:t>
      </w: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rPr>
          <w:rFonts w:asciiTheme="minorEastAsia" w:eastAsiaTheme="minorEastAsia" w:hAnsiTheme="minorEastAsia"/>
          <w:b/>
          <w:bCs/>
          <w:color w:val="000000"/>
          <w:sz w:val="24"/>
          <w:szCs w:val="24"/>
        </w:rPr>
      </w:pPr>
    </w:p>
    <w:p w:rsidR="004061AC" w:rsidRPr="00264E55" w:rsidRDefault="004061AC" w:rsidP="00542546">
      <w:pPr>
        <w:spacing w:line="360" w:lineRule="auto"/>
        <w:ind w:firstLineChars="900" w:firstLine="2168"/>
        <w:rPr>
          <w:rFonts w:asciiTheme="minorEastAsia" w:eastAsiaTheme="minorEastAsia" w:hAnsiTheme="minorEastAsia"/>
          <w:b/>
          <w:color w:val="000000"/>
          <w:sz w:val="24"/>
          <w:szCs w:val="24"/>
        </w:rPr>
      </w:pPr>
      <w:r w:rsidRPr="00264E55">
        <w:rPr>
          <w:rFonts w:asciiTheme="minorEastAsia" w:eastAsiaTheme="minorEastAsia" w:hAnsiTheme="minorEastAsia" w:hint="eastAsia"/>
          <w:b/>
          <w:color w:val="000000"/>
          <w:sz w:val="24"/>
          <w:szCs w:val="24"/>
        </w:rPr>
        <w:t>基金管理人：</w:t>
      </w:r>
      <w:r w:rsidRPr="00264E55">
        <w:rPr>
          <w:rFonts w:asciiTheme="minorEastAsia" w:eastAsiaTheme="minorEastAsia" w:hAnsiTheme="minorEastAsia"/>
          <w:b/>
          <w:color w:val="000000"/>
          <w:sz w:val="24"/>
          <w:szCs w:val="24"/>
        </w:rPr>
        <w:t>广发基金管理有限公司</w:t>
      </w:r>
    </w:p>
    <w:p w:rsidR="004061AC" w:rsidRPr="00264E55" w:rsidRDefault="004061AC" w:rsidP="00542546">
      <w:pPr>
        <w:spacing w:line="360" w:lineRule="auto"/>
        <w:ind w:firstLineChars="900" w:firstLine="2168"/>
        <w:rPr>
          <w:rFonts w:asciiTheme="minorEastAsia" w:eastAsiaTheme="minorEastAsia" w:hAnsiTheme="minorEastAsia"/>
          <w:b/>
          <w:color w:val="000000"/>
          <w:sz w:val="24"/>
          <w:szCs w:val="24"/>
        </w:rPr>
      </w:pPr>
      <w:r w:rsidRPr="00264E55">
        <w:rPr>
          <w:rFonts w:asciiTheme="minorEastAsia" w:eastAsiaTheme="minorEastAsia" w:hAnsiTheme="minorEastAsia" w:hint="eastAsia"/>
          <w:b/>
          <w:color w:val="000000"/>
          <w:sz w:val="24"/>
          <w:szCs w:val="24"/>
        </w:rPr>
        <w:t>基金托管人：</w:t>
      </w:r>
      <w:r w:rsidRPr="00264E55">
        <w:rPr>
          <w:rFonts w:asciiTheme="minorEastAsia" w:eastAsiaTheme="minorEastAsia" w:hAnsiTheme="minorEastAsia"/>
          <w:b/>
          <w:color w:val="000000"/>
          <w:sz w:val="24"/>
          <w:szCs w:val="24"/>
        </w:rPr>
        <w:t>平安银行股份有限公司</w:t>
      </w:r>
    </w:p>
    <w:p w:rsidR="004061AC" w:rsidRPr="00264E55" w:rsidRDefault="004061AC" w:rsidP="00542546">
      <w:pPr>
        <w:spacing w:line="360" w:lineRule="auto"/>
        <w:ind w:firstLineChars="900" w:firstLine="2168"/>
        <w:rPr>
          <w:rFonts w:asciiTheme="minorEastAsia" w:eastAsiaTheme="minorEastAsia" w:hAnsiTheme="minorEastAsia"/>
          <w:b/>
          <w:color w:val="000000"/>
          <w:sz w:val="24"/>
          <w:szCs w:val="24"/>
        </w:rPr>
        <w:sectPr w:rsidR="004061AC" w:rsidRPr="00264E55" w:rsidSect="00304A12">
          <w:headerReference w:type="default" r:id="rId9"/>
          <w:footerReference w:type="default" r:id="rId10"/>
          <w:pgSz w:w="11926" w:h="15840"/>
          <w:pgMar w:top="1418" w:right="1418" w:bottom="851" w:left="1418" w:header="851" w:footer="992" w:gutter="0"/>
          <w:cols w:space="720"/>
          <w:noEndnote/>
        </w:sectPr>
      </w:pPr>
      <w:r w:rsidRPr="00264E55">
        <w:rPr>
          <w:rFonts w:asciiTheme="minorEastAsia" w:eastAsiaTheme="minorEastAsia" w:hAnsiTheme="minorEastAsia" w:hint="eastAsia"/>
          <w:b/>
          <w:color w:val="000000"/>
          <w:sz w:val="24"/>
          <w:szCs w:val="24"/>
        </w:rPr>
        <w:t>报告送出日期：</w:t>
      </w:r>
      <w:r w:rsidR="00F16E3F" w:rsidRPr="00264E55">
        <w:rPr>
          <w:rFonts w:asciiTheme="minorEastAsia" w:eastAsiaTheme="minorEastAsia" w:hAnsiTheme="minorEastAsia"/>
          <w:b/>
          <w:color w:val="000000"/>
          <w:sz w:val="24"/>
          <w:szCs w:val="24"/>
        </w:rPr>
        <w:t/>
      </w:r>
      <w:r w:rsidR="00F16E3F" w:rsidRPr="00264E55">
        <w:rPr>
          <w:rFonts w:asciiTheme="minorEastAsia" w:eastAsiaTheme="minorEastAsia" w:hAnsiTheme="minorEastAsia" w:hint="eastAsia"/>
          <w:b/>
          <w:color w:val="000000"/>
          <w:sz w:val="24"/>
          <w:szCs w:val="24"/>
        </w:rPr>
        <w:t/>
      </w:r>
      <w:r w:rsidR="0042009D" w:rsidRPr="00264E55">
        <w:rPr>
          <w:rFonts w:asciiTheme="minorEastAsia" w:eastAsiaTheme="minorEastAsia" w:hAnsiTheme="minorEastAsia" w:hint="eastAsia"/>
          <w:b/>
          <w:color w:val="000000"/>
          <w:sz w:val="24"/>
          <w:szCs w:val="24"/>
        </w:rPr>
        <w:t/>
      </w:r>
      <w:r w:rsidR="00F16E3F" w:rsidRPr="00264E55">
        <w:rPr>
          <w:rFonts w:asciiTheme="minorEastAsia" w:eastAsiaTheme="minorEastAsia" w:hAnsiTheme="minorEastAsia"/>
          <w:b/>
          <w:color w:val="000000"/>
          <w:sz w:val="24"/>
          <w:szCs w:val="24"/>
        </w:rPr>
        <w:t>二〇一七年十月二十七日</w:t>
      </w:r>
    </w:p>
    <w:p w:rsidR="004061AC" w:rsidRPr="001611C5" w:rsidRDefault="004061AC" w:rsidP="001B2F35">
      <w:pPr>
        <w:pStyle w:val="1"/>
        <w:spacing w:beforeLines="100" w:before="312" w:afterLines="100" w:after="312" w:line="360" w:lineRule="auto"/>
        <w:jc w:val="center"/>
        <w:rPr>
          <w:rFonts w:asciiTheme="minorEastAsia" w:eastAsiaTheme="minorEastAsia" w:hAnsiTheme="minorEastAsia"/>
          <w:b w:val="0"/>
          <w:bCs w:val="0"/>
          <w:color w:val="000000"/>
          <w:kern w:val="0"/>
          <w:sz w:val="24"/>
          <w:szCs w:val="24"/>
        </w:rPr>
      </w:pPr>
      <w:r w:rsidRPr="001611C5">
        <w:rPr>
          <w:rFonts w:asciiTheme="minorEastAsia" w:eastAsiaTheme="minorEastAsia" w:hAnsiTheme="minorEastAsia" w:hint="eastAsia"/>
          <w:color w:val="000000"/>
          <w:kern w:val="0"/>
          <w:sz w:val="24"/>
          <w:szCs w:val="24"/>
        </w:rPr>
        <w:lastRenderedPageBreak/>
        <w:t>§</w:t>
      </w:r>
      <w:r w:rsidRPr="001611C5">
        <w:rPr>
          <w:rFonts w:asciiTheme="minorEastAsia" w:eastAsiaTheme="minorEastAsia" w:hAnsiTheme="minorEastAsia"/>
          <w:color w:val="000000"/>
          <w:kern w:val="0"/>
          <w:sz w:val="24"/>
          <w:szCs w:val="24"/>
        </w:rPr>
        <w:t xml:space="preserve">1  </w:t>
      </w:r>
      <w:r w:rsidRPr="001611C5">
        <w:rPr>
          <w:rFonts w:asciiTheme="minorEastAsia" w:eastAsiaTheme="minorEastAsia" w:hAnsiTheme="minorEastAsia" w:hint="eastAsia"/>
          <w:color w:val="000000"/>
          <w:kern w:val="0"/>
          <w:sz w:val="24"/>
          <w:szCs w:val="24"/>
        </w:rPr>
        <w:t>重要提示</w:t>
      </w:r>
    </w:p>
    <w:p>
      <w:pPr>
        <w:spacing w:line="360" w:lineRule="auto"/>
        <w:ind w:firstLineChars="200" w:firstLine="480"/>
        <w:rPr>
          <w:rFonts w:eastAsiaTheme="minorEastAsia"/>
          <w:color w:val="000000"/>
          <w:sz w:val="24"/>
          <w:szCs w:val="24"/>
        </w:rPr>
      </w:pPr>
      <w:r>
        <w:rPr>
          <w:rFonts w:eastAsiaTheme="minorEastAsia"/>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line="360" w:lineRule="auto"/>
        <w:ind w:firstLineChars="200" w:firstLine="480"/>
        <w:rPr>
          <w:rFonts w:eastAsiaTheme="minorEastAsia"/>
          <w:color w:val="000000"/>
          <w:sz w:val="24"/>
          <w:szCs w:val="24"/>
        </w:rPr>
      </w:pPr>
      <w:r>
        <w:rPr>
          <w:rFonts w:eastAsiaTheme="minorEastAsia"/>
          <w:color w:val="000000"/>
          <w:sz w:val="24"/>
          <w:szCs w:val="24"/>
        </w:rPr>
        <w:t xml:space="preserve">基金托管人平安银行股份有限公司根据本基金合同规定，于2017年10月25日复核了本报告中的财务指标、净值表现和投资组合报告等内容，保证复核内容不存在虚假记载、误导性陈述或者重大遗漏。 </w:t>
      </w:r>
    </w:p>
    <w:p>
      <w:pPr>
        <w:spacing w:line="360" w:lineRule="auto"/>
        <w:ind w:firstLineChars="200" w:firstLine="480"/>
        <w:rPr>
          <w:rFonts w:eastAsiaTheme="minorEastAsia"/>
          <w:color w:val="000000"/>
          <w:sz w:val="24"/>
          <w:szCs w:val="24"/>
        </w:rPr>
      </w:pPr>
      <w:r>
        <w:rPr>
          <w:rFonts w:eastAsiaTheme="minorEastAsia"/>
          <w:color w:val="000000"/>
          <w:sz w:val="24"/>
          <w:szCs w:val="24"/>
        </w:rPr>
        <w:t xml:space="preserve">基金管理人承诺以诚实信用、勤勉尽责的原则管理和运用基金资产，但不保证基金一定盈利。 </w:t>
      </w:r>
    </w:p>
    <w:p>
      <w:pPr>
        <w:spacing w:line="360" w:lineRule="auto"/>
        <w:ind w:firstLineChars="200" w:firstLine="480"/>
        <w:rPr>
          <w:rFonts w:eastAsiaTheme="minorEastAsia"/>
          <w:color w:val="000000"/>
          <w:sz w:val="24"/>
          <w:szCs w:val="24"/>
        </w:rPr>
      </w:pPr>
      <w:r>
        <w:rPr>
          <w:rFonts w:eastAsiaTheme="minorEastAsia"/>
          <w:color w:val="000000"/>
          <w:sz w:val="24"/>
          <w:szCs w:val="24"/>
        </w:rPr>
        <w:t xml:space="preserve">基金的过往业绩并不代表其未来表现。投资有风险，投资者在作出投资决策前应仔细阅读本基金的招募说明书。 </w:t>
      </w:r>
    </w:p>
    <w:p>
      <w:pPr>
        <w:spacing w:line="360" w:lineRule="auto"/>
        <w:ind w:firstLineChars="200" w:firstLine="480"/>
        <w:rPr>
          <w:rFonts w:eastAsiaTheme="minorEastAsia"/>
          <w:color w:val="000000"/>
          <w:sz w:val="24"/>
          <w:szCs w:val="24"/>
        </w:rPr>
      </w:pPr>
      <w:r>
        <w:rPr>
          <w:rFonts w:eastAsiaTheme="minorEastAsia"/>
          <w:color w:val="000000"/>
          <w:sz w:val="24"/>
          <w:szCs w:val="24"/>
        </w:rPr>
        <w:t>本报告中财务资料未经审计。</w:t>
      </w:r>
    </w:p>
    <w:p w:rsidR="004061AC" w:rsidRPr="00CD2DB1" w:rsidRDefault="004061AC" w:rsidP="001611C5">
      <w:pPr>
        <w:spacing w:line="360" w:lineRule="auto"/>
        <w:ind w:firstLineChars="200" w:firstLine="480"/>
        <w:rPr>
          <w:rFonts w:eastAsiaTheme="minorEastAsia"/>
          <w:color w:val="000000"/>
          <w:sz w:val="24"/>
          <w:szCs w:val="24"/>
        </w:rPr>
      </w:pPr>
      <w:r w:rsidRPr="00CD2DB1">
        <w:rPr>
          <w:rFonts w:eastAsiaTheme="minorEastAsia"/>
          <w:color w:val="000000"/>
          <w:sz w:val="24"/>
          <w:szCs w:val="24"/>
        </w:rPr>
        <w:t>本报告期自2017年7月1日起至9月30日止。</w:t>
      </w:r>
    </w:p>
    <w:p w:rsidR="004061AC" w:rsidRPr="001611C5" w:rsidRDefault="004061AC" w:rsidP="001B2F35">
      <w:pPr>
        <w:pStyle w:val="1"/>
        <w:spacing w:beforeLines="100" w:before="312" w:afterLines="100" w:after="312" w:line="360" w:lineRule="auto"/>
        <w:jc w:val="center"/>
        <w:rPr>
          <w:rFonts w:asciiTheme="minorEastAsia" w:eastAsiaTheme="minorEastAsia" w:hAnsiTheme="minorEastAsia"/>
          <w:color w:val="000000"/>
          <w:kern w:val="0"/>
          <w:sz w:val="24"/>
          <w:szCs w:val="24"/>
        </w:rPr>
      </w:pPr>
      <w:r w:rsidRPr="001611C5">
        <w:rPr>
          <w:rFonts w:asciiTheme="minorEastAsia" w:eastAsiaTheme="minorEastAsia" w:hAnsiTheme="minorEastAsia" w:hint="eastAsia"/>
          <w:color w:val="000000"/>
          <w:kern w:val="0"/>
          <w:sz w:val="24"/>
          <w:szCs w:val="24"/>
        </w:rPr>
        <w:t>§</w:t>
      </w:r>
      <w:r w:rsidRPr="001611C5">
        <w:rPr>
          <w:rFonts w:asciiTheme="minorEastAsia" w:eastAsiaTheme="minorEastAsia" w:hAnsiTheme="minorEastAsia"/>
          <w:color w:val="000000"/>
          <w:kern w:val="0"/>
          <w:sz w:val="24"/>
          <w:szCs w:val="24"/>
        </w:rPr>
        <w:t xml:space="preserve">2  </w:t>
      </w:r>
      <w:r w:rsidRPr="001611C5">
        <w:rPr>
          <w:rFonts w:asciiTheme="minorEastAsia" w:eastAsiaTheme="minorEastAsia" w:hAnsiTheme="minorEastAsia"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739"/>
        <w:gridCol w:w="2740"/>
      </w:tblGrid>
      <w:tr w:rsidR="004061AC" w:rsidRPr="001611C5" w:rsidTr="00BF6314">
        <w:tc>
          <w:tcPr>
            <w:tcW w:w="2835" w:type="dxa"/>
            <w:vAlign w:val="center"/>
          </w:tcPr>
          <w:p w:rsidR="004061AC" w:rsidRPr="006B72F7" w:rsidRDefault="004061AC" w:rsidP="00BF6314">
            <w:pPr>
              <w:adjustRightInd w:val="0"/>
              <w:spacing w:before="29" w:line="360" w:lineRule="auto"/>
              <w:ind w:left="17"/>
              <w:rPr>
                <w:rFonts w:eastAsiaTheme="minorEastAsia"/>
                <w:kern w:val="0"/>
                <w:sz w:val="24"/>
                <w:szCs w:val="24"/>
              </w:rPr>
            </w:pPr>
            <w:r w:rsidRPr="006B72F7">
              <w:rPr>
                <w:rFonts w:eastAsiaTheme="minorEastAsia"/>
                <w:kern w:val="0"/>
                <w:sz w:val="24"/>
                <w:szCs w:val="24"/>
              </w:rPr>
              <w:t>基金简称</w:t>
            </w:r>
          </w:p>
        </w:tc>
        <w:tc>
          <w:tcPr>
            <w:tcW w:w="5479" w:type="dxa"/>
            <w:gridSpan w:val="2"/>
            <w:vAlign w:val="center"/>
          </w:tcPr>
          <w:p w:rsidR="004061AC" w:rsidRPr="006B72F7" w:rsidRDefault="004061AC" w:rsidP="00BF6314">
            <w:pPr>
              <w:adjustRightInd w:val="0"/>
              <w:spacing w:before="29" w:line="360" w:lineRule="auto"/>
              <w:ind w:left="17"/>
              <w:rPr>
                <w:rFonts w:eastAsiaTheme="minorEastAsia"/>
                <w:color w:val="000000"/>
                <w:kern w:val="0"/>
                <w:sz w:val="24"/>
                <w:szCs w:val="24"/>
              </w:rPr>
            </w:pPr>
            <w:r w:rsidRPr="006B72F7">
              <w:rPr>
                <w:rFonts w:eastAsiaTheme="minorEastAsia"/>
                <w:color w:val="000000"/>
                <w:kern w:val="0"/>
                <w:sz w:val="24"/>
                <w:szCs w:val="24"/>
              </w:rPr>
              <w:t>广发新常态混合</w:t>
            </w:r>
          </w:p>
        </w:tc>
      </w:tr>
      <w:tr w:rsidR="00D94B8D" w:rsidRPr="001611C5" w:rsidTr="00BF6314">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6B72F7" w:rsidRDefault="00D94B8D" w:rsidP="00BF6314">
            <w:pPr>
              <w:adjustRightInd w:val="0"/>
              <w:spacing w:before="29" w:line="360" w:lineRule="auto"/>
              <w:ind w:left="17"/>
              <w:rPr>
                <w:rFonts w:eastAsiaTheme="minorEastAsia"/>
                <w:kern w:val="0"/>
                <w:sz w:val="24"/>
                <w:szCs w:val="24"/>
              </w:rPr>
            </w:pPr>
            <w:r w:rsidRPr="006B72F7">
              <w:rPr>
                <w:rFonts w:eastAsiaTheme="minorEastAsia"/>
                <w:kern w:val="0"/>
                <w:sz w:val="24"/>
                <w:szCs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94B8D" w:rsidRPr="006B72F7" w:rsidRDefault="00D94B8D" w:rsidP="00BF6314">
            <w:pPr>
              <w:adjustRightInd w:val="0"/>
              <w:spacing w:before="29" w:line="360" w:lineRule="auto"/>
              <w:ind w:left="17"/>
              <w:rPr>
                <w:rFonts w:eastAsiaTheme="minorEastAsia"/>
                <w:color w:val="000000"/>
                <w:kern w:val="0"/>
                <w:sz w:val="24"/>
                <w:szCs w:val="24"/>
              </w:rPr>
            </w:pPr>
            <w:r w:rsidRPr="006B72F7">
              <w:rPr>
                <w:rFonts w:eastAsiaTheme="minorEastAsia"/>
                <w:color w:val="000000"/>
                <w:kern w:val="0"/>
                <w:sz w:val="24"/>
                <w:szCs w:val="24"/>
              </w:rPr>
              <w:t>002122</w:t>
            </w:r>
          </w:p>
        </w:tc>
      </w:tr>
      <w:tr w:rsidR="001B2F35" w:rsidRPr="001611C5" w:rsidTr="00BF6314">
        <w:tc>
          <w:tcPr>
            <w:tcW w:w="2835" w:type="dxa"/>
            <w:tcBorders>
              <w:top w:val="single" w:sz="4" w:space="0" w:color="auto"/>
              <w:left w:val="single" w:sz="4" w:space="0" w:color="auto"/>
              <w:bottom w:val="single" w:sz="4" w:space="0" w:color="auto"/>
              <w:right w:val="single" w:sz="4" w:space="0" w:color="auto"/>
            </w:tcBorders>
            <w:vAlign w:val="center"/>
          </w:tcPr>
          <w:p w:rsidR="001B2F35" w:rsidRPr="006B72F7" w:rsidRDefault="001B2F35" w:rsidP="00BF6314">
            <w:pPr>
              <w:adjustRightInd w:val="0"/>
              <w:spacing w:before="29" w:line="360" w:lineRule="auto"/>
              <w:ind w:left="17"/>
              <w:rPr>
                <w:rFonts w:eastAsiaTheme="minorEastAsia"/>
                <w:kern w:val="0"/>
                <w:sz w:val="24"/>
                <w:szCs w:val="24"/>
              </w:rPr>
            </w:pPr>
            <w:r w:rsidRPr="006B72F7">
              <w:rPr>
                <w:rFonts w:eastAsiaTheme="minorEastAsia"/>
                <w:kern w:val="0"/>
                <w:sz w:val="24"/>
                <w:szCs w:val="24"/>
              </w:rPr>
              <w:t>交易代码</w:t>
            </w:r>
          </w:p>
        </w:tc>
        <w:tc>
          <w:tcPr>
            <w:tcW w:w="5479" w:type="dxa"/>
            <w:gridSpan w:val="2"/>
            <w:tcBorders>
              <w:top w:val="single" w:sz="4" w:space="0" w:color="auto"/>
              <w:left w:val="single" w:sz="4" w:space="0" w:color="auto"/>
              <w:bottom w:val="single" w:sz="4" w:space="0" w:color="auto"/>
              <w:right w:val="single" w:sz="4" w:space="0" w:color="auto"/>
            </w:tcBorders>
            <w:vAlign w:val="center"/>
          </w:tcPr>
          <w:p w:rsidR="001B2F35" w:rsidRPr="006B72F7" w:rsidRDefault="00C5218C" w:rsidP="00BF6314">
            <w:pPr>
              <w:adjustRightInd w:val="0"/>
              <w:spacing w:before="29" w:line="360" w:lineRule="auto"/>
              <w:ind w:left="17"/>
              <w:rPr>
                <w:rFonts w:eastAsiaTheme="minorEastAsia"/>
                <w:color w:val="000000"/>
                <w:kern w:val="0"/>
                <w:sz w:val="24"/>
                <w:szCs w:val="24"/>
              </w:rPr>
            </w:pPr>
            <w:r w:rsidRPr="006B72F7">
              <w:rPr>
                <w:rFonts w:eastAsiaTheme="minorEastAsia"/>
                <w:kern w:val="0"/>
                <w:sz w:val="24"/>
                <w:szCs w:val="24"/>
              </w:rPr>
              <w:t>002122</w:t>
            </w:r>
          </w:p>
        </w:tc>
      </w:tr>
      <w:tr w:rsidR="001B2F35" w:rsidRPr="001611C5" w:rsidTr="00BF6314">
        <w:tc>
          <w:tcPr>
            <w:tcW w:w="2835" w:type="dxa"/>
            <w:vAlign w:val="center"/>
          </w:tcPr>
          <w:p w:rsidR="001B2F35" w:rsidRPr="006B72F7" w:rsidRDefault="001B2F35" w:rsidP="00BF6314">
            <w:pPr>
              <w:adjustRightInd w:val="0"/>
              <w:spacing w:before="29" w:line="360" w:lineRule="auto"/>
              <w:ind w:left="17"/>
              <w:rPr>
                <w:rFonts w:eastAsiaTheme="minorEastAsia"/>
                <w:sz w:val="24"/>
                <w:szCs w:val="24"/>
              </w:rPr>
            </w:pPr>
            <w:r w:rsidRPr="006B72F7">
              <w:rPr>
                <w:rFonts w:eastAsiaTheme="minorEastAsia"/>
                <w:kern w:val="0"/>
                <w:sz w:val="24"/>
                <w:szCs w:val="24"/>
              </w:rPr>
              <w:t>基金运作方式</w:t>
            </w:r>
          </w:p>
        </w:tc>
        <w:tc>
          <w:tcPr>
            <w:tcW w:w="5479" w:type="dxa"/>
            <w:gridSpan w:val="2"/>
            <w:vAlign w:val="center"/>
          </w:tcPr>
          <w:p w:rsidR="001B2F35" w:rsidRPr="006B72F7" w:rsidRDefault="001B2F35" w:rsidP="00BF6314">
            <w:pPr>
              <w:adjustRightInd w:val="0"/>
              <w:spacing w:before="29" w:line="360" w:lineRule="auto"/>
              <w:ind w:left="17"/>
              <w:rPr>
                <w:rFonts w:eastAsiaTheme="minorEastAsia"/>
                <w:color w:val="000000"/>
                <w:sz w:val="24"/>
                <w:szCs w:val="24"/>
              </w:rPr>
            </w:pPr>
            <w:r w:rsidRPr="006B72F7">
              <w:rPr>
                <w:rFonts w:eastAsiaTheme="minorEastAsia"/>
                <w:color w:val="000000"/>
                <w:kern w:val="0"/>
                <w:sz w:val="24"/>
                <w:szCs w:val="24"/>
              </w:rPr>
              <w:t>契约型开放式</w:t>
            </w:r>
          </w:p>
        </w:tc>
      </w:tr>
      <w:tr w:rsidR="001B2F35" w:rsidRPr="001611C5" w:rsidTr="00BF6314">
        <w:tc>
          <w:tcPr>
            <w:tcW w:w="2835" w:type="dxa"/>
            <w:vAlign w:val="center"/>
          </w:tcPr>
          <w:p w:rsidR="001B2F35" w:rsidRPr="006B72F7" w:rsidRDefault="001B2F35" w:rsidP="00BF6314">
            <w:pPr>
              <w:adjustRightInd w:val="0"/>
              <w:spacing w:before="29" w:line="360" w:lineRule="auto"/>
              <w:ind w:left="17"/>
              <w:rPr>
                <w:rFonts w:eastAsiaTheme="minorEastAsia"/>
                <w:sz w:val="24"/>
                <w:szCs w:val="24"/>
              </w:rPr>
            </w:pPr>
            <w:r w:rsidRPr="006B72F7">
              <w:rPr>
                <w:rFonts w:eastAsiaTheme="minorEastAsia"/>
                <w:kern w:val="0"/>
                <w:sz w:val="24"/>
                <w:szCs w:val="24"/>
              </w:rPr>
              <w:t>基金合同生效日</w:t>
            </w:r>
          </w:p>
        </w:tc>
        <w:tc>
          <w:tcPr>
            <w:tcW w:w="5479" w:type="dxa"/>
            <w:gridSpan w:val="2"/>
            <w:vAlign w:val="center"/>
          </w:tcPr>
          <w:p w:rsidR="001B2F35" w:rsidRPr="006B72F7" w:rsidRDefault="001B2F35" w:rsidP="00BF6314">
            <w:pPr>
              <w:adjustRightInd w:val="0"/>
              <w:spacing w:before="29" w:line="360" w:lineRule="auto"/>
              <w:ind w:left="17"/>
              <w:rPr>
                <w:rFonts w:eastAsiaTheme="minorEastAsia"/>
                <w:color w:val="000000"/>
                <w:sz w:val="24"/>
                <w:szCs w:val="24"/>
              </w:rPr>
            </w:pPr>
            <w:r w:rsidRPr="006B72F7">
              <w:rPr>
                <w:rFonts w:eastAsiaTheme="minorEastAsia"/>
                <w:color w:val="000000"/>
                <w:kern w:val="0"/>
                <w:sz w:val="24"/>
                <w:szCs w:val="24"/>
              </w:rPr>
              <w:t>2016年12月5日</w:t>
            </w:r>
          </w:p>
        </w:tc>
      </w:tr>
      <w:tr w:rsidR="001B2F35" w:rsidRPr="001611C5" w:rsidTr="00BF6314">
        <w:tc>
          <w:tcPr>
            <w:tcW w:w="2835" w:type="dxa"/>
            <w:vAlign w:val="center"/>
          </w:tcPr>
          <w:p w:rsidR="001B2F35" w:rsidRPr="006B72F7" w:rsidRDefault="001B2F35" w:rsidP="00BF6314">
            <w:pPr>
              <w:adjustRightInd w:val="0"/>
              <w:spacing w:before="29" w:line="360" w:lineRule="auto"/>
              <w:ind w:left="17"/>
              <w:rPr>
                <w:rFonts w:eastAsiaTheme="minorEastAsia"/>
                <w:sz w:val="24"/>
                <w:szCs w:val="24"/>
              </w:rPr>
            </w:pPr>
            <w:r w:rsidRPr="006B72F7">
              <w:rPr>
                <w:rFonts w:eastAsiaTheme="minorEastAsia"/>
                <w:kern w:val="0"/>
                <w:sz w:val="24"/>
                <w:szCs w:val="24"/>
              </w:rPr>
              <w:t>报告期末基金份额总额</w:t>
            </w:r>
          </w:p>
        </w:tc>
        <w:tc>
          <w:tcPr>
            <w:tcW w:w="5479" w:type="dxa"/>
            <w:gridSpan w:val="2"/>
            <w:vAlign w:val="center"/>
          </w:tcPr>
          <w:p w:rsidR="001B2F35" w:rsidRPr="006B72F7" w:rsidRDefault="001B2F35" w:rsidP="00BF6314">
            <w:pPr>
              <w:adjustRightInd w:val="0"/>
              <w:spacing w:before="29" w:line="360" w:lineRule="auto"/>
              <w:ind w:left="17"/>
              <w:rPr>
                <w:rFonts w:eastAsiaTheme="minorEastAsia"/>
                <w:color w:val="000000"/>
                <w:sz w:val="24"/>
                <w:szCs w:val="24"/>
              </w:rPr>
            </w:pPr>
            <w:r w:rsidRPr="006B72F7">
              <w:rPr>
                <w:rFonts w:eastAsiaTheme="minorEastAsia"/>
                <w:color w:val="000000"/>
                <w:kern w:val="0"/>
                <w:sz w:val="24"/>
                <w:szCs w:val="24"/>
              </w:rPr>
              <w:t>22,588,641.87</w:t>
            </w:r>
            <w:r w:rsidRPr="006B72F7">
              <w:rPr>
                <w:rFonts w:eastAsiaTheme="minorEastAsia"/>
                <w:color w:val="000000"/>
                <w:kern w:val="0"/>
                <w:sz w:val="24"/>
                <w:szCs w:val="24"/>
              </w:rPr>
              <w:t>份</w:t>
            </w:r>
          </w:p>
        </w:tc>
      </w:tr>
      <w:tr w:rsidR="001B2F35" w:rsidRPr="001611C5" w:rsidTr="00BF6314">
        <w:tc>
          <w:tcPr>
            <w:tcW w:w="2835" w:type="dxa"/>
            <w:vAlign w:val="center"/>
          </w:tcPr>
          <w:p w:rsidR="001B2F35" w:rsidRPr="006B72F7" w:rsidRDefault="001B2F35" w:rsidP="00BF6314">
            <w:pPr>
              <w:adjustRightInd w:val="0"/>
              <w:spacing w:before="29" w:line="360" w:lineRule="auto"/>
              <w:ind w:left="17"/>
              <w:rPr>
                <w:rFonts w:eastAsiaTheme="minorEastAsia"/>
                <w:sz w:val="24"/>
                <w:szCs w:val="24"/>
              </w:rPr>
            </w:pPr>
            <w:r w:rsidRPr="006B72F7">
              <w:rPr>
                <w:rFonts w:eastAsiaTheme="minorEastAsia"/>
                <w:kern w:val="0"/>
                <w:sz w:val="24"/>
                <w:szCs w:val="24"/>
              </w:rPr>
              <w:t>投资目标</w:t>
            </w:r>
          </w:p>
        </w:tc>
        <w:tc>
          <w:tcPr>
            <w:tcW w:w="5479" w:type="dxa"/>
            <w:gridSpan w:val="2"/>
            <w:vAlign w:val="center"/>
          </w:tcPr>
          <w:p w:rsidR="001B2F35" w:rsidRPr="006B72F7" w:rsidRDefault="001B2F35" w:rsidP="00BF6314">
            <w:pPr>
              <w:adjustRightInd w:val="0"/>
              <w:spacing w:before="29" w:line="360" w:lineRule="auto"/>
              <w:ind w:left="17"/>
              <w:rPr>
                <w:rFonts w:eastAsiaTheme="minorEastAsia"/>
                <w:color w:val="000000"/>
                <w:sz w:val="24"/>
                <w:szCs w:val="24"/>
              </w:rPr>
            </w:pPr>
            <w:r w:rsidRPr="006B72F7">
              <w:rPr>
                <w:rFonts w:eastAsiaTheme="minorEastAsia"/>
                <w:color w:val="000000"/>
                <w:kern w:val="0"/>
                <w:sz w:val="24"/>
                <w:szCs w:val="24"/>
              </w:rPr>
              <w:t>本基金挖掘在新常态下中国经济蕴含的投资机会，在严格控制风险的基础上，力求获得超越业绩比较基准的投资回报，实现基金资产的长期稳健增值。</w:t>
            </w:r>
          </w:p>
        </w:tc>
      </w:tr>
      <w:tr w:rsidR="001B2F35" w:rsidRPr="001611C5" w:rsidTr="00BF6314">
        <w:tc>
          <w:tcPr>
            <w:tcW w:w="2835" w:type="dxa"/>
            <w:vAlign w:val="center"/>
          </w:tcPr>
          <w:p w:rsidR="001B2F35" w:rsidRPr="006B72F7" w:rsidRDefault="001B2F35" w:rsidP="00BF6314">
            <w:pPr>
              <w:adjustRightInd w:val="0"/>
              <w:spacing w:before="29" w:line="360" w:lineRule="auto"/>
              <w:ind w:left="17"/>
              <w:rPr>
                <w:rFonts w:eastAsiaTheme="minorEastAsia"/>
                <w:sz w:val="24"/>
                <w:szCs w:val="24"/>
              </w:rPr>
            </w:pPr>
            <w:r w:rsidRPr="006B72F7">
              <w:rPr>
                <w:rFonts w:eastAsiaTheme="minorEastAsia"/>
                <w:kern w:val="0"/>
                <w:sz w:val="24"/>
                <w:szCs w:val="24"/>
              </w:rPr>
              <w:t>投资策略</w:t>
            </w:r>
          </w:p>
        </w:tc>
        <w:tc>
          <w:tcPr>
            <w:tcW w:w="5479" w:type="dxa"/>
            <w:gridSpan w:val="2"/>
            <w:vAlign w:val="center"/>
          </w:tcPr>
          <w:p w:rsidR="001B2F35" w:rsidRPr="006B72F7" w:rsidRDefault="001B2F35" w:rsidP="00BF6314">
            <w:pPr>
              <w:adjustRightInd w:val="0"/>
              <w:spacing w:before="29" w:line="360" w:lineRule="auto"/>
              <w:ind w:left="17"/>
              <w:rPr>
                <w:rFonts w:eastAsiaTheme="minorEastAsia"/>
                <w:color w:val="000000"/>
                <w:sz w:val="24"/>
                <w:szCs w:val="24"/>
              </w:rPr>
            </w:pPr>
            <w:r w:rsidRPr="006B72F7">
              <w:rPr>
                <w:rFonts w:eastAsiaTheme="minorEastAsia"/>
                <w:color w:val="000000"/>
                <w:kern w:val="0"/>
                <w:sz w:val="24"/>
                <w:szCs w:val="24"/>
              </w:rPr>
              <w:t>本基金在研究宏观经济基本面、政策面和资金面等多种因素的基础上，判断宏观经济运行所处的经济周期及趋势，分析不同政策对各类资产的市场影响，评估股票、债券及货币市场工具等大类资产的估值水平和投资价值，根据大类资产的风险收益特征进行配置，确定合适的资产配置比例，并适时进行调整。</w:t>
            </w:r>
          </w:p>
        </w:tc>
      </w:tr>
      <w:tr w:rsidR="001B2F35" w:rsidRPr="001611C5" w:rsidTr="00BF6314">
        <w:tc>
          <w:tcPr>
            <w:tcW w:w="2835" w:type="dxa"/>
            <w:vAlign w:val="center"/>
          </w:tcPr>
          <w:p w:rsidR="001B2F35" w:rsidRPr="006B72F7" w:rsidRDefault="001B2F35" w:rsidP="00BF6314">
            <w:pPr>
              <w:adjustRightInd w:val="0"/>
              <w:spacing w:before="29" w:line="360" w:lineRule="auto"/>
              <w:ind w:left="17"/>
              <w:rPr>
                <w:rFonts w:eastAsiaTheme="minorEastAsia"/>
                <w:sz w:val="24"/>
                <w:szCs w:val="24"/>
              </w:rPr>
            </w:pPr>
            <w:r w:rsidRPr="006B72F7">
              <w:rPr>
                <w:rFonts w:eastAsiaTheme="minorEastAsia"/>
                <w:kern w:val="0"/>
                <w:sz w:val="24"/>
                <w:szCs w:val="24"/>
              </w:rPr>
              <w:t>业绩比较基准</w:t>
            </w:r>
          </w:p>
        </w:tc>
        <w:tc>
          <w:tcPr>
            <w:tcW w:w="5479" w:type="dxa"/>
            <w:gridSpan w:val="2"/>
            <w:vAlign w:val="center"/>
          </w:tcPr>
          <w:p w:rsidR="001B2F35" w:rsidRPr="006B72F7" w:rsidRDefault="001B2F35" w:rsidP="00BF6314">
            <w:pPr>
              <w:adjustRightInd w:val="0"/>
              <w:spacing w:before="29" w:line="360" w:lineRule="auto"/>
              <w:ind w:left="17"/>
              <w:rPr>
                <w:rFonts w:eastAsiaTheme="minorEastAsia"/>
                <w:color w:val="000000"/>
                <w:sz w:val="24"/>
                <w:szCs w:val="24"/>
              </w:rPr>
            </w:pPr>
            <w:r w:rsidRPr="006B72F7">
              <w:rPr>
                <w:rFonts w:eastAsiaTheme="minorEastAsia"/>
                <w:color w:val="000000"/>
                <w:kern w:val="0"/>
                <w:sz w:val="24"/>
                <w:szCs w:val="24"/>
              </w:rPr>
              <w:t xml:space="preserve">中证 800 指数收益率×65%+一年期人民币定期存款利率（税后）×35% </w:t>
            </w:r>
          </w:p>
        </w:tc>
      </w:tr>
      <w:tr w:rsidR="001B2F35" w:rsidRPr="001611C5" w:rsidTr="00BF6314">
        <w:tc>
          <w:tcPr>
            <w:tcW w:w="2835" w:type="dxa"/>
            <w:vAlign w:val="center"/>
          </w:tcPr>
          <w:p w:rsidR="001B2F35" w:rsidRPr="006B72F7" w:rsidRDefault="001B2F35" w:rsidP="00BF6314">
            <w:pPr>
              <w:adjustRightInd w:val="0"/>
              <w:spacing w:before="29" w:line="360" w:lineRule="auto"/>
              <w:ind w:left="17"/>
              <w:rPr>
                <w:rFonts w:eastAsiaTheme="minorEastAsia"/>
                <w:sz w:val="24"/>
                <w:szCs w:val="24"/>
              </w:rPr>
            </w:pPr>
            <w:r w:rsidRPr="006B72F7">
              <w:rPr>
                <w:rFonts w:eastAsiaTheme="minorEastAsia"/>
                <w:kern w:val="0"/>
                <w:sz w:val="24"/>
                <w:szCs w:val="24"/>
              </w:rPr>
              <w:t>风险收益特征</w:t>
            </w:r>
          </w:p>
        </w:tc>
        <w:tc>
          <w:tcPr>
            <w:tcW w:w="5479" w:type="dxa"/>
            <w:gridSpan w:val="2"/>
            <w:vAlign w:val="center"/>
          </w:tcPr>
          <w:p w:rsidR="001B2F35" w:rsidRPr="006B72F7" w:rsidRDefault="001B2F35" w:rsidP="00BF6314">
            <w:pPr>
              <w:adjustRightInd w:val="0"/>
              <w:spacing w:before="29" w:line="360" w:lineRule="auto"/>
              <w:ind w:left="17"/>
              <w:rPr>
                <w:rFonts w:eastAsiaTheme="minorEastAsia"/>
                <w:color w:val="000000"/>
                <w:sz w:val="24"/>
                <w:szCs w:val="24"/>
              </w:rPr>
            </w:pPr>
            <w:r w:rsidRPr="006B72F7">
              <w:rPr>
                <w:rFonts w:eastAsiaTheme="minorEastAsia"/>
                <w:color w:val="000000"/>
                <w:kern w:val="0"/>
                <w:sz w:val="24"/>
                <w:szCs w:val="24"/>
              </w:rPr>
              <w:t>本基金是混合型基金，其预期收益及风险水平高于货币市场基金和债券型基金，低于股票型基金，属于中高收益风险特征的基金。</w:t>
            </w:r>
          </w:p>
        </w:tc>
      </w:tr>
      <w:tr w:rsidR="001B2F35" w:rsidRPr="001611C5" w:rsidTr="00BF6314">
        <w:tc>
          <w:tcPr>
            <w:tcW w:w="2835" w:type="dxa"/>
            <w:vAlign w:val="center"/>
          </w:tcPr>
          <w:p w:rsidR="001B2F35" w:rsidRPr="006B72F7" w:rsidRDefault="001B2F35" w:rsidP="00BF6314">
            <w:pPr>
              <w:adjustRightInd w:val="0"/>
              <w:spacing w:before="29" w:line="360" w:lineRule="auto"/>
              <w:ind w:left="17"/>
              <w:rPr>
                <w:rFonts w:eastAsiaTheme="minorEastAsia"/>
                <w:sz w:val="24"/>
                <w:szCs w:val="24"/>
              </w:rPr>
            </w:pPr>
            <w:r w:rsidRPr="006B72F7">
              <w:rPr>
                <w:rFonts w:eastAsiaTheme="minorEastAsia"/>
                <w:kern w:val="0"/>
                <w:sz w:val="24"/>
                <w:szCs w:val="24"/>
              </w:rPr>
              <w:t>基金管理人</w:t>
            </w:r>
          </w:p>
        </w:tc>
        <w:tc>
          <w:tcPr>
            <w:tcW w:w="5479" w:type="dxa"/>
            <w:gridSpan w:val="2"/>
            <w:vAlign w:val="center"/>
          </w:tcPr>
          <w:p w:rsidR="001B2F35" w:rsidRPr="006B72F7" w:rsidRDefault="001B2F35" w:rsidP="00BF6314">
            <w:pPr>
              <w:adjustRightInd w:val="0"/>
              <w:spacing w:before="29" w:line="360" w:lineRule="auto"/>
              <w:ind w:left="17"/>
              <w:rPr>
                <w:rFonts w:eastAsiaTheme="minorEastAsia"/>
                <w:color w:val="000000"/>
                <w:sz w:val="24"/>
                <w:szCs w:val="24"/>
              </w:rPr>
            </w:pPr>
            <w:r w:rsidRPr="006B72F7">
              <w:rPr>
                <w:rFonts w:eastAsiaTheme="minorEastAsia"/>
                <w:color w:val="000000"/>
                <w:kern w:val="0"/>
                <w:sz w:val="24"/>
                <w:szCs w:val="24"/>
              </w:rPr>
              <w:t>广发基金管理有限公司</w:t>
            </w:r>
          </w:p>
        </w:tc>
      </w:tr>
      <w:tr w:rsidR="001B2F35" w:rsidRPr="001611C5" w:rsidTr="00BF6314">
        <w:tc>
          <w:tcPr>
            <w:tcW w:w="2835" w:type="dxa"/>
            <w:vAlign w:val="center"/>
          </w:tcPr>
          <w:p w:rsidR="001B2F35" w:rsidRPr="006B72F7" w:rsidRDefault="001B2F35" w:rsidP="00BF6314">
            <w:pPr>
              <w:adjustRightInd w:val="0"/>
              <w:spacing w:before="29" w:line="360" w:lineRule="auto"/>
              <w:ind w:left="17"/>
              <w:rPr>
                <w:rFonts w:eastAsiaTheme="minorEastAsia"/>
                <w:sz w:val="24"/>
                <w:szCs w:val="24"/>
              </w:rPr>
            </w:pPr>
            <w:r w:rsidRPr="006B72F7">
              <w:rPr>
                <w:rFonts w:eastAsiaTheme="minorEastAsia"/>
                <w:kern w:val="0"/>
                <w:sz w:val="24"/>
                <w:szCs w:val="24"/>
              </w:rPr>
              <w:t>基金托管人</w:t>
            </w:r>
          </w:p>
        </w:tc>
        <w:tc>
          <w:tcPr>
            <w:tcW w:w="5479" w:type="dxa"/>
            <w:gridSpan w:val="2"/>
            <w:vAlign w:val="center"/>
          </w:tcPr>
          <w:p w:rsidR="001B2F35" w:rsidRPr="006B72F7" w:rsidRDefault="001B2F35" w:rsidP="00BF6314">
            <w:pPr>
              <w:adjustRightInd w:val="0"/>
              <w:spacing w:before="29" w:line="360" w:lineRule="auto"/>
              <w:ind w:left="17"/>
              <w:rPr>
                <w:rFonts w:eastAsiaTheme="minorEastAsia"/>
                <w:color w:val="000000"/>
                <w:sz w:val="24"/>
                <w:szCs w:val="24"/>
              </w:rPr>
            </w:pPr>
            <w:r w:rsidRPr="006B72F7">
              <w:rPr>
                <w:rFonts w:eastAsiaTheme="minorEastAsia"/>
                <w:color w:val="000000"/>
                <w:kern w:val="0"/>
                <w:sz w:val="24"/>
                <w:szCs w:val="24"/>
              </w:rPr>
              <w:t>平安银行股份有限公司</w:t>
            </w:r>
          </w:p>
        </w:tc>
      </w:tr>
    </w:tbl>
    <w:p w:rsidR="004061AC" w:rsidRPr="001611C5" w:rsidRDefault="004061AC" w:rsidP="001B2F35">
      <w:pPr>
        <w:pStyle w:val="1"/>
        <w:spacing w:beforeLines="100" w:before="312" w:afterLines="100" w:after="312" w:line="360" w:lineRule="auto"/>
        <w:jc w:val="center"/>
        <w:rPr>
          <w:rFonts w:asciiTheme="minorEastAsia" w:eastAsiaTheme="minorEastAsia" w:hAnsiTheme="minorEastAsia"/>
          <w:color w:val="000000"/>
          <w:kern w:val="0"/>
          <w:sz w:val="24"/>
          <w:szCs w:val="24"/>
        </w:rPr>
      </w:pPr>
      <w:r w:rsidRPr="001611C5">
        <w:rPr>
          <w:rFonts w:asciiTheme="minorEastAsia" w:eastAsiaTheme="minorEastAsia" w:hAnsiTheme="minorEastAsia" w:hint="eastAsia"/>
          <w:color w:val="000000"/>
          <w:kern w:val="0"/>
          <w:sz w:val="24"/>
          <w:szCs w:val="24"/>
        </w:rPr>
        <w:t>§</w:t>
      </w:r>
      <w:r w:rsidRPr="001611C5">
        <w:rPr>
          <w:rFonts w:asciiTheme="minorEastAsia" w:eastAsiaTheme="minorEastAsia" w:hAnsiTheme="minorEastAsia"/>
          <w:color w:val="000000"/>
          <w:kern w:val="0"/>
          <w:sz w:val="24"/>
          <w:szCs w:val="24"/>
        </w:rPr>
        <w:t xml:space="preserve">3  </w:t>
      </w:r>
      <w:r w:rsidRPr="001611C5">
        <w:rPr>
          <w:rFonts w:asciiTheme="minorEastAsia" w:eastAsiaTheme="minorEastAsia" w:hAnsiTheme="minorEastAsia" w:hint="eastAsia"/>
          <w:color w:val="000000"/>
          <w:kern w:val="0"/>
          <w:sz w:val="24"/>
          <w:szCs w:val="24"/>
        </w:rPr>
        <w:t>主要财务指标和基金净值表现</w:t>
      </w:r>
    </w:p>
    <w:p w:rsidR="004061AC" w:rsidRPr="001611C5" w:rsidRDefault="004061AC" w:rsidP="009E7C6A">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b/>
          <w:bCs/>
          <w:color w:val="000000"/>
          <w:kern w:val="0"/>
          <w:sz w:val="24"/>
          <w:szCs w:val="24"/>
        </w:rPr>
        <w:t xml:space="preserve">3.1 </w:t>
      </w:r>
      <w:r w:rsidRPr="001611C5">
        <w:rPr>
          <w:rFonts w:asciiTheme="minorEastAsia" w:eastAsiaTheme="minorEastAsia" w:hAnsiTheme="minorEastAsia" w:hint="eastAsia"/>
          <w:b/>
          <w:bCs/>
          <w:color w:val="000000"/>
          <w:kern w:val="0"/>
          <w:sz w:val="24"/>
          <w:szCs w:val="24"/>
        </w:rPr>
        <w:t>主要财务指标</w:t>
      </w:r>
    </w:p>
    <w:p w:rsidR="004061AC" w:rsidRPr="001611C5" w:rsidRDefault="004061AC" w:rsidP="004061AC">
      <w:pPr>
        <w:autoSpaceDE w:val="0"/>
        <w:autoSpaceDN w:val="0"/>
        <w:adjustRightInd w:val="0"/>
        <w:spacing w:before="29" w:line="360" w:lineRule="auto"/>
        <w:ind w:left="15"/>
        <w:jc w:val="right"/>
        <w:rPr>
          <w:rFonts w:asciiTheme="minorEastAsia" w:eastAsiaTheme="minorEastAsia" w:hAnsiTheme="minorEastAsia"/>
          <w:color w:val="000000"/>
          <w:kern w:val="0"/>
          <w:sz w:val="24"/>
          <w:szCs w:val="24"/>
        </w:rPr>
      </w:pPr>
      <w:r w:rsidRPr="001611C5">
        <w:rPr>
          <w:rFonts w:asciiTheme="minorEastAsia" w:eastAsiaTheme="minorEastAsia" w:hAnsiTheme="minorEastAsia" w:cs="宋体" w:hint="eastAsia"/>
          <w:color w:val="000000"/>
          <w:kern w:val="0"/>
          <w:sz w:val="24"/>
          <w:szCs w:val="24"/>
        </w:rPr>
        <w:lastRenderedPageBreak/>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552"/>
        <w:gridCol w:w="2410"/>
      </w:tblGrid>
      <w:tr w:rsidR="00C21520" w:rsidRPr="001611C5" w:rsidTr="00237F09">
        <w:tc>
          <w:tcPr>
            <w:tcW w:w="3402" w:type="dxa"/>
            <w:vAlign w:val="center"/>
          </w:tcPr>
          <w:p w:rsidR="00C21520" w:rsidRPr="006B72F7" w:rsidRDefault="00C21520" w:rsidP="00237F09">
            <w:pPr>
              <w:adjustRightInd w:val="0"/>
              <w:spacing w:before="29" w:line="360" w:lineRule="auto"/>
              <w:ind w:left="17"/>
              <w:jc w:val="center"/>
              <w:rPr>
                <w:rFonts w:eastAsiaTheme="minorEastAsia"/>
                <w:kern w:val="0"/>
                <w:sz w:val="24"/>
                <w:szCs w:val="24"/>
              </w:rPr>
            </w:pPr>
            <w:r w:rsidRPr="006B72F7">
              <w:rPr>
                <w:rFonts w:eastAsiaTheme="minorEastAsia"/>
                <w:kern w:val="0"/>
                <w:sz w:val="24"/>
                <w:szCs w:val="24"/>
              </w:rPr>
              <w:t>主要财务指标</w:t>
            </w:r>
            <w:r w:rsidR="00D96C8D" w:rsidRPr="006B72F7">
              <w:rPr>
                <w:rFonts w:eastAsiaTheme="minorEastAsia"/>
                <w:kern w:val="0"/>
                <w:sz w:val="24"/>
                <w:szCs w:val="24"/>
              </w:rPr>
              <w:t/>
            </w:r>
          </w:p>
        </w:tc>
        <w:tc>
          <w:tcPr>
            <w:tcW w:w="4962" w:type="dxa"/>
            <w:hMerge w:val="restart"/>
            <w:vAlign w:val="center"/>
          </w:tcPr>
          <w:p w:rsidR="009C60F7" w:rsidRPr="006B72F7" w:rsidRDefault="009C60F7" w:rsidP="00237F09">
            <w:pPr>
              <w:adjustRightInd w:val="0"/>
              <w:spacing w:before="29" w:line="360" w:lineRule="auto"/>
              <w:ind w:left="17"/>
              <w:jc w:val="center"/>
              <w:rPr>
                <w:rFonts w:eastAsiaTheme="minorEastAsia"/>
                <w:color w:val="000000"/>
                <w:sz w:val="24"/>
                <w:szCs w:val="24"/>
              </w:rPr>
            </w:pPr>
            <w:r w:rsidRPr="006B72F7">
              <w:rPr>
                <w:rFonts w:eastAsiaTheme="minorEastAsia"/>
                <w:color w:val="000000"/>
                <w:sz w:val="24"/>
                <w:szCs w:val="24"/>
              </w:rPr>
              <w:t>报告期</w:t>
            </w:r>
          </w:p>
          <w:p w:rsidR="00C21520" w:rsidRPr="006B72F7" w:rsidRDefault="009C60F7" w:rsidP="00237F09">
            <w:pPr>
              <w:adjustRightInd w:val="0"/>
              <w:spacing w:before="29" w:line="360" w:lineRule="auto"/>
              <w:ind w:left="17"/>
              <w:jc w:val="center"/>
              <w:rPr>
                <w:rFonts w:eastAsiaTheme="minorEastAsia"/>
                <w:color w:val="000000"/>
                <w:sz w:val="24"/>
                <w:szCs w:val="24"/>
              </w:rPr>
            </w:pPr>
            <w:r w:rsidRPr="006B72F7">
              <w:rPr>
                <w:rFonts w:eastAsiaTheme="minorEastAsia"/>
                <w:color w:val="000000"/>
                <w:sz w:val="24"/>
                <w:szCs w:val="24"/>
              </w:rPr>
              <w:t>(2017年7月1日-2017年9月30日)</w:t>
            </w:r>
          </w:p>
        </w:tc>
        <w:tc>
          <w:tcPr>
            <w:tcW w:w="2410" w:type="dxa"/>
            <w:hMerge/>
            <w:vAlign w:val="center"/>
          </w:tcPr>
          <w:p w:rsidR="00C21520" w:rsidRPr="006B72F7" w:rsidRDefault="00C21520" w:rsidP="00237F09">
            <w:pPr>
              <w:adjustRightInd w:val="0"/>
              <w:spacing w:before="29" w:line="360" w:lineRule="auto"/>
              <w:ind w:left="17"/>
              <w:jc w:val="center"/>
              <w:rPr>
                <w:rFonts w:eastAsiaTheme="minorEastAsia"/>
                <w:color w:val="000000"/>
                <w:sz w:val="24"/>
                <w:szCs w:val="24"/>
              </w:rPr>
            </w:pPr>
            <w:r w:rsidRPr="006B72F7">
              <w:rPr>
                <w:rFonts w:eastAsiaTheme="minorEastAsia"/>
                <w:color w:val="000000"/>
                <w:sz w:val="24"/>
                <w:szCs w:val="24"/>
              </w:rPr>
              <w:t>上期金额</w:t>
            </w:r>
            <w:r w:rsidR="006A7AF1" w:rsidRPr="006B72F7">
              <w:rPr>
                <w:rFonts w:eastAsiaTheme="minorEastAsia"/>
                <w:color w:val="000000"/>
                <w:sz w:val="24"/>
                <w:szCs w:val="24"/>
              </w:rPr>
              <w:t/>
            </w:r>
          </w:p>
        </w:tc>
      </w:tr>
      <w:tr w:rsidR="00C21520" w:rsidRPr="001611C5" w:rsidTr="00237F09">
        <w:tc>
          <w:tcPr>
            <w:tcW w:w="3402" w:type="dxa"/>
            <w:vAlign w:val="center"/>
          </w:tcPr>
          <w:p w:rsidR="00C21520" w:rsidRPr="006B72F7" w:rsidRDefault="00C21520" w:rsidP="00237F09">
            <w:pPr>
              <w:adjustRightInd w:val="0"/>
              <w:spacing w:before="29" w:line="360" w:lineRule="auto"/>
              <w:ind w:left="17"/>
              <w:rPr>
                <w:rFonts w:eastAsiaTheme="minorEastAsia"/>
                <w:kern w:val="0"/>
                <w:sz w:val="24"/>
                <w:szCs w:val="24"/>
              </w:rPr>
            </w:pPr>
            <w:r w:rsidRPr="006B72F7">
              <w:rPr>
                <w:rFonts w:eastAsiaTheme="minorEastAsia"/>
                <w:kern w:val="0"/>
                <w:sz w:val="24"/>
                <w:szCs w:val="24"/>
              </w:rPr>
              <w:t>1.</w:t>
            </w:r>
            <w:r w:rsidRPr="006B72F7">
              <w:rPr>
                <w:rFonts w:eastAsiaTheme="minorEastAsia"/>
                <w:kern w:val="0"/>
                <w:sz w:val="24"/>
                <w:szCs w:val="24"/>
              </w:rPr>
              <w:t>本期已实现收益</w:t>
            </w:r>
          </w:p>
        </w:tc>
        <w:tc>
          <w:tcPr>
            <w:tcW w:w="4962" w:type="dxa"/>
            <w:hMerge w:val="restart"/>
            <w:vAlign w:val="center"/>
          </w:tcPr>
          <w:p w:rsidR="00C21520" w:rsidRPr="006B72F7" w:rsidRDefault="00C21520" w:rsidP="00237F09">
            <w:pPr>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259,747.21</w:t>
            </w:r>
          </w:p>
        </w:tc>
        <w:tc>
          <w:tcPr>
            <w:tcW w:w="2410" w:type="dxa"/>
            <w:hMerge/>
            <w:vAlign w:val="center"/>
          </w:tcPr>
          <w:p w:rsidR="00C21520" w:rsidRPr="006B72F7" w:rsidRDefault="00C21520" w:rsidP="00237F09">
            <w:pPr>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
            </w:r>
            <w:r w:rsidR="006A7AF1" w:rsidRPr="006B72F7">
              <w:rPr>
                <w:rFonts w:eastAsiaTheme="minorEastAsia"/>
                <w:color w:val="000000"/>
                <w:sz w:val="24"/>
                <w:szCs w:val="24"/>
              </w:rPr>
              <w:t>-</w:t>
            </w:r>
          </w:p>
        </w:tc>
      </w:tr>
      <w:tr w:rsidR="00C21520" w:rsidRPr="001611C5" w:rsidTr="00237F09">
        <w:tc>
          <w:tcPr>
            <w:tcW w:w="3402" w:type="dxa"/>
            <w:vAlign w:val="center"/>
          </w:tcPr>
          <w:p w:rsidR="00C21520" w:rsidRPr="006B72F7" w:rsidRDefault="00C21520" w:rsidP="00237F09">
            <w:pPr>
              <w:adjustRightInd w:val="0"/>
              <w:spacing w:before="29" w:line="360" w:lineRule="auto"/>
              <w:ind w:left="17"/>
              <w:rPr>
                <w:rFonts w:eastAsiaTheme="minorEastAsia"/>
                <w:kern w:val="0"/>
                <w:sz w:val="24"/>
                <w:szCs w:val="24"/>
              </w:rPr>
            </w:pPr>
            <w:r w:rsidRPr="006B72F7">
              <w:rPr>
                <w:rFonts w:eastAsiaTheme="minorEastAsia"/>
                <w:kern w:val="0"/>
                <w:sz w:val="24"/>
                <w:szCs w:val="24"/>
              </w:rPr>
              <w:t>2.</w:t>
            </w:r>
            <w:r w:rsidRPr="006B72F7">
              <w:rPr>
                <w:rFonts w:eastAsiaTheme="minorEastAsia"/>
                <w:kern w:val="0"/>
                <w:sz w:val="24"/>
                <w:szCs w:val="24"/>
              </w:rPr>
              <w:t>本期利润</w:t>
            </w:r>
          </w:p>
        </w:tc>
        <w:tc>
          <w:tcPr>
            <w:tcW w:w="4962" w:type="dxa"/>
            <w:hMerge w:val="restart"/>
            <w:vAlign w:val="center"/>
          </w:tcPr>
          <w:p w:rsidR="00C21520" w:rsidRPr="006B72F7" w:rsidRDefault="00C21520" w:rsidP="00237F09">
            <w:pPr>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278,907.47</w:t>
            </w:r>
          </w:p>
        </w:tc>
        <w:tc>
          <w:tcPr>
            <w:tcW w:w="2410" w:type="dxa"/>
            <w:hMerge/>
            <w:vAlign w:val="center"/>
          </w:tcPr>
          <w:p w:rsidR="00C21520" w:rsidRPr="006B72F7" w:rsidRDefault="00C21520" w:rsidP="00237F09">
            <w:pPr>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
            </w:r>
            <w:r w:rsidR="006A7AF1" w:rsidRPr="006B72F7">
              <w:rPr>
                <w:rFonts w:eastAsiaTheme="minorEastAsia"/>
                <w:color w:val="000000"/>
                <w:sz w:val="24"/>
                <w:szCs w:val="24"/>
              </w:rPr>
              <w:t>-</w:t>
            </w:r>
          </w:p>
        </w:tc>
      </w:tr>
      <w:tr w:rsidR="00C21520" w:rsidRPr="001611C5" w:rsidTr="00237F09">
        <w:tc>
          <w:tcPr>
            <w:tcW w:w="3402" w:type="dxa"/>
            <w:vAlign w:val="center"/>
          </w:tcPr>
          <w:p w:rsidR="00C21520" w:rsidRPr="006B72F7" w:rsidRDefault="00C21520" w:rsidP="00237F09">
            <w:pPr>
              <w:adjustRightInd w:val="0"/>
              <w:spacing w:before="29" w:line="360" w:lineRule="auto"/>
              <w:ind w:left="17"/>
              <w:rPr>
                <w:rFonts w:eastAsiaTheme="minorEastAsia"/>
                <w:kern w:val="0"/>
                <w:sz w:val="24"/>
                <w:szCs w:val="24"/>
              </w:rPr>
            </w:pPr>
            <w:r w:rsidRPr="006B72F7">
              <w:rPr>
                <w:rFonts w:eastAsiaTheme="minorEastAsia"/>
                <w:kern w:val="0"/>
                <w:sz w:val="24"/>
                <w:szCs w:val="24"/>
              </w:rPr>
              <w:t>3.</w:t>
            </w:r>
            <w:r w:rsidRPr="006B72F7">
              <w:rPr>
                <w:rFonts w:eastAsiaTheme="minorEastAsia"/>
                <w:kern w:val="0"/>
                <w:sz w:val="24"/>
                <w:szCs w:val="24"/>
              </w:rPr>
              <w:t>加权平均基金份额本期利润</w:t>
            </w:r>
          </w:p>
        </w:tc>
        <w:tc>
          <w:tcPr>
            <w:tcW w:w="4962" w:type="dxa"/>
            <w:hMerge w:val="restart"/>
            <w:vAlign w:val="center"/>
          </w:tcPr>
          <w:p w:rsidR="00C21520" w:rsidRPr="006B72F7" w:rsidRDefault="00C21520" w:rsidP="00237F09">
            <w:pPr>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0.0077</w:t>
            </w:r>
          </w:p>
        </w:tc>
        <w:tc>
          <w:tcPr>
            <w:tcW w:w="2410" w:type="dxa"/>
            <w:hMerge/>
            <w:vAlign w:val="center"/>
          </w:tcPr>
          <w:p w:rsidR="00C21520" w:rsidRPr="006B72F7" w:rsidRDefault="00C21520" w:rsidP="00237F09">
            <w:pPr>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
            </w:r>
            <w:r w:rsidR="006A7AF1" w:rsidRPr="006B72F7">
              <w:rPr>
                <w:rFonts w:eastAsiaTheme="minorEastAsia"/>
                <w:color w:val="000000"/>
                <w:sz w:val="24"/>
                <w:szCs w:val="24"/>
              </w:rPr>
              <w:t>-</w:t>
            </w:r>
          </w:p>
        </w:tc>
      </w:tr>
      <w:tr w:rsidR="00C21520" w:rsidRPr="001611C5" w:rsidTr="00237F09">
        <w:tc>
          <w:tcPr>
            <w:tcW w:w="3402" w:type="dxa"/>
            <w:vAlign w:val="center"/>
          </w:tcPr>
          <w:p w:rsidR="00C21520" w:rsidRPr="006B72F7" w:rsidRDefault="00C21520" w:rsidP="00237F09">
            <w:pPr>
              <w:adjustRightInd w:val="0"/>
              <w:spacing w:before="29" w:line="360" w:lineRule="auto"/>
              <w:ind w:left="17"/>
              <w:rPr>
                <w:rFonts w:eastAsiaTheme="minorEastAsia"/>
                <w:kern w:val="0"/>
                <w:sz w:val="24"/>
                <w:szCs w:val="24"/>
              </w:rPr>
            </w:pPr>
            <w:r w:rsidRPr="006B72F7">
              <w:rPr>
                <w:rFonts w:eastAsiaTheme="minorEastAsia"/>
                <w:kern w:val="0"/>
                <w:sz w:val="24"/>
                <w:szCs w:val="24"/>
              </w:rPr>
              <w:t>4.</w:t>
            </w:r>
            <w:r w:rsidRPr="006B72F7">
              <w:rPr>
                <w:rFonts w:eastAsiaTheme="minorEastAsia"/>
                <w:kern w:val="0"/>
                <w:sz w:val="24"/>
                <w:szCs w:val="24"/>
              </w:rPr>
              <w:t>期末基金资产净值</w:t>
            </w:r>
          </w:p>
        </w:tc>
        <w:tc>
          <w:tcPr>
            <w:tcW w:w="4962" w:type="dxa"/>
            <w:hMerge w:val="restart"/>
            <w:vAlign w:val="center"/>
          </w:tcPr>
          <w:p w:rsidR="00C21520" w:rsidRPr="006B72F7" w:rsidRDefault="00C21520" w:rsidP="00237F09">
            <w:pPr>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25,418,152.88</w:t>
            </w:r>
          </w:p>
        </w:tc>
        <w:tc>
          <w:tcPr>
            <w:tcW w:w="2410" w:type="dxa"/>
            <w:hMerge/>
            <w:vAlign w:val="center"/>
          </w:tcPr>
          <w:p w:rsidR="00C21520" w:rsidRPr="006B72F7" w:rsidRDefault="00C21520" w:rsidP="00237F09">
            <w:pPr>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
            </w:r>
            <w:r w:rsidR="006A7AF1" w:rsidRPr="006B72F7">
              <w:rPr>
                <w:rFonts w:eastAsiaTheme="minorEastAsia"/>
                <w:color w:val="000000"/>
                <w:sz w:val="24"/>
                <w:szCs w:val="24"/>
              </w:rPr>
              <w:t>-</w:t>
            </w:r>
          </w:p>
        </w:tc>
      </w:tr>
      <w:tr w:rsidR="00C21520" w:rsidRPr="001611C5" w:rsidTr="00237F09">
        <w:trPr>
          <w:trHeight w:val="158"/>
        </w:trPr>
        <w:tc>
          <w:tcPr>
            <w:tcW w:w="3402" w:type="dxa"/>
            <w:vAlign w:val="center"/>
          </w:tcPr>
          <w:p w:rsidR="00C21520" w:rsidRPr="006B72F7" w:rsidRDefault="00C21520" w:rsidP="00237F09">
            <w:pPr>
              <w:adjustRightInd w:val="0"/>
              <w:spacing w:before="29" w:line="360" w:lineRule="auto"/>
              <w:ind w:left="17"/>
              <w:rPr>
                <w:rFonts w:eastAsiaTheme="minorEastAsia"/>
                <w:kern w:val="0"/>
                <w:sz w:val="24"/>
                <w:szCs w:val="24"/>
              </w:rPr>
            </w:pPr>
            <w:r w:rsidRPr="006B72F7">
              <w:rPr>
                <w:rFonts w:eastAsiaTheme="minorEastAsia"/>
                <w:kern w:val="0"/>
                <w:sz w:val="24"/>
                <w:szCs w:val="24"/>
              </w:rPr>
              <w:t>5.</w:t>
            </w:r>
            <w:r w:rsidRPr="006B72F7">
              <w:rPr>
                <w:rFonts w:eastAsiaTheme="minorEastAsia"/>
                <w:kern w:val="0"/>
                <w:sz w:val="24"/>
                <w:szCs w:val="24"/>
              </w:rPr>
              <w:t>期末基金份额净值</w:t>
            </w:r>
          </w:p>
        </w:tc>
        <w:tc>
          <w:tcPr>
            <w:tcW w:w="4962" w:type="dxa"/>
            <w:hMerge w:val="restart"/>
            <w:vAlign w:val="center"/>
          </w:tcPr>
          <w:p w:rsidR="00C21520" w:rsidRPr="006B72F7" w:rsidRDefault="00C21520" w:rsidP="00237F09">
            <w:pPr>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1.125</w:t>
            </w:r>
          </w:p>
        </w:tc>
        <w:tc>
          <w:tcPr>
            <w:tcW w:w="2410" w:type="dxa"/>
            <w:hMerge/>
            <w:vAlign w:val="center"/>
          </w:tcPr>
          <w:p w:rsidR="00C21520" w:rsidRPr="006B72F7" w:rsidRDefault="00C21520" w:rsidP="00237F09">
            <w:pPr>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
            </w:r>
            <w:r w:rsidR="006A7AF1" w:rsidRPr="006B72F7">
              <w:rPr>
                <w:rFonts w:eastAsiaTheme="minorEastAsia"/>
                <w:color w:val="000000"/>
                <w:sz w:val="24"/>
                <w:szCs w:val="24"/>
              </w:rPr>
              <w:t>-</w:t>
            </w:r>
          </w:p>
        </w:tc>
      </w:tr>
    </w:tbl>
    <w:p>
      <w:pPr>
        <w:spacing w:line="360" w:lineRule="auto"/>
        <w:ind w:firstLineChars="200" w:firstLine="480"/>
        <w:rPr>
          <w:rFonts w:eastAsiaTheme="minorEastAsia"/>
          <w:color w:val="000000"/>
          <w:sz w:val="24"/>
          <w:szCs w:val="24"/>
        </w:rPr>
      </w:pPr>
      <w:r>
        <w:rPr>
          <w:rFonts w:eastAsiaTheme="minorEastAsia"/>
          <w:color w:val="000000"/>
          <w:sz w:val="24"/>
          <w:szCs w:val="24"/>
        </w:rPr>
        <w:t>注：（1）所述基金业绩指标不包括持有人认购或交易基金的各项费用，计入费用后实际收益水平要低于所列数字。</w:t>
      </w:r>
    </w:p>
    <w:p w:rsidR="004061AC" w:rsidRPr="006B72F7" w:rsidRDefault="00A5612C" w:rsidP="006B72F7">
      <w:pPr>
        <w:spacing w:line="360" w:lineRule="auto"/>
        <w:ind w:firstLineChars="200" w:firstLine="480"/>
        <w:rPr>
          <w:rFonts w:eastAsiaTheme="minorEastAsia"/>
          <w:color w:val="000000"/>
          <w:sz w:val="24"/>
          <w:szCs w:val="24"/>
        </w:rPr>
      </w:pPr>
      <w:r w:rsidRPr="00CD2DB1">
        <w:rPr>
          <w:rFonts w:eastAsiaTheme="minorEastAsia" w:hint="eastAsia"/>
          <w:color w:val="000000"/>
          <w:sz w:val="24"/>
          <w:szCs w:val="24"/>
        </w:rPr>
        <w:t/>
      </w:r>
      <w:r w:rsidR="004061AC" w:rsidRPr="00CD2DB1">
        <w:rPr>
          <w:rFonts w:eastAsiaTheme="minorEastAsia"/>
          <w:color w:val="000000"/>
          <w:sz w:val="24"/>
          <w:szCs w:val="24"/>
        </w:rPr>
        <w:t>（2）本期已实现收益指基金本期利息收入、投资收益、其他收入（不含公允价值变动收益）扣除相关费用后的余额，本期利润为本期已实现收益加上本期公允价值变动收益。</w:t>
      </w:r>
    </w:p>
    <w:p w:rsidR="004061AC" w:rsidRPr="001611C5" w:rsidRDefault="004061AC" w:rsidP="009E7C6A">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b/>
          <w:bCs/>
          <w:color w:val="000000"/>
          <w:kern w:val="0"/>
          <w:sz w:val="24"/>
          <w:szCs w:val="24"/>
        </w:rPr>
        <w:t xml:space="preserve">3.2 </w:t>
      </w:r>
      <w:r w:rsidRPr="001611C5">
        <w:rPr>
          <w:rFonts w:asciiTheme="minorEastAsia" w:eastAsiaTheme="minorEastAsia" w:hAnsiTheme="minorEastAsia" w:hint="eastAsia"/>
          <w:b/>
          <w:bCs/>
          <w:color w:val="000000"/>
          <w:kern w:val="0"/>
          <w:sz w:val="24"/>
          <w:szCs w:val="24"/>
        </w:rPr>
        <w:t>基金净值表现</w:t>
      </w:r>
    </w:p>
    <w:p w:rsidR="00CF6572" w:rsidRPr="001611C5" w:rsidRDefault="004061AC" w:rsidP="009E7C6A">
      <w:pPr>
        <w:autoSpaceDE w:val="0"/>
        <w:autoSpaceDN w:val="0"/>
        <w:adjustRightInd w:val="0"/>
        <w:spacing w:line="360" w:lineRule="auto"/>
        <w:jc w:val="left"/>
        <w:rPr>
          <w:rFonts w:asciiTheme="minorEastAsia" w:eastAsiaTheme="minorEastAsia" w:hAnsiTheme="minorEastAsia" w:cs="宋体"/>
          <w:b/>
          <w:bCs/>
          <w:color w:val="000000"/>
          <w:kern w:val="0"/>
          <w:sz w:val="24"/>
          <w:szCs w:val="24"/>
        </w:rPr>
      </w:pPr>
      <w:r w:rsidRPr="001611C5">
        <w:rPr>
          <w:rFonts w:asciiTheme="minorEastAsia" w:eastAsiaTheme="minorEastAsia" w:hAnsiTheme="minorEastAsia"/>
          <w:b/>
          <w:bCs/>
          <w:color w:val="000000"/>
          <w:kern w:val="0"/>
          <w:sz w:val="24"/>
          <w:szCs w:val="24"/>
        </w:rPr>
        <w:t xml:space="preserve">3.2.1 </w:t>
      </w:r>
      <w:r w:rsidRPr="001611C5">
        <w:rPr>
          <w:rFonts w:asciiTheme="minorEastAsia" w:eastAsiaTheme="minorEastAsia" w:hAnsiTheme="minorEastAsia" w:cs="宋体" w:hint="eastAsia"/>
          <w:b/>
          <w:bCs/>
          <w:color w:val="000000"/>
          <w:kern w:val="0"/>
          <w:sz w:val="24"/>
          <w:szCs w:val="24"/>
        </w:rPr>
        <w:t>本报告期基金份额净值增长率及其与同期业绩比较基准收益率的比较</w:t>
      </w:r>
    </w:p>
    <w:tbl>
      <w:tblPr>
        <w:tblStyle w:val="af7"/>
        <w:tblW w:w="0" w:type="auto"/>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EF6FA5" w:rsidRPr="001611C5" w:rsidTr="00BD7703">
        <w:tc>
          <w:tcPr>
            <w:tcW w:w="1395" w:type="dxa"/>
            <w:vAlign w:val="center"/>
          </w:tcPr>
          <w:p w:rsidR="00154BE1" w:rsidRPr="006B72F7" w:rsidRDefault="00154BE1" w:rsidP="00CF6572">
            <w:pPr>
              <w:autoSpaceDE w:val="0"/>
              <w:autoSpaceDN w:val="0"/>
              <w:adjustRightInd w:val="0"/>
              <w:spacing w:before="29" w:line="360" w:lineRule="auto"/>
              <w:ind w:left="17"/>
              <w:jc w:val="center"/>
              <w:rPr>
                <w:rFonts w:eastAsiaTheme="minorEastAsia"/>
                <w:color w:val="000000"/>
                <w:sz w:val="24"/>
                <w:szCs w:val="24"/>
              </w:rPr>
            </w:pPr>
            <w:r w:rsidRPr="006B72F7">
              <w:rPr>
                <w:rFonts w:eastAsiaTheme="minorEastAsia"/>
                <w:color w:val="000000"/>
                <w:sz w:val="24"/>
                <w:szCs w:val="24"/>
              </w:rPr>
              <w:t>阶段</w:t>
            </w:r>
            <w:r w:rsidR="00200FAB" w:rsidRPr="006B72F7">
              <w:rPr>
                <w:rFonts w:eastAsiaTheme="minorEastAsia"/>
                <w:color w:val="000000"/>
                <w:sz w:val="24"/>
                <w:szCs w:val="24"/>
              </w:rPr>
              <w:t/>
            </w:r>
          </w:p>
        </w:tc>
        <w:tc>
          <w:tcPr>
            <w:tcW w:w="1092" w:type="dxa"/>
            <w:vAlign w:val="center"/>
          </w:tcPr>
          <w:p w:rsidR="00154BE1" w:rsidRPr="006B72F7" w:rsidRDefault="00154BE1" w:rsidP="00CF6572">
            <w:pPr>
              <w:autoSpaceDE w:val="0"/>
              <w:autoSpaceDN w:val="0"/>
              <w:adjustRightInd w:val="0"/>
              <w:spacing w:before="29" w:line="360" w:lineRule="auto"/>
              <w:ind w:left="17"/>
              <w:jc w:val="center"/>
              <w:rPr>
                <w:rFonts w:eastAsiaTheme="minorEastAsia"/>
                <w:color w:val="000000"/>
                <w:sz w:val="24"/>
                <w:szCs w:val="24"/>
              </w:rPr>
            </w:pPr>
            <w:r w:rsidRPr="006B72F7">
              <w:rPr>
                <w:rFonts w:eastAsiaTheme="minorEastAsia"/>
                <w:color w:val="000000"/>
                <w:sz w:val="24"/>
                <w:szCs w:val="24"/>
              </w:rPr>
              <w:t>净值增长率</w:t>
            </w:r>
            <w:r w:rsidRPr="006B72F7">
              <w:rPr>
                <w:rFonts w:ascii="宋体" w:hAnsi="宋体" w:cs="宋体" w:hint="eastAsia"/>
                <w:color w:val="000000"/>
                <w:sz w:val="24"/>
                <w:szCs w:val="24"/>
              </w:rPr>
              <w:t>①</w:t>
            </w:r>
          </w:p>
        </w:tc>
        <w:tc>
          <w:tcPr>
            <w:tcW w:w="1161" w:type="dxa"/>
            <w:vAlign w:val="center"/>
          </w:tcPr>
          <w:p w:rsidR="00154BE1" w:rsidRPr="006B72F7" w:rsidRDefault="00154BE1" w:rsidP="00CF6572">
            <w:pPr>
              <w:autoSpaceDE w:val="0"/>
              <w:autoSpaceDN w:val="0"/>
              <w:adjustRightInd w:val="0"/>
              <w:spacing w:before="29" w:line="360" w:lineRule="auto"/>
              <w:ind w:left="17"/>
              <w:jc w:val="center"/>
              <w:rPr>
                <w:rFonts w:eastAsiaTheme="minorEastAsia"/>
                <w:color w:val="000000"/>
                <w:sz w:val="24"/>
                <w:szCs w:val="24"/>
              </w:rPr>
            </w:pPr>
            <w:r w:rsidRPr="006B72F7">
              <w:rPr>
                <w:rFonts w:eastAsiaTheme="minorEastAsia"/>
                <w:color w:val="000000"/>
                <w:sz w:val="24"/>
                <w:szCs w:val="24"/>
              </w:rPr>
              <w:t>净值增长率标准差</w:t>
            </w:r>
            <w:r w:rsidRPr="006B72F7">
              <w:rPr>
                <w:rFonts w:ascii="宋体" w:hAnsi="宋体" w:cs="宋体" w:hint="eastAsia"/>
                <w:color w:val="000000"/>
                <w:sz w:val="24"/>
                <w:szCs w:val="24"/>
              </w:rPr>
              <w:t>②</w:t>
            </w:r>
          </w:p>
        </w:tc>
        <w:tc>
          <w:tcPr>
            <w:tcW w:w="1181" w:type="dxa"/>
            <w:vAlign w:val="center"/>
          </w:tcPr>
          <w:p w:rsidR="00154BE1" w:rsidRPr="006B72F7" w:rsidRDefault="00154BE1" w:rsidP="00CF6572">
            <w:pPr>
              <w:autoSpaceDE w:val="0"/>
              <w:autoSpaceDN w:val="0"/>
              <w:adjustRightInd w:val="0"/>
              <w:spacing w:before="29" w:line="360" w:lineRule="auto"/>
              <w:ind w:left="17"/>
              <w:jc w:val="center"/>
              <w:rPr>
                <w:rFonts w:eastAsiaTheme="minorEastAsia"/>
                <w:color w:val="000000"/>
                <w:sz w:val="24"/>
                <w:szCs w:val="24"/>
              </w:rPr>
            </w:pPr>
            <w:r w:rsidRPr="006B72F7">
              <w:rPr>
                <w:rFonts w:eastAsiaTheme="minorEastAsia"/>
                <w:color w:val="000000"/>
                <w:sz w:val="24"/>
                <w:szCs w:val="24"/>
              </w:rPr>
              <w:t>业绩比较基准收益率</w:t>
            </w:r>
            <w:r w:rsidRPr="006B72F7">
              <w:rPr>
                <w:rFonts w:ascii="宋体" w:hAnsi="宋体" w:cs="宋体" w:hint="eastAsia"/>
                <w:color w:val="000000"/>
                <w:sz w:val="24"/>
                <w:szCs w:val="24"/>
              </w:rPr>
              <w:t>③</w:t>
            </w:r>
          </w:p>
        </w:tc>
        <w:tc>
          <w:tcPr>
            <w:tcW w:w="1188" w:type="dxa"/>
            <w:vAlign w:val="center"/>
          </w:tcPr>
          <w:p w:rsidR="00154BE1" w:rsidRPr="006B72F7" w:rsidRDefault="00154BE1" w:rsidP="00CF6572">
            <w:pPr>
              <w:autoSpaceDE w:val="0"/>
              <w:autoSpaceDN w:val="0"/>
              <w:adjustRightInd w:val="0"/>
              <w:spacing w:before="29" w:line="360" w:lineRule="auto"/>
              <w:ind w:left="17"/>
              <w:jc w:val="center"/>
              <w:rPr>
                <w:rFonts w:eastAsiaTheme="minorEastAsia"/>
                <w:color w:val="000000"/>
                <w:sz w:val="24"/>
                <w:szCs w:val="24"/>
              </w:rPr>
            </w:pPr>
            <w:r w:rsidRPr="006B72F7">
              <w:rPr>
                <w:rFonts w:eastAsiaTheme="minorEastAsia"/>
                <w:color w:val="000000"/>
                <w:sz w:val="24"/>
                <w:szCs w:val="24"/>
              </w:rPr>
              <w:t>业绩比较基准收益率标准差</w:t>
            </w:r>
            <w:r w:rsidRPr="006B72F7">
              <w:rPr>
                <w:rFonts w:ascii="宋体" w:hAnsi="宋体" w:cs="宋体" w:hint="eastAsia"/>
                <w:color w:val="000000"/>
                <w:sz w:val="24"/>
                <w:szCs w:val="24"/>
              </w:rPr>
              <w:t>④</w:t>
            </w:r>
          </w:p>
        </w:tc>
        <w:tc>
          <w:tcPr>
            <w:tcW w:w="1199" w:type="dxa"/>
            <w:vAlign w:val="center"/>
          </w:tcPr>
          <w:p w:rsidR="00154BE1" w:rsidRPr="006B72F7" w:rsidRDefault="00154BE1" w:rsidP="00CF6572">
            <w:pPr>
              <w:autoSpaceDE w:val="0"/>
              <w:autoSpaceDN w:val="0"/>
              <w:adjustRightInd w:val="0"/>
              <w:spacing w:before="29" w:line="360" w:lineRule="auto"/>
              <w:ind w:left="17"/>
              <w:jc w:val="center"/>
              <w:rPr>
                <w:rFonts w:eastAsiaTheme="minorEastAsia"/>
                <w:color w:val="000000"/>
                <w:sz w:val="24"/>
                <w:szCs w:val="24"/>
              </w:rPr>
            </w:pPr>
            <w:r w:rsidRPr="006B72F7">
              <w:rPr>
                <w:rFonts w:ascii="宋体" w:hAnsi="宋体" w:cs="宋体" w:hint="eastAsia"/>
                <w:color w:val="000000"/>
                <w:sz w:val="24"/>
                <w:szCs w:val="24"/>
              </w:rPr>
              <w:t>①</w:t>
            </w:r>
            <w:r w:rsidRPr="006B72F7">
              <w:rPr>
                <w:rFonts w:eastAsiaTheme="minorEastAsia"/>
                <w:color w:val="000000"/>
                <w:sz w:val="24"/>
                <w:szCs w:val="24"/>
              </w:rPr>
              <w:t>-</w:t>
            </w:r>
            <w:r w:rsidRPr="006B72F7">
              <w:rPr>
                <w:rFonts w:ascii="宋体" w:hAnsi="宋体" w:cs="宋体" w:hint="eastAsia"/>
                <w:color w:val="000000"/>
                <w:sz w:val="24"/>
                <w:szCs w:val="24"/>
              </w:rPr>
              <w:t>③</w:t>
            </w:r>
          </w:p>
        </w:tc>
        <w:tc>
          <w:tcPr>
            <w:tcW w:w="1204" w:type="dxa"/>
            <w:vAlign w:val="center"/>
          </w:tcPr>
          <w:p w:rsidR="00154BE1" w:rsidRPr="006B72F7" w:rsidRDefault="00154BE1" w:rsidP="00CF6572">
            <w:pPr>
              <w:autoSpaceDE w:val="0"/>
              <w:autoSpaceDN w:val="0"/>
              <w:adjustRightInd w:val="0"/>
              <w:spacing w:before="29" w:line="360" w:lineRule="auto"/>
              <w:ind w:left="17"/>
              <w:jc w:val="center"/>
              <w:rPr>
                <w:rFonts w:eastAsiaTheme="minorEastAsia"/>
                <w:color w:val="000000"/>
                <w:sz w:val="24"/>
                <w:szCs w:val="24"/>
              </w:rPr>
            </w:pPr>
            <w:r w:rsidRPr="006B72F7">
              <w:rPr>
                <w:rFonts w:ascii="宋体" w:hAnsi="宋体" w:cs="宋体" w:hint="eastAsia"/>
                <w:color w:val="000000"/>
                <w:sz w:val="24"/>
                <w:szCs w:val="24"/>
              </w:rPr>
              <w:t>②</w:t>
            </w:r>
            <w:r w:rsidRPr="006B72F7">
              <w:rPr>
                <w:rFonts w:eastAsiaTheme="minorEastAsia"/>
                <w:color w:val="000000"/>
                <w:sz w:val="24"/>
                <w:szCs w:val="24"/>
              </w:rPr>
              <w:t>-</w:t>
            </w:r>
            <w:r w:rsidRPr="006B72F7">
              <w:rPr>
                <w:rFonts w:ascii="宋体" w:hAnsi="宋体" w:cs="宋体" w:hint="eastAsia"/>
                <w:color w:val="000000"/>
                <w:sz w:val="24"/>
                <w:szCs w:val="24"/>
              </w:rPr>
              <w:t>④</w:t>
            </w:r>
          </w:p>
        </w:tc>
      </w:tr>
      <w:tr>
        <w:tc>
          <w:tcPr>
            <w:vAlign w:val="center"/>
          </w:tcPr>
          <w:p>
            <w:pPr>
              <w:jc w:val="left"/>
            </w:pPr>
            <w:r>
              <w:rPr>
                <w:rFonts w:eastAsiaTheme="minorEastAsia"/>
                <w:color w:val="000000"/>
                <w:sz w:val="24"/>
                <w:szCs w:val="24"/>
              </w:rPr>
              <w:t>过去三个月</w:t>
            </w:r>
          </w:p>
        </w:tc>
        <w:tc>
          <w:tcPr>
            <w:vAlign w:val="center"/>
          </w:tcPr>
          <w:p>
            <w:pPr>
              <w:jc w:val="center"/>
            </w:pPr>
            <w:r>
              <w:rPr>
                <w:rFonts w:eastAsiaTheme="minorEastAsia"/>
                <w:color w:val="000000"/>
                <w:sz w:val="24"/>
                <w:szCs w:val="24"/>
              </w:rPr>
              <w:t>1.26%</w:t>
            </w:r>
          </w:p>
        </w:tc>
        <w:tc>
          <w:tcPr>
            <w:vAlign w:val="center"/>
          </w:tcPr>
          <w:p>
            <w:pPr>
              <w:jc w:val="center"/>
            </w:pPr>
            <w:r>
              <w:rPr>
                <w:rFonts w:eastAsiaTheme="minorEastAsia"/>
                <w:color w:val="000000"/>
                <w:sz w:val="24"/>
                <w:szCs w:val="24"/>
              </w:rPr>
              <w:t>0.15%</w:t>
            </w:r>
          </w:p>
        </w:tc>
        <w:tc>
          <w:tcPr>
            <w:vAlign w:val="center"/>
          </w:tcPr>
          <w:p>
            <w:pPr>
              <w:jc w:val="center"/>
            </w:pPr>
            <w:r>
              <w:rPr>
                <w:rFonts w:eastAsiaTheme="minorEastAsia"/>
                <w:color w:val="000000"/>
                <w:sz w:val="24"/>
                <w:szCs w:val="24"/>
              </w:rPr>
              <w:t>3.67%</w:t>
            </w:r>
          </w:p>
        </w:tc>
        <w:tc>
          <w:tcPr>
            <w:vAlign w:val="center"/>
          </w:tcPr>
          <w:p>
            <w:pPr>
              <w:jc w:val="center"/>
            </w:pPr>
            <w:r>
              <w:rPr>
                <w:rFonts w:eastAsiaTheme="minorEastAsia"/>
                <w:color w:val="000000"/>
                <w:sz w:val="24"/>
                <w:szCs w:val="24"/>
              </w:rPr>
              <w:t>0.41%</w:t>
            </w:r>
          </w:p>
        </w:tc>
        <w:tc>
          <w:tcPr>
            <w:vAlign w:val="center"/>
          </w:tcPr>
          <w:p>
            <w:pPr>
              <w:jc w:val="center"/>
            </w:pPr>
            <w:r>
              <w:rPr>
                <w:rFonts w:eastAsiaTheme="minorEastAsia"/>
                <w:color w:val="000000"/>
                <w:sz w:val="24"/>
                <w:szCs w:val="24"/>
              </w:rPr>
              <w:t>-2.41%</w:t>
            </w:r>
          </w:p>
        </w:tc>
        <w:tc>
          <w:tcPr>
            <w:vAlign w:val="center"/>
          </w:tcPr>
          <w:p>
            <w:pPr>
              <w:jc w:val="center"/>
            </w:pPr>
            <w:r>
              <w:rPr>
                <w:rFonts w:eastAsiaTheme="minorEastAsia"/>
                <w:color w:val="000000"/>
                <w:sz w:val="24"/>
                <w:szCs w:val="24"/>
              </w:rPr>
              <w:t>-0.26%</w:t>
            </w:r>
          </w:p>
        </w:tc>
      </w:tr>
    </w:tbl>
    <w:p w:rsidR="004061AC" w:rsidRPr="001611C5" w:rsidRDefault="004061AC" w:rsidP="009E7C6A">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b/>
          <w:bCs/>
          <w:color w:val="000000"/>
          <w:kern w:val="0"/>
          <w:sz w:val="24"/>
          <w:szCs w:val="24"/>
        </w:rPr>
        <w:t>3.2.2</w:t>
      </w:r>
      <w:r w:rsidR="00BF48B1" w:rsidRPr="00550FEB">
        <w:rPr>
          <w:rFonts w:asciiTheme="minorEastAsia" w:eastAsiaTheme="minorEastAsia" w:hAnsiTheme="minorEastAsia"/>
          <w:b/>
          <w:bCs/>
          <w:color w:val="000000"/>
          <w:sz w:val="24"/>
        </w:rPr>
        <w:t>自基金合同生效以来</w:t>
      </w:r>
      <w:r w:rsidR="00FB0BC9" w:rsidRPr="001611C5">
        <w:rPr>
          <w:rFonts w:asciiTheme="minorEastAsia" w:eastAsiaTheme="minorEastAsia" w:hAnsiTheme="minorEastAsia" w:hint="eastAsia"/>
          <w:b/>
          <w:bCs/>
          <w:color w:val="000000"/>
          <w:kern w:val="0"/>
          <w:sz w:val="24"/>
          <w:szCs w:val="24"/>
        </w:rPr>
        <w:t>基金累计</w:t>
      </w:r>
      <w:r w:rsidRPr="001611C5">
        <w:rPr>
          <w:rFonts w:asciiTheme="minorEastAsia" w:eastAsiaTheme="minorEastAsia" w:hAnsiTheme="minorEastAsia" w:hint="eastAsia"/>
          <w:b/>
          <w:bCs/>
          <w:color w:val="000000"/>
          <w:kern w:val="0"/>
          <w:sz w:val="24"/>
          <w:szCs w:val="24"/>
        </w:rPr>
        <w:t>净值增长率变动及其与同期业绩比较基准收益率变动的比较</w:t>
      </w:r>
    </w:p>
    <w:p w:rsidR="008606B6" w:rsidRPr="006B72F7" w:rsidRDefault="008606B6" w:rsidP="009E7C6A">
      <w:pPr>
        <w:spacing w:line="360" w:lineRule="auto"/>
        <w:jc w:val="center"/>
        <w:rPr>
          <w:rFonts w:eastAsiaTheme="minorEastAsia"/>
          <w:color w:val="000000"/>
          <w:sz w:val="24"/>
          <w:szCs w:val="24"/>
        </w:rPr>
      </w:pPr>
      <w:r w:rsidRPr="006B72F7">
        <w:rPr>
          <w:rFonts w:eastAsiaTheme="minorEastAsia"/>
          <w:color w:val="000000"/>
          <w:sz w:val="24"/>
          <w:szCs w:val="24"/>
        </w:rPr>
        <w:t>广发新常态灵活配置混合型证券投资基金</w:t>
      </w:r>
    </w:p>
    <w:p w:rsidR="004061AC" w:rsidRPr="006B72F7" w:rsidRDefault="00FB0BC9" w:rsidP="009E7C6A">
      <w:pPr>
        <w:pStyle w:val="a5"/>
        <w:snapToGrid w:val="0"/>
        <w:spacing w:line="360" w:lineRule="auto"/>
        <w:jc w:val="center"/>
        <w:rPr>
          <w:rFonts w:ascii="Times New Roman" w:eastAsiaTheme="minorEastAsia" w:hAnsi="Times New Roman" w:cs="Times New Roman"/>
          <w:color w:val="000000"/>
          <w:sz w:val="24"/>
          <w:szCs w:val="24"/>
        </w:rPr>
      </w:pPr>
      <w:r w:rsidRPr="006B72F7">
        <w:rPr>
          <w:rFonts w:ascii="Times New Roman" w:eastAsiaTheme="minorEastAsia" w:hAnsi="Times New Roman" w:cs="Times New Roman"/>
          <w:color w:val="000000"/>
          <w:sz w:val="24"/>
          <w:szCs w:val="24"/>
        </w:rPr>
        <w:t>累计净值增长率与业绩比较基准收益率</w:t>
      </w:r>
      <w:r w:rsidR="004061AC" w:rsidRPr="006B72F7">
        <w:rPr>
          <w:rFonts w:ascii="Times New Roman" w:eastAsiaTheme="minorEastAsia" w:hAnsi="Times New Roman" w:cs="Times New Roman"/>
          <w:color w:val="000000"/>
          <w:sz w:val="24"/>
          <w:szCs w:val="24"/>
        </w:rPr>
        <w:t>历史走势对比图</w:t>
      </w:r>
    </w:p>
    <w:p w:rsidR="00AE7962" w:rsidRPr="006B72F7" w:rsidRDefault="00AE7962" w:rsidP="009E7C6A">
      <w:pPr>
        <w:pStyle w:val="a5"/>
        <w:snapToGrid w:val="0"/>
        <w:spacing w:line="360" w:lineRule="auto"/>
        <w:ind w:firstLine="480"/>
        <w:jc w:val="center"/>
        <w:rPr>
          <w:rFonts w:ascii="Times New Roman" w:eastAsiaTheme="minorEastAsia" w:hAnsi="Times New Roman" w:cs="Times New Roman"/>
          <w:sz w:val="24"/>
          <w:szCs w:val="24"/>
        </w:rPr>
      </w:pPr>
      <w:r w:rsidRPr="006B72F7">
        <w:rPr>
          <w:rFonts w:ascii="Times New Roman" w:eastAsiaTheme="minorEastAsia" w:hAnsi="Times New Roman" w:cs="Times New Roman"/>
          <w:sz w:val="24"/>
          <w:szCs w:val="24"/>
        </w:rPr>
        <w:t>(</w:t>
      </w:r>
      <w:r w:rsidR="0042009D" w:rsidRPr="006B72F7">
        <w:rPr>
          <w:rFonts w:ascii="Times New Roman" w:eastAsiaTheme="minorEastAsia" w:hAnsi="Times New Roman" w:cs="Times New Roman"/>
          <w:sz w:val="24"/>
          <w:szCs w:val="24"/>
        </w:rPr>
        <w:t>2016年12月5日</w:t>
      </w:r>
      <w:r w:rsidRPr="006B72F7">
        <w:rPr>
          <w:rFonts w:ascii="Times New Roman" w:eastAsiaTheme="minorEastAsia" w:hAnsi="Times New Roman" w:cs="Times New Roman"/>
          <w:sz w:val="24"/>
          <w:szCs w:val="24"/>
        </w:rPr>
        <w:t>至</w:t>
      </w:r>
      <w:r w:rsidRPr="006B72F7">
        <w:rPr>
          <w:rFonts w:ascii="Times New Roman" w:eastAsiaTheme="minorEastAsia" w:hAnsi="Times New Roman" w:cs="Times New Roman"/>
          <w:sz w:val="24"/>
          <w:szCs w:val="24"/>
        </w:rPr>
        <w:t>2017年9月30日)</w:t>
      </w:r>
    </w:p>
    <w:p w:rsidR="004061AC" w:rsidRPr="001611C5" w:rsidRDefault="00866CF2" w:rsidP="004061AC">
      <w:pPr>
        <w:pStyle w:val="a5"/>
        <w:snapToGrid w:val="0"/>
        <w:spacing w:before="120" w:line="360" w:lineRule="auto"/>
        <w:jc w:val="center"/>
        <w:rPr>
          <w:rFonts w:asciiTheme="minorEastAsia" w:eastAsiaTheme="minorEastAsia" w:hAnsiTheme="minorEastAsia"/>
          <w:color w:val="000000"/>
          <w:sz w:val="24"/>
          <w:szCs w:val="24"/>
        </w:rPr>
      </w:pPr>
      <w:r w:rsidRPr="001611C5">
        <w:rPr>
          <w:rFonts w:asciiTheme="minorEastAsia" w:eastAsiaTheme="minorEastAsia" w:hAnsiTheme="minorEastAsia"/>
          <w:noProof/>
          <w:color w:val="000000"/>
          <w:sz w:val="24"/>
          <w:szCs w:val="24"/>
        </w:rPr>
        <w:drawing>
          <wp:inline distT="0" distB="0" distL="0" distR="0" wp14:anchorId="45E0F678" wp14:editId="625C2D49">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pPr>
        <w:spacing w:line="360" w:lineRule="auto"/>
        <w:ind w:firstLineChars="200" w:firstLine="480"/>
        <w:rPr>
          <w:rFonts w:eastAsiaTheme="minorEastAsia"/>
          <w:color w:val="000000"/>
          <w:sz w:val="24"/>
          <w:szCs w:val="24"/>
        </w:rPr>
      </w:pPr>
      <w:r>
        <w:rPr>
          <w:rFonts w:eastAsiaTheme="minorEastAsia"/>
          <w:color w:val="000000"/>
          <w:sz w:val="24"/>
          <w:szCs w:val="24"/>
        </w:rPr>
        <w:t>注：（1）本基金合同生效日期为2016年12月5日，至披露时点本基金成立未满一年。</w:t>
      </w:r>
    </w:p>
    <w:p w:rsidR="00957594" w:rsidRPr="006B72F7" w:rsidRDefault="001C79F2" w:rsidP="006B72F7">
      <w:pPr>
        <w:spacing w:line="360" w:lineRule="auto"/>
        <w:ind w:firstLineChars="200" w:firstLine="480"/>
        <w:rPr>
          <w:rFonts w:eastAsiaTheme="minorEastAsia"/>
          <w:color w:val="000000"/>
          <w:sz w:val="24"/>
          <w:szCs w:val="24"/>
        </w:rPr>
      </w:pPr>
      <w:r w:rsidRPr="00CD2DB1">
        <w:rPr>
          <w:rFonts w:eastAsiaTheme="minorEastAsia" w:hint="eastAsia"/>
          <w:color w:val="000000"/>
          <w:sz w:val="24"/>
          <w:szCs w:val="24"/>
        </w:rPr>
        <w:t/>
      </w:r>
      <w:r w:rsidR="008700EC" w:rsidRPr="00CD2DB1">
        <w:rPr>
          <w:rFonts w:eastAsiaTheme="minorEastAsia" w:hint="eastAsia"/>
          <w:color w:val="000000"/>
          <w:sz w:val="24"/>
          <w:szCs w:val="24"/>
        </w:rPr>
        <w:t/>
      </w:r>
      <w:r w:rsidRPr="00CD2DB1">
        <w:rPr>
          <w:rFonts w:eastAsiaTheme="minorEastAsia" w:hint="eastAsia"/>
          <w:color w:val="000000"/>
          <w:sz w:val="24"/>
          <w:szCs w:val="24"/>
        </w:rPr>
        <w:t/>
      </w:r>
      <w:r w:rsidR="004061AC" w:rsidRPr="00CD2DB1">
        <w:rPr>
          <w:rFonts w:eastAsiaTheme="minorEastAsia"/>
          <w:color w:val="000000"/>
          <w:sz w:val="24"/>
          <w:szCs w:val="24"/>
        </w:rPr>
        <w:t>（2）本基金建仓期为基金合同生效后6个月，建仓期结束时各项资产配置比例符合本基金合同有关规定。</w:t>
      </w:r>
    </w:p>
    <w:p w:rsidR="004061AC" w:rsidRPr="001611C5" w:rsidRDefault="004061AC" w:rsidP="001B2F35">
      <w:pPr>
        <w:pStyle w:val="1"/>
        <w:spacing w:beforeLines="100" w:before="312" w:afterLines="100" w:after="312" w:line="360" w:lineRule="auto"/>
        <w:jc w:val="center"/>
        <w:rPr>
          <w:rFonts w:asciiTheme="minorEastAsia" w:eastAsiaTheme="minorEastAsia" w:hAnsiTheme="minorEastAsia"/>
          <w:color w:val="000000"/>
          <w:kern w:val="0"/>
          <w:sz w:val="24"/>
          <w:szCs w:val="24"/>
        </w:rPr>
      </w:pPr>
      <w:r w:rsidRPr="001611C5">
        <w:rPr>
          <w:rFonts w:asciiTheme="minorEastAsia" w:eastAsiaTheme="minorEastAsia" w:hAnsiTheme="minorEastAsia" w:hint="eastAsia"/>
          <w:color w:val="000000"/>
          <w:kern w:val="0"/>
          <w:sz w:val="24"/>
          <w:szCs w:val="24"/>
        </w:rPr>
        <w:t>§</w:t>
      </w:r>
      <w:r w:rsidRPr="001611C5">
        <w:rPr>
          <w:rFonts w:asciiTheme="minorEastAsia" w:eastAsiaTheme="minorEastAsia" w:hAnsiTheme="minorEastAsia"/>
          <w:color w:val="000000"/>
          <w:kern w:val="0"/>
          <w:sz w:val="24"/>
          <w:szCs w:val="24"/>
        </w:rPr>
        <w:t xml:space="preserve">4  </w:t>
      </w:r>
      <w:r w:rsidRPr="001611C5">
        <w:rPr>
          <w:rFonts w:asciiTheme="minorEastAsia" w:eastAsiaTheme="minorEastAsia" w:hAnsiTheme="minorEastAsia" w:hint="eastAsia"/>
          <w:color w:val="000000"/>
          <w:kern w:val="0"/>
          <w:sz w:val="24"/>
          <w:szCs w:val="24"/>
        </w:rPr>
        <w:t>管理人报告</w:t>
      </w:r>
    </w:p>
    <w:p w:rsidR="00B12B7D" w:rsidRPr="001611C5" w:rsidRDefault="004061AC" w:rsidP="009E7C6A">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b/>
          <w:bCs/>
          <w:color w:val="000000"/>
          <w:kern w:val="0"/>
          <w:sz w:val="24"/>
          <w:szCs w:val="24"/>
        </w:rPr>
        <w:t xml:space="preserve">4.1 </w:t>
      </w:r>
      <w:r w:rsidRPr="001611C5">
        <w:rPr>
          <w:rFonts w:asciiTheme="minorEastAsia" w:eastAsiaTheme="minorEastAsia" w:hAnsiTheme="minorEastAsia" w:hint="eastAsia"/>
          <w:b/>
          <w:bCs/>
          <w:color w:val="000000"/>
          <w:kern w:val="0"/>
          <w:sz w:val="24"/>
          <w:szCs w:val="24"/>
        </w:rPr>
        <w:t>基金经理</w:t>
      </w:r>
      <w:r w:rsidR="00D57B7C" w:rsidRPr="001611C5">
        <w:rPr>
          <w:rFonts w:asciiTheme="minorEastAsia" w:eastAsiaTheme="minorEastAsia" w:hAnsiTheme="minorEastAsia" w:hint="eastAsia"/>
          <w:b/>
          <w:bCs/>
          <w:color w:val="000000"/>
          <w:kern w:val="0"/>
          <w:sz w:val="24"/>
          <w:szCs w:val="24"/>
        </w:rPr>
        <w:t>(</w:t>
      </w:r>
      <w:r w:rsidRPr="001611C5">
        <w:rPr>
          <w:rFonts w:asciiTheme="minorEastAsia" w:eastAsiaTheme="minorEastAsia" w:hAnsiTheme="minorEastAsia" w:hint="eastAsia"/>
          <w:b/>
          <w:bCs/>
          <w:color w:val="000000"/>
          <w:kern w:val="0"/>
          <w:sz w:val="24"/>
          <w:szCs w:val="24"/>
        </w:rPr>
        <w:t>或基金经理小组</w:t>
      </w:r>
      <w:r w:rsidR="00D57B7C" w:rsidRPr="001611C5">
        <w:rPr>
          <w:rFonts w:asciiTheme="minorEastAsia" w:eastAsiaTheme="minorEastAsia" w:hAnsiTheme="minorEastAsia" w:hint="eastAsia"/>
          <w:b/>
          <w:bCs/>
          <w:color w:val="000000"/>
          <w:kern w:val="0"/>
          <w:sz w:val="24"/>
          <w:szCs w:val="24"/>
        </w:rPr>
        <w:t>)</w:t>
      </w:r>
      <w:r w:rsidRPr="001611C5">
        <w:rPr>
          <w:rFonts w:asciiTheme="minorEastAsia" w:eastAsiaTheme="minorEastAsia" w:hAnsiTheme="minorEastAsia" w:hint="eastAsia"/>
          <w:b/>
          <w:bCs/>
          <w:color w:val="000000"/>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134"/>
        <w:gridCol w:w="1134"/>
        <w:gridCol w:w="1417"/>
        <w:gridCol w:w="2694"/>
      </w:tblGrid>
      <w:tr w:rsidR="00286BEF" w:rsidRPr="001611C5" w:rsidTr="00091D41">
        <w:trPr>
          <w:cantSplit/>
          <w:trHeight w:val="292"/>
        </w:trPr>
        <w:tc>
          <w:tcPr>
            <w:tcW w:w="851" w:type="dxa"/>
            <w:vMerge w:val="restart"/>
            <w:vAlign w:val="center"/>
          </w:tcPr>
          <w:p w:rsidR="004061AC" w:rsidRPr="006B72F7" w:rsidRDefault="004061AC" w:rsidP="008014F9">
            <w:pPr>
              <w:widowControl/>
              <w:spacing w:before="29" w:line="360" w:lineRule="auto"/>
              <w:ind w:left="17"/>
              <w:jc w:val="center"/>
              <w:rPr>
                <w:rFonts w:eastAsiaTheme="minorEastAsia"/>
                <w:color w:val="000000"/>
                <w:kern w:val="0"/>
                <w:sz w:val="24"/>
                <w:szCs w:val="24"/>
              </w:rPr>
            </w:pPr>
            <w:r w:rsidRPr="006B72F7">
              <w:rPr>
                <w:rFonts w:eastAsiaTheme="minorEastAsia"/>
                <w:color w:val="000000"/>
                <w:kern w:val="0"/>
                <w:sz w:val="24"/>
                <w:szCs w:val="24"/>
              </w:rPr>
              <w:t>姓名</w:t>
            </w:r>
          </w:p>
        </w:tc>
        <w:tc>
          <w:tcPr>
            <w:tcW w:w="1701" w:type="dxa"/>
            <w:vMerge w:val="restart"/>
            <w:vAlign w:val="center"/>
          </w:tcPr>
          <w:p w:rsidR="004061AC" w:rsidRPr="006B72F7" w:rsidRDefault="004061AC" w:rsidP="008014F9">
            <w:pPr>
              <w:widowControl/>
              <w:spacing w:before="29" w:line="360" w:lineRule="auto"/>
              <w:ind w:left="17"/>
              <w:jc w:val="center"/>
              <w:rPr>
                <w:rFonts w:eastAsiaTheme="minorEastAsia"/>
                <w:color w:val="000000"/>
                <w:kern w:val="0"/>
                <w:sz w:val="24"/>
                <w:szCs w:val="24"/>
              </w:rPr>
            </w:pPr>
            <w:r w:rsidRPr="006B72F7">
              <w:rPr>
                <w:rFonts w:eastAsiaTheme="minorEastAsia"/>
                <w:color w:val="000000"/>
                <w:kern w:val="0"/>
                <w:sz w:val="24"/>
                <w:szCs w:val="24"/>
              </w:rPr>
              <w:t>职务</w:t>
            </w:r>
          </w:p>
        </w:tc>
        <w:tc>
          <w:tcPr>
            <w:tcW w:w="2268" w:type="dxa"/>
            <w:gridSpan w:val="2"/>
            <w:vAlign w:val="center"/>
          </w:tcPr>
          <w:p w:rsidR="004061AC" w:rsidRPr="006B72F7" w:rsidRDefault="004061AC" w:rsidP="008014F9">
            <w:pPr>
              <w:autoSpaceDE w:val="0"/>
              <w:autoSpaceDN w:val="0"/>
              <w:adjustRightInd w:val="0"/>
              <w:spacing w:before="29" w:line="360" w:lineRule="auto"/>
              <w:ind w:left="17"/>
              <w:jc w:val="center"/>
              <w:rPr>
                <w:rFonts w:eastAsiaTheme="minorEastAsia"/>
                <w:color w:val="000000"/>
                <w:kern w:val="0"/>
                <w:sz w:val="24"/>
                <w:szCs w:val="24"/>
              </w:rPr>
            </w:pPr>
            <w:r w:rsidRPr="006B72F7">
              <w:rPr>
                <w:rFonts w:eastAsiaTheme="minorEastAsia"/>
                <w:color w:val="000000"/>
                <w:kern w:val="0"/>
                <w:sz w:val="24"/>
                <w:szCs w:val="24"/>
              </w:rPr>
              <w:t>任本基金的基金经理期限</w:t>
            </w:r>
          </w:p>
        </w:tc>
        <w:tc>
          <w:tcPr>
            <w:tcW w:w="1417" w:type="dxa"/>
            <w:vMerge w:val="restart"/>
            <w:vAlign w:val="center"/>
          </w:tcPr>
          <w:p w:rsidR="004061AC" w:rsidRPr="006B72F7" w:rsidRDefault="004061AC" w:rsidP="008014F9">
            <w:pPr>
              <w:autoSpaceDE w:val="0"/>
              <w:autoSpaceDN w:val="0"/>
              <w:adjustRightInd w:val="0"/>
              <w:spacing w:before="29" w:line="360" w:lineRule="auto"/>
              <w:ind w:left="17"/>
              <w:jc w:val="center"/>
              <w:rPr>
                <w:rFonts w:eastAsiaTheme="minorEastAsia"/>
                <w:color w:val="000000"/>
                <w:kern w:val="0"/>
                <w:sz w:val="24"/>
                <w:szCs w:val="24"/>
              </w:rPr>
            </w:pPr>
            <w:r w:rsidRPr="006B72F7">
              <w:rPr>
                <w:rFonts w:eastAsiaTheme="minorEastAsia"/>
                <w:color w:val="000000"/>
                <w:kern w:val="0"/>
                <w:sz w:val="24"/>
                <w:szCs w:val="24"/>
              </w:rPr>
              <w:t>证券从业年限</w:t>
            </w:r>
          </w:p>
        </w:tc>
        <w:tc>
          <w:tcPr>
            <w:tcW w:w="2694" w:type="dxa"/>
            <w:vMerge w:val="restart"/>
            <w:vAlign w:val="center"/>
          </w:tcPr>
          <w:p w:rsidR="004061AC" w:rsidRPr="006B72F7" w:rsidRDefault="004061AC" w:rsidP="008014F9">
            <w:pPr>
              <w:widowControl/>
              <w:spacing w:before="29" w:line="360" w:lineRule="auto"/>
              <w:ind w:left="17"/>
              <w:jc w:val="center"/>
              <w:rPr>
                <w:rFonts w:eastAsiaTheme="minorEastAsia"/>
                <w:color w:val="000000"/>
                <w:kern w:val="0"/>
                <w:sz w:val="24"/>
                <w:szCs w:val="24"/>
              </w:rPr>
            </w:pPr>
            <w:r w:rsidRPr="006B72F7">
              <w:rPr>
                <w:rFonts w:eastAsiaTheme="minorEastAsia"/>
                <w:color w:val="000000"/>
                <w:kern w:val="0"/>
                <w:sz w:val="24"/>
                <w:szCs w:val="24"/>
              </w:rPr>
              <w:t>说明</w:t>
            </w:r>
          </w:p>
        </w:tc>
      </w:tr>
      <w:tr w:rsidR="00D13737" w:rsidRPr="001611C5" w:rsidTr="00091D41">
        <w:trPr>
          <w:cantSplit/>
        </w:trPr>
        <w:tc>
          <w:tcPr>
            <w:tcW w:w="851" w:type="dxa"/>
            <w:vMerge/>
            <w:vAlign w:val="center"/>
          </w:tcPr>
          <w:p w:rsidR="004061AC" w:rsidRPr="006B72F7" w:rsidRDefault="004061AC" w:rsidP="008014F9">
            <w:pPr>
              <w:widowControl/>
              <w:spacing w:line="360" w:lineRule="auto"/>
              <w:jc w:val="left"/>
              <w:rPr>
                <w:rFonts w:eastAsiaTheme="minorEastAsia"/>
                <w:color w:val="000000"/>
                <w:kern w:val="0"/>
                <w:sz w:val="24"/>
                <w:szCs w:val="24"/>
              </w:rPr>
            </w:pPr>
          </w:p>
        </w:tc>
        <w:tc>
          <w:tcPr>
            <w:tcW w:w="1701" w:type="dxa"/>
            <w:vMerge/>
            <w:vAlign w:val="center"/>
          </w:tcPr>
          <w:p w:rsidR="004061AC" w:rsidRPr="006B72F7" w:rsidRDefault="004061AC" w:rsidP="008014F9">
            <w:pPr>
              <w:widowControl/>
              <w:spacing w:line="360" w:lineRule="auto"/>
              <w:jc w:val="left"/>
              <w:rPr>
                <w:rFonts w:eastAsiaTheme="minorEastAsia"/>
                <w:color w:val="000000"/>
                <w:kern w:val="0"/>
                <w:sz w:val="24"/>
                <w:szCs w:val="24"/>
              </w:rPr>
            </w:pPr>
          </w:p>
        </w:tc>
        <w:tc>
          <w:tcPr>
            <w:tcW w:w="1134" w:type="dxa"/>
            <w:vAlign w:val="center"/>
          </w:tcPr>
          <w:p w:rsidR="004061AC" w:rsidRPr="006B72F7" w:rsidRDefault="004061AC" w:rsidP="008014F9">
            <w:pPr>
              <w:autoSpaceDE w:val="0"/>
              <w:autoSpaceDN w:val="0"/>
              <w:adjustRightInd w:val="0"/>
              <w:spacing w:before="29" w:line="360" w:lineRule="auto"/>
              <w:ind w:left="17"/>
              <w:jc w:val="center"/>
              <w:rPr>
                <w:rFonts w:eastAsiaTheme="minorEastAsia"/>
                <w:color w:val="000000"/>
                <w:kern w:val="0"/>
                <w:sz w:val="24"/>
                <w:szCs w:val="24"/>
              </w:rPr>
            </w:pPr>
            <w:r w:rsidRPr="006B72F7">
              <w:rPr>
                <w:rFonts w:eastAsiaTheme="minorEastAsia"/>
                <w:color w:val="000000"/>
                <w:kern w:val="0"/>
                <w:sz w:val="24"/>
                <w:szCs w:val="24"/>
              </w:rPr>
              <w:t>任职日期</w:t>
            </w:r>
          </w:p>
        </w:tc>
        <w:tc>
          <w:tcPr>
            <w:tcW w:w="1134" w:type="dxa"/>
            <w:vAlign w:val="center"/>
          </w:tcPr>
          <w:p w:rsidR="004061AC" w:rsidRPr="006B72F7" w:rsidRDefault="004061AC" w:rsidP="008014F9">
            <w:pPr>
              <w:autoSpaceDE w:val="0"/>
              <w:autoSpaceDN w:val="0"/>
              <w:adjustRightInd w:val="0"/>
              <w:spacing w:before="29" w:line="360" w:lineRule="auto"/>
              <w:ind w:left="17"/>
              <w:jc w:val="center"/>
              <w:rPr>
                <w:rFonts w:eastAsiaTheme="minorEastAsia"/>
                <w:color w:val="000000"/>
                <w:kern w:val="0"/>
                <w:sz w:val="24"/>
                <w:szCs w:val="24"/>
              </w:rPr>
            </w:pPr>
            <w:r w:rsidRPr="006B72F7">
              <w:rPr>
                <w:rFonts w:eastAsiaTheme="minorEastAsia"/>
                <w:color w:val="000000"/>
                <w:kern w:val="0"/>
                <w:sz w:val="24"/>
                <w:szCs w:val="24"/>
              </w:rPr>
              <w:t>离任日期</w:t>
            </w:r>
          </w:p>
        </w:tc>
        <w:tc>
          <w:tcPr>
            <w:tcW w:w="1417" w:type="dxa"/>
            <w:vMerge/>
            <w:vAlign w:val="center"/>
          </w:tcPr>
          <w:p w:rsidR="004061AC" w:rsidRPr="006B72F7" w:rsidRDefault="004061AC" w:rsidP="008014F9">
            <w:pPr>
              <w:widowControl/>
              <w:spacing w:line="360" w:lineRule="auto"/>
              <w:jc w:val="left"/>
              <w:rPr>
                <w:rFonts w:eastAsiaTheme="minorEastAsia"/>
                <w:color w:val="000000"/>
                <w:kern w:val="0"/>
                <w:sz w:val="24"/>
                <w:szCs w:val="24"/>
              </w:rPr>
            </w:pPr>
          </w:p>
        </w:tc>
        <w:tc>
          <w:tcPr>
            <w:tcW w:w="2694" w:type="dxa"/>
            <w:vMerge/>
            <w:vAlign w:val="center"/>
          </w:tcPr>
          <w:p w:rsidR="004061AC" w:rsidRPr="006B72F7" w:rsidRDefault="004061AC" w:rsidP="008014F9">
            <w:pPr>
              <w:widowControl/>
              <w:spacing w:line="360" w:lineRule="auto"/>
              <w:jc w:val="left"/>
              <w:rPr>
                <w:rFonts w:eastAsiaTheme="minorEastAsia"/>
                <w:color w:val="000000"/>
                <w:kern w:val="0"/>
                <w:sz w:val="24"/>
                <w:szCs w:val="24"/>
              </w:rPr>
            </w:pPr>
          </w:p>
        </w:tc>
      </w:tr>
      <w:tr>
        <w:tc>
          <w:tcPr>
            <w:vAlign w:val="center"/>
          </w:tcPr>
          <w:p>
            <w:pPr>
              <w:jc w:val="center"/>
            </w:pPr>
            <w:r>
              <w:rPr>
                <w:rFonts w:eastAsiaTheme="minorEastAsia"/>
                <w:color w:val="000000"/>
                <w:sz w:val="24"/>
                <w:szCs w:val="24"/>
              </w:rPr>
              <w:t>代宇</w:t>
            </w:r>
          </w:p>
        </w:tc>
        <w:tc>
          <w:tcPr>
            <w:vAlign w:val="center"/>
          </w:tcPr>
          <w:p>
            <w:pPr>
              <w:jc w:val="center"/>
            </w:pPr>
            <w:r>
              <w:rPr>
                <w:rFonts w:eastAsiaTheme="minorEastAsia"/>
                <w:color w:val="000000"/>
                <w:sz w:val="24"/>
                <w:szCs w:val="24"/>
              </w:rPr>
              <w:t>本基金的基金经理；广发聚利债券基金的基金经理；广发聚财信用债券基金的基金经理；广发集利一年定期开放债券基金的基金经理；广发成长优选混合基金的基金经理；广发聚惠混合基金的基金经理；广发安泰回报基金的基金经理；广发安心回报基金的基金经理；广发双债添利债券基金的基金经理；广发安瑞回报混合基金的基金经理；广发安祥回报混合基金的基金经理；广发集丰债券基金的基金经理；广发汇瑞一年定开债券基金的基金经理；广发汇平一年定期债券基金的基金经理；广发安泽回报纯债基金的基金经理；广发汇富一年定期债券基金的基金经理；广发汇安18个月定期债券基金的基金经理；广发汇祥一年定期债券基金的基金经理；广发量化稳健混合基金的基金经理；固定收益部副总经理</w:t>
            </w:r>
          </w:p>
        </w:tc>
        <w:tc>
          <w:tcPr>
            <w:vAlign w:val="center"/>
          </w:tcPr>
          <w:p>
            <w:pPr>
              <w:jc w:val="center"/>
            </w:pPr>
            <w:r>
              <w:rPr>
                <w:rFonts w:eastAsiaTheme="minorEastAsia"/>
                <w:color w:val="000000"/>
                <w:sz w:val="24"/>
                <w:szCs w:val="24"/>
              </w:rPr>
              <w:t>2016-12-12</w:t>
            </w:r>
          </w:p>
        </w:tc>
        <w:tc>
          <w:tcPr>
            <w:vAlign w:val="center"/>
          </w:tcPr>
          <w:p>
            <w:pPr>
              <w:jc w:val="center"/>
            </w:pPr>
            <w:r>
              <w:rPr>
                <w:rFonts w:eastAsiaTheme="minorEastAsia"/>
                <w:color w:val="000000"/>
                <w:sz w:val="24"/>
                <w:szCs w:val="24"/>
              </w:rPr>
              <w:t>2017-09-01</w:t>
            </w:r>
          </w:p>
        </w:tc>
        <w:tc>
          <w:tcPr>
            <w:vAlign w:val="center"/>
          </w:tcPr>
          <w:p>
            <w:pPr>
              <w:jc w:val="center"/>
            </w:pPr>
            <w:r>
              <w:rPr>
                <w:rFonts w:eastAsiaTheme="minorEastAsia"/>
                <w:color w:val="000000"/>
                <w:sz w:val="24"/>
                <w:szCs w:val="24"/>
              </w:rPr>
              <w:t>12年</w:t>
            </w:r>
          </w:p>
        </w:tc>
        <w:tc>
          <w:tcPr>
            <w:vAlign w:val="center"/>
          </w:tcPr>
          <w:p>
            <w:pPr>
              <w:jc w:val="both"/>
            </w:pPr>
            <w:r>
              <w:rPr>
                <w:rFonts w:eastAsiaTheme="minorEastAsia"/>
                <w:color w:val="000000"/>
                <w:sz w:val="24"/>
                <w:szCs w:val="24"/>
              </w:rPr>
              <w:t>女，中国籍，金融学硕士，持有中国证券投资基金业从业证书，2005年7月至2011年6月先后任广发基金管理有限公司固定收益部研究员及交易员、国际业务部研究员、机构投资部专户投资经理，2011年7月调入固定收益部任投资人员，2011年8月5日起任广发聚利债券基金的基金经理，2012年3月13日起任广发聚财信用债券基金的基金经理，2013年6月5日至2015年7月23日任广发聚鑫债券基金的基金经理，2013年8月21日起任广发集利一年定期开放债券基金的基金经理，2015年2月17日起任广发成长优选混合基金的基金经理，2015年4月15日起任广发聚惠混合基金的基金经理，2015年5月14日起任广发安泰回报混合基金和广发安心回报混合基金的基金经理，2015年5月27日起任广发双债添利债券基金的基金经理，2016年4月26日起任固定收益部副总经理，2016年7月26日起任广发安瑞回报混合基金的基金经理，2016年8月19日起任广发安祥回报混合基金的基金经理，2016年11月9日起任广发集丰债券基金的基金经理，2016年11月28日起任广发汇瑞一年定开债券基金的基金经理，2016年12月13日起任广发新常态混合基金的基金经理，2017年1月6日起任广发汇平一年定期债券基金的基金经理，2017年2月8日起任广发安泽回报纯债债券基金的基金经理，2017年2月13日起任广发汇富一年定期债券基金的基金经理，2017年3月31日起任广发汇安18个月定期债券基金的基金经理，2017年6月27日起任广发汇祥一年定期债券基金的基金经理，2017年8月4日起任广发量化稳健混合基金的基金经理。</w:t>
            </w:r>
          </w:p>
        </w:tc>
      </w:tr>
      <w:tr>
        <w:tc>
          <w:tcPr>
            <w:vAlign w:val="center"/>
          </w:tcPr>
          <w:p>
            <w:pPr>
              <w:jc w:val="center"/>
            </w:pPr>
            <w:r>
              <w:rPr>
                <w:rFonts w:eastAsiaTheme="minorEastAsia"/>
                <w:color w:val="000000"/>
                <w:sz w:val="24"/>
                <w:szCs w:val="24"/>
              </w:rPr>
              <w:t>王小松</w:t>
            </w:r>
          </w:p>
        </w:tc>
        <w:tc>
          <w:tcPr>
            <w:vAlign w:val="center"/>
          </w:tcPr>
          <w:p>
            <w:pPr>
              <w:jc w:val="center"/>
            </w:pPr>
            <w:r>
              <w:rPr>
                <w:rFonts w:eastAsiaTheme="minorEastAsia"/>
                <w:color w:val="000000"/>
                <w:sz w:val="24"/>
                <w:szCs w:val="24"/>
              </w:rPr>
              <w:t>本基金的基金经理；广发策略优选混合基金的基金经理；广发成长优选混合基金的基金经理；广发内需增长混合基金的基金经理；广发新兴产业精选混合基金的基金经理；广发改革混合基金的基金经理</w:t>
            </w:r>
          </w:p>
        </w:tc>
        <w:tc>
          <w:tcPr>
            <w:vAlign w:val="center"/>
          </w:tcPr>
          <w:p>
            <w:pPr>
              <w:jc w:val="center"/>
            </w:pPr>
            <w:r>
              <w:rPr>
                <w:rFonts w:eastAsiaTheme="minorEastAsia"/>
                <w:color w:val="000000"/>
                <w:sz w:val="24"/>
                <w:szCs w:val="24"/>
              </w:rPr>
              <w:t>2016-12-05</w:t>
            </w:r>
          </w:p>
        </w:tc>
        <w:tc>
          <w:tcPr>
            <w:vAlign w:val="center"/>
          </w:tcPr>
          <w:p>
            <w:pPr>
              <w:jc w:val="center"/>
            </w:pPr>
            <w:r>
              <w:rPr>
                <w:rFonts w:eastAsiaTheme="minorEastAsia"/>
                <w:color w:val="000000"/>
                <w:sz w:val="24"/>
                <w:szCs w:val="24"/>
              </w:rPr>
              <w:t>2017-09-01</w:t>
            </w:r>
          </w:p>
        </w:tc>
        <w:tc>
          <w:tcPr>
            <w:vAlign w:val="center"/>
          </w:tcPr>
          <w:p>
            <w:pPr>
              <w:jc w:val="center"/>
            </w:pPr>
            <w:r>
              <w:rPr>
                <w:rFonts w:eastAsiaTheme="minorEastAsia"/>
                <w:color w:val="000000"/>
                <w:sz w:val="24"/>
                <w:szCs w:val="24"/>
              </w:rPr>
              <w:t>10年</w:t>
            </w:r>
          </w:p>
        </w:tc>
        <w:tc>
          <w:tcPr>
            <w:vAlign w:val="center"/>
          </w:tcPr>
          <w:p>
            <w:pPr>
              <w:jc w:val="both"/>
            </w:pPr>
            <w:r>
              <w:rPr>
                <w:rFonts w:eastAsiaTheme="minorEastAsia"/>
                <w:color w:val="000000"/>
                <w:sz w:val="24"/>
                <w:szCs w:val="24"/>
              </w:rPr>
              <w:t>男，中国籍，经济学硕士，持有中国证券投资基金业从业证书，自2007年7月至2009年9月在联合证券有限责任公司投资银行总部从事投行业务，2009年10月至2013年5月先后在华泰联合证券有限责任公司和国联安基金管理有限公司任研究员，2013年6月起加入广发基金管理有限公司，先后在研究发展部和权益投资一部任研究员，2014年12月24日起任广发策略优选混合基金的基金经理，2015年2月17日起任广发成长优选混合基金的基金经理，2015年6月13日起任广发内需增长混合基金的基金经理，2016年1月29日起任广发新兴产业精选混合基金的基金经理，2016年12月5日起任广发新常态混合基金的基金经理，2017年4月21日起任广发改革混合基金的基金经理。</w:t>
            </w:r>
          </w:p>
        </w:tc>
      </w:tr>
    </w:tbl>
    <w:p>
      <w:pPr>
        <w:spacing w:line="360" w:lineRule="auto"/>
        <w:ind w:firstLineChars="200" w:firstLine="480"/>
        <w:rPr>
          <w:rFonts w:eastAsiaTheme="minorEastAsia"/>
          <w:color w:val="000000"/>
          <w:sz w:val="24"/>
          <w:szCs w:val="24"/>
        </w:rPr>
      </w:pPr>
      <w:r>
        <w:rPr>
          <w:rFonts w:eastAsiaTheme="minorEastAsia"/>
          <w:color w:val="000000"/>
          <w:sz w:val="24"/>
          <w:szCs w:val="24"/>
        </w:rPr>
        <w:t>注：1.“任职日期”和“离职日期”指公司公告聘任或解聘日期。</w:t>
      </w:r>
    </w:p>
    <w:p w:rsidR="004061AC" w:rsidRPr="006B72F7" w:rsidRDefault="00F743D4" w:rsidP="006B72F7">
      <w:pPr>
        <w:spacing w:line="360" w:lineRule="auto"/>
        <w:ind w:firstLineChars="200" w:firstLine="480"/>
        <w:rPr>
          <w:rFonts w:eastAsiaTheme="minorEastAsia"/>
          <w:color w:val="000000"/>
          <w:sz w:val="24"/>
          <w:szCs w:val="24"/>
        </w:rPr>
      </w:pPr>
      <w:r w:rsidRPr="00CD2DB1">
        <w:rPr>
          <w:rFonts w:eastAsiaTheme="minorEastAsia" w:hint="eastAsia"/>
          <w:color w:val="000000"/>
          <w:sz w:val="24"/>
          <w:szCs w:val="24"/>
        </w:rPr>
        <w:t/>
      </w:r>
      <w:r w:rsidR="004061AC" w:rsidRPr="00CD2DB1">
        <w:rPr>
          <w:rFonts w:eastAsiaTheme="minorEastAsia"/>
          <w:color w:val="000000"/>
          <w:sz w:val="24"/>
          <w:szCs w:val="24"/>
        </w:rPr>
        <w:t>2.证券从业的含义遵从行业协会《证券业从业人员资格管理办法》的相关规定。</w:t>
      </w:r>
    </w:p>
    <w:p w:rsidR="004061AC" w:rsidRPr="001611C5" w:rsidRDefault="004061AC" w:rsidP="009E7C6A">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b/>
          <w:bCs/>
          <w:color w:val="000000"/>
          <w:kern w:val="0"/>
          <w:sz w:val="24"/>
          <w:szCs w:val="24"/>
        </w:rPr>
        <w:t xml:space="preserve">4.2 </w:t>
      </w:r>
      <w:r w:rsidRPr="001611C5">
        <w:rPr>
          <w:rFonts w:asciiTheme="minorEastAsia" w:eastAsiaTheme="minorEastAsia" w:hAnsiTheme="minorEastAsia" w:hint="eastAsia"/>
          <w:b/>
          <w:bCs/>
          <w:color w:val="000000"/>
          <w:kern w:val="0"/>
          <w:sz w:val="24"/>
          <w:szCs w:val="24"/>
        </w:rPr>
        <w:t>管理人对报告期内本基金运作遵规守信情况的说明</w:t>
      </w:r>
    </w:p>
    <w:p w:rsidR="004061AC" w:rsidRPr="006B72F7" w:rsidRDefault="004061AC" w:rsidP="006B72F7">
      <w:pPr>
        <w:spacing w:line="360" w:lineRule="auto"/>
        <w:ind w:firstLineChars="200" w:firstLine="480"/>
        <w:rPr>
          <w:rFonts w:eastAsiaTheme="minorEastAsia"/>
          <w:color w:val="000000"/>
          <w:sz w:val="24"/>
          <w:szCs w:val="24"/>
        </w:rPr>
      </w:pPr>
      <w:r w:rsidRPr="00CD2DB1">
        <w:rPr>
          <w:rFonts w:eastAsiaTheme="minorEastAsia"/>
          <w:color w:val="000000"/>
          <w:sz w:val="24"/>
          <w:szCs w:val="24"/>
        </w:rPr>
        <w:t>本报告期内，本基金管理人严格遵守《中华人民共和国证券投资基金法》及其配套法规、《广发新常态灵活配置混合型证券投资基金基金合同》和其他有关法律法规的规定，本着诚实信用、勤勉尽责的原则管理和运用基金资产，在严格控制风险的基础上，为基金份额持有人谋求最大利益。本报告期内，基金运作合法合规，无损害基金持有人利益的行为，基金的投资管理符合有关法规及基金合同的规定。</w:t>
      </w:r>
    </w:p>
    <w:p w:rsidR="004061AC" w:rsidRPr="001611C5" w:rsidRDefault="004061AC" w:rsidP="009E7C6A">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b/>
          <w:bCs/>
          <w:color w:val="000000"/>
          <w:kern w:val="0"/>
          <w:sz w:val="24"/>
          <w:szCs w:val="24"/>
        </w:rPr>
        <w:t xml:space="preserve">4.3 </w:t>
      </w:r>
      <w:r w:rsidRPr="001611C5">
        <w:rPr>
          <w:rFonts w:asciiTheme="minorEastAsia" w:eastAsiaTheme="minorEastAsia" w:hAnsiTheme="minorEastAsia" w:hint="eastAsia"/>
          <w:b/>
          <w:bCs/>
          <w:color w:val="000000"/>
          <w:kern w:val="0"/>
          <w:sz w:val="24"/>
          <w:szCs w:val="24"/>
        </w:rPr>
        <w:t>公平交易专项说明</w:t>
      </w:r>
    </w:p>
    <w:p w:rsidR="004061AC" w:rsidRPr="001611C5" w:rsidRDefault="004061AC" w:rsidP="009E7C6A">
      <w:pPr>
        <w:spacing w:line="360" w:lineRule="auto"/>
        <w:rPr>
          <w:rFonts w:asciiTheme="minorEastAsia" w:eastAsiaTheme="minorEastAsia" w:hAnsiTheme="minorEastAsia"/>
          <w:color w:val="000000"/>
          <w:sz w:val="24"/>
          <w:szCs w:val="24"/>
        </w:rPr>
      </w:pPr>
      <w:r w:rsidRPr="001611C5">
        <w:rPr>
          <w:rFonts w:asciiTheme="minorEastAsia" w:eastAsiaTheme="minorEastAsia" w:hAnsiTheme="minorEastAsia"/>
          <w:color w:val="000000"/>
          <w:sz w:val="24"/>
          <w:szCs w:val="24"/>
        </w:rPr>
        <w:t xml:space="preserve">4.3.1 </w:t>
      </w:r>
      <w:r w:rsidRPr="001611C5">
        <w:rPr>
          <w:rFonts w:asciiTheme="minorEastAsia" w:eastAsiaTheme="minorEastAsia" w:hAnsiTheme="minorEastAsia" w:hint="eastAsia"/>
          <w:color w:val="000000"/>
          <w:sz w:val="24"/>
          <w:szCs w:val="24"/>
        </w:rPr>
        <w:t>公平交易制度的执行情况</w:t>
      </w:r>
    </w:p>
    <w:p>
      <w:pPr>
        <w:spacing w:line="360" w:lineRule="auto"/>
        <w:ind w:firstLineChars="200" w:firstLine="480"/>
        <w:rPr>
          <w:rFonts w:eastAsiaTheme="minorEastAsia"/>
          <w:color w:val="000000"/>
          <w:sz w:val="24"/>
          <w:szCs w:val="24"/>
        </w:rPr>
      </w:pPr>
      <w:r>
        <w:rPr>
          <w:rFonts w:eastAsiaTheme="minorEastAsia"/>
          <w:color w:val="000000"/>
          <w:sz w:val="24"/>
          <w:szCs w:val="24"/>
        </w:rPr>
        <w:t>公司通过建立科学、制衡的投资决策体系，加强交易分配环节的内部控制，并通过实时的行为监控与及时的分析评估，保证公平交易原则的实现。</w:t>
      </w:r>
    </w:p>
    <w:p>
      <w:pPr>
        <w:spacing w:line="360" w:lineRule="auto"/>
        <w:ind w:firstLineChars="200" w:firstLine="480"/>
        <w:rPr>
          <w:rFonts w:eastAsiaTheme="minorEastAsia"/>
          <w:color w:val="000000"/>
          <w:sz w:val="24"/>
          <w:szCs w:val="24"/>
        </w:rPr>
      </w:pPr>
      <w:r>
        <w:rPr>
          <w:rFonts w:eastAsiaTheme="minorEastAsia"/>
          <w:color w:val="000000"/>
          <w:sz w:val="24"/>
          <w:szCs w:val="24"/>
        </w:rPr>
        <w:t>在投资决策的内部控制方面，公司制度规定投资组合投资的股票必须来源于备选股票库，重点投资的股票必须来源于核心股票库。公司建立了严格的投资授权制度，投资组合经理在授权范围内可以自主决策，超过投资权限的操作需要经过严格的审批程序。在交易过程中，中央交易部按照“时间优先、价格优先、比例分配、综合平衡”的原则，公平分配投资指令。监察稽核部风险控制岗通过投资交易系统对投资交易过程进行实时监控及预警，实现投资风险的事中风险控制；稽核岗通过对投资、研究及交易等全流程的独立监察稽核，实现投资风险的事后控制。</w:t>
      </w:r>
    </w:p>
    <w:p w:rsidR="004061AC" w:rsidRPr="00CD2DB1" w:rsidRDefault="004061AC" w:rsidP="001611C5">
      <w:pPr>
        <w:spacing w:line="360" w:lineRule="auto"/>
        <w:ind w:firstLineChars="200" w:firstLine="480"/>
        <w:rPr>
          <w:rFonts w:eastAsiaTheme="minorEastAsia"/>
          <w:color w:val="000000"/>
          <w:sz w:val="24"/>
          <w:szCs w:val="24"/>
        </w:rPr>
      </w:pPr>
      <w:r w:rsidRPr="00CD2DB1">
        <w:rPr>
          <w:rFonts w:eastAsiaTheme="minorEastAsia"/>
          <w:color w:val="000000"/>
          <w:sz w:val="24"/>
          <w:szCs w:val="24"/>
        </w:rPr>
        <w:t/>
      </w:r>
      <w:r w:rsidR="00957594" w:rsidRPr="00CD2DB1">
        <w:rPr>
          <w:rFonts w:eastAsiaTheme="minorEastAsia"/>
          <w:color w:val="000000"/>
          <w:sz w:val="24"/>
          <w:szCs w:val="24"/>
        </w:rPr>
        <w:t/>
      </w:r>
      <w:r w:rsidRPr="00CD2DB1">
        <w:rPr>
          <w:rFonts w:eastAsiaTheme="minorEastAsia"/>
          <w:color w:val="000000"/>
          <w:sz w:val="24"/>
          <w:szCs w:val="24"/>
        </w:rPr>
        <w:t>本报告期内，上述公平交易制度总体执行情况良好，不同的投资组合受到了公平对待，未发生任何不公平的交易事项。</w:t>
      </w:r>
    </w:p>
    <w:p w:rsidR="004061AC" w:rsidRPr="001611C5" w:rsidRDefault="004061AC" w:rsidP="009E7C6A">
      <w:pPr>
        <w:spacing w:line="360" w:lineRule="auto"/>
        <w:rPr>
          <w:rFonts w:asciiTheme="minorEastAsia" w:eastAsiaTheme="minorEastAsia" w:hAnsiTheme="minorEastAsia"/>
          <w:color w:val="000000"/>
          <w:sz w:val="24"/>
          <w:szCs w:val="24"/>
        </w:rPr>
      </w:pPr>
      <w:r w:rsidRPr="001611C5">
        <w:rPr>
          <w:rFonts w:asciiTheme="minorEastAsia" w:eastAsiaTheme="minorEastAsia" w:hAnsiTheme="minorEastAsia"/>
          <w:color w:val="000000"/>
          <w:sz w:val="24"/>
          <w:szCs w:val="24"/>
        </w:rPr>
        <w:t xml:space="preserve">4.3.2 </w:t>
      </w:r>
      <w:r w:rsidRPr="001611C5">
        <w:rPr>
          <w:rFonts w:asciiTheme="minorEastAsia" w:eastAsiaTheme="minorEastAsia" w:hAnsiTheme="minorEastAsia" w:hint="eastAsia"/>
          <w:color w:val="000000"/>
          <w:sz w:val="24"/>
          <w:szCs w:val="24"/>
        </w:rPr>
        <w:t>异常交易行为的专项说明</w:t>
      </w:r>
    </w:p>
    <w:p>
      <w:pPr>
        <w:spacing w:line="360" w:lineRule="auto"/>
        <w:ind w:firstLineChars="200" w:firstLine="480"/>
        <w:rPr>
          <w:rFonts w:eastAsiaTheme="minorEastAsia"/>
          <w:color w:val="000000"/>
          <w:sz w:val="24"/>
          <w:szCs w:val="24"/>
        </w:rPr>
      </w:pPr>
      <w:r>
        <w:rPr>
          <w:rFonts w:eastAsiaTheme="minorEastAsia" w:hint="eastAsia"/>
          <w:color w:val="000000"/>
          <w:sz w:val="24"/>
          <w:szCs w:val="24"/>
        </w:rPr>
        <w:t>本公司原则上禁止不同投资组合之间（完全按照有关指数的构成比例进行证券投资的投资组合除外）或同一投资组合在同一交易日内进行反向交易。如果因应对大额赎回等特殊情况需要进行反向交易的，则需经公司领导严格审批并留痕备查。</w:t>
      </w:r>
    </w:p>
    <w:p w:rsidR="004061AC" w:rsidRPr="006B72F7" w:rsidRDefault="00957594" w:rsidP="006B72F7">
      <w:pPr>
        <w:spacing w:line="360" w:lineRule="auto"/>
        <w:ind w:firstLineChars="200" w:firstLine="480"/>
        <w:rPr>
          <w:rFonts w:eastAsiaTheme="minorEastAsia"/>
          <w:color w:val="000000"/>
          <w:sz w:val="24"/>
          <w:szCs w:val="24"/>
        </w:rPr>
      </w:pPr>
      <w:r w:rsidRPr="00CD2DB1">
        <w:rPr>
          <w:rFonts w:eastAsiaTheme="minorEastAsia" w:hint="eastAsia"/>
          <w:color w:val="000000"/>
          <w:sz w:val="24"/>
          <w:szCs w:val="24"/>
        </w:rPr>
        <w:t/>
      </w:r>
      <w:r w:rsidRPr="00CD2DB1">
        <w:rPr>
          <w:rFonts w:eastAsiaTheme="minorEastAsia"/>
          <w:color w:val="000000"/>
          <w:sz w:val="24"/>
          <w:szCs w:val="24"/>
        </w:rPr>
        <w:t/>
      </w:r>
      <w:r w:rsidRPr="00CD2DB1">
        <w:rPr>
          <w:rFonts w:eastAsiaTheme="minorEastAsia" w:hint="eastAsia"/>
          <w:color w:val="000000"/>
          <w:sz w:val="24"/>
          <w:szCs w:val="24"/>
        </w:rPr>
        <w:t>本投资组合为主动型开放式基金。本报告期内，本投资组合与本公司管理的其他主动型投资组合未发生过同日反向交易的情况；与本公司管理的被动型投资组合发生过同日反向交易的情况，但成交较少的单边交易量不超过该证券当日成交量的5%。这些交易不存在任何利益输送的嫌疑。</w:t>
      </w:r>
    </w:p>
    <w:p w:rsidR="00091D41" w:rsidRPr="00B75DF8" w:rsidRDefault="00091D41" w:rsidP="00091D41">
      <w:pPr>
        <w:autoSpaceDE w:val="0"/>
        <w:autoSpaceDN w:val="0"/>
        <w:adjustRightInd w:val="0"/>
        <w:spacing w:line="360" w:lineRule="auto"/>
        <w:jc w:val="left"/>
        <w:rPr>
          <w:rFonts w:asciiTheme="minorEastAsia" w:eastAsiaTheme="minorEastAsia" w:hAnsiTheme="minorEastAsia" w:cs="Arial"/>
          <w:b/>
          <w:color w:val="000000"/>
          <w:kern w:val="0"/>
          <w:sz w:val="24"/>
        </w:rPr>
      </w:pPr>
      <w:r w:rsidRPr="00B75DF8">
        <w:rPr>
          <w:rFonts w:asciiTheme="minorEastAsia" w:eastAsiaTheme="minorEastAsia" w:hAnsiTheme="minorEastAsia" w:cs="Arial"/>
          <w:b/>
          <w:color w:val="000000"/>
          <w:kern w:val="0"/>
          <w:sz w:val="24"/>
        </w:rPr>
        <w:t>4.4</w:t>
      </w:r>
      <w:r w:rsidR="007650D9">
        <w:rPr>
          <w:rFonts w:asciiTheme="minorEastAsia" w:eastAsiaTheme="minorEastAsia" w:hAnsiTheme="minorEastAsia" w:cs="Arial" w:hint="eastAsia"/>
          <w:b/>
          <w:color w:val="000000"/>
          <w:kern w:val="0"/>
          <w:sz w:val="24"/>
        </w:rPr>
        <w:t xml:space="preserve"> </w:t>
      </w:r>
      <w:r>
        <w:rPr>
          <w:rFonts w:ascii="宋体" w:hAnsi="宋体" w:hint="eastAsia"/>
          <w:b/>
          <w:color w:val="000000"/>
          <w:sz w:val="24"/>
        </w:rPr>
        <w:t>报告期内基金的投资策略和运作分析</w:t>
      </w:r>
    </w:p>
    <w:p>
      <w:pPr>
        <w:spacing w:line="360" w:lineRule="auto"/>
        <w:ind w:firstLineChars="200" w:firstLine="480"/>
        <w:rPr>
          <w:rFonts w:asciiTheme="minorEastAsia" w:eastAsiaTheme="minorEastAsia" w:hAnsiTheme="minorEastAsia"/>
          <w:color w:val="000000"/>
          <w:sz w:val="24"/>
        </w:rPr>
      </w:pPr>
      <w:r>
        <w:rPr>
          <w:rFonts w:eastAsiaTheme="minorEastAsia"/>
          <w:color w:val="000000"/>
          <w:sz w:val="24"/>
        </w:rPr>
        <w:t>2017年第3季度的债券市场仿佛是缩小版的第2季度,同样都是先跌后涨,振幅较大,前后对比整体继续下跌。并且国债表现都差过金融债和企业债。</w:t>
      </w:r>
    </w:p>
    <w:p>
      <w:pPr>
        <w:spacing w:line="360" w:lineRule="auto"/>
        <w:ind w:firstLineChars="200" w:firstLine="480"/>
        <w:rPr>
          <w:rFonts w:asciiTheme="minorEastAsia" w:eastAsiaTheme="minorEastAsia" w:hAnsiTheme="minorEastAsia"/>
          <w:color w:val="000000"/>
          <w:sz w:val="24"/>
        </w:rPr>
      </w:pPr>
      <w:r>
        <w:rPr>
          <w:rFonts w:eastAsiaTheme="minorEastAsia"/>
          <w:color w:val="000000"/>
          <w:sz w:val="24"/>
        </w:rPr>
        <w:t>基本面来看，2017年第三季度和第二季度亦有相似之处。上一季度，始自2016年来的经济复苏小高潮有暂告一段落的迹象，3月多项数据为当期高点，四五月逐次降低。同样，6月数据显著超预期，之后7-8月接连回落，整体来说宏观经济呈现稳中趋降的特征。从生产看，6月工业增加值同比7.6%，大幅超出市场预期；7-8月工业增速下滑至6.0%，这一方面与环保限产带来的供给冲击有关，另一方面反映外需拉动的减弱；从国内需求来看，社零名义与实际增速6月以来震荡下行，地产相关类消费拖累整体数据表现，另外汽车消费也受到基数抬高的影响。固定资产投资方面，6-8月同样呈现下行走势，7月三大投资全线下滑，8月基建投资拖累整体投资表现。外贸方面，7-8月出口增速连续回落，进口尚属平稳。金融数据方面，6-8月整体反应出社融、信贷两旺的特征，9月信贷更是大超预期，同时广义货币增速不断创历史新低，8月M2增速更是跌破9%，9月回升到9.2%，反映金融同业杠杆的肃清。</w:t>
      </w:r>
    </w:p>
    <w:p>
      <w:pPr>
        <w:spacing w:line="360" w:lineRule="auto"/>
        <w:ind w:firstLineChars="200" w:firstLine="480"/>
        <w:rPr>
          <w:rFonts w:asciiTheme="minorEastAsia" w:eastAsiaTheme="minorEastAsia" w:hAnsiTheme="minorEastAsia"/>
          <w:color w:val="000000"/>
          <w:sz w:val="24"/>
        </w:rPr>
      </w:pPr>
      <w:r>
        <w:rPr>
          <w:rFonts w:eastAsiaTheme="minorEastAsia"/>
          <w:color w:val="000000"/>
          <w:sz w:val="24"/>
        </w:rPr>
        <w:t>伴随以上基本面的变化，三季度，债市收益率整体先上后下，呈现倒“V型”走势。从时间节奏上看，7月-8月是收益率震荡上行期，推动收益率上行的因素包括大宗商品上行冲击市场通胀预期、低超储率背景下资金面阶段性收紧超预期等；9月是行情的转折点，流动性阶段性缓和、经济数据意外低于预期等因素推动收益率快速下行，9月中下旬开始重新转入震荡。全季来看利率债收益率小幅上行，收益率曲线先陡后平，信用利差先上后下。较上季末，10年国债上行5bp至3.61%附近；10年国开基本持平于4.19%附近。</w:t>
      </w:r>
    </w:p>
    <w:p>
      <w:pPr>
        <w:spacing w:line="360" w:lineRule="auto"/>
        <w:ind w:firstLineChars="200" w:firstLine="480"/>
        <w:rPr>
          <w:rFonts w:asciiTheme="minorEastAsia" w:eastAsiaTheme="minorEastAsia" w:hAnsiTheme="minorEastAsia"/>
          <w:color w:val="000000"/>
          <w:sz w:val="24"/>
        </w:rPr>
      </w:pPr>
      <w:r>
        <w:rPr>
          <w:rFonts w:eastAsiaTheme="minorEastAsia"/>
          <w:color w:val="000000"/>
          <w:sz w:val="24"/>
        </w:rPr>
        <w:t>可转债市场方面，股市涨幅可观，尤其是白马股屡创新高，转债也有所表现。</w:t>
      </w:r>
    </w:p>
    <w:p>
      <w:pPr>
        <w:spacing w:line="360" w:lineRule="auto"/>
        <w:ind w:firstLineChars="200" w:firstLine="480"/>
        <w:rPr>
          <w:rFonts w:asciiTheme="minorEastAsia" w:eastAsiaTheme="minorEastAsia" w:hAnsiTheme="minorEastAsia"/>
          <w:color w:val="000000"/>
          <w:sz w:val="24"/>
        </w:rPr>
      </w:pPr>
      <w:r>
        <w:rPr>
          <w:rFonts w:eastAsiaTheme="minorEastAsia"/>
          <w:color w:val="000000"/>
          <w:sz w:val="24"/>
        </w:rPr>
        <w:t>截至9月30日，中债综合净价指数下跌0.35%。分品种看，中债国债总净价指数下跌0.87%；中证金融债净价指数下跌0.36%；中证企业债净价指数下跌0.25%。</w:t>
      </w:r>
    </w:p>
    <w:p w:rsidR="00091D41" w:rsidRPr="00B75DF8" w:rsidRDefault="00091D41" w:rsidP="00091D41">
      <w:pPr>
        <w:spacing w:line="360" w:lineRule="auto"/>
        <w:ind w:firstLineChars="200" w:firstLine="480"/>
        <w:rPr>
          <w:rFonts w:asciiTheme="minorEastAsia" w:eastAsiaTheme="minorEastAsia" w:hAnsiTheme="minorEastAsia"/>
          <w:color w:val="000000"/>
          <w:sz w:val="24"/>
        </w:rPr>
      </w:pPr>
      <w:r w:rsidRPr="00264591">
        <w:rPr>
          <w:rFonts w:eastAsiaTheme="minorEastAsia"/>
          <w:color w:val="000000"/>
          <w:sz w:val="24"/>
        </w:rPr>
        <w:lastRenderedPageBreak/>
        <w:t>本季度无操作。</w:t>
      </w:r>
    </w:p>
    <w:p w:rsidR="00091D41" w:rsidRPr="000A6C57" w:rsidRDefault="00091D41" w:rsidP="00091D41">
      <w:pPr>
        <w:autoSpaceDE w:val="0"/>
        <w:autoSpaceDN w:val="0"/>
        <w:adjustRightInd w:val="0"/>
        <w:spacing w:line="360" w:lineRule="auto"/>
        <w:jc w:val="left"/>
        <w:rPr>
          <w:rFonts w:asciiTheme="minorEastAsia" w:eastAsiaTheme="minorEastAsia" w:hAnsiTheme="minorEastAsia" w:cs="Arial"/>
          <w:b/>
          <w:color w:val="000000"/>
          <w:kern w:val="0"/>
          <w:sz w:val="24"/>
        </w:rPr>
      </w:pPr>
      <w:r>
        <w:rPr>
          <w:rFonts w:asciiTheme="minorEastAsia" w:eastAsiaTheme="minorEastAsia" w:hAnsiTheme="minorEastAsia" w:cs="Arial" w:hint="eastAsia"/>
          <w:b/>
          <w:color w:val="000000"/>
          <w:kern w:val="0"/>
          <w:sz w:val="24"/>
        </w:rPr>
        <w:t>4.5</w:t>
      </w:r>
      <w:r w:rsidR="007650D9">
        <w:rPr>
          <w:rFonts w:asciiTheme="minorEastAsia" w:eastAsiaTheme="minorEastAsia" w:hAnsiTheme="minorEastAsia" w:cs="Arial" w:hint="eastAsia"/>
          <w:b/>
          <w:color w:val="000000"/>
          <w:kern w:val="0"/>
          <w:sz w:val="24"/>
        </w:rPr>
        <w:t xml:space="preserve"> </w:t>
      </w:r>
      <w:r>
        <w:rPr>
          <w:rFonts w:ascii="宋体" w:hAnsi="宋体" w:hint="eastAsia"/>
          <w:b/>
          <w:color w:val="000000"/>
          <w:sz w:val="24"/>
        </w:rPr>
        <w:t>报告期内基金的业绩表现</w:t>
      </w:r>
    </w:p>
    <w:p w:rsidR="00091D41" w:rsidRPr="00264591" w:rsidRDefault="00091D41" w:rsidP="00091D41">
      <w:pPr>
        <w:spacing w:line="360" w:lineRule="auto"/>
        <w:ind w:firstLineChars="200" w:firstLine="480"/>
        <w:rPr>
          <w:rFonts w:eastAsiaTheme="minorEastAsia"/>
          <w:color w:val="000000"/>
          <w:sz w:val="24"/>
        </w:rPr>
      </w:pPr>
      <w:r w:rsidRPr="00264591">
        <w:rPr>
          <w:rFonts w:eastAsiaTheme="minorEastAsia"/>
          <w:color w:val="000000"/>
          <w:sz w:val="24"/>
        </w:rPr>
        <w:t>本报告期内，广发新常态净值增长率为1.26%，同期业绩比较基准收益率为3.67%。</w:t>
      </w:r>
    </w:p>
    <w:p w:rsidR="00091D41" w:rsidRPr="00C61B41" w:rsidRDefault="00091D41" w:rsidP="00091D41">
      <w:pPr>
        <w:autoSpaceDE w:val="0"/>
        <w:autoSpaceDN w:val="0"/>
        <w:adjustRightInd w:val="0"/>
        <w:spacing w:line="360" w:lineRule="auto"/>
        <w:jc w:val="left"/>
        <w:rPr>
          <w:rFonts w:asciiTheme="minorEastAsia" w:eastAsiaTheme="minorEastAsia" w:hAnsiTheme="minorEastAsia" w:cs="Arial"/>
          <w:b/>
          <w:color w:val="000000"/>
          <w:kern w:val="0"/>
          <w:sz w:val="24"/>
        </w:rPr>
      </w:pPr>
      <w:r w:rsidRPr="00C61B41">
        <w:rPr>
          <w:rFonts w:asciiTheme="minorEastAsia" w:eastAsiaTheme="minorEastAsia" w:hAnsiTheme="minorEastAsia" w:cs="Arial"/>
          <w:b/>
          <w:color w:val="000000"/>
          <w:kern w:val="0"/>
          <w:sz w:val="24"/>
        </w:rPr>
        <w:t>4</w:t>
      </w:r>
      <w:r>
        <w:rPr>
          <w:rFonts w:asciiTheme="minorEastAsia" w:eastAsiaTheme="minorEastAsia" w:hAnsiTheme="minorEastAsia" w:cs="Arial" w:hint="eastAsia"/>
          <w:b/>
          <w:color w:val="000000"/>
          <w:kern w:val="0"/>
          <w:sz w:val="24"/>
        </w:rPr>
        <w:t>.</w:t>
      </w:r>
      <w:r w:rsidRPr="00C61B41">
        <w:rPr>
          <w:rFonts w:asciiTheme="minorEastAsia" w:eastAsiaTheme="minorEastAsia" w:hAnsiTheme="minorEastAsia" w:cs="Arial" w:hint="eastAsia"/>
          <w:b/>
          <w:color w:val="000000"/>
          <w:kern w:val="0"/>
          <w:sz w:val="24"/>
        </w:rPr>
        <w:t>6</w:t>
      </w:r>
      <w:r w:rsidRPr="004841CF">
        <w:rPr>
          <w:rFonts w:ascii="宋体" w:hAnsi="宋体" w:hint="eastAsia"/>
          <w:b/>
          <w:color w:val="000000"/>
          <w:sz w:val="24"/>
        </w:rPr>
        <w:t>报告期内基金持有人数或基金资产净值预警说明</w:t>
      </w:r>
    </w:p>
    <w:p w:rsidR="00091D41" w:rsidRPr="00CB1AA0" w:rsidRDefault="00091D41" w:rsidP="00091D41">
      <w:pPr>
        <w:spacing w:line="360" w:lineRule="auto"/>
        <w:ind w:firstLineChars="200" w:firstLine="480"/>
        <w:rPr>
          <w:rFonts w:eastAsiaTheme="minorEastAsia"/>
          <w:color w:val="000000"/>
          <w:sz w:val="24"/>
        </w:rPr>
      </w:pPr>
      <w:r w:rsidRPr="00C61B41">
        <w:rPr>
          <w:rFonts w:eastAsiaTheme="minorEastAsia"/>
          <w:color w:val="000000" w:themeColor="text1"/>
          <w:kern w:val="0"/>
          <w:sz w:val="24"/>
        </w:rPr>
        <w:t/>
      </w:r>
      <w:r w:rsidRPr="00C61B41">
        <w:rPr>
          <w:rFonts w:eastAsiaTheme="minorEastAsia"/>
          <w:color w:val="000000"/>
          <w:sz w:val="24"/>
        </w:rPr>
        <w:t/>
      </w:r>
      <w:r w:rsidRPr="00C61B41">
        <w:rPr>
          <w:rFonts w:eastAsiaTheme="minorEastAsia"/>
          <w:color w:val="000000" w:themeColor="text1"/>
          <w:kern w:val="0"/>
          <w:sz w:val="24"/>
        </w:rPr>
        <w:t>本报告期内，本基金存在连续二十个工作日基金资产净值低于五千万的情形。基金管理人已向中国证监会报告此情形并将采取适当措施。</w:t>
      </w:r>
    </w:p>
    <w:p w:rsidR="004061AC" w:rsidRPr="001611C5" w:rsidRDefault="004061AC" w:rsidP="001B2F35">
      <w:pPr>
        <w:pStyle w:val="1"/>
        <w:spacing w:beforeLines="100" w:before="312" w:afterLines="100" w:after="312" w:line="360" w:lineRule="auto"/>
        <w:jc w:val="center"/>
        <w:rPr>
          <w:rFonts w:asciiTheme="minorEastAsia" w:eastAsiaTheme="minorEastAsia" w:hAnsiTheme="minorEastAsia"/>
          <w:color w:val="000000"/>
          <w:kern w:val="0"/>
          <w:sz w:val="24"/>
          <w:szCs w:val="24"/>
        </w:rPr>
      </w:pPr>
      <w:r w:rsidRPr="001611C5">
        <w:rPr>
          <w:rFonts w:asciiTheme="minorEastAsia" w:eastAsiaTheme="minorEastAsia" w:hAnsiTheme="minorEastAsia" w:hint="eastAsia"/>
          <w:color w:val="000000"/>
          <w:kern w:val="0"/>
          <w:sz w:val="24"/>
          <w:szCs w:val="24"/>
        </w:rPr>
        <w:t>§</w:t>
      </w:r>
      <w:r w:rsidR="001C0993" w:rsidRPr="001611C5">
        <w:rPr>
          <w:rFonts w:asciiTheme="minorEastAsia" w:eastAsiaTheme="minorEastAsia" w:hAnsiTheme="minorEastAsia" w:hint="eastAsia"/>
          <w:color w:val="000000"/>
          <w:kern w:val="0"/>
          <w:sz w:val="24"/>
          <w:szCs w:val="24"/>
        </w:rPr>
        <w:t>5</w:t>
      </w:r>
      <w:r w:rsidRPr="001611C5">
        <w:rPr>
          <w:rFonts w:asciiTheme="minorEastAsia" w:eastAsiaTheme="minorEastAsia" w:hAnsiTheme="minorEastAsia"/>
          <w:color w:val="000000"/>
          <w:kern w:val="0"/>
          <w:sz w:val="24"/>
          <w:szCs w:val="24"/>
        </w:rPr>
        <w:t xml:space="preserve">  </w:t>
      </w:r>
      <w:r w:rsidRPr="001611C5">
        <w:rPr>
          <w:rFonts w:asciiTheme="minorEastAsia" w:eastAsiaTheme="minorEastAsia" w:hAnsiTheme="minorEastAsia" w:hint="eastAsia"/>
          <w:color w:val="000000"/>
          <w:kern w:val="0"/>
          <w:sz w:val="24"/>
          <w:szCs w:val="24"/>
        </w:rPr>
        <w:t>投资组合报告</w:t>
      </w:r>
    </w:p>
    <w:p w:rsidR="004061AC" w:rsidRPr="001611C5" w:rsidRDefault="004061AC" w:rsidP="001B0A62">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b/>
          <w:bCs/>
          <w:color w:val="000000"/>
          <w:kern w:val="0"/>
          <w:sz w:val="24"/>
          <w:szCs w:val="24"/>
        </w:rPr>
        <w:t xml:space="preserve">5.1 </w:t>
      </w:r>
      <w:r w:rsidRPr="001611C5">
        <w:rPr>
          <w:rFonts w:asciiTheme="minorEastAsia" w:eastAsiaTheme="minorEastAsia" w:hAnsiTheme="minorEastAsia" w:hint="eastAsia"/>
          <w:b/>
          <w:bCs/>
          <w:color w:val="000000"/>
          <w:kern w:val="0"/>
          <w:sz w:val="24"/>
          <w:szCs w:val="24"/>
        </w:rPr>
        <w:t>报告期末基金资产组合情况</w:t>
      </w:r>
    </w:p>
    <w:tbl>
      <w:tblPr>
        <w:tblStyle w:val="af7"/>
        <w:tblW w:w="8897" w:type="dxa"/>
        <w:jc w:val="center"/>
        <w:tblLayout w:type="fixed"/>
        <w:tblLook w:val="04A0" w:firstRow="1" w:lastRow="0" w:firstColumn="1" w:lastColumn="0" w:noHBand="0" w:noVBand="1"/>
      </w:tblPr>
      <w:tblGrid>
        <w:gridCol w:w="720"/>
        <w:gridCol w:w="3357"/>
        <w:gridCol w:w="2977"/>
        <w:gridCol w:w="1843"/>
      </w:tblGrid>
      <w:tr w:rsidR="00C91E1B" w:rsidRPr="001611C5" w:rsidTr="0069426C">
        <w:trPr>
          <w:jc w:val="center"/>
        </w:trPr>
        <w:tc>
          <w:tcPr>
            <w:tcW w:w="720" w:type="dxa"/>
            <w:vAlign w:val="center"/>
          </w:tcPr>
          <w:p w:rsidR="00853140" w:rsidRPr="006B72F7" w:rsidRDefault="00853140" w:rsidP="00F71057">
            <w:pPr>
              <w:spacing w:before="29" w:line="360" w:lineRule="auto"/>
              <w:ind w:left="17"/>
              <w:jc w:val="center"/>
              <w:rPr>
                <w:rFonts w:eastAsiaTheme="minorEastAsia"/>
                <w:color w:val="000000"/>
                <w:sz w:val="24"/>
                <w:szCs w:val="24"/>
              </w:rPr>
            </w:pPr>
            <w:r w:rsidRPr="006B72F7">
              <w:rPr>
                <w:rFonts w:eastAsiaTheme="minorEastAsia"/>
                <w:color w:val="000000"/>
                <w:sz w:val="24"/>
                <w:szCs w:val="24"/>
              </w:rPr>
              <w:t>序号</w:t>
            </w:r>
          </w:p>
        </w:tc>
        <w:tc>
          <w:tcPr>
            <w:tcW w:w="3357" w:type="dxa"/>
            <w:vAlign w:val="center"/>
          </w:tcPr>
          <w:p w:rsidR="00853140" w:rsidRPr="006B72F7" w:rsidRDefault="00853140" w:rsidP="00F71057">
            <w:pPr>
              <w:spacing w:before="29" w:line="360" w:lineRule="auto"/>
              <w:ind w:left="17"/>
              <w:jc w:val="center"/>
              <w:rPr>
                <w:rFonts w:eastAsiaTheme="minorEastAsia"/>
                <w:color w:val="000000"/>
                <w:sz w:val="24"/>
                <w:szCs w:val="24"/>
              </w:rPr>
            </w:pPr>
            <w:r w:rsidRPr="006B72F7">
              <w:rPr>
                <w:rFonts w:eastAsiaTheme="minorEastAsia"/>
                <w:color w:val="000000"/>
                <w:sz w:val="24"/>
                <w:szCs w:val="24"/>
              </w:rPr>
              <w:t>项目</w:t>
            </w:r>
          </w:p>
        </w:tc>
        <w:tc>
          <w:tcPr>
            <w:tcW w:w="2977" w:type="dxa"/>
            <w:vAlign w:val="center"/>
          </w:tcPr>
          <w:p w:rsidR="00853140" w:rsidRPr="006B72F7" w:rsidRDefault="00853140" w:rsidP="00316484">
            <w:pPr>
              <w:spacing w:before="29" w:line="360" w:lineRule="auto"/>
              <w:ind w:left="17"/>
              <w:jc w:val="center"/>
              <w:rPr>
                <w:rFonts w:eastAsiaTheme="minorEastAsia"/>
                <w:color w:val="000000"/>
                <w:sz w:val="24"/>
                <w:szCs w:val="24"/>
              </w:rPr>
            </w:pPr>
            <w:r w:rsidRPr="006B72F7">
              <w:rPr>
                <w:rFonts w:eastAsiaTheme="minorEastAsia"/>
                <w:color w:val="000000"/>
                <w:sz w:val="24"/>
                <w:szCs w:val="24"/>
              </w:rPr>
              <w:t>金额</w:t>
            </w:r>
            <w:r w:rsidR="00D57B7C" w:rsidRPr="006B72F7">
              <w:rPr>
                <w:rFonts w:eastAsiaTheme="minorEastAsia"/>
                <w:color w:val="000000"/>
                <w:sz w:val="24"/>
                <w:szCs w:val="24"/>
              </w:rPr>
              <w:t>(</w:t>
            </w:r>
            <w:r w:rsidRPr="006B72F7">
              <w:rPr>
                <w:rFonts w:eastAsiaTheme="minorEastAsia"/>
                <w:color w:val="000000"/>
                <w:sz w:val="24"/>
                <w:szCs w:val="24"/>
              </w:rPr>
              <w:t>元</w:t>
            </w:r>
            <w:r w:rsidR="00D57B7C" w:rsidRPr="006B72F7">
              <w:rPr>
                <w:rFonts w:eastAsiaTheme="minorEastAsia"/>
                <w:color w:val="000000"/>
                <w:sz w:val="24"/>
                <w:szCs w:val="24"/>
              </w:rPr>
              <w:t>)</w:t>
            </w:r>
          </w:p>
        </w:tc>
        <w:tc>
          <w:tcPr>
            <w:tcW w:w="1843" w:type="dxa"/>
            <w:vAlign w:val="center"/>
          </w:tcPr>
          <w:p w:rsidR="00853140" w:rsidRPr="006B72F7" w:rsidRDefault="00853140" w:rsidP="00316484">
            <w:pPr>
              <w:spacing w:before="29" w:line="360" w:lineRule="auto"/>
              <w:ind w:left="17"/>
              <w:jc w:val="center"/>
              <w:rPr>
                <w:rFonts w:eastAsiaTheme="minorEastAsia"/>
                <w:color w:val="000000"/>
                <w:sz w:val="24"/>
                <w:szCs w:val="24"/>
              </w:rPr>
            </w:pPr>
            <w:r w:rsidRPr="006B72F7">
              <w:rPr>
                <w:rFonts w:eastAsiaTheme="minorEastAsia"/>
                <w:color w:val="000000"/>
                <w:sz w:val="24"/>
                <w:szCs w:val="24"/>
              </w:rPr>
              <w:t>占基金总资产的比例</w:t>
            </w:r>
            <w:r w:rsidR="00D57B7C" w:rsidRPr="006B72F7">
              <w:rPr>
                <w:rFonts w:eastAsiaTheme="minorEastAsia"/>
                <w:color w:val="000000"/>
                <w:sz w:val="24"/>
                <w:szCs w:val="24"/>
              </w:rPr>
              <w:t>(</w:t>
            </w:r>
            <w:r w:rsidRPr="006B72F7">
              <w:rPr>
                <w:rFonts w:eastAsiaTheme="minorEastAsia"/>
                <w:color w:val="000000"/>
                <w:sz w:val="24"/>
                <w:szCs w:val="24"/>
              </w:rPr>
              <w:t>%</w:t>
            </w:r>
            <w:r w:rsidR="00D57B7C" w:rsidRPr="006B72F7">
              <w:rPr>
                <w:rFonts w:eastAsiaTheme="minorEastAsia"/>
                <w:color w:val="000000"/>
                <w:sz w:val="24"/>
                <w:szCs w:val="24"/>
              </w:rPr>
              <w:t>)</w:t>
            </w:r>
          </w:p>
        </w:tc>
      </w:tr>
      <w:tr w:rsidR="00C91E1B" w:rsidRPr="001611C5" w:rsidTr="0069426C">
        <w:trPr>
          <w:jc w:val="center"/>
        </w:trPr>
        <w:tc>
          <w:tcPr>
            <w:tcW w:w="720" w:type="dxa"/>
            <w:vAlign w:val="center"/>
          </w:tcPr>
          <w:p w:rsidR="00853140" w:rsidRPr="006B72F7" w:rsidRDefault="00853140" w:rsidP="00A03AAC">
            <w:pPr>
              <w:spacing w:before="29" w:line="360" w:lineRule="auto"/>
              <w:ind w:left="17"/>
              <w:jc w:val="center"/>
              <w:rPr>
                <w:rFonts w:eastAsiaTheme="minorEastAsia"/>
                <w:color w:val="000000"/>
                <w:sz w:val="24"/>
                <w:szCs w:val="24"/>
              </w:rPr>
            </w:pPr>
            <w:r w:rsidRPr="006B72F7">
              <w:rPr>
                <w:rFonts w:eastAsiaTheme="minorEastAsia"/>
                <w:color w:val="000000"/>
                <w:sz w:val="24"/>
                <w:szCs w:val="24"/>
              </w:rPr>
              <w:t>1</w:t>
            </w:r>
          </w:p>
        </w:tc>
        <w:tc>
          <w:tcPr>
            <w:tcW w:w="3357" w:type="dxa"/>
            <w:vAlign w:val="center"/>
          </w:tcPr>
          <w:p w:rsidR="00853140" w:rsidRPr="006B72F7" w:rsidRDefault="00853140" w:rsidP="00EA70F1">
            <w:pPr>
              <w:spacing w:before="29" w:line="360" w:lineRule="auto"/>
              <w:ind w:left="17"/>
              <w:jc w:val="left"/>
              <w:rPr>
                <w:rFonts w:eastAsiaTheme="minorEastAsia"/>
                <w:sz w:val="24"/>
                <w:szCs w:val="24"/>
              </w:rPr>
            </w:pPr>
            <w:r w:rsidRPr="006B72F7">
              <w:rPr>
                <w:rFonts w:eastAsiaTheme="minorEastAsia"/>
                <w:color w:val="000000"/>
                <w:sz w:val="24"/>
                <w:szCs w:val="24"/>
              </w:rPr>
              <w:t>权益投资</w:t>
            </w:r>
          </w:p>
        </w:tc>
        <w:tc>
          <w:tcPr>
            <w:tcW w:w="2977" w:type="dxa"/>
            <w:vAlign w:val="center"/>
          </w:tcPr>
          <w:p w:rsidR="00853140" w:rsidRPr="006B72F7" w:rsidRDefault="00C77AEF" w:rsidP="00C77AEF">
            <w:pPr>
              <w:spacing w:before="29" w:line="360" w:lineRule="auto"/>
              <w:ind w:left="17"/>
              <w:jc w:val="right"/>
              <w:rPr>
                <w:rFonts w:eastAsiaTheme="minorEastAsia"/>
                <w:color w:val="000000"/>
                <w:sz w:val="24"/>
                <w:szCs w:val="24"/>
              </w:rPr>
            </w:pPr>
            <w:r w:rsidRPr="006B72F7">
              <w:rPr>
                <w:rFonts w:eastAsiaTheme="minorEastAsia"/>
                <w:color w:val="000000"/>
                <w:sz w:val="24"/>
                <w:szCs w:val="24"/>
              </w:rPr>
              <w:t>4,944,100.00</w:t>
            </w:r>
          </w:p>
        </w:tc>
        <w:tc>
          <w:tcPr>
            <w:tcW w:w="1843" w:type="dxa"/>
            <w:vAlign w:val="center"/>
          </w:tcPr>
          <w:p w:rsidR="00853140" w:rsidRPr="006B72F7" w:rsidRDefault="001675CD"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19.45</w:t>
            </w:r>
          </w:p>
        </w:tc>
      </w:tr>
      <w:tr w:rsidR="00C91E1B" w:rsidRPr="001611C5" w:rsidTr="0069426C">
        <w:trPr>
          <w:jc w:val="center"/>
        </w:trPr>
        <w:tc>
          <w:tcPr>
            <w:tcW w:w="720" w:type="dxa"/>
            <w:vAlign w:val="center"/>
          </w:tcPr>
          <w:p w:rsidR="00853140" w:rsidRPr="006B72F7" w:rsidRDefault="00853140" w:rsidP="00A03AAC">
            <w:pPr>
              <w:spacing w:before="29" w:line="360" w:lineRule="auto"/>
              <w:ind w:left="17"/>
              <w:jc w:val="center"/>
              <w:rPr>
                <w:rFonts w:eastAsiaTheme="minorEastAsia"/>
                <w:color w:val="000000"/>
                <w:sz w:val="24"/>
                <w:szCs w:val="24"/>
              </w:rPr>
            </w:pPr>
          </w:p>
        </w:tc>
        <w:tc>
          <w:tcPr>
            <w:tcW w:w="3357" w:type="dxa"/>
            <w:vAlign w:val="center"/>
          </w:tcPr>
          <w:p w:rsidR="00853140" w:rsidRPr="006B72F7" w:rsidRDefault="00853140" w:rsidP="00EA70F1">
            <w:pPr>
              <w:spacing w:before="29" w:line="360" w:lineRule="auto"/>
              <w:ind w:left="17"/>
              <w:jc w:val="left"/>
              <w:rPr>
                <w:rFonts w:eastAsiaTheme="minorEastAsia"/>
                <w:sz w:val="24"/>
                <w:szCs w:val="24"/>
              </w:rPr>
            </w:pPr>
            <w:r w:rsidRPr="006B72F7">
              <w:rPr>
                <w:rFonts w:eastAsiaTheme="minorEastAsia"/>
                <w:color w:val="000000"/>
                <w:sz w:val="24"/>
                <w:szCs w:val="24"/>
              </w:rPr>
              <w:t>其中：股票</w:t>
            </w:r>
          </w:p>
        </w:tc>
        <w:tc>
          <w:tcPr>
            <w:tcW w:w="2977" w:type="dxa"/>
            <w:vAlign w:val="center"/>
          </w:tcPr>
          <w:p w:rsidR="00853140" w:rsidRPr="006B72F7" w:rsidRDefault="001675CD"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4,944,100.00</w:t>
            </w:r>
          </w:p>
        </w:tc>
        <w:tc>
          <w:tcPr>
            <w:tcW w:w="1843" w:type="dxa"/>
            <w:vAlign w:val="center"/>
          </w:tcPr>
          <w:p w:rsidR="00853140" w:rsidRPr="006B72F7" w:rsidRDefault="001675CD"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19.45</w:t>
            </w:r>
          </w:p>
        </w:tc>
      </w:tr>
      <w:tr w:rsidR="00C91E1B" w:rsidRPr="001611C5" w:rsidTr="0069426C">
        <w:trPr>
          <w:jc w:val="center"/>
        </w:trPr>
        <w:tc>
          <w:tcPr>
            <w:tcW w:w="720" w:type="dxa"/>
            <w:vAlign w:val="center"/>
          </w:tcPr>
          <w:p w:rsidR="00853140" w:rsidRPr="006B72F7" w:rsidRDefault="00853140" w:rsidP="00A03AAC">
            <w:pPr>
              <w:spacing w:before="29" w:line="360" w:lineRule="auto"/>
              <w:ind w:left="17"/>
              <w:jc w:val="center"/>
              <w:rPr>
                <w:rFonts w:eastAsiaTheme="minorEastAsia"/>
                <w:color w:val="000000"/>
                <w:sz w:val="24"/>
                <w:szCs w:val="24"/>
              </w:rPr>
            </w:pPr>
            <w:r w:rsidRPr="006B72F7">
              <w:rPr>
                <w:rFonts w:eastAsiaTheme="minorEastAsia"/>
                <w:color w:val="000000"/>
                <w:sz w:val="24"/>
                <w:szCs w:val="24"/>
              </w:rPr>
              <w:t>2</w:t>
            </w:r>
          </w:p>
        </w:tc>
        <w:tc>
          <w:tcPr>
            <w:tcW w:w="3357" w:type="dxa"/>
            <w:vAlign w:val="center"/>
          </w:tcPr>
          <w:p w:rsidR="00853140" w:rsidRPr="006B72F7" w:rsidRDefault="00853140" w:rsidP="00EA70F1">
            <w:pPr>
              <w:spacing w:before="29" w:line="360" w:lineRule="auto"/>
              <w:ind w:left="17"/>
              <w:jc w:val="left"/>
              <w:rPr>
                <w:rFonts w:eastAsiaTheme="minorEastAsia"/>
                <w:sz w:val="24"/>
                <w:szCs w:val="24"/>
              </w:rPr>
            </w:pPr>
            <w:r w:rsidRPr="006B72F7">
              <w:rPr>
                <w:rFonts w:eastAsiaTheme="minorEastAsia"/>
                <w:color w:val="000000"/>
                <w:sz w:val="24"/>
                <w:szCs w:val="24"/>
              </w:rPr>
              <w:t>固定收益投资</w:t>
            </w:r>
          </w:p>
        </w:tc>
        <w:tc>
          <w:tcPr>
            <w:tcW w:w="2977" w:type="dxa"/>
            <w:vAlign w:val="center"/>
          </w:tcPr>
          <w:p w:rsidR="00853140" w:rsidRPr="006B72F7" w:rsidRDefault="001675CD"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c>
          <w:tcPr>
            <w:tcW w:w="1843" w:type="dxa"/>
            <w:vAlign w:val="center"/>
          </w:tcPr>
          <w:p w:rsidR="00853140" w:rsidRPr="006B72F7" w:rsidRDefault="001675CD"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r>
      <w:tr w:rsidR="00C91E1B" w:rsidRPr="001611C5" w:rsidTr="0069426C">
        <w:trPr>
          <w:jc w:val="center"/>
        </w:trPr>
        <w:tc>
          <w:tcPr>
            <w:tcW w:w="720" w:type="dxa"/>
            <w:vAlign w:val="center"/>
          </w:tcPr>
          <w:p w:rsidR="00853140" w:rsidRPr="006B72F7" w:rsidRDefault="00853140" w:rsidP="00A03AAC">
            <w:pPr>
              <w:spacing w:before="29" w:line="360" w:lineRule="auto"/>
              <w:ind w:left="17"/>
              <w:jc w:val="center"/>
              <w:rPr>
                <w:rFonts w:eastAsiaTheme="minorEastAsia"/>
                <w:color w:val="000000"/>
                <w:sz w:val="24"/>
                <w:szCs w:val="24"/>
              </w:rPr>
            </w:pPr>
          </w:p>
        </w:tc>
        <w:tc>
          <w:tcPr>
            <w:tcW w:w="3357" w:type="dxa"/>
            <w:vAlign w:val="center"/>
          </w:tcPr>
          <w:p w:rsidR="00853140" w:rsidRPr="006B72F7" w:rsidRDefault="00853140" w:rsidP="00EA70F1">
            <w:pPr>
              <w:spacing w:before="29" w:line="360" w:lineRule="auto"/>
              <w:ind w:left="17"/>
              <w:jc w:val="left"/>
              <w:rPr>
                <w:rFonts w:eastAsiaTheme="minorEastAsia"/>
                <w:sz w:val="24"/>
                <w:szCs w:val="24"/>
              </w:rPr>
            </w:pPr>
            <w:r w:rsidRPr="006B72F7">
              <w:rPr>
                <w:rFonts w:eastAsiaTheme="minorEastAsia"/>
                <w:color w:val="000000"/>
                <w:sz w:val="24"/>
                <w:szCs w:val="24"/>
              </w:rPr>
              <w:t>其中：债券</w:t>
            </w:r>
          </w:p>
        </w:tc>
        <w:tc>
          <w:tcPr>
            <w:tcW w:w="2977" w:type="dxa"/>
            <w:vAlign w:val="center"/>
          </w:tcPr>
          <w:p w:rsidR="00853140" w:rsidRPr="006B72F7" w:rsidRDefault="001675CD"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c>
          <w:tcPr>
            <w:tcW w:w="1843" w:type="dxa"/>
            <w:vAlign w:val="center"/>
          </w:tcPr>
          <w:p w:rsidR="00853140" w:rsidRPr="006B72F7" w:rsidRDefault="001675CD"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
            </w:r>
            <w:r w:rsidRPr="006B72F7">
              <w:rPr>
                <w:rFonts w:eastAsiaTheme="minorEastAsia"/>
                <w:color w:val="000000"/>
                <w:sz w:val="24"/>
                <w:szCs w:val="24"/>
              </w:rPr>
              <w:lastRenderedPageBreak/>
              <w:t>-</w:t>
            </w:r>
          </w:p>
        </w:tc>
      </w:tr>
      <w:tr w:rsidR="00C91E1B" w:rsidRPr="001611C5" w:rsidTr="0069426C">
        <w:trPr>
          <w:jc w:val="center"/>
        </w:trPr>
        <w:tc>
          <w:tcPr>
            <w:tcW w:w="720" w:type="dxa"/>
            <w:vAlign w:val="center"/>
          </w:tcPr>
          <w:p w:rsidR="00853140" w:rsidRPr="006B72F7" w:rsidRDefault="00853140" w:rsidP="00A03AAC">
            <w:pPr>
              <w:spacing w:before="29" w:line="360" w:lineRule="auto"/>
              <w:ind w:left="17"/>
              <w:jc w:val="center"/>
              <w:rPr>
                <w:rFonts w:eastAsiaTheme="minorEastAsia"/>
                <w:color w:val="000000"/>
                <w:sz w:val="24"/>
                <w:szCs w:val="24"/>
              </w:rPr>
            </w:pPr>
          </w:p>
        </w:tc>
        <w:tc>
          <w:tcPr>
            <w:tcW w:w="3357" w:type="dxa"/>
            <w:vAlign w:val="center"/>
          </w:tcPr>
          <w:p w:rsidR="00853140" w:rsidRPr="006B72F7" w:rsidRDefault="00853140" w:rsidP="001611C5">
            <w:pPr>
              <w:autoSpaceDE w:val="0"/>
              <w:autoSpaceDN w:val="0"/>
              <w:adjustRightInd w:val="0"/>
              <w:spacing w:before="29" w:line="360" w:lineRule="auto"/>
              <w:ind w:left="17" w:firstLineChars="250" w:firstLine="600"/>
              <w:jc w:val="left"/>
              <w:rPr>
                <w:rFonts w:eastAsiaTheme="minorEastAsia"/>
                <w:color w:val="000000"/>
                <w:sz w:val="24"/>
                <w:szCs w:val="24"/>
              </w:rPr>
            </w:pPr>
            <w:r w:rsidRPr="006B72F7">
              <w:rPr>
                <w:rFonts w:eastAsiaTheme="minorEastAsia"/>
                <w:color w:val="000000"/>
                <w:sz w:val="24"/>
                <w:szCs w:val="24"/>
              </w:rPr>
              <w:t>资产支持证券</w:t>
            </w:r>
          </w:p>
        </w:tc>
        <w:tc>
          <w:tcPr>
            <w:tcW w:w="2977" w:type="dxa"/>
            <w:vAlign w:val="center"/>
          </w:tcPr>
          <w:p w:rsidR="00853140" w:rsidRPr="006B72F7" w:rsidRDefault="001675CD"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c>
          <w:tcPr>
            <w:tcW w:w="1843" w:type="dxa"/>
            <w:vAlign w:val="center"/>
          </w:tcPr>
          <w:p w:rsidR="00853140" w:rsidRPr="006B72F7" w:rsidRDefault="001675CD"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r>
      <w:tr w:rsidR="001D63BB" w:rsidRPr="001611C5" w:rsidTr="00195020">
        <w:trPr>
          <w:jc w:val="center"/>
        </w:trPr>
        <w:tc>
          <w:tcPr>
            <w:tcW w:w="720" w:type="dxa"/>
          </w:tcPr>
          <w:p w:rsidR="001D63BB" w:rsidRPr="006B72F7" w:rsidRDefault="001D63BB" w:rsidP="001D63BB">
            <w:pPr>
              <w:spacing w:before="29" w:line="360" w:lineRule="auto"/>
              <w:ind w:left="17"/>
              <w:jc w:val="center"/>
              <w:rPr>
                <w:rFonts w:eastAsiaTheme="minorEastAsia"/>
                <w:color w:val="000000"/>
                <w:sz w:val="24"/>
                <w:szCs w:val="24"/>
              </w:rPr>
            </w:pPr>
            <w:r w:rsidRPr="006B72F7">
              <w:rPr>
                <w:rFonts w:eastAsiaTheme="minorEastAsia"/>
                <w:color w:val="000000"/>
                <w:sz w:val="24"/>
                <w:szCs w:val="24"/>
              </w:rPr>
              <w:t>3</w:t>
            </w:r>
          </w:p>
        </w:tc>
        <w:tc>
          <w:tcPr>
            <w:tcW w:w="3357" w:type="dxa"/>
          </w:tcPr>
          <w:p w:rsidR="001D63BB" w:rsidRPr="006B72F7" w:rsidRDefault="001D63BB" w:rsidP="001D63BB">
            <w:pPr>
              <w:spacing w:before="29" w:line="360" w:lineRule="auto"/>
              <w:ind w:leftChars="50" w:left="105"/>
              <w:rPr>
                <w:rFonts w:eastAsiaTheme="minorEastAsia"/>
                <w:color w:val="000000"/>
                <w:sz w:val="24"/>
                <w:szCs w:val="24"/>
              </w:rPr>
            </w:pPr>
            <w:r w:rsidRPr="006B72F7">
              <w:rPr>
                <w:rFonts w:eastAsiaTheme="minorEastAsia"/>
                <w:color w:val="000000"/>
                <w:sz w:val="24"/>
                <w:szCs w:val="24"/>
              </w:rPr>
              <w:t>贵金属投资</w:t>
            </w:r>
          </w:p>
        </w:tc>
        <w:tc>
          <w:tcPr>
            <w:tcW w:w="2977" w:type="dxa"/>
            <w:vAlign w:val="center"/>
          </w:tcPr>
          <w:p w:rsidR="001D63BB" w:rsidRPr="006B72F7" w:rsidRDefault="001D63BB" w:rsidP="00DD272F">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c>
          <w:tcPr>
            <w:tcW w:w="1843" w:type="dxa"/>
            <w:vAlign w:val="center"/>
          </w:tcPr>
          <w:p w:rsidR="001D63BB" w:rsidRPr="006B72F7" w:rsidRDefault="001D63BB" w:rsidP="00DD272F">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r>
      <w:tr w:rsidR="001D63BB" w:rsidRPr="001611C5" w:rsidTr="0069426C">
        <w:trPr>
          <w:jc w:val="center"/>
        </w:trPr>
        <w:tc>
          <w:tcPr>
            <w:tcW w:w="720" w:type="dxa"/>
            <w:vAlign w:val="center"/>
          </w:tcPr>
          <w:p w:rsidR="001D63BB" w:rsidRPr="006B72F7" w:rsidRDefault="001D63BB" w:rsidP="00A03AAC">
            <w:pPr>
              <w:spacing w:before="29" w:line="360" w:lineRule="auto"/>
              <w:ind w:left="17"/>
              <w:jc w:val="center"/>
              <w:rPr>
                <w:rFonts w:eastAsiaTheme="minorEastAsia"/>
                <w:color w:val="000000"/>
                <w:sz w:val="24"/>
                <w:szCs w:val="24"/>
              </w:rPr>
            </w:pPr>
            <w:r w:rsidRPr="006B72F7">
              <w:rPr>
                <w:rFonts w:eastAsiaTheme="minorEastAsia"/>
                <w:color w:val="000000"/>
                <w:sz w:val="24"/>
                <w:szCs w:val="24"/>
              </w:rPr>
              <w:t>4</w:t>
            </w:r>
          </w:p>
        </w:tc>
        <w:tc>
          <w:tcPr>
            <w:tcW w:w="3357" w:type="dxa"/>
            <w:vAlign w:val="center"/>
          </w:tcPr>
          <w:p w:rsidR="001D63BB" w:rsidRPr="006B72F7" w:rsidRDefault="001D63BB" w:rsidP="00EA70F1">
            <w:pPr>
              <w:spacing w:before="29" w:line="360" w:lineRule="auto"/>
              <w:ind w:left="17"/>
              <w:jc w:val="left"/>
              <w:rPr>
                <w:rFonts w:eastAsiaTheme="minorEastAsia"/>
                <w:color w:val="000000"/>
                <w:sz w:val="24"/>
                <w:szCs w:val="24"/>
              </w:rPr>
            </w:pPr>
            <w:r w:rsidRPr="006B72F7">
              <w:rPr>
                <w:rFonts w:eastAsiaTheme="minorEastAsia"/>
                <w:color w:val="000000"/>
                <w:sz w:val="24"/>
                <w:szCs w:val="24"/>
              </w:rPr>
              <w:t>金融衍生品投资</w:t>
            </w:r>
          </w:p>
        </w:tc>
        <w:tc>
          <w:tcPr>
            <w:tcW w:w="2977" w:type="dxa"/>
            <w:vAlign w:val="center"/>
          </w:tcPr>
          <w:p w:rsidR="001D63BB" w:rsidRPr="006B72F7" w:rsidRDefault="001D63BB"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c>
          <w:tcPr>
            <w:tcW w:w="1843" w:type="dxa"/>
            <w:vAlign w:val="center"/>
          </w:tcPr>
          <w:p w:rsidR="001D63BB" w:rsidRPr="006B72F7" w:rsidRDefault="001D63BB"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r>
      <w:tr w:rsidR="001D63BB" w:rsidRPr="001611C5" w:rsidTr="0069426C">
        <w:trPr>
          <w:jc w:val="center"/>
        </w:trPr>
        <w:tc>
          <w:tcPr>
            <w:tcW w:w="720" w:type="dxa"/>
            <w:vAlign w:val="center"/>
          </w:tcPr>
          <w:p w:rsidR="001D63BB" w:rsidRPr="006B72F7" w:rsidRDefault="001D63BB" w:rsidP="00A03AAC">
            <w:pPr>
              <w:spacing w:before="29" w:line="360" w:lineRule="auto"/>
              <w:ind w:left="17"/>
              <w:jc w:val="center"/>
              <w:rPr>
                <w:rFonts w:eastAsiaTheme="minorEastAsia"/>
                <w:color w:val="000000"/>
                <w:sz w:val="24"/>
                <w:szCs w:val="24"/>
              </w:rPr>
            </w:pPr>
            <w:r w:rsidRPr="006B72F7">
              <w:rPr>
                <w:rFonts w:eastAsiaTheme="minorEastAsia"/>
                <w:color w:val="000000"/>
                <w:sz w:val="24"/>
                <w:szCs w:val="24"/>
              </w:rPr>
              <w:t>5</w:t>
            </w:r>
          </w:p>
        </w:tc>
        <w:tc>
          <w:tcPr>
            <w:tcW w:w="3357" w:type="dxa"/>
            <w:vAlign w:val="center"/>
          </w:tcPr>
          <w:p w:rsidR="001D63BB" w:rsidRPr="006B72F7" w:rsidRDefault="001D63BB" w:rsidP="00EA70F1">
            <w:pPr>
              <w:spacing w:before="29" w:line="360" w:lineRule="auto"/>
              <w:ind w:left="17"/>
              <w:jc w:val="left"/>
              <w:rPr>
                <w:rFonts w:eastAsiaTheme="minorEastAsia"/>
                <w:sz w:val="24"/>
                <w:szCs w:val="24"/>
              </w:rPr>
            </w:pPr>
            <w:r w:rsidRPr="006B72F7">
              <w:rPr>
                <w:rFonts w:eastAsiaTheme="minorEastAsia"/>
                <w:color w:val="000000"/>
                <w:sz w:val="24"/>
                <w:szCs w:val="24"/>
              </w:rPr>
              <w:t>买入返售金融资产</w:t>
            </w:r>
          </w:p>
        </w:tc>
        <w:tc>
          <w:tcPr>
            <w:tcW w:w="2977" w:type="dxa"/>
            <w:vAlign w:val="center"/>
          </w:tcPr>
          <w:p w:rsidR="001D63BB" w:rsidRPr="006B72F7" w:rsidRDefault="001D63BB"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c>
          <w:tcPr>
            <w:tcW w:w="1843" w:type="dxa"/>
            <w:vAlign w:val="center"/>
          </w:tcPr>
          <w:p w:rsidR="001D63BB" w:rsidRPr="006B72F7" w:rsidRDefault="001D63BB" w:rsidP="001675CD">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r>
      <w:tr w:rsidR="001D63BB" w:rsidRPr="001611C5" w:rsidTr="0069426C">
        <w:trPr>
          <w:jc w:val="center"/>
        </w:trPr>
        <w:tc>
          <w:tcPr>
            <w:tcW w:w="720" w:type="dxa"/>
            <w:vAlign w:val="center"/>
          </w:tcPr>
          <w:p w:rsidR="001D63BB" w:rsidRPr="006B72F7" w:rsidRDefault="001D63BB" w:rsidP="00A03AAC">
            <w:pPr>
              <w:spacing w:before="29" w:line="360" w:lineRule="auto"/>
              <w:ind w:left="17"/>
              <w:jc w:val="center"/>
              <w:rPr>
                <w:rFonts w:eastAsiaTheme="minorEastAsia"/>
                <w:color w:val="000000"/>
                <w:sz w:val="24"/>
                <w:szCs w:val="24"/>
              </w:rPr>
            </w:pPr>
          </w:p>
        </w:tc>
        <w:tc>
          <w:tcPr>
            <w:tcW w:w="3357" w:type="dxa"/>
            <w:vAlign w:val="center"/>
          </w:tcPr>
          <w:p w:rsidR="001D63BB" w:rsidRPr="006B72F7" w:rsidRDefault="001D63BB" w:rsidP="00EA70F1">
            <w:pPr>
              <w:spacing w:before="29" w:line="360" w:lineRule="auto"/>
              <w:ind w:left="17"/>
              <w:jc w:val="left"/>
              <w:rPr>
                <w:rFonts w:eastAsiaTheme="minorEastAsia"/>
                <w:sz w:val="24"/>
                <w:szCs w:val="24"/>
              </w:rPr>
            </w:pPr>
            <w:r w:rsidRPr="006B72F7">
              <w:rPr>
                <w:rFonts w:eastAsiaTheme="minorEastAsia"/>
                <w:color w:val="000000"/>
                <w:sz w:val="24"/>
                <w:szCs w:val="24"/>
              </w:rPr>
              <w:t>其中：买断式回购的买入返售金融资产</w:t>
            </w:r>
          </w:p>
        </w:tc>
        <w:tc>
          <w:tcPr>
            <w:tcW w:w="2977" w:type="dxa"/>
            <w:vAlign w:val="center"/>
          </w:tcPr>
          <w:p w:rsidR="001D63BB" w:rsidRPr="006B72F7" w:rsidRDefault="001D63BB"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
            </w:r>
            <w:r w:rsidRPr="006B72F7">
              <w:rPr>
                <w:rFonts w:eastAsiaTheme="minorEastAsia"/>
                <w:color w:val="000000"/>
                <w:sz w:val="24"/>
                <w:szCs w:val="24"/>
              </w:rPr>
              <w:lastRenderedPageBreak/>
              <w:t>-</w:t>
            </w:r>
          </w:p>
        </w:tc>
        <w:tc>
          <w:tcPr>
            <w:tcW w:w="1843" w:type="dxa"/>
            <w:vAlign w:val="center"/>
          </w:tcPr>
          <w:p w:rsidR="001D63BB" w:rsidRPr="006B72F7" w:rsidRDefault="001D63BB"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lastRenderedPageBreak/>
              <w:t/>
            </w:r>
            <w:r w:rsidRPr="006B72F7">
              <w:rPr>
                <w:rFonts w:eastAsiaTheme="minorEastAsia"/>
                <w:color w:val="000000"/>
                <w:sz w:val="24"/>
                <w:szCs w:val="24"/>
              </w:rPr>
              <w:lastRenderedPageBreak/>
              <w:t>-</w:t>
            </w:r>
          </w:p>
        </w:tc>
      </w:tr>
      <w:tr w:rsidR="001D63BB" w:rsidRPr="001611C5" w:rsidTr="0069426C">
        <w:trPr>
          <w:jc w:val="center"/>
        </w:trPr>
        <w:tc>
          <w:tcPr>
            <w:tcW w:w="720" w:type="dxa"/>
            <w:vAlign w:val="center"/>
          </w:tcPr>
          <w:p w:rsidR="001D63BB" w:rsidRPr="006B72F7" w:rsidRDefault="001D63BB" w:rsidP="00A03AAC">
            <w:pPr>
              <w:spacing w:before="29" w:line="360" w:lineRule="auto"/>
              <w:ind w:left="17"/>
              <w:jc w:val="center"/>
              <w:rPr>
                <w:rFonts w:eastAsiaTheme="minorEastAsia"/>
                <w:color w:val="000000"/>
                <w:sz w:val="24"/>
                <w:szCs w:val="24"/>
              </w:rPr>
            </w:pPr>
            <w:r w:rsidRPr="006B72F7">
              <w:rPr>
                <w:rFonts w:eastAsiaTheme="minorEastAsia"/>
                <w:color w:val="000000"/>
                <w:sz w:val="24"/>
                <w:szCs w:val="24"/>
              </w:rPr>
              <w:lastRenderedPageBreak/>
              <w:t>6</w:t>
            </w:r>
          </w:p>
        </w:tc>
        <w:tc>
          <w:tcPr>
            <w:tcW w:w="3357" w:type="dxa"/>
            <w:vAlign w:val="center"/>
          </w:tcPr>
          <w:p w:rsidR="001D63BB" w:rsidRPr="006B72F7" w:rsidRDefault="001D63BB" w:rsidP="00A03AAC">
            <w:pPr>
              <w:spacing w:before="29" w:line="360" w:lineRule="auto"/>
              <w:ind w:left="17"/>
              <w:jc w:val="left"/>
              <w:rPr>
                <w:rFonts w:eastAsiaTheme="minorEastAsia"/>
                <w:sz w:val="24"/>
                <w:szCs w:val="24"/>
              </w:rPr>
            </w:pPr>
            <w:r w:rsidRPr="006B72F7">
              <w:rPr>
                <w:rFonts w:eastAsiaTheme="minorEastAsia"/>
                <w:color w:val="000000"/>
                <w:sz w:val="24"/>
                <w:szCs w:val="24"/>
              </w:rPr>
              <w:t>银行存款和结算备付金合计</w:t>
            </w:r>
          </w:p>
        </w:tc>
        <w:tc>
          <w:tcPr>
            <w:tcW w:w="2977" w:type="dxa"/>
            <w:vAlign w:val="center"/>
          </w:tcPr>
          <w:p w:rsidR="001D63BB" w:rsidRPr="006B72F7" w:rsidRDefault="001D63BB"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20,356,418.95</w:t>
            </w:r>
          </w:p>
        </w:tc>
        <w:tc>
          <w:tcPr>
            <w:tcW w:w="1843" w:type="dxa"/>
            <w:vAlign w:val="center"/>
          </w:tcPr>
          <w:p w:rsidR="001D63BB" w:rsidRPr="006B72F7" w:rsidRDefault="001D63BB" w:rsidP="001675CD">
            <w:pPr>
              <w:spacing w:before="29" w:line="360" w:lineRule="auto"/>
              <w:ind w:left="17"/>
              <w:jc w:val="right"/>
              <w:rPr>
                <w:rFonts w:eastAsiaTheme="minorEastAsia"/>
                <w:color w:val="000000"/>
                <w:sz w:val="24"/>
                <w:szCs w:val="24"/>
              </w:rPr>
            </w:pPr>
            <w:r w:rsidRPr="006B72F7">
              <w:rPr>
                <w:rFonts w:eastAsiaTheme="minorEastAsia"/>
                <w:color w:val="000000"/>
                <w:sz w:val="24"/>
                <w:szCs w:val="24"/>
              </w:rPr>
              <w:t>80.08</w:t>
            </w:r>
          </w:p>
        </w:tc>
      </w:tr>
      <w:tr w:rsidR="001D63BB" w:rsidRPr="001611C5" w:rsidTr="0069426C">
        <w:trPr>
          <w:jc w:val="center"/>
        </w:trPr>
        <w:tc>
          <w:tcPr>
            <w:tcW w:w="720" w:type="dxa"/>
            <w:vAlign w:val="center"/>
          </w:tcPr>
          <w:p w:rsidR="001D63BB" w:rsidRPr="006B72F7" w:rsidRDefault="001D63BB" w:rsidP="001D63BB">
            <w:pPr>
              <w:spacing w:before="29" w:line="360" w:lineRule="auto"/>
              <w:ind w:left="17"/>
              <w:jc w:val="center"/>
              <w:rPr>
                <w:rFonts w:eastAsiaTheme="minorEastAsia"/>
                <w:color w:val="000000"/>
                <w:sz w:val="24"/>
                <w:szCs w:val="24"/>
              </w:rPr>
            </w:pPr>
            <w:r w:rsidRPr="006B72F7">
              <w:rPr>
                <w:rFonts w:eastAsiaTheme="minorEastAsia"/>
                <w:color w:val="000000"/>
                <w:sz w:val="24"/>
                <w:szCs w:val="24"/>
              </w:rPr>
              <w:t>7</w:t>
            </w:r>
          </w:p>
        </w:tc>
        <w:tc>
          <w:tcPr>
            <w:tcW w:w="3357" w:type="dxa"/>
            <w:vAlign w:val="center"/>
          </w:tcPr>
          <w:p w:rsidR="001D63BB" w:rsidRPr="006B72F7" w:rsidRDefault="001D63BB" w:rsidP="00A03AAC">
            <w:pPr>
              <w:jc w:val="left"/>
              <w:rPr>
                <w:rFonts w:eastAsiaTheme="minorEastAsia"/>
                <w:sz w:val="24"/>
                <w:szCs w:val="24"/>
              </w:rPr>
            </w:pPr>
            <w:r w:rsidRPr="006B72F7">
              <w:rPr>
                <w:rFonts w:eastAsiaTheme="minorEastAsia"/>
                <w:color w:val="000000"/>
                <w:sz w:val="24"/>
                <w:szCs w:val="24"/>
              </w:rPr>
              <w:t>其他各项资产</w:t>
            </w:r>
          </w:p>
        </w:tc>
        <w:tc>
          <w:tcPr>
            <w:tcW w:w="2977" w:type="dxa"/>
            <w:vAlign w:val="center"/>
          </w:tcPr>
          <w:p w:rsidR="001D63BB" w:rsidRPr="006B72F7" w:rsidRDefault="001D63BB" w:rsidP="00A03AAC">
            <w:pPr>
              <w:jc w:val="right"/>
              <w:rPr>
                <w:rFonts w:eastAsiaTheme="minorEastAsia"/>
                <w:color w:val="000000"/>
                <w:sz w:val="24"/>
                <w:szCs w:val="24"/>
              </w:rPr>
            </w:pPr>
            <w:r w:rsidRPr="006B72F7">
              <w:rPr>
                <w:rFonts w:eastAsiaTheme="minorEastAsia"/>
                <w:color w:val="000000"/>
                <w:sz w:val="24"/>
                <w:szCs w:val="24"/>
              </w:rPr>
              <w:t>118,660.74</w:t>
            </w:r>
          </w:p>
        </w:tc>
        <w:tc>
          <w:tcPr>
            <w:tcW w:w="1843" w:type="dxa"/>
            <w:vAlign w:val="center"/>
          </w:tcPr>
          <w:p w:rsidR="001D63BB" w:rsidRPr="006B72F7" w:rsidRDefault="001D63BB" w:rsidP="00A03AAC">
            <w:pPr>
              <w:jc w:val="right"/>
              <w:rPr>
                <w:rFonts w:eastAsiaTheme="minorEastAsia"/>
                <w:color w:val="000000"/>
                <w:sz w:val="24"/>
                <w:szCs w:val="24"/>
              </w:rPr>
            </w:pPr>
            <w:r w:rsidRPr="006B72F7">
              <w:rPr>
                <w:rFonts w:eastAsiaTheme="minorEastAsia"/>
                <w:color w:val="000000"/>
                <w:sz w:val="24"/>
                <w:szCs w:val="24"/>
              </w:rPr>
              <w:t>0.47</w:t>
            </w:r>
          </w:p>
        </w:tc>
      </w:tr>
      <w:tr w:rsidR="001D63BB" w:rsidRPr="001611C5" w:rsidTr="0069426C">
        <w:trPr>
          <w:jc w:val="center"/>
        </w:trPr>
        <w:tc>
          <w:tcPr>
            <w:tcW w:w="720" w:type="dxa"/>
            <w:vAlign w:val="center"/>
          </w:tcPr>
          <w:p w:rsidR="001D63BB" w:rsidRPr="006B72F7" w:rsidRDefault="001D63BB" w:rsidP="001D63BB">
            <w:pPr>
              <w:spacing w:before="29" w:line="360" w:lineRule="auto"/>
              <w:ind w:left="17"/>
              <w:jc w:val="center"/>
              <w:rPr>
                <w:rFonts w:eastAsiaTheme="minorEastAsia"/>
                <w:color w:val="000000"/>
                <w:sz w:val="24"/>
                <w:szCs w:val="24"/>
              </w:rPr>
            </w:pPr>
            <w:r w:rsidRPr="006B72F7">
              <w:rPr>
                <w:rFonts w:eastAsiaTheme="minorEastAsia"/>
                <w:color w:val="000000"/>
                <w:sz w:val="24"/>
                <w:szCs w:val="24"/>
              </w:rPr>
              <w:t>8</w:t>
            </w:r>
          </w:p>
        </w:tc>
        <w:tc>
          <w:tcPr>
            <w:tcW w:w="3357" w:type="dxa"/>
            <w:vAlign w:val="center"/>
          </w:tcPr>
          <w:p w:rsidR="001D63BB" w:rsidRPr="006B72F7" w:rsidRDefault="001D63BB" w:rsidP="00A03AAC">
            <w:pPr>
              <w:jc w:val="left"/>
              <w:rPr>
                <w:rFonts w:eastAsiaTheme="minorEastAsia"/>
                <w:sz w:val="24"/>
                <w:szCs w:val="24"/>
              </w:rPr>
            </w:pPr>
            <w:r w:rsidRPr="006B72F7">
              <w:rPr>
                <w:rFonts w:eastAsiaTheme="minorEastAsia"/>
                <w:color w:val="000000"/>
                <w:sz w:val="24"/>
                <w:szCs w:val="24"/>
              </w:rPr>
              <w:t>合计</w:t>
            </w:r>
          </w:p>
        </w:tc>
        <w:tc>
          <w:tcPr>
            <w:tcW w:w="2977" w:type="dxa"/>
            <w:vAlign w:val="center"/>
          </w:tcPr>
          <w:p w:rsidR="001D63BB" w:rsidRPr="006B72F7" w:rsidRDefault="001D63BB" w:rsidP="00A03AAC">
            <w:pPr>
              <w:jc w:val="right"/>
              <w:rPr>
                <w:rFonts w:eastAsiaTheme="minorEastAsia"/>
                <w:color w:val="000000"/>
                <w:sz w:val="24"/>
                <w:szCs w:val="24"/>
              </w:rPr>
            </w:pPr>
            <w:r w:rsidRPr="006B72F7">
              <w:rPr>
                <w:rFonts w:eastAsiaTheme="minorEastAsia"/>
                <w:color w:val="000000"/>
                <w:sz w:val="24"/>
                <w:szCs w:val="24"/>
              </w:rPr>
              <w:t>25,419,179.69</w:t>
            </w:r>
          </w:p>
        </w:tc>
        <w:tc>
          <w:tcPr>
            <w:tcW w:w="1843" w:type="dxa"/>
            <w:vAlign w:val="center"/>
          </w:tcPr>
          <w:p w:rsidR="001D63BB" w:rsidRPr="006B72F7" w:rsidRDefault="001D63BB" w:rsidP="001675CD">
            <w:pPr>
              <w:jc w:val="right"/>
              <w:rPr>
                <w:rFonts w:eastAsiaTheme="minorEastAsia"/>
                <w:color w:val="000000"/>
                <w:sz w:val="24"/>
                <w:szCs w:val="24"/>
              </w:rPr>
            </w:pPr>
            <w:r w:rsidRPr="006B72F7">
              <w:rPr>
                <w:rFonts w:eastAsiaTheme="minorEastAsia"/>
                <w:color w:val="000000"/>
                <w:sz w:val="24"/>
                <w:szCs w:val="24"/>
              </w:rPr>
              <w:t>100.00</w:t>
            </w:r>
          </w:p>
        </w:tc>
      </w:tr>
    </w:tbl>
    <w:p w:rsidR="001043C1" w:rsidRPr="00220C32" w:rsidRDefault="001043C1" w:rsidP="00D065B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5.2 </w:t>
      </w:r>
      <w:r w:rsidRPr="00220C32">
        <w:rPr>
          <w:rFonts w:asciiTheme="minorEastAsia" w:eastAsiaTheme="minorEastAsia" w:hAnsiTheme="minorEastAsia" w:hint="eastAsia"/>
          <w:b/>
          <w:bCs/>
          <w:color w:val="000000" w:themeColor="text1"/>
          <w:kern w:val="0"/>
          <w:sz w:val="24"/>
          <w:szCs w:val="24"/>
        </w:rPr>
        <w:t>报告期末按行业分类的股票投资组合</w:t>
      </w:r>
    </w:p>
    <w:p w:rsidR="001043C1" w:rsidRPr="00791180" w:rsidRDefault="001043C1" w:rsidP="0079118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791180">
        <w:rPr>
          <w:rFonts w:asciiTheme="minorEastAsia" w:eastAsiaTheme="minorEastAsia" w:hAnsiTheme="minorEastAsia" w:hint="eastAsia"/>
          <w:b/>
          <w:bCs/>
          <w:color w:val="000000" w:themeColor="text1"/>
          <w:kern w:val="0"/>
          <w:sz w:val="24"/>
          <w:szCs w:val="24"/>
        </w:rPr>
        <w:t>5.2.1报告期末按行业分类的境内股票投资组合</w:t>
      </w:r>
    </w:p>
    <w:tbl>
      <w:tblPr>
        <w:tblW w:w="88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846"/>
        <w:gridCol w:w="1780"/>
      </w:tblGrid>
      <w:tr w:rsidR="00531F10" w:rsidRPr="001611C5" w:rsidTr="00175D4F">
        <w:trPr>
          <w:trHeight w:val="390"/>
          <w:jc w:val="center"/>
        </w:trPr>
        <w:tc>
          <w:tcPr>
            <w:tcW w:w="540" w:type="dxa"/>
            <w:tcBorders>
              <w:top w:val="single" w:sz="4" w:space="0" w:color="000000"/>
              <w:left w:val="single" w:sz="4" w:space="0" w:color="000000"/>
              <w:bottom w:val="single" w:sz="4" w:space="0" w:color="000000"/>
              <w:right w:val="single" w:sz="4" w:space="0" w:color="000000"/>
            </w:tcBorders>
            <w:vAlign w:val="center"/>
          </w:tcPr>
          <w:p w:rsidR="00531F10" w:rsidRPr="006B72F7" w:rsidRDefault="00531F10" w:rsidP="00175D4F">
            <w:pPr>
              <w:adjustRightInd w:val="0"/>
              <w:snapToGrid w:val="0"/>
              <w:spacing w:line="400" w:lineRule="exact"/>
              <w:jc w:val="center"/>
              <w:rPr>
                <w:rFonts w:eastAsiaTheme="minorEastAsia"/>
                <w:sz w:val="24"/>
                <w:szCs w:val="24"/>
              </w:rPr>
            </w:pPr>
            <w:r w:rsidRPr="006B72F7">
              <w:rPr>
                <w:rFonts w:eastAsiaTheme="minorEastAsia"/>
                <w:sz w:val="24"/>
                <w:szCs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31F10" w:rsidRPr="006B72F7" w:rsidRDefault="00531F10" w:rsidP="00C73BCD">
            <w:pPr>
              <w:adjustRightInd w:val="0"/>
              <w:snapToGrid w:val="0"/>
              <w:spacing w:line="400" w:lineRule="exact"/>
              <w:jc w:val="center"/>
              <w:rPr>
                <w:rFonts w:eastAsiaTheme="minorEastAsia"/>
                <w:sz w:val="24"/>
                <w:szCs w:val="24"/>
              </w:rPr>
            </w:pPr>
            <w:r w:rsidRPr="006B72F7">
              <w:rPr>
                <w:rFonts w:eastAsiaTheme="minorEastAsia"/>
                <w:sz w:val="24"/>
                <w:szCs w:val="24"/>
              </w:rPr>
              <w:t>行业类别</w:t>
            </w:r>
            <w:r w:rsidR="005E475E" w:rsidRPr="006B72F7">
              <w:rPr>
                <w:rFonts w:eastAsiaTheme="minorEastAsia"/>
                <w:sz w:val="24"/>
                <w:szCs w:val="24"/>
              </w:rPr>
              <w:t/>
            </w:r>
          </w:p>
        </w:tc>
        <w:tc>
          <w:tcPr>
            <w:tcW w:w="2846" w:type="dxa"/>
            <w:tcBorders>
              <w:top w:val="single" w:sz="4" w:space="0" w:color="000000"/>
              <w:left w:val="single" w:sz="4" w:space="0" w:color="auto"/>
              <w:bottom w:val="single" w:sz="4" w:space="0" w:color="000000"/>
              <w:right w:val="single" w:sz="4" w:space="0" w:color="000000"/>
            </w:tcBorders>
            <w:vAlign w:val="center"/>
          </w:tcPr>
          <w:p w:rsidR="00531F10" w:rsidRPr="006B72F7" w:rsidRDefault="00531F10" w:rsidP="00171EF0">
            <w:pPr>
              <w:adjustRightInd w:val="0"/>
              <w:snapToGrid w:val="0"/>
              <w:spacing w:line="400" w:lineRule="exact"/>
              <w:jc w:val="center"/>
              <w:rPr>
                <w:rFonts w:eastAsiaTheme="minorEastAsia"/>
                <w:sz w:val="24"/>
                <w:szCs w:val="24"/>
              </w:rPr>
            </w:pPr>
            <w:r w:rsidRPr="006B72F7">
              <w:rPr>
                <w:rFonts w:eastAsiaTheme="minorEastAsia"/>
                <w:sz w:val="24"/>
                <w:szCs w:val="24"/>
              </w:rPr>
              <w:t>公允价值（元）</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6B72F7" w:rsidRDefault="00531F10" w:rsidP="00171EF0">
            <w:pPr>
              <w:adjustRightInd w:val="0"/>
              <w:snapToGrid w:val="0"/>
              <w:spacing w:line="400" w:lineRule="exact"/>
              <w:jc w:val="center"/>
              <w:rPr>
                <w:rFonts w:eastAsiaTheme="minorEastAsia"/>
                <w:sz w:val="24"/>
                <w:szCs w:val="24"/>
              </w:rPr>
            </w:pPr>
            <w:r w:rsidRPr="006B72F7">
              <w:rPr>
                <w:rFonts w:eastAsiaTheme="minorEastAsia"/>
                <w:sz w:val="24"/>
                <w:szCs w:val="24"/>
              </w:rPr>
              <w:t>占基金资产净值比例（％）</w:t>
            </w:r>
          </w:p>
        </w:tc>
      </w:tr>
      <w:tr w:rsidR="00531F10" w:rsidRPr="001611C5" w:rsidTr="00175D4F">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6B72F7" w:rsidRDefault="00531F10" w:rsidP="00175D4F">
            <w:pPr>
              <w:adjustRightInd w:val="0"/>
              <w:snapToGrid w:val="0"/>
              <w:spacing w:line="400" w:lineRule="exact"/>
              <w:jc w:val="center"/>
              <w:rPr>
                <w:rFonts w:eastAsiaTheme="minorEastAsia"/>
                <w:sz w:val="24"/>
                <w:szCs w:val="24"/>
              </w:rPr>
            </w:pPr>
            <w:r w:rsidRPr="006B72F7">
              <w:rPr>
                <w:rFonts w:eastAsiaTheme="minorEastAsia"/>
                <w:sz w:val="24"/>
                <w:szCs w:val="24"/>
              </w:rPr>
              <w:lastRenderedPageBreak/>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31F10" w:rsidRPr="006B72F7" w:rsidRDefault="00531F10" w:rsidP="00175D4F">
            <w:pPr>
              <w:adjustRightInd w:val="0"/>
              <w:snapToGrid w:val="0"/>
              <w:spacing w:line="400" w:lineRule="exact"/>
              <w:rPr>
                <w:rFonts w:eastAsiaTheme="minorEastAsia"/>
                <w:sz w:val="24"/>
                <w:szCs w:val="24"/>
              </w:rPr>
            </w:pPr>
            <w:r w:rsidRPr="006B72F7">
              <w:rPr>
                <w:rFonts w:eastAsiaTheme="minorEastAsia"/>
                <w:sz w:val="24"/>
                <w:szCs w:val="24"/>
              </w:rPr>
              <w:t>农、林、牧、渔业</w:t>
            </w:r>
          </w:p>
        </w:tc>
        <w:tc>
          <w:tcPr>
            <w:tcW w:w="2846" w:type="dxa"/>
            <w:tcBorders>
              <w:top w:val="single" w:sz="4" w:space="0" w:color="000000"/>
              <w:left w:val="single" w:sz="4" w:space="0" w:color="auto"/>
              <w:bottom w:val="single" w:sz="4" w:space="0" w:color="000000"/>
              <w:right w:val="single" w:sz="4" w:space="0" w:color="000000"/>
            </w:tcBorders>
            <w:vAlign w:val="center"/>
          </w:tcPr>
          <w:p w:rsidR="00531F10" w:rsidRPr="006B72F7" w:rsidRDefault="00531F10" w:rsidP="00171EF0">
            <w:pPr>
              <w:autoSpaceDE w:val="0"/>
              <w:autoSpaceDN w:val="0"/>
              <w:adjustRightInd w:val="0"/>
              <w:spacing w:before="29" w:line="360" w:lineRule="auto"/>
              <w:ind w:left="15"/>
              <w:jc w:val="right"/>
              <w:rPr>
                <w:rFonts w:eastAsiaTheme="minorEastAsia"/>
                <w:sz w:val="24"/>
                <w:szCs w:val="24"/>
              </w:rPr>
            </w:pPr>
            <w:r w:rsidRPr="006B72F7">
              <w:rPr>
                <w:rFonts w:eastAsiaTheme="minorEastAsia"/>
                <w:sz w:val="24"/>
                <w:szCs w:val="24"/>
              </w:rPr>
              <w:t>-</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6B72F7" w:rsidRDefault="00531F10" w:rsidP="00171EF0">
            <w:pPr>
              <w:autoSpaceDE w:val="0"/>
              <w:autoSpaceDN w:val="0"/>
              <w:adjustRightInd w:val="0"/>
              <w:spacing w:before="29" w:line="360" w:lineRule="auto"/>
              <w:ind w:left="15"/>
              <w:jc w:val="right"/>
              <w:rPr>
                <w:rFonts w:eastAsiaTheme="minorEastAsia"/>
                <w:sz w:val="24"/>
                <w:szCs w:val="24"/>
              </w:rPr>
            </w:pPr>
            <w:r w:rsidRPr="006B72F7">
              <w:rPr>
                <w:rFonts w:eastAsiaTheme="minorEastAsia"/>
                <w:sz w:val="24"/>
                <w:szCs w:val="24"/>
              </w:rPr>
              <w:t>-</w:t>
            </w:r>
          </w:p>
        </w:tc>
      </w:tr>
      <w:tr w:rsidR="00531F10" w:rsidRPr="001611C5" w:rsidTr="00175D4F">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6B72F7" w:rsidRDefault="00531F10" w:rsidP="00175D4F">
            <w:pPr>
              <w:adjustRightInd w:val="0"/>
              <w:snapToGrid w:val="0"/>
              <w:spacing w:line="400" w:lineRule="exact"/>
              <w:jc w:val="center"/>
              <w:rPr>
                <w:rFonts w:eastAsiaTheme="minorEastAsia"/>
                <w:sz w:val="24"/>
                <w:szCs w:val="24"/>
              </w:rPr>
            </w:pPr>
            <w:r w:rsidRPr="006B72F7">
              <w:rPr>
                <w:rFonts w:eastAsiaTheme="minorEastAsia"/>
                <w:sz w:val="24"/>
                <w:szCs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31F10" w:rsidRPr="006B72F7" w:rsidRDefault="00531F10" w:rsidP="00175D4F">
            <w:pPr>
              <w:adjustRightInd w:val="0"/>
              <w:snapToGrid w:val="0"/>
              <w:spacing w:line="400" w:lineRule="exact"/>
              <w:rPr>
                <w:rFonts w:eastAsiaTheme="minorEastAsia"/>
                <w:sz w:val="24"/>
                <w:szCs w:val="24"/>
              </w:rPr>
            </w:pPr>
            <w:r w:rsidRPr="006B72F7">
              <w:rPr>
                <w:rFonts w:eastAsiaTheme="minorEastAsia"/>
                <w:sz w:val="24"/>
                <w:szCs w:val="24"/>
              </w:rPr>
              <w:t>采矿业</w:t>
            </w:r>
          </w:p>
        </w:tc>
        <w:tc>
          <w:tcPr>
            <w:tcW w:w="2846" w:type="dxa"/>
            <w:tcBorders>
              <w:top w:val="single" w:sz="4" w:space="0" w:color="000000"/>
              <w:left w:val="single" w:sz="4" w:space="0" w:color="auto"/>
              <w:bottom w:val="single" w:sz="4" w:space="0" w:color="000000"/>
              <w:right w:val="single" w:sz="4" w:space="0" w:color="000000"/>
            </w:tcBorders>
            <w:vAlign w:val="bottom"/>
          </w:tcPr>
          <w:p w:rsidR="00531F10" w:rsidRPr="006B72F7" w:rsidRDefault="00531F10" w:rsidP="00171EF0">
            <w:pPr>
              <w:jc w:val="right"/>
              <w:rPr>
                <w:rFonts w:eastAsiaTheme="minorEastAsia"/>
                <w:sz w:val="24"/>
                <w:szCs w:val="24"/>
              </w:rPr>
            </w:pPr>
            <w:r w:rsidRPr="006B72F7">
              <w:rPr>
                <w:rFonts w:eastAsiaTheme="minorEastAsia"/>
                <w:sz w:val="24"/>
                <w:szCs w:val="24"/>
              </w:rPr>
              <w:t>-</w:t>
            </w:r>
          </w:p>
          <w:p w:rsidR="00531F10" w:rsidRPr="006B72F7" w:rsidRDefault="00531F10" w:rsidP="00171EF0">
            <w:pPr>
              <w:jc w:val="right"/>
              <w:rPr>
                <w:rFonts w:eastAsiaTheme="minorEastAsia"/>
                <w:sz w:val="24"/>
                <w:szCs w:val="24"/>
              </w:rPr>
            </w:pP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31F10" w:rsidRPr="006B72F7" w:rsidRDefault="00531F10" w:rsidP="00171EF0">
            <w:pPr>
              <w:jc w:val="right"/>
              <w:rPr>
                <w:rFonts w:eastAsiaTheme="minorEastAsia"/>
                <w:sz w:val="24"/>
                <w:szCs w:val="24"/>
              </w:rPr>
            </w:pPr>
            <w:r w:rsidRPr="006B72F7">
              <w:rPr>
                <w:rFonts w:eastAsiaTheme="minorEastAsia"/>
                <w:sz w:val="24"/>
                <w:szCs w:val="24"/>
              </w:rPr>
              <w:t>-</w:t>
            </w:r>
          </w:p>
          <w:p w:rsidR="00531F10" w:rsidRPr="006B72F7" w:rsidRDefault="00531F10" w:rsidP="00171EF0">
            <w:pPr>
              <w:jc w:val="right"/>
              <w:rPr>
                <w:rFonts w:eastAsiaTheme="minorEastAsia"/>
                <w:sz w:val="24"/>
                <w:szCs w:val="24"/>
              </w:rPr>
            </w:pPr>
          </w:p>
        </w:tc>
      </w:tr>
      <w:tr w:rsidR="00531F10" w:rsidRPr="001611C5" w:rsidTr="00175D4F">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6B72F7" w:rsidRDefault="00531F10" w:rsidP="00175D4F">
            <w:pPr>
              <w:adjustRightInd w:val="0"/>
              <w:snapToGrid w:val="0"/>
              <w:spacing w:line="400" w:lineRule="exact"/>
              <w:jc w:val="center"/>
              <w:rPr>
                <w:rFonts w:eastAsiaTheme="minorEastAsia"/>
                <w:sz w:val="24"/>
                <w:szCs w:val="24"/>
              </w:rPr>
            </w:pPr>
            <w:r w:rsidRPr="006B72F7">
              <w:rPr>
                <w:rFonts w:eastAsiaTheme="minorEastAsia"/>
                <w:sz w:val="24"/>
                <w:szCs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31F10" w:rsidRPr="006B72F7" w:rsidRDefault="00531F10" w:rsidP="00175D4F">
            <w:pPr>
              <w:adjustRightInd w:val="0"/>
              <w:snapToGrid w:val="0"/>
              <w:spacing w:line="400" w:lineRule="exact"/>
              <w:rPr>
                <w:rFonts w:eastAsiaTheme="minorEastAsia"/>
                <w:sz w:val="24"/>
                <w:szCs w:val="24"/>
              </w:rPr>
            </w:pPr>
            <w:r w:rsidRPr="006B72F7">
              <w:rPr>
                <w:rFonts w:eastAsiaTheme="minorEastAsia"/>
                <w:sz w:val="24"/>
                <w:szCs w:val="24"/>
              </w:rPr>
              <w:t>制造业</w:t>
            </w:r>
          </w:p>
        </w:tc>
        <w:tc>
          <w:tcPr>
            <w:tcW w:w="2846" w:type="dxa"/>
            <w:tcBorders>
              <w:top w:val="single" w:sz="4" w:space="0" w:color="000000"/>
              <w:left w:val="single" w:sz="4" w:space="0" w:color="auto"/>
              <w:bottom w:val="single" w:sz="4" w:space="0" w:color="000000"/>
              <w:right w:val="single" w:sz="4" w:space="0" w:color="000000"/>
            </w:tcBorders>
            <w:vAlign w:val="bottom"/>
          </w:tcPr>
          <w:p w:rsidR="00531F10" w:rsidRPr="006B72F7" w:rsidRDefault="00531F10" w:rsidP="00171EF0">
            <w:pPr>
              <w:jc w:val="right"/>
              <w:rPr>
                <w:rFonts w:eastAsiaTheme="minorEastAsia"/>
                <w:sz w:val="24"/>
                <w:szCs w:val="24"/>
              </w:rPr>
            </w:pPr>
            <w:r w:rsidRPr="006B72F7">
              <w:rPr>
                <w:rFonts w:eastAsiaTheme="minorEastAsia"/>
                <w:sz w:val="24"/>
                <w:szCs w:val="24"/>
              </w:rPr>
              <w:t>4,944,100.00</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31F10" w:rsidRPr="006B72F7" w:rsidRDefault="00531F10" w:rsidP="00171EF0">
            <w:pPr>
              <w:jc w:val="right"/>
              <w:rPr>
                <w:rFonts w:eastAsiaTheme="minorEastAsia"/>
                <w:sz w:val="24"/>
                <w:szCs w:val="24"/>
              </w:rPr>
            </w:pPr>
            <w:r w:rsidRPr="006B72F7">
              <w:rPr>
                <w:rFonts w:eastAsiaTheme="minorEastAsia"/>
                <w:sz w:val="24"/>
                <w:szCs w:val="24"/>
              </w:rPr>
              <w:t>19.45</w:t>
            </w:r>
          </w:p>
        </w:tc>
      </w:tr>
      <w:tr w:rsidR="00531F10" w:rsidRPr="001611C5" w:rsidTr="00175D4F">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6B72F7" w:rsidRDefault="00531F10" w:rsidP="00175D4F">
            <w:pPr>
              <w:adjustRightInd w:val="0"/>
              <w:snapToGrid w:val="0"/>
              <w:spacing w:line="400" w:lineRule="exact"/>
              <w:jc w:val="center"/>
              <w:rPr>
                <w:rFonts w:eastAsiaTheme="minorEastAsia"/>
                <w:sz w:val="24"/>
                <w:szCs w:val="24"/>
              </w:rPr>
            </w:pPr>
            <w:r w:rsidRPr="006B72F7">
              <w:rPr>
                <w:rFonts w:eastAsiaTheme="minorEastAsia"/>
                <w:sz w:val="24"/>
                <w:szCs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31F10" w:rsidRPr="006B72F7" w:rsidRDefault="00531F10" w:rsidP="00175D4F">
            <w:pPr>
              <w:adjustRightInd w:val="0"/>
              <w:snapToGrid w:val="0"/>
              <w:spacing w:line="400" w:lineRule="exact"/>
              <w:rPr>
                <w:rFonts w:eastAsiaTheme="minorEastAsia"/>
                <w:sz w:val="24"/>
                <w:szCs w:val="24"/>
              </w:rPr>
            </w:pPr>
            <w:r w:rsidRPr="006B72F7">
              <w:rPr>
                <w:rFonts w:eastAsiaTheme="minorEastAsia"/>
                <w:sz w:val="24"/>
                <w:szCs w:val="24"/>
              </w:rPr>
              <w:t>电力、热力、燃气及水生产和供应业</w:t>
            </w:r>
          </w:p>
        </w:tc>
        <w:tc>
          <w:tcPr>
            <w:tcW w:w="2846" w:type="dxa"/>
            <w:tcBorders>
              <w:top w:val="single" w:sz="4" w:space="0" w:color="000000"/>
              <w:left w:val="single" w:sz="4" w:space="0" w:color="auto"/>
              <w:bottom w:val="single" w:sz="4" w:space="0" w:color="000000"/>
              <w:right w:val="single" w:sz="4" w:space="0" w:color="000000"/>
            </w:tcBorders>
            <w:vAlign w:val="center"/>
          </w:tcPr>
          <w:p w:rsidR="00531F10" w:rsidRPr="006B72F7" w:rsidRDefault="00531F10" w:rsidP="00175D4F">
            <w:pPr>
              <w:jc w:val="right"/>
              <w:rPr>
                <w:rFonts w:eastAsiaTheme="minorEastAsia"/>
                <w:sz w:val="24"/>
                <w:szCs w:val="24"/>
              </w:rPr>
            </w:pPr>
            <w:r w:rsidRPr="006B72F7">
              <w:rPr>
                <w:rFonts w:eastAsiaTheme="minorEastAsia"/>
                <w:sz w:val="24"/>
                <w:szCs w:val="24"/>
              </w:rPr>
              <w:t>-</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6B72F7" w:rsidRDefault="00531F10" w:rsidP="00175D4F">
            <w:pPr>
              <w:jc w:val="right"/>
              <w:rPr>
                <w:rFonts w:eastAsiaTheme="minorEastAsia"/>
                <w:sz w:val="24"/>
                <w:szCs w:val="24"/>
              </w:rPr>
            </w:pPr>
            <w:r w:rsidRPr="006B72F7">
              <w:rPr>
                <w:rFonts w:eastAsiaTheme="minorEastAsia"/>
                <w:sz w:val="24"/>
                <w:szCs w:val="24"/>
              </w:rPr>
              <w:t>-</w:t>
            </w:r>
          </w:p>
        </w:tc>
      </w:tr>
      <w:tr w:rsidR="00531F10" w:rsidRPr="001611C5" w:rsidTr="00175D4F">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6B72F7" w:rsidRDefault="00531F10" w:rsidP="00175D4F">
            <w:pPr>
              <w:adjustRightInd w:val="0"/>
              <w:snapToGrid w:val="0"/>
              <w:spacing w:line="400" w:lineRule="exact"/>
              <w:jc w:val="center"/>
              <w:rPr>
                <w:rFonts w:eastAsiaTheme="minorEastAsia"/>
                <w:sz w:val="24"/>
                <w:szCs w:val="24"/>
              </w:rPr>
            </w:pPr>
            <w:r w:rsidRPr="006B72F7">
              <w:rPr>
                <w:rFonts w:eastAsiaTheme="minorEastAsia"/>
                <w:sz w:val="24"/>
                <w:szCs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31F10" w:rsidRPr="006B72F7" w:rsidRDefault="00531F10" w:rsidP="00175D4F">
            <w:pPr>
              <w:adjustRightInd w:val="0"/>
              <w:snapToGrid w:val="0"/>
              <w:spacing w:line="400" w:lineRule="exact"/>
              <w:rPr>
                <w:rFonts w:eastAsiaTheme="minorEastAsia"/>
                <w:sz w:val="24"/>
                <w:szCs w:val="24"/>
              </w:rPr>
            </w:pPr>
            <w:r w:rsidRPr="006B72F7">
              <w:rPr>
                <w:rFonts w:eastAsiaTheme="minorEastAsia"/>
                <w:sz w:val="24"/>
                <w:szCs w:val="24"/>
              </w:rPr>
              <w:t>建筑业</w:t>
            </w:r>
          </w:p>
        </w:tc>
        <w:tc>
          <w:tcPr>
            <w:tcW w:w="2846" w:type="dxa"/>
            <w:tcBorders>
              <w:top w:val="single" w:sz="4" w:space="0" w:color="000000"/>
              <w:left w:val="single" w:sz="4" w:space="0" w:color="auto"/>
              <w:bottom w:val="single" w:sz="4" w:space="0" w:color="000000"/>
              <w:right w:val="single" w:sz="4" w:space="0" w:color="000000"/>
            </w:tcBorders>
            <w:vAlign w:val="center"/>
          </w:tcPr>
          <w:p w:rsidR="00531F10" w:rsidRPr="006B72F7" w:rsidRDefault="00531F10" w:rsidP="00175D4F">
            <w:pPr>
              <w:jc w:val="right"/>
              <w:rPr>
                <w:rFonts w:eastAsiaTheme="minorEastAsia"/>
                <w:sz w:val="24"/>
                <w:szCs w:val="24"/>
              </w:rPr>
            </w:pPr>
            <w:r w:rsidRPr="006B72F7">
              <w:rPr>
                <w:rFonts w:eastAsiaTheme="minorEastAsia"/>
                <w:sz w:val="24"/>
                <w:szCs w:val="24"/>
              </w:rPr>
              <w:t>-</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6B72F7" w:rsidRDefault="00531F10" w:rsidP="00175D4F">
            <w:pPr>
              <w:jc w:val="right"/>
              <w:rPr>
                <w:rFonts w:eastAsiaTheme="minorEastAsia"/>
                <w:sz w:val="24"/>
                <w:szCs w:val="24"/>
              </w:rPr>
            </w:pPr>
            <w:r w:rsidRPr="006B72F7">
              <w:rPr>
                <w:rFonts w:eastAsiaTheme="minorEastAsia"/>
                <w:sz w:val="24"/>
                <w:szCs w:val="24"/>
              </w:rPr>
              <w:t>-</w:t>
            </w:r>
          </w:p>
        </w:tc>
      </w:tr>
      <w:tr w:rsidR="00531F10" w:rsidRPr="001611C5" w:rsidTr="00175D4F">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6B72F7" w:rsidRDefault="00531F10" w:rsidP="00175D4F">
            <w:pPr>
              <w:adjustRightInd w:val="0"/>
              <w:snapToGrid w:val="0"/>
              <w:spacing w:line="400" w:lineRule="exact"/>
              <w:jc w:val="center"/>
              <w:rPr>
                <w:rFonts w:eastAsiaTheme="minorEastAsia"/>
                <w:sz w:val="24"/>
                <w:szCs w:val="24"/>
              </w:rPr>
            </w:pPr>
            <w:r w:rsidRPr="006B72F7">
              <w:rPr>
                <w:rFonts w:eastAsiaTheme="minorEastAsia"/>
                <w:sz w:val="24"/>
                <w:szCs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31F10" w:rsidRPr="006B72F7" w:rsidRDefault="00531F10" w:rsidP="00175D4F">
            <w:pPr>
              <w:adjustRightInd w:val="0"/>
              <w:snapToGrid w:val="0"/>
              <w:spacing w:line="400" w:lineRule="exact"/>
              <w:rPr>
                <w:rFonts w:eastAsiaTheme="minorEastAsia"/>
                <w:sz w:val="24"/>
                <w:szCs w:val="24"/>
              </w:rPr>
            </w:pPr>
            <w:r w:rsidRPr="006B72F7">
              <w:rPr>
                <w:rFonts w:eastAsiaTheme="minorEastAsia"/>
                <w:sz w:val="24"/>
                <w:szCs w:val="24"/>
              </w:rPr>
              <w:t>批发和零售业</w:t>
            </w:r>
          </w:p>
        </w:tc>
        <w:tc>
          <w:tcPr>
            <w:tcW w:w="2846" w:type="dxa"/>
            <w:tcBorders>
              <w:top w:val="single" w:sz="4" w:space="0" w:color="000000"/>
              <w:left w:val="single" w:sz="4" w:space="0" w:color="auto"/>
              <w:bottom w:val="single" w:sz="4" w:space="0" w:color="000000"/>
              <w:right w:val="single" w:sz="4" w:space="0" w:color="000000"/>
            </w:tcBorders>
            <w:vAlign w:val="center"/>
          </w:tcPr>
          <w:p w:rsidR="00531F10" w:rsidRPr="006B72F7" w:rsidRDefault="00531F10" w:rsidP="00175D4F">
            <w:pPr>
              <w:jc w:val="right"/>
              <w:rPr>
                <w:rFonts w:eastAsiaTheme="minorEastAsia"/>
                <w:sz w:val="24"/>
                <w:szCs w:val="24"/>
              </w:rPr>
            </w:pPr>
            <w:r w:rsidRPr="006B72F7">
              <w:rPr>
                <w:rFonts w:eastAsiaTheme="minorEastAsia"/>
                <w:sz w:val="24"/>
                <w:szCs w:val="24"/>
              </w:rPr>
              <w:t>-</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6B72F7" w:rsidRDefault="00531F10" w:rsidP="00175D4F">
            <w:pPr>
              <w:jc w:val="right"/>
              <w:rPr>
                <w:rFonts w:eastAsiaTheme="minorEastAsia"/>
                <w:sz w:val="24"/>
                <w:szCs w:val="24"/>
              </w:rPr>
            </w:pPr>
            <w:r w:rsidRPr="006B72F7">
              <w:rPr>
                <w:rFonts w:eastAsiaTheme="minorEastAsia"/>
                <w:sz w:val="24"/>
                <w:szCs w:val="24"/>
              </w:rPr>
              <w:t>-</w:t>
            </w:r>
          </w:p>
        </w:tc>
      </w:tr>
      <w:tr w:rsidR="00531F10" w:rsidRPr="001611C5" w:rsidTr="00175D4F">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6B72F7" w:rsidRDefault="00531F10" w:rsidP="00175D4F">
            <w:pPr>
              <w:adjustRightInd w:val="0"/>
              <w:snapToGrid w:val="0"/>
              <w:spacing w:line="400" w:lineRule="exact"/>
              <w:jc w:val="center"/>
              <w:rPr>
                <w:rFonts w:eastAsiaTheme="minorEastAsia"/>
                <w:sz w:val="24"/>
                <w:szCs w:val="24"/>
              </w:rPr>
            </w:pPr>
            <w:r w:rsidRPr="006B72F7">
              <w:rPr>
                <w:rFonts w:eastAsiaTheme="minorEastAsia"/>
                <w:sz w:val="24"/>
                <w:szCs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31F10" w:rsidRPr="006B72F7" w:rsidRDefault="00531F10" w:rsidP="00175D4F">
            <w:pPr>
              <w:adjustRightInd w:val="0"/>
              <w:snapToGrid w:val="0"/>
              <w:spacing w:line="400" w:lineRule="exact"/>
              <w:rPr>
                <w:rFonts w:eastAsiaTheme="minorEastAsia"/>
                <w:sz w:val="24"/>
                <w:szCs w:val="24"/>
              </w:rPr>
            </w:pPr>
            <w:r w:rsidRPr="006B72F7">
              <w:rPr>
                <w:rFonts w:eastAsiaTheme="minorEastAsia"/>
                <w:sz w:val="24"/>
                <w:szCs w:val="24"/>
              </w:rPr>
              <w:t>交通运输、仓储和邮政业</w:t>
            </w:r>
          </w:p>
        </w:tc>
        <w:tc>
          <w:tcPr>
            <w:tcW w:w="2846" w:type="dxa"/>
            <w:tcBorders>
              <w:top w:val="single" w:sz="4" w:space="0" w:color="000000"/>
              <w:left w:val="single" w:sz="4" w:space="0" w:color="auto"/>
              <w:bottom w:val="single" w:sz="4" w:space="0" w:color="000000"/>
              <w:right w:val="single" w:sz="4" w:space="0" w:color="000000"/>
            </w:tcBorders>
            <w:vAlign w:val="center"/>
          </w:tcPr>
          <w:p w:rsidR="00531F10" w:rsidRPr="006B72F7" w:rsidRDefault="00531F10" w:rsidP="00175D4F">
            <w:pPr>
              <w:jc w:val="right"/>
              <w:rPr>
                <w:rFonts w:eastAsiaTheme="minorEastAsia"/>
                <w:sz w:val="24"/>
                <w:szCs w:val="24"/>
              </w:rPr>
            </w:pPr>
            <w:r w:rsidRPr="006B72F7">
              <w:rPr>
                <w:rFonts w:eastAsiaTheme="minorEastAsia"/>
                <w:sz w:val="24"/>
                <w:szCs w:val="24"/>
              </w:rPr>
              <w:t>-</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6B72F7" w:rsidRDefault="00531F10" w:rsidP="00175D4F">
            <w:pPr>
              <w:jc w:val="right"/>
              <w:rPr>
                <w:rFonts w:eastAsiaTheme="minorEastAsia"/>
                <w:sz w:val="24"/>
                <w:szCs w:val="24"/>
              </w:rPr>
            </w:pPr>
            <w:r w:rsidRPr="006B72F7">
              <w:rPr>
                <w:rFonts w:eastAsiaTheme="minorEastAsia"/>
                <w:sz w:val="24"/>
                <w:szCs w:val="24"/>
              </w:rPr>
              <w:t>-</w:t>
            </w:r>
          </w:p>
        </w:tc>
      </w:tr>
      <w:tr w:rsidR="00531F10" w:rsidRPr="001611C5" w:rsidTr="00175D4F">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6B72F7" w:rsidRDefault="00531F10" w:rsidP="00175D4F">
            <w:pPr>
              <w:adjustRightInd w:val="0"/>
              <w:snapToGrid w:val="0"/>
              <w:spacing w:line="400" w:lineRule="exact"/>
              <w:jc w:val="center"/>
              <w:rPr>
                <w:rFonts w:eastAsiaTheme="minorEastAsia"/>
                <w:sz w:val="24"/>
                <w:szCs w:val="24"/>
              </w:rPr>
            </w:pPr>
            <w:r w:rsidRPr="006B72F7">
              <w:rPr>
                <w:rFonts w:eastAsiaTheme="minorEastAsia"/>
                <w:sz w:val="24"/>
                <w:szCs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31F10" w:rsidRPr="006B72F7" w:rsidRDefault="00531F10" w:rsidP="00175D4F">
            <w:pPr>
              <w:adjustRightInd w:val="0"/>
              <w:snapToGrid w:val="0"/>
              <w:spacing w:line="400" w:lineRule="exact"/>
              <w:rPr>
                <w:rFonts w:eastAsiaTheme="minorEastAsia"/>
                <w:sz w:val="24"/>
                <w:szCs w:val="24"/>
              </w:rPr>
            </w:pPr>
            <w:r w:rsidRPr="006B72F7">
              <w:rPr>
                <w:rFonts w:eastAsiaTheme="minorEastAsia"/>
                <w:sz w:val="24"/>
                <w:szCs w:val="24"/>
              </w:rPr>
              <w:t>住宿和餐饮业</w:t>
            </w:r>
          </w:p>
        </w:tc>
        <w:tc>
          <w:tcPr>
            <w:tcW w:w="2846" w:type="dxa"/>
            <w:tcBorders>
              <w:top w:val="single" w:sz="4" w:space="0" w:color="000000"/>
              <w:left w:val="single" w:sz="4" w:space="0" w:color="auto"/>
              <w:bottom w:val="single" w:sz="4" w:space="0" w:color="000000"/>
              <w:right w:val="single" w:sz="4" w:space="0" w:color="000000"/>
            </w:tcBorders>
            <w:vAlign w:val="center"/>
          </w:tcPr>
          <w:p w:rsidR="00531F10" w:rsidRPr="006B72F7" w:rsidRDefault="00531F10" w:rsidP="00175D4F">
            <w:pPr>
              <w:jc w:val="right"/>
              <w:rPr>
                <w:rFonts w:eastAsiaTheme="minorEastAsia"/>
                <w:sz w:val="24"/>
                <w:szCs w:val="24"/>
              </w:rPr>
            </w:pPr>
            <w:r w:rsidRPr="006B72F7">
              <w:rPr>
                <w:rFonts w:eastAsiaTheme="minorEastAsia"/>
                <w:sz w:val="24"/>
                <w:szCs w:val="24"/>
              </w:rPr>
              <w:t>-</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6B72F7" w:rsidRDefault="00531F10" w:rsidP="00175D4F">
            <w:pPr>
              <w:jc w:val="right"/>
              <w:rPr>
                <w:rFonts w:eastAsiaTheme="minorEastAsia"/>
                <w:sz w:val="24"/>
                <w:szCs w:val="24"/>
              </w:rPr>
            </w:pPr>
            <w:r w:rsidRPr="006B72F7">
              <w:rPr>
                <w:rFonts w:eastAsiaTheme="minorEastAsia"/>
                <w:sz w:val="24"/>
                <w:szCs w:val="24"/>
              </w:rPr>
              <w:t>-</w:t>
            </w:r>
          </w:p>
        </w:tc>
      </w:tr>
      <w:tr w:rsidR="00531F10" w:rsidRPr="001611C5" w:rsidTr="00175D4F">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6B72F7" w:rsidRDefault="00531F10" w:rsidP="00175D4F">
            <w:pPr>
              <w:adjustRightInd w:val="0"/>
              <w:snapToGrid w:val="0"/>
              <w:spacing w:line="400" w:lineRule="exact"/>
              <w:jc w:val="center"/>
              <w:rPr>
                <w:rFonts w:eastAsiaTheme="minorEastAsia"/>
                <w:sz w:val="24"/>
                <w:szCs w:val="24"/>
              </w:rPr>
            </w:pPr>
            <w:r w:rsidRPr="006B72F7">
              <w:rPr>
                <w:rFonts w:eastAsiaTheme="minorEastAsia"/>
                <w:sz w:val="24"/>
                <w:szCs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71EF0" w:rsidRPr="006B72F7" w:rsidRDefault="00531F10" w:rsidP="00175D4F">
            <w:pPr>
              <w:adjustRightInd w:val="0"/>
              <w:snapToGrid w:val="0"/>
              <w:spacing w:line="400" w:lineRule="exact"/>
              <w:rPr>
                <w:rFonts w:eastAsiaTheme="minorEastAsia"/>
                <w:sz w:val="24"/>
                <w:szCs w:val="24"/>
              </w:rPr>
            </w:pPr>
            <w:r w:rsidRPr="006B72F7">
              <w:rPr>
                <w:rFonts w:eastAsiaTheme="minorEastAsia"/>
                <w:sz w:val="24"/>
                <w:szCs w:val="24"/>
              </w:rPr>
              <w:t>信息传输、软件和信息技术服务业</w:t>
            </w:r>
          </w:p>
          <w:p w:rsidR="00531F10" w:rsidRPr="006B72F7" w:rsidRDefault="00531F10" w:rsidP="00175D4F">
            <w:pPr>
              <w:rPr>
                <w:rFonts w:eastAsiaTheme="minorEastAsia"/>
                <w:sz w:val="24"/>
                <w:szCs w:val="24"/>
              </w:rPr>
            </w:pPr>
          </w:p>
        </w:tc>
        <w:tc>
          <w:tcPr>
            <w:tcW w:w="2846" w:type="dxa"/>
            <w:tcBorders>
              <w:top w:val="single" w:sz="4" w:space="0" w:color="000000"/>
              <w:left w:val="single" w:sz="4" w:space="0" w:color="auto"/>
              <w:bottom w:val="single" w:sz="4" w:space="0" w:color="000000"/>
              <w:right w:val="single" w:sz="4" w:space="0" w:color="000000"/>
            </w:tcBorders>
            <w:vAlign w:val="center"/>
          </w:tcPr>
          <w:p w:rsidR="00531F10" w:rsidRPr="006B72F7" w:rsidRDefault="00531F10" w:rsidP="00175D4F">
            <w:pPr>
              <w:jc w:val="right"/>
              <w:rPr>
                <w:rFonts w:eastAsiaTheme="minorEastAsia"/>
                <w:sz w:val="24"/>
                <w:szCs w:val="24"/>
              </w:rPr>
            </w:pPr>
            <w:r w:rsidRPr="006B72F7">
              <w:rPr>
                <w:rFonts w:eastAsiaTheme="minorEastAsia"/>
                <w:sz w:val="24"/>
                <w:szCs w:val="24"/>
              </w:rPr>
              <w:t>-</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6B72F7" w:rsidRDefault="00531F10" w:rsidP="00175D4F">
            <w:pPr>
              <w:jc w:val="right"/>
              <w:rPr>
                <w:rFonts w:eastAsiaTheme="minorEastAsia"/>
                <w:sz w:val="24"/>
                <w:szCs w:val="24"/>
              </w:rPr>
            </w:pPr>
            <w:r w:rsidRPr="006B72F7">
              <w:rPr>
                <w:rFonts w:eastAsiaTheme="minorEastAsia"/>
                <w:sz w:val="24"/>
                <w:szCs w:val="24"/>
              </w:rPr>
              <w:t>-</w:t>
            </w:r>
          </w:p>
        </w:tc>
      </w:tr>
      <w:tr w:rsidR="00531F10" w:rsidRPr="001611C5" w:rsidTr="00175D4F">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6B72F7" w:rsidRDefault="00531F10" w:rsidP="00175D4F">
            <w:pPr>
              <w:adjustRightInd w:val="0"/>
              <w:snapToGrid w:val="0"/>
              <w:spacing w:line="400" w:lineRule="exact"/>
              <w:jc w:val="center"/>
              <w:rPr>
                <w:rFonts w:eastAsiaTheme="minorEastAsia"/>
                <w:color w:val="000000"/>
                <w:sz w:val="24"/>
                <w:szCs w:val="24"/>
              </w:rPr>
            </w:pPr>
            <w:r w:rsidRPr="006B72F7">
              <w:rPr>
                <w:rFonts w:eastAsiaTheme="minorEastAsia"/>
                <w:color w:val="000000"/>
                <w:sz w:val="24"/>
                <w:szCs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31F10" w:rsidRPr="006B72F7" w:rsidRDefault="00531F10" w:rsidP="00175D4F">
            <w:pPr>
              <w:adjustRightInd w:val="0"/>
              <w:snapToGrid w:val="0"/>
              <w:spacing w:line="400" w:lineRule="exact"/>
              <w:rPr>
                <w:rFonts w:eastAsiaTheme="minorEastAsia"/>
                <w:color w:val="000000"/>
                <w:sz w:val="24"/>
                <w:szCs w:val="24"/>
              </w:rPr>
            </w:pPr>
            <w:r w:rsidRPr="006B72F7">
              <w:rPr>
                <w:rFonts w:eastAsiaTheme="minorEastAsia"/>
                <w:color w:val="000000"/>
                <w:sz w:val="24"/>
                <w:szCs w:val="24"/>
              </w:rPr>
              <w:t>金融业</w:t>
            </w:r>
          </w:p>
        </w:tc>
        <w:tc>
          <w:tcPr>
            <w:tcW w:w="2846" w:type="dxa"/>
            <w:tcBorders>
              <w:top w:val="single" w:sz="4" w:space="0" w:color="000000"/>
              <w:left w:val="single" w:sz="4" w:space="0" w:color="auto"/>
              <w:bottom w:val="single" w:sz="4" w:space="0" w:color="000000"/>
              <w:right w:val="single" w:sz="4" w:space="0" w:color="000000"/>
            </w:tcBorders>
            <w:vAlign w:val="center"/>
          </w:tcPr>
          <w:p w:rsidR="00531F10" w:rsidRPr="006B72F7" w:rsidRDefault="00531F10" w:rsidP="00175D4F">
            <w:pPr>
              <w:jc w:val="right"/>
              <w:rPr>
                <w:rFonts w:eastAsiaTheme="minorEastAsia"/>
                <w:sz w:val="24"/>
                <w:szCs w:val="24"/>
              </w:rPr>
            </w:pPr>
            <w:r w:rsidRPr="006B72F7">
              <w:rPr>
                <w:rFonts w:eastAsiaTheme="minorEastAsia"/>
                <w:sz w:val="24"/>
                <w:szCs w:val="24"/>
              </w:rPr>
              <w:t>-</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6B72F7" w:rsidRDefault="00531F10" w:rsidP="00175D4F">
            <w:pPr>
              <w:jc w:val="right"/>
              <w:rPr>
                <w:rFonts w:eastAsiaTheme="minorEastAsia"/>
                <w:sz w:val="24"/>
                <w:szCs w:val="24"/>
              </w:rPr>
            </w:pPr>
            <w:r w:rsidRPr="006B72F7">
              <w:rPr>
                <w:rFonts w:eastAsiaTheme="minorEastAsia"/>
                <w:sz w:val="24"/>
                <w:szCs w:val="24"/>
              </w:rPr>
              <w:t>-</w:t>
            </w:r>
          </w:p>
        </w:tc>
      </w:tr>
      <w:tr w:rsidR="00531F10" w:rsidRPr="001611C5" w:rsidTr="00175D4F">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6B72F7" w:rsidRDefault="00531F10" w:rsidP="00175D4F">
            <w:pPr>
              <w:adjustRightInd w:val="0"/>
              <w:snapToGrid w:val="0"/>
              <w:spacing w:line="400" w:lineRule="exact"/>
              <w:jc w:val="center"/>
              <w:rPr>
                <w:rFonts w:eastAsiaTheme="minorEastAsia"/>
                <w:color w:val="000000"/>
                <w:sz w:val="24"/>
                <w:szCs w:val="24"/>
              </w:rPr>
            </w:pPr>
            <w:r w:rsidRPr="006B72F7">
              <w:rPr>
                <w:rFonts w:eastAsiaTheme="minorEastAsia"/>
                <w:color w:val="000000"/>
                <w:sz w:val="24"/>
                <w:szCs w:val="24"/>
              </w:rPr>
              <w:lastRenderedPageBreak/>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31F10" w:rsidRPr="006B72F7" w:rsidRDefault="00531F10" w:rsidP="00175D4F">
            <w:pPr>
              <w:adjustRightInd w:val="0"/>
              <w:snapToGrid w:val="0"/>
              <w:spacing w:line="400" w:lineRule="exact"/>
              <w:rPr>
                <w:rFonts w:eastAsiaTheme="minorEastAsia"/>
                <w:color w:val="000000"/>
                <w:sz w:val="24"/>
                <w:szCs w:val="24"/>
              </w:rPr>
            </w:pPr>
            <w:r w:rsidRPr="006B72F7">
              <w:rPr>
                <w:rFonts w:eastAsiaTheme="minorEastAsia"/>
                <w:color w:val="000000"/>
                <w:sz w:val="24"/>
                <w:szCs w:val="24"/>
              </w:rPr>
              <w:t>房地产业</w:t>
            </w:r>
          </w:p>
        </w:tc>
        <w:tc>
          <w:tcPr>
            <w:tcW w:w="2846" w:type="dxa"/>
            <w:tcBorders>
              <w:top w:val="single" w:sz="4" w:space="0" w:color="000000"/>
              <w:left w:val="single" w:sz="4" w:space="0" w:color="auto"/>
              <w:bottom w:val="single" w:sz="4" w:space="0" w:color="000000"/>
              <w:right w:val="single" w:sz="4" w:space="0" w:color="000000"/>
            </w:tcBorders>
            <w:vAlign w:val="center"/>
          </w:tcPr>
          <w:p w:rsidR="00531F10" w:rsidRPr="006B72F7" w:rsidRDefault="00531F10" w:rsidP="00175D4F">
            <w:pPr>
              <w:jc w:val="right"/>
              <w:rPr>
                <w:rFonts w:eastAsiaTheme="minorEastAsia"/>
                <w:sz w:val="24"/>
                <w:szCs w:val="24"/>
              </w:rPr>
            </w:pPr>
            <w:r w:rsidRPr="006B72F7">
              <w:rPr>
                <w:rFonts w:eastAsiaTheme="minorEastAsia"/>
                <w:sz w:val="24"/>
                <w:szCs w:val="24"/>
              </w:rPr>
              <w:t>-</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6B72F7" w:rsidRDefault="00531F10" w:rsidP="00175D4F">
            <w:pPr>
              <w:jc w:val="right"/>
              <w:rPr>
                <w:rFonts w:eastAsiaTheme="minorEastAsia"/>
                <w:sz w:val="24"/>
                <w:szCs w:val="24"/>
              </w:rPr>
            </w:pPr>
            <w:r w:rsidRPr="006B72F7">
              <w:rPr>
                <w:rFonts w:eastAsiaTheme="minorEastAsia"/>
                <w:sz w:val="24"/>
                <w:szCs w:val="24"/>
              </w:rPr>
              <w:t>-</w:t>
            </w:r>
          </w:p>
        </w:tc>
      </w:tr>
      <w:tr w:rsidR="00531F10" w:rsidRPr="001611C5" w:rsidTr="00175D4F">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6B72F7" w:rsidRDefault="00531F10" w:rsidP="00175D4F">
            <w:pPr>
              <w:adjustRightInd w:val="0"/>
              <w:snapToGrid w:val="0"/>
              <w:spacing w:line="400" w:lineRule="exact"/>
              <w:jc w:val="center"/>
              <w:rPr>
                <w:rFonts w:eastAsiaTheme="minorEastAsia"/>
                <w:color w:val="000000"/>
                <w:sz w:val="24"/>
                <w:szCs w:val="24"/>
              </w:rPr>
            </w:pPr>
            <w:r w:rsidRPr="006B72F7">
              <w:rPr>
                <w:rFonts w:eastAsiaTheme="minorEastAsia"/>
                <w:color w:val="000000"/>
                <w:sz w:val="24"/>
                <w:szCs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31F10" w:rsidRPr="006B72F7" w:rsidRDefault="00531F10" w:rsidP="00175D4F">
            <w:pPr>
              <w:adjustRightInd w:val="0"/>
              <w:snapToGrid w:val="0"/>
              <w:spacing w:line="400" w:lineRule="exact"/>
              <w:rPr>
                <w:rFonts w:eastAsiaTheme="minorEastAsia"/>
                <w:color w:val="000000"/>
                <w:sz w:val="24"/>
                <w:szCs w:val="24"/>
              </w:rPr>
            </w:pPr>
            <w:r w:rsidRPr="006B72F7">
              <w:rPr>
                <w:rFonts w:eastAsiaTheme="minorEastAsia"/>
                <w:color w:val="000000"/>
                <w:sz w:val="24"/>
                <w:szCs w:val="24"/>
              </w:rPr>
              <w:t>租赁和商务服务业</w:t>
            </w:r>
          </w:p>
        </w:tc>
        <w:tc>
          <w:tcPr>
            <w:tcW w:w="2846" w:type="dxa"/>
            <w:tcBorders>
              <w:top w:val="single" w:sz="4" w:space="0" w:color="000000"/>
              <w:left w:val="single" w:sz="4" w:space="0" w:color="auto"/>
              <w:bottom w:val="single" w:sz="4" w:space="0" w:color="000000"/>
              <w:right w:val="single" w:sz="4" w:space="0" w:color="000000"/>
            </w:tcBorders>
            <w:vAlign w:val="center"/>
          </w:tcPr>
          <w:p w:rsidR="00531F10" w:rsidRPr="006B72F7" w:rsidRDefault="00531F10" w:rsidP="00175D4F">
            <w:pPr>
              <w:jc w:val="right"/>
              <w:rPr>
                <w:rFonts w:eastAsiaTheme="minorEastAsia"/>
                <w:sz w:val="24"/>
                <w:szCs w:val="24"/>
              </w:rPr>
            </w:pPr>
            <w:r w:rsidRPr="006B72F7">
              <w:rPr>
                <w:rFonts w:eastAsiaTheme="minorEastAsia"/>
                <w:sz w:val="24"/>
                <w:szCs w:val="24"/>
              </w:rPr>
              <w:t>-</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6B72F7" w:rsidRDefault="00531F10" w:rsidP="00175D4F">
            <w:pPr>
              <w:jc w:val="right"/>
              <w:rPr>
                <w:rFonts w:eastAsiaTheme="minorEastAsia"/>
                <w:sz w:val="24"/>
                <w:szCs w:val="24"/>
              </w:rPr>
            </w:pPr>
            <w:r w:rsidRPr="006B72F7">
              <w:rPr>
                <w:rFonts w:eastAsiaTheme="minorEastAsia"/>
                <w:sz w:val="24"/>
                <w:szCs w:val="24"/>
              </w:rPr>
              <w:t>-</w:t>
            </w:r>
          </w:p>
        </w:tc>
      </w:tr>
      <w:tr w:rsidR="00531F10" w:rsidRPr="001611C5" w:rsidTr="00175D4F">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6B72F7" w:rsidRDefault="00531F10" w:rsidP="00175D4F">
            <w:pPr>
              <w:adjustRightInd w:val="0"/>
              <w:snapToGrid w:val="0"/>
              <w:spacing w:line="400" w:lineRule="exact"/>
              <w:jc w:val="center"/>
              <w:rPr>
                <w:rFonts w:eastAsiaTheme="minorEastAsia"/>
                <w:color w:val="000000"/>
                <w:sz w:val="24"/>
                <w:szCs w:val="24"/>
              </w:rPr>
            </w:pPr>
            <w:r w:rsidRPr="006B72F7">
              <w:rPr>
                <w:rFonts w:eastAsiaTheme="minorEastAsia"/>
                <w:color w:val="000000"/>
                <w:sz w:val="24"/>
                <w:szCs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31F10" w:rsidRPr="006B72F7" w:rsidRDefault="00531F10" w:rsidP="00175D4F">
            <w:pPr>
              <w:adjustRightInd w:val="0"/>
              <w:snapToGrid w:val="0"/>
              <w:spacing w:line="400" w:lineRule="exact"/>
              <w:rPr>
                <w:rFonts w:eastAsiaTheme="minorEastAsia"/>
                <w:color w:val="000000"/>
                <w:sz w:val="24"/>
                <w:szCs w:val="24"/>
              </w:rPr>
            </w:pPr>
            <w:r w:rsidRPr="006B72F7">
              <w:rPr>
                <w:rFonts w:eastAsiaTheme="minorEastAsia"/>
                <w:color w:val="000000"/>
                <w:sz w:val="24"/>
                <w:szCs w:val="24"/>
              </w:rPr>
              <w:t>科学研究和技术服务业</w:t>
            </w:r>
          </w:p>
        </w:tc>
        <w:tc>
          <w:tcPr>
            <w:tcW w:w="2846" w:type="dxa"/>
            <w:tcBorders>
              <w:top w:val="single" w:sz="4" w:space="0" w:color="000000"/>
              <w:left w:val="single" w:sz="4" w:space="0" w:color="auto"/>
              <w:bottom w:val="single" w:sz="4" w:space="0" w:color="000000"/>
              <w:right w:val="single" w:sz="4" w:space="0" w:color="000000"/>
            </w:tcBorders>
            <w:vAlign w:val="center"/>
          </w:tcPr>
          <w:p w:rsidR="00531F10" w:rsidRPr="006B72F7" w:rsidRDefault="00531F10" w:rsidP="00175D4F">
            <w:pPr>
              <w:jc w:val="right"/>
              <w:rPr>
                <w:rFonts w:eastAsiaTheme="minorEastAsia"/>
                <w:sz w:val="24"/>
                <w:szCs w:val="24"/>
              </w:rPr>
            </w:pPr>
            <w:r w:rsidRPr="006B72F7">
              <w:rPr>
                <w:rFonts w:eastAsiaTheme="minorEastAsia"/>
                <w:sz w:val="24"/>
                <w:szCs w:val="24"/>
              </w:rPr>
              <w:t>-</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6B72F7" w:rsidRDefault="00531F10" w:rsidP="00175D4F">
            <w:pPr>
              <w:jc w:val="right"/>
              <w:rPr>
                <w:rFonts w:eastAsiaTheme="minorEastAsia"/>
                <w:sz w:val="24"/>
                <w:szCs w:val="24"/>
              </w:rPr>
            </w:pPr>
            <w:r w:rsidRPr="006B72F7">
              <w:rPr>
                <w:rFonts w:eastAsiaTheme="minorEastAsia"/>
                <w:sz w:val="24"/>
                <w:szCs w:val="24"/>
              </w:rPr>
              <w:t>-</w:t>
            </w:r>
          </w:p>
        </w:tc>
      </w:tr>
      <w:tr w:rsidR="00531F10" w:rsidRPr="001611C5" w:rsidTr="00175D4F">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6B72F7" w:rsidRDefault="00531F10" w:rsidP="00175D4F">
            <w:pPr>
              <w:adjustRightInd w:val="0"/>
              <w:snapToGrid w:val="0"/>
              <w:spacing w:line="400" w:lineRule="exact"/>
              <w:jc w:val="center"/>
              <w:rPr>
                <w:rFonts w:eastAsiaTheme="minorEastAsia"/>
                <w:color w:val="000000"/>
                <w:sz w:val="24"/>
                <w:szCs w:val="24"/>
              </w:rPr>
            </w:pPr>
            <w:r w:rsidRPr="006B72F7">
              <w:rPr>
                <w:rFonts w:eastAsiaTheme="minorEastAsia"/>
                <w:color w:val="000000"/>
                <w:sz w:val="24"/>
                <w:szCs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31F10" w:rsidRPr="006B72F7" w:rsidRDefault="00531F10" w:rsidP="00175D4F">
            <w:pPr>
              <w:adjustRightInd w:val="0"/>
              <w:snapToGrid w:val="0"/>
              <w:spacing w:line="400" w:lineRule="exact"/>
              <w:rPr>
                <w:rFonts w:eastAsiaTheme="minorEastAsia"/>
                <w:color w:val="000000"/>
                <w:sz w:val="24"/>
                <w:szCs w:val="24"/>
              </w:rPr>
            </w:pPr>
            <w:r w:rsidRPr="006B72F7">
              <w:rPr>
                <w:rFonts w:eastAsiaTheme="minorEastAsia"/>
                <w:color w:val="000000"/>
                <w:sz w:val="24"/>
                <w:szCs w:val="24"/>
              </w:rPr>
              <w:t>水利、环境和公共设施管理业</w:t>
            </w:r>
          </w:p>
        </w:tc>
        <w:tc>
          <w:tcPr>
            <w:tcW w:w="2846" w:type="dxa"/>
            <w:tcBorders>
              <w:top w:val="single" w:sz="4" w:space="0" w:color="000000"/>
              <w:left w:val="single" w:sz="4" w:space="0" w:color="auto"/>
              <w:bottom w:val="single" w:sz="4" w:space="0" w:color="000000"/>
              <w:right w:val="single" w:sz="4" w:space="0" w:color="000000"/>
            </w:tcBorders>
            <w:vAlign w:val="center"/>
          </w:tcPr>
          <w:p w:rsidR="00531F10" w:rsidRPr="006B72F7" w:rsidRDefault="00531F10" w:rsidP="00175D4F">
            <w:pPr>
              <w:jc w:val="right"/>
              <w:rPr>
                <w:rFonts w:eastAsiaTheme="minorEastAsia"/>
                <w:sz w:val="24"/>
                <w:szCs w:val="24"/>
              </w:rPr>
            </w:pPr>
            <w:r w:rsidRPr="006B72F7">
              <w:rPr>
                <w:rFonts w:eastAsiaTheme="minorEastAsia"/>
                <w:sz w:val="24"/>
                <w:szCs w:val="24"/>
              </w:rPr>
              <w:t>-</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6B72F7" w:rsidRDefault="00531F10" w:rsidP="00175D4F">
            <w:pPr>
              <w:jc w:val="right"/>
              <w:rPr>
                <w:rFonts w:eastAsiaTheme="minorEastAsia"/>
                <w:sz w:val="24"/>
                <w:szCs w:val="24"/>
              </w:rPr>
            </w:pPr>
            <w:r w:rsidRPr="006B72F7">
              <w:rPr>
                <w:rFonts w:eastAsiaTheme="minorEastAsia"/>
                <w:sz w:val="24"/>
                <w:szCs w:val="24"/>
              </w:rPr>
              <w:t>-</w:t>
            </w:r>
          </w:p>
        </w:tc>
      </w:tr>
      <w:tr w:rsidR="00531F10" w:rsidRPr="001611C5" w:rsidTr="00175D4F">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6B72F7" w:rsidRDefault="00531F10" w:rsidP="00175D4F">
            <w:pPr>
              <w:adjustRightInd w:val="0"/>
              <w:snapToGrid w:val="0"/>
              <w:spacing w:line="400" w:lineRule="exact"/>
              <w:jc w:val="center"/>
              <w:rPr>
                <w:rFonts w:eastAsiaTheme="minorEastAsia"/>
                <w:color w:val="000000"/>
                <w:sz w:val="24"/>
                <w:szCs w:val="24"/>
              </w:rPr>
            </w:pPr>
            <w:r w:rsidRPr="006B72F7">
              <w:rPr>
                <w:rFonts w:eastAsiaTheme="minorEastAsia"/>
                <w:color w:val="000000"/>
                <w:sz w:val="24"/>
                <w:szCs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31F10" w:rsidRPr="006B72F7" w:rsidRDefault="00531F10" w:rsidP="00175D4F">
            <w:pPr>
              <w:adjustRightInd w:val="0"/>
              <w:snapToGrid w:val="0"/>
              <w:spacing w:line="400" w:lineRule="exact"/>
              <w:rPr>
                <w:rFonts w:eastAsiaTheme="minorEastAsia"/>
                <w:color w:val="000000"/>
                <w:sz w:val="24"/>
                <w:szCs w:val="24"/>
              </w:rPr>
            </w:pPr>
            <w:r w:rsidRPr="006B72F7">
              <w:rPr>
                <w:rFonts w:eastAsiaTheme="minorEastAsia"/>
                <w:color w:val="000000"/>
                <w:sz w:val="24"/>
                <w:szCs w:val="24"/>
              </w:rPr>
              <w:t>居民服务、修理和其他服务业</w:t>
            </w:r>
          </w:p>
        </w:tc>
        <w:tc>
          <w:tcPr>
            <w:tcW w:w="2846" w:type="dxa"/>
            <w:tcBorders>
              <w:top w:val="single" w:sz="4" w:space="0" w:color="000000"/>
              <w:left w:val="single" w:sz="4" w:space="0" w:color="auto"/>
              <w:bottom w:val="single" w:sz="4" w:space="0" w:color="000000"/>
              <w:right w:val="single" w:sz="4" w:space="0" w:color="000000"/>
            </w:tcBorders>
            <w:vAlign w:val="center"/>
          </w:tcPr>
          <w:p w:rsidR="00531F10" w:rsidRPr="006B72F7" w:rsidRDefault="00531F10" w:rsidP="00175D4F">
            <w:pPr>
              <w:jc w:val="right"/>
              <w:rPr>
                <w:rFonts w:eastAsiaTheme="minorEastAsia"/>
                <w:sz w:val="24"/>
                <w:szCs w:val="24"/>
              </w:rPr>
            </w:pPr>
            <w:r w:rsidRPr="006B72F7">
              <w:rPr>
                <w:rFonts w:eastAsiaTheme="minorEastAsia"/>
                <w:sz w:val="24"/>
                <w:szCs w:val="24"/>
              </w:rPr>
              <w:t>-</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6B72F7" w:rsidRDefault="00531F10" w:rsidP="00175D4F">
            <w:pPr>
              <w:jc w:val="right"/>
              <w:rPr>
                <w:rFonts w:eastAsiaTheme="minorEastAsia"/>
                <w:sz w:val="24"/>
                <w:szCs w:val="24"/>
              </w:rPr>
            </w:pPr>
            <w:r w:rsidRPr="006B72F7">
              <w:rPr>
                <w:rFonts w:eastAsiaTheme="minorEastAsia"/>
                <w:sz w:val="24"/>
                <w:szCs w:val="24"/>
              </w:rPr>
              <w:t>-</w:t>
            </w:r>
          </w:p>
        </w:tc>
      </w:tr>
      <w:tr w:rsidR="00531F10" w:rsidRPr="001611C5" w:rsidTr="00175D4F">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6B72F7" w:rsidRDefault="00531F10" w:rsidP="00175D4F">
            <w:pPr>
              <w:adjustRightInd w:val="0"/>
              <w:snapToGrid w:val="0"/>
              <w:spacing w:line="400" w:lineRule="exact"/>
              <w:jc w:val="center"/>
              <w:rPr>
                <w:rFonts w:eastAsiaTheme="minorEastAsia"/>
                <w:color w:val="000000"/>
                <w:sz w:val="24"/>
                <w:szCs w:val="24"/>
              </w:rPr>
            </w:pPr>
            <w:r w:rsidRPr="006B72F7">
              <w:rPr>
                <w:rFonts w:eastAsiaTheme="minorEastAsia"/>
                <w:color w:val="000000"/>
                <w:sz w:val="24"/>
                <w:szCs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31F10" w:rsidRPr="006B72F7" w:rsidRDefault="00531F10" w:rsidP="00175D4F">
            <w:pPr>
              <w:adjustRightInd w:val="0"/>
              <w:snapToGrid w:val="0"/>
              <w:spacing w:line="400" w:lineRule="exact"/>
              <w:rPr>
                <w:rFonts w:eastAsiaTheme="minorEastAsia"/>
                <w:color w:val="000000"/>
                <w:sz w:val="24"/>
                <w:szCs w:val="24"/>
              </w:rPr>
            </w:pPr>
            <w:r w:rsidRPr="006B72F7">
              <w:rPr>
                <w:rFonts w:eastAsiaTheme="minorEastAsia"/>
                <w:color w:val="000000"/>
                <w:sz w:val="24"/>
                <w:szCs w:val="24"/>
              </w:rPr>
              <w:t>教育</w:t>
            </w:r>
          </w:p>
        </w:tc>
        <w:tc>
          <w:tcPr>
            <w:tcW w:w="2846" w:type="dxa"/>
            <w:tcBorders>
              <w:top w:val="single" w:sz="4" w:space="0" w:color="000000"/>
              <w:left w:val="single" w:sz="4" w:space="0" w:color="auto"/>
              <w:bottom w:val="single" w:sz="4" w:space="0" w:color="000000"/>
              <w:right w:val="single" w:sz="4" w:space="0" w:color="000000"/>
            </w:tcBorders>
            <w:vAlign w:val="center"/>
          </w:tcPr>
          <w:p w:rsidR="00531F10" w:rsidRPr="006B72F7" w:rsidRDefault="00531F10" w:rsidP="00175D4F">
            <w:pPr>
              <w:jc w:val="right"/>
              <w:rPr>
                <w:rFonts w:eastAsiaTheme="minorEastAsia"/>
                <w:sz w:val="24"/>
                <w:szCs w:val="24"/>
              </w:rPr>
            </w:pPr>
            <w:r w:rsidRPr="006B72F7">
              <w:rPr>
                <w:rFonts w:eastAsiaTheme="minorEastAsia"/>
                <w:sz w:val="24"/>
                <w:szCs w:val="24"/>
              </w:rPr>
              <w:t>-</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6B72F7" w:rsidRDefault="00531F10" w:rsidP="00175D4F">
            <w:pPr>
              <w:jc w:val="right"/>
              <w:rPr>
                <w:rFonts w:eastAsiaTheme="minorEastAsia"/>
                <w:sz w:val="24"/>
                <w:szCs w:val="24"/>
              </w:rPr>
            </w:pPr>
            <w:r w:rsidRPr="006B72F7">
              <w:rPr>
                <w:rFonts w:eastAsiaTheme="minorEastAsia"/>
                <w:sz w:val="24"/>
                <w:szCs w:val="24"/>
              </w:rPr>
              <w:t>-</w:t>
            </w:r>
          </w:p>
        </w:tc>
      </w:tr>
      <w:tr w:rsidR="00531F10" w:rsidRPr="001611C5" w:rsidTr="00175D4F">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6B72F7" w:rsidRDefault="00531F10" w:rsidP="00175D4F">
            <w:pPr>
              <w:adjustRightInd w:val="0"/>
              <w:snapToGrid w:val="0"/>
              <w:spacing w:line="400" w:lineRule="exact"/>
              <w:jc w:val="center"/>
              <w:rPr>
                <w:rFonts w:eastAsiaTheme="minorEastAsia"/>
                <w:color w:val="000000"/>
                <w:sz w:val="24"/>
                <w:szCs w:val="24"/>
              </w:rPr>
            </w:pPr>
            <w:r w:rsidRPr="006B72F7">
              <w:rPr>
                <w:rFonts w:eastAsiaTheme="minorEastAsia"/>
                <w:color w:val="000000"/>
                <w:sz w:val="24"/>
                <w:szCs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31F10" w:rsidRPr="006B72F7" w:rsidRDefault="00531F10" w:rsidP="00175D4F">
            <w:pPr>
              <w:adjustRightInd w:val="0"/>
              <w:snapToGrid w:val="0"/>
              <w:spacing w:line="400" w:lineRule="exact"/>
              <w:rPr>
                <w:rFonts w:eastAsiaTheme="minorEastAsia"/>
                <w:color w:val="000000"/>
                <w:sz w:val="24"/>
                <w:szCs w:val="24"/>
              </w:rPr>
            </w:pPr>
            <w:r w:rsidRPr="006B72F7">
              <w:rPr>
                <w:rFonts w:eastAsiaTheme="minorEastAsia"/>
                <w:color w:val="000000"/>
                <w:sz w:val="24"/>
                <w:szCs w:val="24"/>
              </w:rPr>
              <w:t>卫生和社会工作</w:t>
            </w:r>
          </w:p>
        </w:tc>
        <w:tc>
          <w:tcPr>
            <w:tcW w:w="2846" w:type="dxa"/>
            <w:tcBorders>
              <w:top w:val="single" w:sz="4" w:space="0" w:color="000000"/>
              <w:left w:val="single" w:sz="4" w:space="0" w:color="auto"/>
              <w:bottom w:val="single" w:sz="4" w:space="0" w:color="000000"/>
              <w:right w:val="single" w:sz="4" w:space="0" w:color="000000"/>
            </w:tcBorders>
            <w:vAlign w:val="center"/>
          </w:tcPr>
          <w:p w:rsidR="00531F10" w:rsidRPr="006B72F7" w:rsidRDefault="00531F10" w:rsidP="00175D4F">
            <w:pPr>
              <w:jc w:val="right"/>
              <w:rPr>
                <w:rFonts w:eastAsiaTheme="minorEastAsia"/>
                <w:sz w:val="24"/>
                <w:szCs w:val="24"/>
              </w:rPr>
            </w:pPr>
            <w:r w:rsidRPr="006B72F7">
              <w:rPr>
                <w:rFonts w:eastAsiaTheme="minorEastAsia"/>
                <w:sz w:val="24"/>
                <w:szCs w:val="24"/>
              </w:rPr>
              <w:t>-</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6B72F7" w:rsidRDefault="00531F10" w:rsidP="00175D4F">
            <w:pPr>
              <w:jc w:val="right"/>
              <w:rPr>
                <w:rFonts w:eastAsiaTheme="minorEastAsia"/>
                <w:sz w:val="24"/>
                <w:szCs w:val="24"/>
              </w:rPr>
            </w:pPr>
            <w:r w:rsidRPr="006B72F7">
              <w:rPr>
                <w:rFonts w:eastAsiaTheme="minorEastAsia"/>
                <w:sz w:val="24"/>
                <w:szCs w:val="24"/>
              </w:rPr>
              <w:t>-</w:t>
            </w:r>
          </w:p>
        </w:tc>
      </w:tr>
      <w:tr w:rsidR="00531F10" w:rsidRPr="001611C5" w:rsidTr="00175D4F">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6B72F7" w:rsidRDefault="00531F10" w:rsidP="00175D4F">
            <w:pPr>
              <w:adjustRightInd w:val="0"/>
              <w:snapToGrid w:val="0"/>
              <w:spacing w:line="400" w:lineRule="exact"/>
              <w:jc w:val="center"/>
              <w:rPr>
                <w:rFonts w:eastAsiaTheme="minorEastAsia"/>
                <w:color w:val="000000"/>
                <w:sz w:val="24"/>
                <w:szCs w:val="24"/>
              </w:rPr>
            </w:pPr>
            <w:r w:rsidRPr="006B72F7">
              <w:rPr>
                <w:rFonts w:eastAsiaTheme="minorEastAsia"/>
                <w:color w:val="000000"/>
                <w:sz w:val="24"/>
                <w:szCs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31F10" w:rsidRPr="006B72F7" w:rsidRDefault="00531F10" w:rsidP="00175D4F">
            <w:pPr>
              <w:adjustRightInd w:val="0"/>
              <w:snapToGrid w:val="0"/>
              <w:spacing w:line="400" w:lineRule="exact"/>
              <w:rPr>
                <w:rFonts w:eastAsiaTheme="minorEastAsia"/>
                <w:color w:val="000000"/>
                <w:sz w:val="24"/>
                <w:szCs w:val="24"/>
              </w:rPr>
            </w:pPr>
            <w:r w:rsidRPr="006B72F7">
              <w:rPr>
                <w:rFonts w:eastAsiaTheme="minorEastAsia"/>
                <w:color w:val="000000"/>
                <w:sz w:val="24"/>
                <w:szCs w:val="24"/>
              </w:rPr>
              <w:t>文化、体育和娱乐业</w:t>
            </w:r>
          </w:p>
        </w:tc>
        <w:tc>
          <w:tcPr>
            <w:tcW w:w="2846" w:type="dxa"/>
            <w:tcBorders>
              <w:top w:val="single" w:sz="4" w:space="0" w:color="000000"/>
              <w:left w:val="single" w:sz="4" w:space="0" w:color="auto"/>
              <w:bottom w:val="single" w:sz="4" w:space="0" w:color="000000"/>
              <w:right w:val="single" w:sz="4" w:space="0" w:color="000000"/>
            </w:tcBorders>
            <w:vAlign w:val="center"/>
          </w:tcPr>
          <w:p w:rsidR="00531F10" w:rsidRPr="006B72F7" w:rsidRDefault="00531F10" w:rsidP="00175D4F">
            <w:pPr>
              <w:jc w:val="right"/>
              <w:rPr>
                <w:rFonts w:eastAsiaTheme="minorEastAsia"/>
                <w:sz w:val="24"/>
                <w:szCs w:val="24"/>
              </w:rPr>
            </w:pPr>
            <w:r w:rsidRPr="006B72F7">
              <w:rPr>
                <w:rFonts w:eastAsiaTheme="minorEastAsia"/>
                <w:sz w:val="24"/>
                <w:szCs w:val="24"/>
              </w:rPr>
              <w:t>-</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6B72F7" w:rsidRDefault="00531F10" w:rsidP="00175D4F">
            <w:pPr>
              <w:jc w:val="right"/>
              <w:rPr>
                <w:rFonts w:eastAsiaTheme="minorEastAsia"/>
                <w:sz w:val="24"/>
                <w:szCs w:val="24"/>
              </w:rPr>
            </w:pPr>
            <w:r w:rsidRPr="006B72F7">
              <w:rPr>
                <w:rFonts w:eastAsiaTheme="minorEastAsia"/>
                <w:sz w:val="24"/>
                <w:szCs w:val="24"/>
              </w:rPr>
              <w:t>-</w:t>
            </w:r>
          </w:p>
        </w:tc>
      </w:tr>
      <w:tr w:rsidR="00531F10" w:rsidRPr="001611C5" w:rsidTr="00175D4F">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6B72F7" w:rsidRDefault="00531F10" w:rsidP="00175D4F">
            <w:pPr>
              <w:adjustRightInd w:val="0"/>
              <w:snapToGrid w:val="0"/>
              <w:spacing w:line="400" w:lineRule="exact"/>
              <w:jc w:val="center"/>
              <w:rPr>
                <w:rFonts w:eastAsiaTheme="minorEastAsia"/>
                <w:color w:val="000000"/>
                <w:sz w:val="24"/>
                <w:szCs w:val="24"/>
              </w:rPr>
            </w:pPr>
            <w:r w:rsidRPr="006B72F7">
              <w:rPr>
                <w:rFonts w:eastAsiaTheme="minorEastAsia"/>
                <w:color w:val="000000"/>
                <w:sz w:val="24"/>
                <w:szCs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31F10" w:rsidRPr="006B72F7" w:rsidRDefault="00531F10" w:rsidP="00175D4F">
            <w:pPr>
              <w:adjustRightInd w:val="0"/>
              <w:snapToGrid w:val="0"/>
              <w:spacing w:line="400" w:lineRule="exact"/>
              <w:rPr>
                <w:rFonts w:eastAsiaTheme="minorEastAsia"/>
                <w:color w:val="000000"/>
                <w:sz w:val="24"/>
                <w:szCs w:val="24"/>
              </w:rPr>
            </w:pPr>
            <w:r w:rsidRPr="006B72F7">
              <w:rPr>
                <w:rFonts w:eastAsiaTheme="minorEastAsia"/>
                <w:color w:val="000000"/>
                <w:sz w:val="24"/>
                <w:szCs w:val="24"/>
              </w:rPr>
              <w:t>综合</w:t>
            </w:r>
          </w:p>
        </w:tc>
        <w:tc>
          <w:tcPr>
            <w:tcW w:w="2846" w:type="dxa"/>
            <w:tcBorders>
              <w:top w:val="single" w:sz="4" w:space="0" w:color="000000"/>
              <w:left w:val="single" w:sz="4" w:space="0" w:color="auto"/>
              <w:bottom w:val="single" w:sz="4" w:space="0" w:color="000000"/>
              <w:right w:val="single" w:sz="4" w:space="0" w:color="000000"/>
            </w:tcBorders>
            <w:vAlign w:val="center"/>
          </w:tcPr>
          <w:p w:rsidR="00531F10" w:rsidRPr="006B72F7" w:rsidRDefault="00531F10" w:rsidP="00175D4F">
            <w:pPr>
              <w:jc w:val="right"/>
              <w:rPr>
                <w:rFonts w:eastAsiaTheme="minorEastAsia"/>
                <w:sz w:val="24"/>
                <w:szCs w:val="24"/>
              </w:rPr>
            </w:pPr>
            <w:r w:rsidRPr="006B72F7">
              <w:rPr>
                <w:rFonts w:eastAsiaTheme="minorEastAsia"/>
                <w:sz w:val="24"/>
                <w:szCs w:val="24"/>
              </w:rPr>
              <w:t>-</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6B72F7" w:rsidRDefault="00531F10" w:rsidP="00175D4F">
            <w:pPr>
              <w:jc w:val="right"/>
              <w:rPr>
                <w:rFonts w:eastAsiaTheme="minorEastAsia"/>
                <w:sz w:val="24"/>
                <w:szCs w:val="24"/>
              </w:rPr>
            </w:pPr>
            <w:r w:rsidRPr="006B72F7">
              <w:rPr>
                <w:rFonts w:eastAsiaTheme="minorEastAsia"/>
                <w:sz w:val="24"/>
                <w:szCs w:val="24"/>
              </w:rPr>
              <w:t>-</w:t>
            </w:r>
          </w:p>
        </w:tc>
      </w:tr>
      <w:tr w:rsidR="00531F10" w:rsidRPr="001611C5" w:rsidTr="00175D4F">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6B72F7" w:rsidRDefault="00531F10" w:rsidP="00175D4F">
            <w:pPr>
              <w:adjustRightInd w:val="0"/>
              <w:snapToGrid w:val="0"/>
              <w:spacing w:line="400" w:lineRule="exact"/>
              <w:jc w:val="center"/>
              <w:rPr>
                <w:rFonts w:eastAsiaTheme="minorEastAsia"/>
                <w:color w:val="000000"/>
                <w:sz w:val="24"/>
                <w:szCs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31F10" w:rsidRPr="006B72F7" w:rsidRDefault="00531F10" w:rsidP="00175D4F">
            <w:pPr>
              <w:adjustRightInd w:val="0"/>
              <w:snapToGrid w:val="0"/>
              <w:spacing w:line="400" w:lineRule="exact"/>
              <w:rPr>
                <w:rFonts w:eastAsiaTheme="minorEastAsia"/>
                <w:color w:val="000000"/>
                <w:sz w:val="24"/>
                <w:szCs w:val="24"/>
              </w:rPr>
            </w:pPr>
            <w:r w:rsidRPr="006B72F7">
              <w:rPr>
                <w:rFonts w:eastAsiaTheme="minorEastAsia"/>
                <w:color w:val="000000"/>
                <w:sz w:val="24"/>
                <w:szCs w:val="24"/>
              </w:rPr>
              <w:t>合计</w:t>
            </w:r>
          </w:p>
        </w:tc>
        <w:tc>
          <w:tcPr>
            <w:tcW w:w="2846" w:type="dxa"/>
            <w:tcBorders>
              <w:top w:val="single" w:sz="4" w:space="0" w:color="000000"/>
              <w:left w:val="single" w:sz="4" w:space="0" w:color="auto"/>
              <w:bottom w:val="single" w:sz="4" w:space="0" w:color="000000"/>
              <w:right w:val="single" w:sz="4" w:space="0" w:color="000000"/>
            </w:tcBorders>
            <w:vAlign w:val="center"/>
          </w:tcPr>
          <w:p w:rsidR="00531F10" w:rsidRPr="006B72F7" w:rsidRDefault="00531F10" w:rsidP="00175D4F">
            <w:pPr>
              <w:jc w:val="right"/>
              <w:rPr>
                <w:rFonts w:eastAsiaTheme="minorEastAsia"/>
                <w:sz w:val="24"/>
                <w:szCs w:val="24"/>
              </w:rPr>
            </w:pPr>
            <w:r w:rsidRPr="006B72F7">
              <w:rPr>
                <w:rFonts w:eastAsiaTheme="minorEastAsia"/>
                <w:sz w:val="24"/>
                <w:szCs w:val="24"/>
              </w:rPr>
              <w:t>4,944,100.00</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6B72F7" w:rsidRDefault="00531F10" w:rsidP="00175D4F">
            <w:pPr>
              <w:jc w:val="right"/>
              <w:rPr>
                <w:rFonts w:eastAsiaTheme="minorEastAsia"/>
                <w:sz w:val="24"/>
                <w:szCs w:val="24"/>
              </w:rPr>
            </w:pPr>
            <w:r w:rsidRPr="006B72F7">
              <w:rPr>
                <w:rFonts w:eastAsiaTheme="minorEastAsia"/>
                <w:sz w:val="24"/>
                <w:szCs w:val="24"/>
              </w:rPr>
              <w:t>19.45</w:t>
            </w:r>
          </w:p>
        </w:tc>
      </w:tr>
    </w:tbl>
    <w:p w:rsidR="001043C1" w:rsidRPr="008A409E" w:rsidRDefault="001043C1" w:rsidP="0079118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791180">
        <w:rPr>
          <w:rFonts w:asciiTheme="minorEastAsia" w:eastAsiaTheme="minorEastAsia" w:hAnsiTheme="minorEastAsia"/>
          <w:b/>
          <w:bCs/>
          <w:color w:val="000000" w:themeColor="text1"/>
          <w:kern w:val="0"/>
          <w:sz w:val="24"/>
          <w:szCs w:val="24"/>
        </w:rPr>
        <w:t>5.2.2</w:t>
      </w:r>
      <w:r w:rsidR="00374488">
        <w:rPr>
          <w:rFonts w:asciiTheme="minorEastAsia" w:eastAsiaTheme="minorEastAsia" w:hAnsiTheme="minorEastAsia" w:hint="eastAsia"/>
          <w:b/>
          <w:bCs/>
          <w:color w:val="000000" w:themeColor="text1"/>
          <w:kern w:val="0"/>
          <w:sz w:val="24"/>
          <w:szCs w:val="24"/>
        </w:rPr>
        <w:t>报告期末按行业分类的港股通</w:t>
      </w:r>
      <w:r w:rsidRPr="00791180">
        <w:rPr>
          <w:rFonts w:asciiTheme="minorEastAsia" w:eastAsiaTheme="minorEastAsia" w:hAnsiTheme="minorEastAsia" w:hint="eastAsia"/>
          <w:b/>
          <w:bCs/>
          <w:color w:val="000000" w:themeColor="text1"/>
          <w:kern w:val="0"/>
          <w:sz w:val="24"/>
          <w:szCs w:val="24"/>
        </w:rPr>
        <w:t>投资股票投资组合</w:t>
      </w:r>
    </w:p>
    <w:p w:rsidR="001043C1" w:rsidRPr="00FE5D8B" w:rsidRDefault="001043C1" w:rsidP="00FE5D8B">
      <w:pPr>
        <w:spacing w:line="360" w:lineRule="auto"/>
        <w:ind w:firstLineChars="200" w:firstLine="480"/>
        <w:rPr>
          <w:rFonts w:eastAsiaTheme="minorEastAsia"/>
          <w:color w:val="000000"/>
          <w:sz w:val="24"/>
          <w:szCs w:val="24"/>
        </w:rPr>
      </w:pPr>
      <w:r w:rsidRPr="00FE5D8B">
        <w:rPr>
          <w:rFonts w:eastAsiaTheme="minorEastAsia"/>
          <w:color w:val="000000"/>
          <w:sz w:val="24"/>
          <w:szCs w:val="24"/>
        </w:rPr>
        <w:t>本基金本报告期末未持有通过港股通投资的股票。</w:t>
      </w:r>
    </w:p>
    <w:p w:rsidR="004061AC" w:rsidRPr="001611C5" w:rsidRDefault="004061AC" w:rsidP="001B0A62">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b/>
          <w:bCs/>
          <w:color w:val="000000"/>
          <w:kern w:val="0"/>
          <w:sz w:val="24"/>
          <w:szCs w:val="24"/>
        </w:rPr>
        <w:t xml:space="preserve">5.3 </w:t>
      </w:r>
      <w:r w:rsidRPr="001611C5">
        <w:rPr>
          <w:rFonts w:asciiTheme="minorEastAsia" w:eastAsiaTheme="minorEastAsia" w:hAnsiTheme="minorEastAsia" w:hint="eastAsia"/>
          <w:b/>
          <w:bCs/>
          <w:color w:val="000000"/>
          <w:kern w:val="0"/>
          <w:sz w:val="24"/>
          <w:szCs w:val="24"/>
        </w:rPr>
        <w:t>报告期末按公允价值占基金资产净值比例大小排序的前十名股票投资明细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AC592E" w:rsidRPr="001611C5" w:rsidTr="00D57B7C">
        <w:tc>
          <w:tcPr>
            <w:tcW w:w="817" w:type="dxa"/>
            <w:vAlign w:val="center"/>
          </w:tcPr>
          <w:p w:rsidR="00853140" w:rsidRPr="006B72F7" w:rsidRDefault="00853140" w:rsidP="006E042A">
            <w:pPr>
              <w:spacing w:before="29" w:line="360" w:lineRule="auto"/>
              <w:ind w:left="17"/>
              <w:jc w:val="center"/>
              <w:rPr>
                <w:rFonts w:eastAsiaTheme="minorEastAsia"/>
                <w:color w:val="000000"/>
                <w:sz w:val="24"/>
                <w:szCs w:val="24"/>
              </w:rPr>
            </w:pPr>
            <w:r w:rsidRPr="006B72F7">
              <w:rPr>
                <w:rFonts w:eastAsiaTheme="minorEastAsia"/>
                <w:color w:val="000000"/>
                <w:sz w:val="24"/>
                <w:szCs w:val="24"/>
              </w:rPr>
              <w:t>序号</w:t>
            </w:r>
          </w:p>
        </w:tc>
        <w:tc>
          <w:tcPr>
            <w:tcW w:w="1276" w:type="dxa"/>
            <w:vAlign w:val="center"/>
          </w:tcPr>
          <w:p w:rsidR="00853140" w:rsidRPr="006B72F7" w:rsidRDefault="00853140" w:rsidP="006E042A">
            <w:pPr>
              <w:spacing w:before="29" w:line="360" w:lineRule="auto"/>
              <w:ind w:left="17"/>
              <w:jc w:val="center"/>
              <w:rPr>
                <w:rFonts w:eastAsiaTheme="minorEastAsia"/>
                <w:color w:val="000000"/>
                <w:sz w:val="24"/>
                <w:szCs w:val="24"/>
              </w:rPr>
            </w:pPr>
            <w:r w:rsidRPr="006B72F7">
              <w:rPr>
                <w:rFonts w:eastAsiaTheme="minorEastAsia"/>
                <w:color w:val="000000"/>
                <w:sz w:val="24"/>
                <w:szCs w:val="24"/>
              </w:rPr>
              <w:t>股票代码</w:t>
            </w:r>
          </w:p>
        </w:tc>
        <w:tc>
          <w:tcPr>
            <w:tcW w:w="1701" w:type="dxa"/>
            <w:vAlign w:val="center"/>
          </w:tcPr>
          <w:p w:rsidR="00853140" w:rsidRPr="006B72F7" w:rsidRDefault="00853140" w:rsidP="006E042A">
            <w:pPr>
              <w:spacing w:before="29" w:line="360" w:lineRule="auto"/>
              <w:ind w:left="17"/>
              <w:jc w:val="center"/>
              <w:rPr>
                <w:rFonts w:eastAsiaTheme="minorEastAsia"/>
                <w:color w:val="000000"/>
                <w:sz w:val="24"/>
                <w:szCs w:val="24"/>
              </w:rPr>
            </w:pPr>
            <w:r w:rsidRPr="006B72F7">
              <w:rPr>
                <w:rFonts w:eastAsiaTheme="minorEastAsia"/>
                <w:color w:val="000000"/>
                <w:sz w:val="24"/>
                <w:szCs w:val="24"/>
              </w:rPr>
              <w:t>股票名称</w:t>
            </w:r>
          </w:p>
        </w:tc>
        <w:tc>
          <w:tcPr>
            <w:tcW w:w="1276" w:type="dxa"/>
            <w:vAlign w:val="center"/>
          </w:tcPr>
          <w:p w:rsidR="00853140" w:rsidRPr="006B72F7" w:rsidRDefault="00853140" w:rsidP="006E042A">
            <w:pPr>
              <w:spacing w:before="29" w:line="360" w:lineRule="auto"/>
              <w:ind w:left="17"/>
              <w:jc w:val="center"/>
              <w:rPr>
                <w:rFonts w:eastAsiaTheme="minorEastAsia"/>
                <w:color w:val="000000"/>
                <w:sz w:val="24"/>
                <w:szCs w:val="24"/>
              </w:rPr>
            </w:pPr>
            <w:r w:rsidRPr="006B72F7">
              <w:rPr>
                <w:rFonts w:eastAsiaTheme="minorEastAsia"/>
                <w:color w:val="000000"/>
                <w:sz w:val="24"/>
                <w:szCs w:val="24"/>
              </w:rPr>
              <w:t>数量</w:t>
            </w:r>
            <w:r w:rsidR="00D57B7C" w:rsidRPr="006B72F7">
              <w:rPr>
                <w:rFonts w:eastAsiaTheme="minorEastAsia"/>
                <w:color w:val="000000"/>
                <w:sz w:val="24"/>
                <w:szCs w:val="24"/>
              </w:rPr>
              <w:t>(</w:t>
            </w:r>
            <w:r w:rsidRPr="006B72F7">
              <w:rPr>
                <w:rFonts w:eastAsiaTheme="minorEastAsia"/>
                <w:color w:val="000000"/>
                <w:sz w:val="24"/>
                <w:szCs w:val="24"/>
              </w:rPr>
              <w:t>股</w:t>
            </w:r>
            <w:r w:rsidR="00D57B7C" w:rsidRPr="006B72F7">
              <w:rPr>
                <w:rFonts w:eastAsiaTheme="minorEastAsia"/>
                <w:color w:val="000000"/>
                <w:sz w:val="24"/>
                <w:szCs w:val="24"/>
              </w:rPr>
              <w:t>)</w:t>
            </w:r>
          </w:p>
        </w:tc>
        <w:tc>
          <w:tcPr>
            <w:tcW w:w="1842" w:type="dxa"/>
            <w:vAlign w:val="center"/>
          </w:tcPr>
          <w:p w:rsidR="00853140" w:rsidRPr="006B72F7" w:rsidRDefault="00853140" w:rsidP="006E042A">
            <w:pPr>
              <w:autoSpaceDE w:val="0"/>
              <w:autoSpaceDN w:val="0"/>
              <w:adjustRightInd w:val="0"/>
              <w:spacing w:before="29" w:line="360" w:lineRule="auto"/>
              <w:ind w:left="17"/>
              <w:jc w:val="center"/>
              <w:rPr>
                <w:rFonts w:eastAsiaTheme="minorEastAsia"/>
                <w:color w:val="000000"/>
                <w:sz w:val="24"/>
                <w:szCs w:val="24"/>
              </w:rPr>
            </w:pPr>
            <w:r w:rsidRPr="006B72F7">
              <w:rPr>
                <w:rFonts w:eastAsiaTheme="minorEastAsia"/>
                <w:color w:val="000000"/>
                <w:sz w:val="24"/>
                <w:szCs w:val="24"/>
              </w:rPr>
              <w:t>公允价值</w:t>
            </w:r>
            <w:r w:rsidRPr="006B72F7">
              <w:rPr>
                <w:rFonts w:eastAsiaTheme="minorEastAsia"/>
                <w:color w:val="000000"/>
                <w:sz w:val="24"/>
                <w:szCs w:val="24"/>
              </w:rPr>
              <w:t>(</w:t>
            </w:r>
            <w:r w:rsidRPr="006B72F7">
              <w:rPr>
                <w:rFonts w:eastAsiaTheme="minorEastAsia"/>
                <w:color w:val="000000"/>
                <w:sz w:val="24"/>
                <w:szCs w:val="24"/>
              </w:rPr>
              <w:t>元</w:t>
            </w:r>
            <w:r w:rsidRPr="006B72F7">
              <w:rPr>
                <w:rFonts w:eastAsiaTheme="minorEastAsia"/>
                <w:color w:val="000000"/>
                <w:sz w:val="24"/>
                <w:szCs w:val="24"/>
              </w:rPr>
              <w:t>)</w:t>
            </w:r>
          </w:p>
        </w:tc>
        <w:tc>
          <w:tcPr>
            <w:tcW w:w="1616" w:type="dxa"/>
            <w:vAlign w:val="center"/>
          </w:tcPr>
          <w:p w:rsidR="00853140" w:rsidRPr="006B72F7" w:rsidRDefault="00853140" w:rsidP="006E042A">
            <w:pPr>
              <w:spacing w:before="29" w:line="360" w:lineRule="auto"/>
              <w:ind w:left="17"/>
              <w:jc w:val="center"/>
              <w:rPr>
                <w:rFonts w:eastAsiaTheme="minorEastAsia"/>
                <w:color w:val="000000"/>
                <w:sz w:val="24"/>
                <w:szCs w:val="24"/>
              </w:rPr>
            </w:pPr>
            <w:r w:rsidRPr="006B72F7">
              <w:rPr>
                <w:rFonts w:eastAsiaTheme="minorEastAsia"/>
                <w:color w:val="000000"/>
                <w:sz w:val="24"/>
                <w:szCs w:val="24"/>
              </w:rPr>
              <w:t>占基金资产净值比例</w:t>
            </w:r>
            <w:r w:rsidR="00D57B7C" w:rsidRPr="006B72F7">
              <w:rPr>
                <w:rFonts w:eastAsiaTheme="minorEastAsia"/>
                <w:color w:val="000000"/>
                <w:sz w:val="24"/>
                <w:szCs w:val="24"/>
              </w:rPr>
              <w:t>(</w:t>
            </w:r>
            <w:r w:rsidRPr="006B72F7">
              <w:rPr>
                <w:rFonts w:eastAsiaTheme="minorEastAsia"/>
                <w:color w:val="000000"/>
                <w:sz w:val="24"/>
                <w:szCs w:val="24"/>
              </w:rPr>
              <w:t>％</w:t>
            </w:r>
            <w:r w:rsidR="00D57B7C" w:rsidRPr="006B72F7">
              <w:rPr>
                <w:rFonts w:eastAsiaTheme="minorEastAsia"/>
                <w:color w:val="000000"/>
                <w:sz w:val="24"/>
                <w:szCs w:val="24"/>
              </w:rPr>
              <w:t>)</w:t>
            </w:r>
          </w:p>
        </w:tc>
      </w:tr>
      <w:tr>
        <w:tc>
          <w:tcPr>
            <w:vAlign w:val="center"/>
          </w:tcPr>
          <w:p>
            <w:pPr>
              <w:jc w:val="center"/>
            </w:pPr>
            <w:r>
              <w:rPr>
                <w:rFonts w:eastAsiaTheme="minorEastAsia"/>
                <w:color w:val="000000"/>
                <w:sz w:val="24"/>
                <w:szCs w:val="24"/>
              </w:rPr>
              <w:t>1</w:t>
            </w:r>
          </w:p>
        </w:tc>
        <w:tc>
          <w:tcPr>
            <w:vAlign w:val="center"/>
          </w:tcPr>
          <w:p>
            <w:pPr>
              <w:jc w:val="center"/>
            </w:pPr>
            <w:r>
              <w:rPr>
                <w:rFonts w:eastAsiaTheme="minorEastAsia"/>
                <w:color w:val="000000"/>
                <w:sz w:val="24"/>
                <w:szCs w:val="24"/>
              </w:rPr>
              <w:t>002168</w:t>
            </w:r>
          </w:p>
        </w:tc>
        <w:tc>
          <w:tcPr>
            <w:vAlign w:val="center"/>
          </w:tcPr>
          <w:p>
            <w:pPr>
              <w:jc w:val="center"/>
            </w:pPr>
            <w:r>
              <w:rPr>
                <w:rFonts w:eastAsiaTheme="minorEastAsia"/>
                <w:color w:val="000000"/>
                <w:sz w:val="24"/>
                <w:szCs w:val="24"/>
              </w:rPr>
              <w:t>深圳惠程</w:t>
            </w:r>
          </w:p>
        </w:tc>
        <w:tc>
          <w:tcPr>
            <w:vAlign w:val="center"/>
          </w:tcPr>
          <w:p>
            <w:pPr>
              <w:jc w:val="right"/>
            </w:pPr>
            <w:r>
              <w:rPr>
                <w:rFonts w:eastAsiaTheme="minorEastAsia"/>
                <w:color w:val="000000"/>
                <w:sz w:val="24"/>
                <w:szCs w:val="24"/>
              </w:rPr>
              <w:t>245,000</w:t>
            </w:r>
          </w:p>
        </w:tc>
        <w:tc>
          <w:tcPr>
            <w:vAlign w:val="center"/>
          </w:tcPr>
          <w:p>
            <w:pPr>
              <w:jc w:val="right"/>
            </w:pPr>
            <w:r>
              <w:rPr>
                <w:rFonts w:eastAsiaTheme="minorEastAsia"/>
                <w:color w:val="000000"/>
                <w:sz w:val="24"/>
                <w:szCs w:val="24"/>
              </w:rPr>
              <w:t>4,944,100.00</w:t>
            </w:r>
          </w:p>
        </w:tc>
        <w:tc>
          <w:tcPr>
            <w:vAlign w:val="center"/>
          </w:tcPr>
          <w:p>
            <w:pPr>
              <w:jc w:val="right"/>
            </w:pPr>
            <w:r>
              <w:rPr>
                <w:rFonts w:eastAsiaTheme="minorEastAsia"/>
                <w:color w:val="000000"/>
                <w:sz w:val="24"/>
                <w:szCs w:val="24"/>
              </w:rPr>
              <w:t>19.45</w:t>
            </w:r>
          </w:p>
        </w:tc>
      </w:tr>
    </w:tbl>
    <w:p w:rsidR="00C073E9" w:rsidRPr="00C073E9" w:rsidRDefault="004061AC" w:rsidP="00C073E9">
      <w:pPr>
        <w:autoSpaceDE w:val="0"/>
        <w:autoSpaceDN w:val="0"/>
        <w:adjustRightInd w:val="0"/>
        <w:spacing w:line="360" w:lineRule="auto"/>
        <w:jc w:val="left"/>
        <w:rPr>
          <w:rFonts w:eastAsiaTheme="minorEastAsia"/>
          <w:b/>
          <w:bCs/>
          <w:color w:val="000000" w:themeColor="text1"/>
          <w:kern w:val="0"/>
          <w:sz w:val="24"/>
          <w:szCs w:val="24"/>
        </w:rPr>
      </w:pPr>
      <w:r w:rsidRPr="001611C5">
        <w:rPr>
          <w:rFonts w:asciiTheme="minorEastAsia" w:eastAsiaTheme="minorEastAsia" w:hAnsiTheme="minorEastAsia"/>
          <w:b/>
          <w:bCs/>
          <w:color w:val="000000"/>
          <w:kern w:val="0"/>
          <w:sz w:val="24"/>
          <w:szCs w:val="24"/>
        </w:rPr>
        <w:t xml:space="preserve">5.4 </w:t>
      </w:r>
      <w:r w:rsidRPr="001611C5">
        <w:rPr>
          <w:rFonts w:asciiTheme="minorEastAsia" w:eastAsiaTheme="minorEastAsia" w:hAnsiTheme="minorEastAsia" w:hint="eastAsia"/>
          <w:b/>
          <w:bCs/>
          <w:color w:val="000000"/>
          <w:kern w:val="0"/>
          <w:sz w:val="24"/>
          <w:szCs w:val="24"/>
        </w:rPr>
        <w:t>报告期末按债券品种分类的债券投资组合</w:t>
      </w:r>
    </w:p>
    <w:p w:rsidR="004061AC" w:rsidRPr="00FE5D8B" w:rsidRDefault="00C073E9" w:rsidP="00FE5D8B">
      <w:pPr>
        <w:spacing w:line="360" w:lineRule="auto"/>
        <w:ind w:firstLineChars="200" w:firstLine="480"/>
        <w:rPr>
          <w:rFonts w:eastAsiaTheme="minorEastAsia"/>
          <w:color w:val="000000"/>
          <w:sz w:val="24"/>
          <w:szCs w:val="24"/>
        </w:rPr>
      </w:pPr>
      <w:r w:rsidRPr="00FE5D8B">
        <w:rPr>
          <w:rFonts w:eastAsiaTheme="minorEastAsia"/>
          <w:color w:val="000000"/>
          <w:sz w:val="24"/>
          <w:szCs w:val="24"/>
        </w:rPr>
        <w:t>本基金本报告期末未持有债券。</w:t>
      </w:r>
    </w:p>
    <w:p w:rsidR="004061AC" w:rsidRPr="001611C5" w:rsidRDefault="004061AC" w:rsidP="001B0A62">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b/>
          <w:bCs/>
          <w:color w:val="000000"/>
          <w:kern w:val="0"/>
          <w:sz w:val="24"/>
          <w:szCs w:val="24"/>
        </w:rPr>
        <w:t xml:space="preserve">5.5 </w:t>
      </w:r>
      <w:r w:rsidRPr="001611C5">
        <w:rPr>
          <w:rFonts w:asciiTheme="minorEastAsia" w:eastAsiaTheme="minorEastAsia" w:hAnsiTheme="minorEastAsia" w:hint="eastAsia"/>
          <w:b/>
          <w:bCs/>
          <w:color w:val="000000"/>
          <w:kern w:val="0"/>
          <w:sz w:val="24"/>
          <w:szCs w:val="24"/>
        </w:rPr>
        <w:t>报告期末按公允价值占基金资产净值比例大小排</w:t>
      </w:r>
      <w:r w:rsidR="001D63BB" w:rsidRPr="001611C5">
        <w:rPr>
          <w:rFonts w:asciiTheme="minorEastAsia" w:eastAsiaTheme="minorEastAsia" w:hAnsiTheme="minorEastAsia" w:hint="eastAsia"/>
          <w:b/>
          <w:bCs/>
          <w:color w:val="000000"/>
          <w:kern w:val="0"/>
          <w:sz w:val="24"/>
          <w:szCs w:val="24"/>
        </w:rPr>
        <w:t>序</w:t>
      </w:r>
      <w:r w:rsidRPr="001611C5">
        <w:rPr>
          <w:rFonts w:asciiTheme="minorEastAsia" w:eastAsiaTheme="minorEastAsia" w:hAnsiTheme="minorEastAsia" w:hint="eastAsia"/>
          <w:b/>
          <w:bCs/>
          <w:color w:val="000000"/>
          <w:kern w:val="0"/>
          <w:sz w:val="24"/>
          <w:szCs w:val="24"/>
        </w:rPr>
        <w:t>的前五名债券投资明细</w:t>
      </w:r>
    </w:p>
    <w:p w:rsidR="004061AC" w:rsidRPr="006B72F7" w:rsidRDefault="00F743D4" w:rsidP="006B72F7">
      <w:pPr>
        <w:spacing w:line="360" w:lineRule="auto"/>
        <w:ind w:firstLineChars="200" w:firstLine="480"/>
        <w:rPr>
          <w:rFonts w:eastAsiaTheme="minorEastAsia"/>
          <w:color w:val="000000"/>
          <w:sz w:val="24"/>
          <w:szCs w:val="24"/>
        </w:rPr>
      </w:pPr>
      <w:r w:rsidRPr="00CD2DB1">
        <w:rPr>
          <w:rFonts w:eastAsiaTheme="minorEastAsia" w:hint="eastAsia"/>
          <w:color w:val="000000"/>
          <w:sz w:val="24"/>
          <w:szCs w:val="24"/>
        </w:rPr>
        <w:t/>
      </w:r>
      <w:r w:rsidR="004061AC" w:rsidRPr="00CD2DB1">
        <w:rPr>
          <w:rFonts w:eastAsiaTheme="minorEastAsia"/>
          <w:color w:val="000000"/>
          <w:sz w:val="24"/>
          <w:szCs w:val="24"/>
        </w:rPr>
        <w:t>本基金本报告期末未持有债券。</w:t>
      </w:r>
    </w:p>
    <w:p w:rsidR="004061AC" w:rsidRPr="001611C5" w:rsidRDefault="004061AC" w:rsidP="001B0A62">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b/>
          <w:bCs/>
          <w:color w:val="000000"/>
          <w:kern w:val="0"/>
          <w:sz w:val="24"/>
          <w:szCs w:val="24"/>
        </w:rPr>
        <w:t xml:space="preserve">5.6 </w:t>
      </w:r>
      <w:r w:rsidRPr="001611C5">
        <w:rPr>
          <w:rFonts w:asciiTheme="minorEastAsia" w:eastAsiaTheme="minorEastAsia" w:hAnsiTheme="minorEastAsia" w:hint="eastAsia"/>
          <w:b/>
          <w:bCs/>
          <w:color w:val="000000"/>
          <w:kern w:val="0"/>
          <w:sz w:val="24"/>
          <w:szCs w:val="24"/>
        </w:rPr>
        <w:t>报告期末按公允价值占基金资产净值比例大小排</w:t>
      </w:r>
      <w:r w:rsidR="001D63BB" w:rsidRPr="001611C5">
        <w:rPr>
          <w:rFonts w:asciiTheme="minorEastAsia" w:eastAsiaTheme="minorEastAsia" w:hAnsiTheme="minorEastAsia" w:hint="eastAsia"/>
          <w:b/>
          <w:bCs/>
          <w:color w:val="000000"/>
          <w:kern w:val="0"/>
          <w:sz w:val="24"/>
          <w:szCs w:val="24"/>
        </w:rPr>
        <w:t>序</w:t>
      </w:r>
      <w:r w:rsidRPr="001611C5">
        <w:rPr>
          <w:rFonts w:asciiTheme="minorEastAsia" w:eastAsiaTheme="minorEastAsia" w:hAnsiTheme="minorEastAsia" w:hint="eastAsia"/>
          <w:b/>
          <w:bCs/>
          <w:color w:val="000000"/>
          <w:kern w:val="0"/>
          <w:sz w:val="24"/>
          <w:szCs w:val="24"/>
        </w:rPr>
        <w:t>的前十名资产支持证券投资明细</w:t>
      </w:r>
    </w:p>
    <w:p w:rsidR="001D63BB" w:rsidRPr="006B72F7" w:rsidRDefault="00F743D4" w:rsidP="006B72F7">
      <w:pPr>
        <w:spacing w:line="360" w:lineRule="auto"/>
        <w:ind w:firstLineChars="200" w:firstLine="480"/>
        <w:rPr>
          <w:rFonts w:eastAsiaTheme="minorEastAsia"/>
          <w:color w:val="000000"/>
          <w:sz w:val="24"/>
          <w:szCs w:val="24"/>
        </w:rPr>
      </w:pPr>
      <w:r w:rsidRPr="00CD2DB1">
        <w:rPr>
          <w:rFonts w:eastAsiaTheme="minorEastAsia" w:hint="eastAsia"/>
          <w:color w:val="000000"/>
          <w:sz w:val="24"/>
          <w:szCs w:val="24"/>
        </w:rPr>
        <w:t/>
      </w:r>
      <w:r w:rsidR="004061AC" w:rsidRPr="00CD2DB1">
        <w:rPr>
          <w:rFonts w:eastAsiaTheme="minorEastAsia"/>
          <w:color w:val="000000"/>
          <w:sz w:val="24"/>
          <w:szCs w:val="24"/>
        </w:rPr>
        <w:t>本基金本报告期末未持有资产支持证券。</w:t>
      </w:r>
    </w:p>
    <w:p w:rsidR="001D63BB" w:rsidRPr="001611C5" w:rsidRDefault="001D63BB" w:rsidP="001D63BB">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hint="eastAsia"/>
          <w:b/>
          <w:bCs/>
          <w:color w:val="000000"/>
          <w:kern w:val="0"/>
          <w:sz w:val="24"/>
          <w:szCs w:val="24"/>
        </w:rPr>
        <w:t>5.7 报告期末按公允价值占基金资产净值比例大小排序的前五名贵金属投资明细</w:t>
      </w:r>
    </w:p>
    <w:p w:rsidR="004061AC" w:rsidRPr="006B72F7" w:rsidRDefault="001D63BB" w:rsidP="006B72F7">
      <w:pPr>
        <w:spacing w:line="360" w:lineRule="auto"/>
        <w:ind w:firstLineChars="200" w:firstLine="480"/>
        <w:rPr>
          <w:rFonts w:eastAsiaTheme="minorEastAsia"/>
          <w:color w:val="000000"/>
          <w:sz w:val="24"/>
          <w:szCs w:val="24"/>
        </w:rPr>
      </w:pPr>
      <w:r w:rsidRPr="00CD2DB1">
        <w:rPr>
          <w:rFonts w:eastAsiaTheme="minorEastAsia"/>
          <w:color w:val="000000"/>
          <w:sz w:val="24"/>
          <w:szCs w:val="24"/>
        </w:rPr>
        <w:t>本基金本报告期末未持有贵金属。</w:t>
      </w:r>
    </w:p>
    <w:p w:rsidR="004061AC" w:rsidRPr="001611C5" w:rsidRDefault="001D63BB" w:rsidP="001B0A62">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hint="eastAsia"/>
          <w:b/>
          <w:bCs/>
          <w:color w:val="000000"/>
          <w:kern w:val="0"/>
          <w:sz w:val="24"/>
          <w:szCs w:val="24"/>
        </w:rPr>
        <w:t/>
      </w:r>
      <w:r w:rsidR="00A917BF" w:rsidRPr="001611C5">
        <w:rPr>
          <w:rFonts w:asciiTheme="minorEastAsia" w:eastAsiaTheme="minorEastAsia" w:hAnsiTheme="minorEastAsia" w:hint="eastAsia"/>
          <w:b/>
          <w:bCs/>
          <w:color w:val="000000"/>
          <w:kern w:val="0"/>
          <w:sz w:val="24"/>
          <w:szCs w:val="24"/>
        </w:rPr>
        <w:t>5.</w:t>
      </w:r>
      <w:r w:rsidRPr="001611C5">
        <w:rPr>
          <w:rFonts w:asciiTheme="minorEastAsia" w:eastAsiaTheme="minorEastAsia" w:hAnsiTheme="minorEastAsia" w:hint="eastAsia"/>
          <w:b/>
          <w:bCs/>
          <w:color w:val="000000"/>
          <w:kern w:val="0"/>
          <w:sz w:val="24"/>
          <w:szCs w:val="24"/>
        </w:rPr>
        <w:t/>
      </w:r>
      <w:r w:rsidR="00A917BF" w:rsidRPr="001611C5">
        <w:rPr>
          <w:rFonts w:asciiTheme="minorEastAsia" w:eastAsiaTheme="minorEastAsia" w:hAnsiTheme="minorEastAsia" w:hint="eastAsia"/>
          <w:b/>
          <w:bCs/>
          <w:color w:val="000000"/>
          <w:kern w:val="0"/>
          <w:sz w:val="24"/>
          <w:szCs w:val="24"/>
        </w:rPr>
        <w:t>8</w:t>
      </w:r>
      <w:r w:rsidR="004061AC" w:rsidRPr="001611C5">
        <w:rPr>
          <w:rFonts w:asciiTheme="minorEastAsia" w:eastAsiaTheme="minorEastAsia" w:hAnsiTheme="minorEastAsia"/>
          <w:b/>
          <w:bCs/>
          <w:color w:val="000000"/>
          <w:kern w:val="0"/>
          <w:sz w:val="24"/>
          <w:szCs w:val="24"/>
        </w:rPr>
        <w:t xml:space="preserve"> </w:t>
      </w:r>
      <w:r w:rsidR="004061AC" w:rsidRPr="001611C5">
        <w:rPr>
          <w:rFonts w:asciiTheme="minorEastAsia" w:eastAsiaTheme="minorEastAsia" w:hAnsiTheme="minorEastAsia" w:hint="eastAsia"/>
          <w:b/>
          <w:bCs/>
          <w:color w:val="000000"/>
          <w:kern w:val="0"/>
          <w:sz w:val="24"/>
          <w:szCs w:val="24"/>
        </w:rPr>
        <w:t>报告期末按公允价值占基金资产净值比例大小排</w:t>
      </w:r>
      <w:r w:rsidRPr="001611C5">
        <w:rPr>
          <w:rFonts w:asciiTheme="minorEastAsia" w:eastAsiaTheme="minorEastAsia" w:hAnsiTheme="minorEastAsia" w:hint="eastAsia"/>
          <w:b/>
          <w:bCs/>
          <w:color w:val="000000"/>
          <w:kern w:val="0"/>
          <w:sz w:val="24"/>
          <w:szCs w:val="24"/>
        </w:rPr>
        <w:t>序</w:t>
      </w:r>
      <w:r w:rsidR="004061AC" w:rsidRPr="001611C5">
        <w:rPr>
          <w:rFonts w:asciiTheme="minorEastAsia" w:eastAsiaTheme="minorEastAsia" w:hAnsiTheme="minorEastAsia" w:hint="eastAsia"/>
          <w:b/>
          <w:bCs/>
          <w:color w:val="000000"/>
          <w:kern w:val="0"/>
          <w:sz w:val="24"/>
          <w:szCs w:val="24"/>
        </w:rPr>
        <w:t>的前五名权证投资明细</w:t>
      </w:r>
    </w:p>
    <w:p w:rsidR="004061AC" w:rsidRPr="006B72F7" w:rsidRDefault="00F743D4" w:rsidP="006B72F7">
      <w:pPr>
        <w:spacing w:line="360" w:lineRule="auto"/>
        <w:ind w:firstLineChars="200" w:firstLine="480"/>
        <w:rPr>
          <w:rFonts w:eastAsiaTheme="minorEastAsia"/>
          <w:color w:val="000000"/>
          <w:sz w:val="24"/>
          <w:szCs w:val="24"/>
        </w:rPr>
      </w:pPr>
      <w:r w:rsidRPr="00CD2DB1">
        <w:rPr>
          <w:rFonts w:eastAsiaTheme="minorEastAsia" w:hint="eastAsia"/>
          <w:color w:val="000000"/>
          <w:sz w:val="24"/>
          <w:szCs w:val="24"/>
        </w:rPr>
        <w:t/>
      </w:r>
      <w:r w:rsidR="004061AC" w:rsidRPr="00CD2DB1">
        <w:rPr>
          <w:rFonts w:eastAsiaTheme="minorEastAsia"/>
          <w:color w:val="000000"/>
          <w:sz w:val="24"/>
          <w:szCs w:val="24"/>
        </w:rPr>
        <w:t/>
      </w:r>
      <w:r w:rsidR="00315D5D" w:rsidRPr="00CD2DB1">
        <w:rPr>
          <w:rFonts w:eastAsiaTheme="minorEastAsia"/>
          <w:color w:val="000000"/>
          <w:sz w:val="24"/>
          <w:szCs w:val="24"/>
        </w:rPr>
        <w:t/>
      </w:r>
      <w:r w:rsidR="004061AC" w:rsidRPr="00CD2DB1">
        <w:rPr>
          <w:rFonts w:eastAsiaTheme="minorEastAsia"/>
          <w:color w:val="000000"/>
          <w:sz w:val="24"/>
          <w:szCs w:val="24"/>
        </w:rPr>
        <w:t>本基金本报告期末未持有权证。</w:t>
      </w:r>
    </w:p>
    <w:p w:rsidR="00275745" w:rsidRPr="001611C5" w:rsidRDefault="00CD5707" w:rsidP="001B0A62">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hint="eastAsia"/>
          <w:b/>
          <w:bCs/>
          <w:color w:val="000000"/>
          <w:kern w:val="0"/>
          <w:sz w:val="24"/>
          <w:szCs w:val="24"/>
        </w:rPr>
        <w:t/>
      </w:r>
      <w:r w:rsidR="00A83500" w:rsidRPr="001611C5">
        <w:rPr>
          <w:rFonts w:asciiTheme="minorEastAsia" w:eastAsiaTheme="minorEastAsia" w:hAnsiTheme="minorEastAsia" w:hint="eastAsia"/>
          <w:b/>
          <w:bCs/>
          <w:color w:val="000000"/>
          <w:kern w:val="0"/>
          <w:sz w:val="24"/>
          <w:szCs w:val="24"/>
        </w:rPr>
        <w:t/>
      </w:r>
      <w:r w:rsidR="003259C8" w:rsidRPr="001611C5">
        <w:rPr>
          <w:rFonts w:asciiTheme="minorEastAsia" w:eastAsiaTheme="minorEastAsia" w:hAnsiTheme="minorEastAsia" w:hint="eastAsia"/>
          <w:b/>
          <w:bCs/>
          <w:color w:val="000000"/>
          <w:kern w:val="0"/>
          <w:sz w:val="24"/>
          <w:szCs w:val="24"/>
        </w:rPr>
        <w:t>5</w:t>
      </w:r>
      <w:r w:rsidR="00A917BF" w:rsidRPr="001611C5">
        <w:rPr>
          <w:rFonts w:asciiTheme="minorEastAsia" w:eastAsiaTheme="minorEastAsia" w:hAnsiTheme="minorEastAsia" w:hint="eastAsia"/>
          <w:b/>
          <w:bCs/>
          <w:color w:val="000000"/>
          <w:kern w:val="0"/>
          <w:sz w:val="24"/>
          <w:szCs w:val="24"/>
        </w:rPr>
        <w:t>.</w:t>
      </w:r>
      <w:r w:rsidR="0059076B" w:rsidRPr="001611C5">
        <w:rPr>
          <w:rFonts w:asciiTheme="minorEastAsia" w:eastAsiaTheme="minorEastAsia" w:hAnsiTheme="minorEastAsia" w:hint="eastAsia"/>
          <w:b/>
          <w:bCs/>
          <w:color w:val="000000"/>
          <w:kern w:val="0"/>
          <w:sz w:val="24"/>
          <w:szCs w:val="24"/>
        </w:rPr>
        <w:t>9</w:t>
      </w:r>
      <w:r w:rsidR="00275745" w:rsidRPr="001611C5">
        <w:rPr>
          <w:rFonts w:asciiTheme="minorEastAsia" w:eastAsiaTheme="minorEastAsia" w:hAnsiTheme="minorEastAsia" w:hint="eastAsia"/>
          <w:b/>
          <w:bCs/>
          <w:color w:val="000000"/>
          <w:kern w:val="0"/>
          <w:sz w:val="24"/>
          <w:szCs w:val="24"/>
        </w:rPr>
        <w:t xml:space="preserve"> 报告期末本基金投资的股指期货交易情况说明</w:t>
      </w:r>
    </w:p>
    <w:p>
      <w:pPr>
        <w:spacing w:line="360" w:lineRule="auto"/>
        <w:ind w:firstLineChars="200" w:firstLine="480"/>
        <w:rPr>
          <w:rFonts w:eastAsiaTheme="minorEastAsia"/>
          <w:color w:val="000000"/>
          <w:sz w:val="24"/>
          <w:szCs w:val="24"/>
        </w:rPr>
      </w:pPr>
      <w:r>
        <w:rPr>
          <w:rFonts w:eastAsiaTheme="minorEastAsia"/>
          <w:color w:val="000000"/>
          <w:sz w:val="24"/>
          <w:szCs w:val="24"/>
        </w:rPr>
        <w:t>（1）本基金本报告期末未持有股指期货。</w:t>
      </w:r>
    </w:p>
    <w:p w:rsidR="00AA3A38" w:rsidRPr="006B72F7" w:rsidRDefault="00AA3A38" w:rsidP="006B72F7">
      <w:pPr>
        <w:spacing w:line="360" w:lineRule="auto"/>
        <w:ind w:firstLineChars="200" w:firstLine="480"/>
        <w:rPr>
          <w:rFonts w:eastAsiaTheme="minorEastAsia"/>
          <w:color w:val="000000"/>
          <w:sz w:val="24"/>
          <w:szCs w:val="24"/>
        </w:rPr>
      </w:pPr>
      <w:r w:rsidRPr="00CD2DB1">
        <w:rPr>
          <w:rFonts w:eastAsiaTheme="minorEastAsia" w:hint="eastAsia"/>
          <w:color w:val="000000"/>
          <w:sz w:val="24"/>
          <w:szCs w:val="24"/>
        </w:rPr>
        <w:lastRenderedPageBreak/>
        <w:t/>
      </w:r>
      <w:r w:rsidRPr="00CD2DB1">
        <w:rPr>
          <w:rFonts w:eastAsiaTheme="minorEastAsia"/>
          <w:color w:val="000000"/>
          <w:sz w:val="24"/>
          <w:szCs w:val="24"/>
        </w:rPr>
        <w:t>（2）本基金本报告期内未进行股指期货交易。</w:t>
      </w:r>
    </w:p>
    <w:p w:rsidR="00312A9F" w:rsidRPr="001611C5" w:rsidRDefault="00312A9F" w:rsidP="001B0A62">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hint="eastAsia"/>
          <w:b/>
          <w:bCs/>
          <w:color w:val="000000"/>
          <w:kern w:val="0"/>
          <w:sz w:val="24"/>
          <w:szCs w:val="24"/>
        </w:rPr>
        <w:t>5.10报告期末本基金投资的国债期货交易情况说明</w:t>
      </w:r>
    </w:p>
    <w:p>
      <w:pPr>
        <w:spacing w:line="360" w:lineRule="auto"/>
        <w:ind w:firstLineChars="200" w:firstLine="480"/>
        <w:rPr>
          <w:rFonts w:eastAsiaTheme="minorEastAsia"/>
          <w:color w:val="000000"/>
          <w:sz w:val="24"/>
          <w:szCs w:val="24"/>
        </w:rPr>
      </w:pPr>
      <w:r>
        <w:rPr>
          <w:rFonts w:eastAsiaTheme="minorEastAsia"/>
          <w:color w:val="000000"/>
          <w:sz w:val="24"/>
          <w:szCs w:val="24"/>
        </w:rPr>
        <w:t>（1）本基金本报告期末未持有国债期货。</w:t>
      </w:r>
    </w:p>
    <w:p w:rsidR="00312A9F" w:rsidRPr="00CD2DB1" w:rsidRDefault="00312A9F" w:rsidP="00CD2DB1">
      <w:pPr>
        <w:spacing w:line="360" w:lineRule="auto"/>
        <w:ind w:firstLineChars="200" w:firstLine="480"/>
        <w:rPr>
          <w:rFonts w:eastAsiaTheme="minorEastAsia"/>
          <w:color w:val="000000"/>
          <w:sz w:val="24"/>
          <w:szCs w:val="24"/>
        </w:rPr>
      </w:pPr>
      <w:r w:rsidRPr="00CD2DB1">
        <w:rPr>
          <w:rFonts w:eastAsiaTheme="minorEastAsia" w:hint="eastAsia"/>
          <w:color w:val="000000"/>
          <w:sz w:val="24"/>
          <w:szCs w:val="24"/>
        </w:rPr>
        <w:t/>
      </w:r>
      <w:r w:rsidRPr="00CD2DB1">
        <w:rPr>
          <w:rFonts w:eastAsiaTheme="minorEastAsia"/>
          <w:color w:val="000000"/>
          <w:sz w:val="24"/>
          <w:szCs w:val="24"/>
        </w:rPr>
        <w:t>（2）本基金本报告期内未进行国债期货交易。</w:t>
      </w:r>
    </w:p>
    <w:p w:rsidR="004061AC" w:rsidRPr="001611C5" w:rsidRDefault="003259C8" w:rsidP="001B0A62">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b/>
          <w:bCs/>
          <w:color w:val="000000"/>
          <w:kern w:val="0"/>
          <w:sz w:val="24"/>
          <w:szCs w:val="24"/>
        </w:rPr>
        <w:t/>
      </w:r>
      <w:r w:rsidRPr="001611C5">
        <w:rPr>
          <w:rFonts w:asciiTheme="minorEastAsia" w:eastAsiaTheme="minorEastAsia" w:hAnsiTheme="minorEastAsia" w:hint="eastAsia"/>
          <w:b/>
          <w:bCs/>
          <w:color w:val="000000"/>
          <w:kern w:val="0"/>
          <w:sz w:val="24"/>
          <w:szCs w:val="24"/>
        </w:rPr>
        <w:t/>
      </w:r>
      <w:r w:rsidRPr="001611C5">
        <w:rPr>
          <w:rFonts w:asciiTheme="minorEastAsia" w:eastAsiaTheme="minorEastAsia" w:hAnsiTheme="minorEastAsia"/>
          <w:b/>
          <w:bCs/>
          <w:color w:val="000000"/>
          <w:kern w:val="0"/>
          <w:sz w:val="24"/>
          <w:szCs w:val="24"/>
        </w:rPr>
        <w:t>5</w:t>
      </w:r>
      <w:r w:rsidR="00275745" w:rsidRPr="001611C5">
        <w:rPr>
          <w:rFonts w:asciiTheme="minorEastAsia" w:eastAsiaTheme="minorEastAsia" w:hAnsiTheme="minorEastAsia"/>
          <w:b/>
          <w:bCs/>
          <w:color w:val="000000"/>
          <w:kern w:val="0"/>
          <w:sz w:val="24"/>
          <w:szCs w:val="24"/>
        </w:rPr>
        <w:t>.</w:t>
      </w:r>
      <w:r w:rsidR="0059076B" w:rsidRPr="001611C5">
        <w:rPr>
          <w:rFonts w:asciiTheme="minorEastAsia" w:eastAsiaTheme="minorEastAsia" w:hAnsiTheme="minorEastAsia" w:hint="eastAsia"/>
          <w:b/>
          <w:bCs/>
          <w:color w:val="000000"/>
          <w:kern w:val="0"/>
          <w:sz w:val="24"/>
          <w:szCs w:val="24"/>
        </w:rPr>
        <w:t>11</w:t>
      </w:r>
      <w:r w:rsidR="004061AC" w:rsidRPr="001611C5">
        <w:rPr>
          <w:rFonts w:asciiTheme="minorEastAsia" w:eastAsiaTheme="minorEastAsia" w:hAnsiTheme="minorEastAsia"/>
          <w:b/>
          <w:bCs/>
          <w:color w:val="000000"/>
          <w:kern w:val="0"/>
          <w:sz w:val="24"/>
          <w:szCs w:val="24"/>
        </w:rPr>
        <w:t xml:space="preserve"> </w:t>
      </w:r>
      <w:r w:rsidR="004061AC" w:rsidRPr="001611C5">
        <w:rPr>
          <w:rFonts w:asciiTheme="minorEastAsia" w:eastAsiaTheme="minorEastAsia" w:hAnsiTheme="minorEastAsia" w:hint="eastAsia"/>
          <w:b/>
          <w:bCs/>
          <w:color w:val="000000"/>
          <w:kern w:val="0"/>
          <w:sz w:val="24"/>
          <w:szCs w:val="24"/>
        </w:rPr>
        <w:t>投资组合报告附注</w:t>
      </w:r>
    </w:p>
    <w:p w:rsidR="004061AC" w:rsidRPr="001611C5" w:rsidRDefault="003259C8" w:rsidP="001B0A62">
      <w:pPr>
        <w:spacing w:line="360" w:lineRule="auto"/>
        <w:rPr>
          <w:rFonts w:asciiTheme="minorEastAsia" w:eastAsiaTheme="minorEastAsia" w:hAnsiTheme="minorEastAsia"/>
          <w:color w:val="000000"/>
          <w:sz w:val="24"/>
          <w:szCs w:val="24"/>
        </w:rPr>
      </w:pPr>
      <w:r w:rsidRPr="001611C5">
        <w:rPr>
          <w:rFonts w:asciiTheme="minorEastAsia" w:eastAsiaTheme="minorEastAsia" w:hAnsiTheme="minorEastAsia" w:hint="eastAsia"/>
          <w:color w:val="000000"/>
          <w:sz w:val="24"/>
          <w:szCs w:val="24"/>
        </w:rPr>
        <w:t>5</w:t>
      </w:r>
      <w:r w:rsidR="004061AC" w:rsidRPr="001611C5">
        <w:rPr>
          <w:rFonts w:asciiTheme="minorEastAsia" w:eastAsiaTheme="minorEastAsia" w:hAnsiTheme="minorEastAsia"/>
          <w:color w:val="000000"/>
          <w:sz w:val="24"/>
          <w:szCs w:val="24"/>
        </w:rPr>
        <w:t>.</w:t>
      </w:r>
      <w:r w:rsidR="0059076B" w:rsidRPr="001611C5">
        <w:rPr>
          <w:rFonts w:asciiTheme="minorEastAsia" w:eastAsiaTheme="minorEastAsia" w:hAnsiTheme="minorEastAsia" w:hint="eastAsia"/>
          <w:color w:val="000000"/>
          <w:sz w:val="24"/>
          <w:szCs w:val="24"/>
        </w:rPr>
        <w:t>11</w:t>
      </w:r>
      <w:r w:rsidR="004061AC" w:rsidRPr="001611C5">
        <w:rPr>
          <w:rFonts w:asciiTheme="minorEastAsia" w:eastAsiaTheme="minorEastAsia" w:hAnsiTheme="minorEastAsia"/>
          <w:color w:val="000000"/>
          <w:sz w:val="24"/>
          <w:szCs w:val="24"/>
        </w:rPr>
        <w:t>.</w:t>
      </w:r>
      <w:r w:rsidR="0059076B" w:rsidRPr="001611C5">
        <w:rPr>
          <w:rFonts w:asciiTheme="minorEastAsia" w:eastAsiaTheme="minorEastAsia" w:hAnsiTheme="minorEastAsia" w:hint="eastAsia"/>
          <w:color w:val="000000"/>
          <w:sz w:val="24"/>
          <w:szCs w:val="24"/>
        </w:rPr>
        <w:t>1</w:t>
      </w:r>
      <w:r w:rsidR="004061AC" w:rsidRPr="006B72F7">
        <w:rPr>
          <w:rFonts w:eastAsiaTheme="minorEastAsia"/>
          <w:color w:val="000000"/>
          <w:sz w:val="24"/>
          <w:szCs w:val="24"/>
        </w:rPr>
        <w:t>本基金投资的前十名证券的发行主体在本报告期内没有出现被监管部门立案调查，或在报告编制日前一年内受到公开谴责、处罚的情形。</w:t>
      </w:r>
    </w:p>
    <w:p w:rsidR="004061AC" w:rsidRPr="001611C5" w:rsidRDefault="003259C8" w:rsidP="001B0A62">
      <w:pPr>
        <w:spacing w:line="360" w:lineRule="auto"/>
        <w:rPr>
          <w:rFonts w:asciiTheme="minorEastAsia" w:eastAsiaTheme="minorEastAsia" w:hAnsiTheme="minorEastAsia"/>
          <w:color w:val="000000"/>
          <w:sz w:val="24"/>
          <w:szCs w:val="24"/>
        </w:rPr>
      </w:pPr>
      <w:r w:rsidRPr="001611C5">
        <w:rPr>
          <w:rFonts w:asciiTheme="minorEastAsia" w:eastAsiaTheme="minorEastAsia" w:hAnsiTheme="minorEastAsia" w:hint="eastAsia"/>
          <w:color w:val="000000"/>
          <w:sz w:val="24"/>
          <w:szCs w:val="24"/>
        </w:rPr>
        <w:t>5</w:t>
      </w:r>
      <w:r w:rsidR="00275745" w:rsidRPr="001611C5">
        <w:rPr>
          <w:rFonts w:asciiTheme="minorEastAsia" w:eastAsiaTheme="minorEastAsia" w:hAnsiTheme="minorEastAsia"/>
          <w:color w:val="000000"/>
          <w:sz w:val="24"/>
          <w:szCs w:val="24"/>
        </w:rPr>
        <w:t>.</w:t>
      </w:r>
      <w:r w:rsidR="0059076B" w:rsidRPr="001611C5">
        <w:rPr>
          <w:rFonts w:asciiTheme="minorEastAsia" w:eastAsiaTheme="minorEastAsia" w:hAnsiTheme="minorEastAsia" w:hint="eastAsia"/>
          <w:color w:val="000000"/>
          <w:sz w:val="24"/>
          <w:szCs w:val="24"/>
        </w:rPr>
        <w:t>11</w:t>
      </w:r>
      <w:r w:rsidR="004061AC" w:rsidRPr="001611C5">
        <w:rPr>
          <w:rFonts w:asciiTheme="minorEastAsia" w:eastAsiaTheme="minorEastAsia" w:hAnsiTheme="minorEastAsia"/>
          <w:color w:val="000000"/>
          <w:sz w:val="24"/>
          <w:szCs w:val="24"/>
        </w:rPr>
        <w:t>.</w:t>
      </w:r>
      <w:r w:rsidR="0059076B" w:rsidRPr="001611C5">
        <w:rPr>
          <w:rFonts w:asciiTheme="minorEastAsia" w:eastAsiaTheme="minorEastAsia" w:hAnsiTheme="minorEastAsia" w:hint="eastAsia"/>
          <w:color w:val="000000"/>
          <w:sz w:val="24"/>
          <w:szCs w:val="24"/>
        </w:rPr>
        <w:t>2</w:t>
      </w:r>
      <w:r w:rsidR="004061AC" w:rsidRPr="006B72F7">
        <w:rPr>
          <w:rFonts w:eastAsiaTheme="minorEastAsia"/>
          <w:color w:val="000000"/>
          <w:sz w:val="24"/>
          <w:szCs w:val="24"/>
        </w:rPr>
        <w:t>报告期内本基金投资的前十名股票未超出基金合同规定的备选股票库。</w:t>
      </w:r>
    </w:p>
    <w:p w:rsidR="004061AC" w:rsidRPr="001611C5" w:rsidRDefault="003259C8" w:rsidP="001B0A62">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hint="eastAsia"/>
          <w:b/>
          <w:bCs/>
          <w:color w:val="000000"/>
          <w:kern w:val="0"/>
          <w:sz w:val="24"/>
          <w:szCs w:val="24"/>
        </w:rPr>
        <w:t>5</w:t>
      </w:r>
      <w:r w:rsidR="00275745" w:rsidRPr="001611C5">
        <w:rPr>
          <w:rFonts w:asciiTheme="minorEastAsia" w:eastAsiaTheme="minorEastAsia" w:hAnsiTheme="minorEastAsia"/>
          <w:b/>
          <w:bCs/>
          <w:color w:val="000000"/>
          <w:kern w:val="0"/>
          <w:sz w:val="24"/>
          <w:szCs w:val="24"/>
        </w:rPr>
        <w:t>.</w:t>
      </w:r>
      <w:r w:rsidR="0059076B" w:rsidRPr="001611C5">
        <w:rPr>
          <w:rFonts w:asciiTheme="minorEastAsia" w:eastAsiaTheme="minorEastAsia" w:hAnsiTheme="minorEastAsia" w:hint="eastAsia"/>
          <w:b/>
          <w:bCs/>
          <w:color w:val="000000"/>
          <w:kern w:val="0"/>
          <w:sz w:val="24"/>
          <w:szCs w:val="24"/>
        </w:rPr>
        <w:t>11</w:t>
      </w:r>
      <w:r w:rsidR="0059076B" w:rsidRPr="001611C5">
        <w:rPr>
          <w:rFonts w:asciiTheme="minorEastAsia" w:eastAsiaTheme="minorEastAsia" w:hAnsiTheme="minorEastAsia"/>
          <w:b/>
          <w:bCs/>
          <w:color w:val="000000"/>
          <w:kern w:val="0"/>
          <w:sz w:val="24"/>
          <w:szCs w:val="24"/>
        </w:rPr>
        <w:t>.</w:t>
      </w:r>
      <w:r w:rsidR="0059076B" w:rsidRPr="001611C5">
        <w:rPr>
          <w:rFonts w:asciiTheme="minorEastAsia" w:eastAsiaTheme="minorEastAsia" w:hAnsiTheme="minorEastAsia" w:hint="eastAsia"/>
          <w:b/>
          <w:bCs/>
          <w:color w:val="000000"/>
          <w:kern w:val="0"/>
          <w:sz w:val="24"/>
          <w:szCs w:val="24"/>
        </w:rPr>
        <w:t>3</w:t>
      </w:r>
      <w:r w:rsidR="004061AC" w:rsidRPr="001611C5">
        <w:rPr>
          <w:rFonts w:asciiTheme="minorEastAsia" w:eastAsiaTheme="minorEastAsia" w:hAnsiTheme="minorEastAsia"/>
          <w:b/>
          <w:bCs/>
          <w:color w:val="000000"/>
          <w:kern w:val="0"/>
          <w:sz w:val="24"/>
          <w:szCs w:val="24"/>
        </w:rPr>
        <w:t xml:space="preserve"> </w:t>
      </w:r>
      <w:r w:rsidR="004061AC" w:rsidRPr="001611C5">
        <w:rPr>
          <w:rFonts w:asciiTheme="minorEastAsia" w:eastAsiaTheme="minorEastAsia" w:hAnsiTheme="minorEastAsia" w:hint="eastAsia"/>
          <w:b/>
          <w:bCs/>
          <w:color w:val="000000"/>
          <w:kern w:val="0"/>
          <w:sz w:val="24"/>
          <w:szCs w:val="24"/>
        </w:rPr>
        <w:t>其他各项资产构成</w:t>
      </w:r>
    </w:p>
    <w:tbl>
      <w:tblPr>
        <w:tblStyle w:val="af7"/>
        <w:tblW w:w="0" w:type="auto"/>
        <w:tblInd w:w="15" w:type="dxa"/>
        <w:tblLook w:val="04A0" w:firstRow="1" w:lastRow="0" w:firstColumn="1" w:lastColumn="0" w:noHBand="0" w:noVBand="1"/>
      </w:tblPr>
      <w:tblGrid>
        <w:gridCol w:w="1235"/>
        <w:gridCol w:w="2470"/>
        <w:gridCol w:w="4808"/>
      </w:tblGrid>
      <w:tr w:rsidR="00F31F6E" w:rsidRPr="001611C5" w:rsidTr="00F31F6E">
        <w:tc>
          <w:tcPr>
            <w:tcW w:w="1235" w:type="dxa"/>
            <w:vAlign w:val="center"/>
          </w:tcPr>
          <w:p w:rsidR="00F31F6E" w:rsidRPr="006B72F7" w:rsidRDefault="00F31F6E" w:rsidP="00FB41D3">
            <w:pPr>
              <w:autoSpaceDE w:val="0"/>
              <w:autoSpaceDN w:val="0"/>
              <w:adjustRightInd w:val="0"/>
              <w:spacing w:before="29" w:line="360" w:lineRule="auto"/>
              <w:ind w:left="17"/>
              <w:jc w:val="center"/>
              <w:rPr>
                <w:rFonts w:eastAsiaTheme="minorEastAsia"/>
                <w:color w:val="000000"/>
                <w:sz w:val="24"/>
                <w:szCs w:val="24"/>
              </w:rPr>
            </w:pPr>
            <w:r w:rsidRPr="006B72F7">
              <w:rPr>
                <w:rFonts w:eastAsiaTheme="minorEastAsia"/>
                <w:color w:val="000000"/>
                <w:sz w:val="24"/>
                <w:szCs w:val="24"/>
              </w:rPr>
              <w:t>序号</w:t>
            </w:r>
          </w:p>
        </w:tc>
        <w:tc>
          <w:tcPr>
            <w:tcW w:w="2470" w:type="dxa"/>
            <w:vAlign w:val="center"/>
          </w:tcPr>
          <w:p w:rsidR="00F31F6E" w:rsidRPr="006B72F7" w:rsidRDefault="00F31F6E" w:rsidP="00FB41D3">
            <w:pPr>
              <w:autoSpaceDE w:val="0"/>
              <w:autoSpaceDN w:val="0"/>
              <w:adjustRightInd w:val="0"/>
              <w:spacing w:before="29" w:line="360" w:lineRule="auto"/>
              <w:ind w:left="17"/>
              <w:jc w:val="center"/>
              <w:rPr>
                <w:rFonts w:eastAsiaTheme="minorEastAsia"/>
                <w:color w:val="000000"/>
                <w:sz w:val="24"/>
                <w:szCs w:val="24"/>
              </w:rPr>
            </w:pPr>
            <w:r w:rsidRPr="006B72F7">
              <w:rPr>
                <w:rFonts w:eastAsiaTheme="minorEastAsia"/>
                <w:color w:val="000000"/>
                <w:sz w:val="24"/>
                <w:szCs w:val="24"/>
              </w:rPr>
              <w:t>名称</w:t>
            </w:r>
          </w:p>
        </w:tc>
        <w:tc>
          <w:tcPr>
            <w:tcW w:w="4808" w:type="dxa"/>
            <w:vAlign w:val="center"/>
          </w:tcPr>
          <w:p w:rsidR="00F31F6E" w:rsidRPr="006B72F7" w:rsidRDefault="00F31F6E" w:rsidP="00FB41D3">
            <w:pPr>
              <w:autoSpaceDE w:val="0"/>
              <w:autoSpaceDN w:val="0"/>
              <w:adjustRightInd w:val="0"/>
              <w:spacing w:before="29" w:line="360" w:lineRule="auto"/>
              <w:ind w:left="17"/>
              <w:jc w:val="center"/>
              <w:rPr>
                <w:rFonts w:eastAsiaTheme="minorEastAsia"/>
                <w:color w:val="000000"/>
                <w:sz w:val="24"/>
                <w:szCs w:val="24"/>
              </w:rPr>
            </w:pPr>
            <w:r w:rsidRPr="006B72F7">
              <w:rPr>
                <w:rFonts w:eastAsiaTheme="minorEastAsia"/>
                <w:color w:val="000000"/>
                <w:sz w:val="24"/>
                <w:szCs w:val="24"/>
              </w:rPr>
              <w:t>金额</w:t>
            </w:r>
            <w:r w:rsidRPr="006B72F7">
              <w:rPr>
                <w:rFonts w:eastAsiaTheme="minorEastAsia"/>
                <w:color w:val="000000"/>
                <w:sz w:val="24"/>
                <w:szCs w:val="24"/>
              </w:rPr>
              <w:t>(</w:t>
            </w:r>
            <w:r w:rsidRPr="006B72F7">
              <w:rPr>
                <w:rFonts w:eastAsiaTheme="minorEastAsia"/>
                <w:color w:val="000000"/>
                <w:sz w:val="24"/>
                <w:szCs w:val="24"/>
              </w:rPr>
              <w:t>元</w:t>
            </w:r>
            <w:r w:rsidRPr="006B72F7">
              <w:rPr>
                <w:rFonts w:eastAsiaTheme="minorEastAsia"/>
                <w:color w:val="000000"/>
                <w:sz w:val="24"/>
                <w:szCs w:val="24"/>
              </w:rPr>
              <w:t>)</w:t>
            </w:r>
          </w:p>
        </w:tc>
      </w:tr>
      <w:tr w:rsidR="00F31F6E" w:rsidRPr="001611C5" w:rsidTr="00175D4F">
        <w:tc>
          <w:tcPr>
            <w:tcW w:w="1235" w:type="dxa"/>
            <w:vAlign w:val="center"/>
          </w:tcPr>
          <w:p w:rsidR="00F31F6E" w:rsidRPr="006B72F7" w:rsidRDefault="00F31F6E" w:rsidP="00FB41D3">
            <w:pPr>
              <w:autoSpaceDE w:val="0"/>
              <w:autoSpaceDN w:val="0"/>
              <w:adjustRightInd w:val="0"/>
              <w:spacing w:before="29" w:line="360" w:lineRule="auto"/>
              <w:ind w:left="15"/>
              <w:jc w:val="center"/>
              <w:rPr>
                <w:rFonts w:eastAsiaTheme="minorEastAsia"/>
                <w:color w:val="000000"/>
                <w:sz w:val="24"/>
                <w:szCs w:val="24"/>
              </w:rPr>
            </w:pPr>
            <w:r w:rsidRPr="006B72F7">
              <w:rPr>
                <w:rFonts w:eastAsiaTheme="minorEastAsia"/>
                <w:color w:val="000000"/>
                <w:sz w:val="24"/>
                <w:szCs w:val="24"/>
              </w:rPr>
              <w:t>1</w:t>
            </w:r>
          </w:p>
        </w:tc>
        <w:tc>
          <w:tcPr>
            <w:tcW w:w="2470" w:type="dxa"/>
            <w:vAlign w:val="center"/>
          </w:tcPr>
          <w:p w:rsidR="00F31F6E" w:rsidRPr="006B72F7" w:rsidRDefault="00F31F6E" w:rsidP="00175D4F">
            <w:pPr>
              <w:autoSpaceDE w:val="0"/>
              <w:autoSpaceDN w:val="0"/>
              <w:adjustRightInd w:val="0"/>
              <w:spacing w:before="29" w:line="360" w:lineRule="auto"/>
              <w:ind w:left="15"/>
              <w:rPr>
                <w:rFonts w:eastAsiaTheme="minorEastAsia"/>
                <w:color w:val="000000"/>
                <w:sz w:val="24"/>
                <w:szCs w:val="24"/>
              </w:rPr>
            </w:pPr>
            <w:r w:rsidRPr="006B72F7">
              <w:rPr>
                <w:rFonts w:eastAsiaTheme="minorEastAsia"/>
                <w:color w:val="000000"/>
                <w:sz w:val="24"/>
                <w:szCs w:val="24"/>
              </w:rPr>
              <w:t>存出保证金</w:t>
            </w:r>
          </w:p>
        </w:tc>
        <w:tc>
          <w:tcPr>
            <w:tcW w:w="4808" w:type="dxa"/>
            <w:vAlign w:val="center"/>
          </w:tcPr>
          <w:p w:rsidR="00F31F6E" w:rsidRPr="006B72F7" w:rsidRDefault="00F31F6E" w:rsidP="00FB41D3">
            <w:pPr>
              <w:autoSpaceDE w:val="0"/>
              <w:autoSpaceDN w:val="0"/>
              <w:adjustRightInd w:val="0"/>
              <w:spacing w:before="29" w:line="360" w:lineRule="auto"/>
              <w:ind w:left="15"/>
              <w:jc w:val="right"/>
              <w:rPr>
                <w:rFonts w:eastAsiaTheme="minorEastAsia"/>
                <w:color w:val="000000"/>
                <w:sz w:val="24"/>
                <w:szCs w:val="24"/>
              </w:rPr>
            </w:pPr>
            <w:r w:rsidRPr="006B72F7">
              <w:rPr>
                <w:rFonts w:eastAsiaTheme="minorEastAsia"/>
                <w:color w:val="000000"/>
                <w:sz w:val="24"/>
                <w:szCs w:val="24"/>
              </w:rPr>
              <w:t>114,944.91</w:t>
            </w:r>
          </w:p>
        </w:tc>
      </w:tr>
      <w:tr w:rsidR="00F31F6E" w:rsidRPr="001611C5" w:rsidTr="00175D4F">
        <w:tc>
          <w:tcPr>
            <w:tcW w:w="1235" w:type="dxa"/>
            <w:vAlign w:val="center"/>
          </w:tcPr>
          <w:p w:rsidR="00F31F6E" w:rsidRPr="006B72F7" w:rsidRDefault="00F31F6E" w:rsidP="00FB41D3">
            <w:pPr>
              <w:autoSpaceDE w:val="0"/>
              <w:autoSpaceDN w:val="0"/>
              <w:adjustRightInd w:val="0"/>
              <w:spacing w:before="29" w:line="360" w:lineRule="auto"/>
              <w:ind w:left="15"/>
              <w:jc w:val="center"/>
              <w:rPr>
                <w:rFonts w:eastAsiaTheme="minorEastAsia"/>
                <w:color w:val="000000"/>
                <w:sz w:val="24"/>
                <w:szCs w:val="24"/>
              </w:rPr>
            </w:pPr>
            <w:r w:rsidRPr="006B72F7">
              <w:rPr>
                <w:rFonts w:eastAsiaTheme="minorEastAsia"/>
                <w:color w:val="000000"/>
                <w:sz w:val="24"/>
                <w:szCs w:val="24"/>
              </w:rPr>
              <w:t>2</w:t>
            </w:r>
          </w:p>
        </w:tc>
        <w:tc>
          <w:tcPr>
            <w:tcW w:w="2470" w:type="dxa"/>
            <w:vAlign w:val="center"/>
          </w:tcPr>
          <w:p w:rsidR="00F31F6E" w:rsidRPr="006B72F7" w:rsidRDefault="00F31F6E" w:rsidP="00175D4F">
            <w:pPr>
              <w:autoSpaceDE w:val="0"/>
              <w:autoSpaceDN w:val="0"/>
              <w:adjustRightInd w:val="0"/>
              <w:spacing w:before="29" w:line="360" w:lineRule="auto"/>
              <w:ind w:left="15"/>
              <w:rPr>
                <w:rFonts w:eastAsiaTheme="minorEastAsia"/>
                <w:color w:val="000000"/>
                <w:sz w:val="24"/>
                <w:szCs w:val="24"/>
              </w:rPr>
            </w:pPr>
            <w:r w:rsidRPr="006B72F7">
              <w:rPr>
                <w:rFonts w:eastAsiaTheme="minorEastAsia"/>
                <w:color w:val="000000"/>
                <w:sz w:val="24"/>
                <w:szCs w:val="24"/>
              </w:rPr>
              <w:t>应收证券清算款</w:t>
            </w:r>
          </w:p>
        </w:tc>
        <w:tc>
          <w:tcPr>
            <w:tcW w:w="4808" w:type="dxa"/>
            <w:vAlign w:val="center"/>
          </w:tcPr>
          <w:p w:rsidR="00F31F6E" w:rsidRPr="006B72F7" w:rsidRDefault="00F31F6E" w:rsidP="00FB41D3">
            <w:pPr>
              <w:autoSpaceDE w:val="0"/>
              <w:autoSpaceDN w:val="0"/>
              <w:adjustRightInd w:val="0"/>
              <w:spacing w:before="29" w:line="360" w:lineRule="auto"/>
              <w:ind w:left="15"/>
              <w:jc w:val="right"/>
              <w:rPr>
                <w:rFonts w:eastAsiaTheme="minorEastAsia"/>
                <w:color w:val="000000"/>
                <w:sz w:val="24"/>
                <w:szCs w:val="24"/>
              </w:rPr>
            </w:pPr>
            <w:r w:rsidRPr="006B72F7">
              <w:rPr>
                <w:rFonts w:eastAsiaTheme="minorEastAsia"/>
                <w:color w:val="000000"/>
                <w:sz w:val="24"/>
                <w:szCs w:val="24"/>
              </w:rPr>
              <w:t>-</w:t>
            </w:r>
          </w:p>
        </w:tc>
      </w:tr>
      <w:tr w:rsidR="00F31F6E" w:rsidRPr="001611C5" w:rsidTr="00175D4F">
        <w:tc>
          <w:tcPr>
            <w:tcW w:w="1235" w:type="dxa"/>
            <w:vAlign w:val="center"/>
          </w:tcPr>
          <w:p w:rsidR="00F31F6E" w:rsidRPr="006B72F7" w:rsidRDefault="00F31F6E" w:rsidP="00FB41D3">
            <w:pPr>
              <w:autoSpaceDE w:val="0"/>
              <w:autoSpaceDN w:val="0"/>
              <w:adjustRightInd w:val="0"/>
              <w:spacing w:before="29" w:line="360" w:lineRule="auto"/>
              <w:ind w:left="15"/>
              <w:jc w:val="center"/>
              <w:rPr>
                <w:rFonts w:eastAsiaTheme="minorEastAsia"/>
                <w:color w:val="000000"/>
                <w:sz w:val="24"/>
                <w:szCs w:val="24"/>
              </w:rPr>
            </w:pPr>
            <w:r w:rsidRPr="006B72F7">
              <w:rPr>
                <w:rFonts w:eastAsiaTheme="minorEastAsia"/>
                <w:color w:val="000000"/>
                <w:sz w:val="24"/>
                <w:szCs w:val="24"/>
              </w:rPr>
              <w:t>3</w:t>
            </w:r>
          </w:p>
        </w:tc>
        <w:tc>
          <w:tcPr>
            <w:tcW w:w="2470" w:type="dxa"/>
            <w:vAlign w:val="center"/>
          </w:tcPr>
          <w:p w:rsidR="00F31F6E" w:rsidRPr="006B72F7" w:rsidRDefault="00F31F6E" w:rsidP="00175D4F">
            <w:pPr>
              <w:autoSpaceDE w:val="0"/>
              <w:autoSpaceDN w:val="0"/>
              <w:adjustRightInd w:val="0"/>
              <w:spacing w:before="29" w:line="360" w:lineRule="auto"/>
              <w:ind w:left="15"/>
              <w:rPr>
                <w:rFonts w:eastAsiaTheme="minorEastAsia"/>
                <w:color w:val="000000"/>
                <w:sz w:val="24"/>
                <w:szCs w:val="24"/>
              </w:rPr>
            </w:pPr>
            <w:r w:rsidRPr="006B72F7">
              <w:rPr>
                <w:rFonts w:eastAsiaTheme="minorEastAsia"/>
                <w:color w:val="000000"/>
                <w:sz w:val="24"/>
                <w:szCs w:val="24"/>
              </w:rPr>
              <w:t>应收股利</w:t>
            </w:r>
          </w:p>
        </w:tc>
        <w:tc>
          <w:tcPr>
            <w:tcW w:w="4808" w:type="dxa"/>
            <w:vAlign w:val="center"/>
          </w:tcPr>
          <w:p w:rsidR="00F31F6E" w:rsidRPr="006B72F7" w:rsidRDefault="00F31F6E" w:rsidP="00FB41D3">
            <w:pPr>
              <w:autoSpaceDE w:val="0"/>
              <w:autoSpaceDN w:val="0"/>
              <w:adjustRightInd w:val="0"/>
              <w:spacing w:before="29" w:line="360" w:lineRule="auto"/>
              <w:ind w:left="15"/>
              <w:jc w:val="right"/>
              <w:rPr>
                <w:rFonts w:eastAsiaTheme="minorEastAsia"/>
                <w:color w:val="000000"/>
                <w:sz w:val="24"/>
                <w:szCs w:val="24"/>
              </w:rPr>
            </w:pPr>
            <w:r w:rsidRPr="006B72F7">
              <w:rPr>
                <w:rFonts w:eastAsiaTheme="minorEastAsia"/>
                <w:color w:val="000000"/>
                <w:sz w:val="24"/>
                <w:szCs w:val="24"/>
              </w:rPr>
              <w:t>-</w:t>
            </w:r>
          </w:p>
        </w:tc>
      </w:tr>
      <w:tr w:rsidR="00F31F6E" w:rsidRPr="001611C5" w:rsidTr="00175D4F">
        <w:tc>
          <w:tcPr>
            <w:tcW w:w="1235" w:type="dxa"/>
            <w:vAlign w:val="center"/>
          </w:tcPr>
          <w:p w:rsidR="00F31F6E" w:rsidRPr="006B72F7" w:rsidRDefault="00F31F6E" w:rsidP="00FB41D3">
            <w:pPr>
              <w:autoSpaceDE w:val="0"/>
              <w:autoSpaceDN w:val="0"/>
              <w:adjustRightInd w:val="0"/>
              <w:spacing w:before="29" w:line="360" w:lineRule="auto"/>
              <w:ind w:left="15"/>
              <w:jc w:val="center"/>
              <w:rPr>
                <w:rFonts w:eastAsiaTheme="minorEastAsia"/>
                <w:color w:val="000000"/>
                <w:sz w:val="24"/>
                <w:szCs w:val="24"/>
              </w:rPr>
            </w:pPr>
            <w:r w:rsidRPr="006B72F7">
              <w:rPr>
                <w:rFonts w:eastAsiaTheme="minorEastAsia"/>
                <w:color w:val="000000"/>
                <w:sz w:val="24"/>
                <w:szCs w:val="24"/>
              </w:rPr>
              <w:t>4</w:t>
            </w:r>
          </w:p>
        </w:tc>
        <w:tc>
          <w:tcPr>
            <w:tcW w:w="2470" w:type="dxa"/>
            <w:vAlign w:val="center"/>
          </w:tcPr>
          <w:p w:rsidR="00F31F6E" w:rsidRPr="006B72F7" w:rsidRDefault="00F31F6E" w:rsidP="00175D4F">
            <w:pPr>
              <w:autoSpaceDE w:val="0"/>
              <w:autoSpaceDN w:val="0"/>
              <w:adjustRightInd w:val="0"/>
              <w:spacing w:before="29" w:line="360" w:lineRule="auto"/>
              <w:ind w:left="15"/>
              <w:rPr>
                <w:rFonts w:eastAsiaTheme="minorEastAsia"/>
                <w:color w:val="000000"/>
                <w:sz w:val="24"/>
                <w:szCs w:val="24"/>
              </w:rPr>
            </w:pPr>
            <w:r w:rsidRPr="006B72F7">
              <w:rPr>
                <w:rFonts w:eastAsiaTheme="minorEastAsia"/>
                <w:color w:val="000000"/>
                <w:sz w:val="24"/>
                <w:szCs w:val="24"/>
              </w:rPr>
              <w:t>应收利息</w:t>
            </w:r>
          </w:p>
        </w:tc>
        <w:tc>
          <w:tcPr>
            <w:tcW w:w="4808" w:type="dxa"/>
            <w:vAlign w:val="center"/>
          </w:tcPr>
          <w:p w:rsidR="00F31F6E" w:rsidRPr="006B72F7" w:rsidRDefault="00F31F6E" w:rsidP="00FB41D3">
            <w:pPr>
              <w:autoSpaceDE w:val="0"/>
              <w:autoSpaceDN w:val="0"/>
              <w:adjustRightInd w:val="0"/>
              <w:spacing w:before="29" w:line="360" w:lineRule="auto"/>
              <w:ind w:left="15"/>
              <w:jc w:val="right"/>
              <w:rPr>
                <w:rFonts w:eastAsiaTheme="minorEastAsia"/>
                <w:color w:val="000000"/>
                <w:sz w:val="24"/>
                <w:szCs w:val="24"/>
              </w:rPr>
            </w:pPr>
            <w:r w:rsidRPr="006B72F7">
              <w:rPr>
                <w:rFonts w:eastAsiaTheme="minorEastAsia"/>
                <w:color w:val="000000"/>
                <w:sz w:val="24"/>
                <w:szCs w:val="24"/>
              </w:rPr>
              <w:t>3,715.83</w:t>
            </w:r>
          </w:p>
        </w:tc>
      </w:tr>
      <w:tr w:rsidR="00F31F6E" w:rsidRPr="001611C5" w:rsidTr="00175D4F">
        <w:tc>
          <w:tcPr>
            <w:tcW w:w="1235" w:type="dxa"/>
            <w:vAlign w:val="center"/>
          </w:tcPr>
          <w:p w:rsidR="00F31F6E" w:rsidRPr="006B72F7" w:rsidRDefault="00F31F6E" w:rsidP="00FB41D3">
            <w:pPr>
              <w:autoSpaceDE w:val="0"/>
              <w:autoSpaceDN w:val="0"/>
              <w:adjustRightInd w:val="0"/>
              <w:spacing w:before="29" w:line="360" w:lineRule="auto"/>
              <w:ind w:left="15"/>
              <w:jc w:val="center"/>
              <w:rPr>
                <w:rFonts w:eastAsiaTheme="minorEastAsia"/>
                <w:color w:val="000000"/>
                <w:sz w:val="24"/>
                <w:szCs w:val="24"/>
              </w:rPr>
            </w:pPr>
            <w:r w:rsidRPr="006B72F7">
              <w:rPr>
                <w:rFonts w:eastAsiaTheme="minorEastAsia"/>
                <w:color w:val="000000"/>
                <w:sz w:val="24"/>
                <w:szCs w:val="24"/>
              </w:rPr>
              <w:t>5</w:t>
            </w:r>
          </w:p>
        </w:tc>
        <w:tc>
          <w:tcPr>
            <w:tcW w:w="2470" w:type="dxa"/>
            <w:vAlign w:val="center"/>
          </w:tcPr>
          <w:p w:rsidR="00F31F6E" w:rsidRPr="006B72F7" w:rsidRDefault="00F31F6E" w:rsidP="00175D4F">
            <w:pPr>
              <w:autoSpaceDE w:val="0"/>
              <w:autoSpaceDN w:val="0"/>
              <w:adjustRightInd w:val="0"/>
              <w:spacing w:before="29" w:line="360" w:lineRule="auto"/>
              <w:ind w:left="15"/>
              <w:rPr>
                <w:rFonts w:eastAsiaTheme="minorEastAsia"/>
                <w:color w:val="000000"/>
                <w:sz w:val="24"/>
                <w:szCs w:val="24"/>
              </w:rPr>
            </w:pPr>
            <w:r w:rsidRPr="006B72F7">
              <w:rPr>
                <w:rFonts w:eastAsiaTheme="minorEastAsia"/>
                <w:color w:val="000000"/>
                <w:sz w:val="24"/>
                <w:szCs w:val="24"/>
              </w:rPr>
              <w:t>应收申购款</w:t>
            </w:r>
          </w:p>
        </w:tc>
        <w:tc>
          <w:tcPr>
            <w:tcW w:w="4808" w:type="dxa"/>
            <w:vAlign w:val="center"/>
          </w:tcPr>
          <w:p w:rsidR="00F31F6E" w:rsidRPr="006B72F7" w:rsidRDefault="00F31F6E" w:rsidP="00FB41D3">
            <w:pPr>
              <w:autoSpaceDE w:val="0"/>
              <w:autoSpaceDN w:val="0"/>
              <w:adjustRightInd w:val="0"/>
              <w:spacing w:before="29" w:line="360" w:lineRule="auto"/>
              <w:ind w:left="15"/>
              <w:jc w:val="right"/>
              <w:rPr>
                <w:rFonts w:eastAsiaTheme="minorEastAsia"/>
                <w:color w:val="000000"/>
                <w:sz w:val="24"/>
                <w:szCs w:val="24"/>
              </w:rPr>
            </w:pPr>
            <w:r w:rsidRPr="006B72F7">
              <w:rPr>
                <w:rFonts w:eastAsiaTheme="minorEastAsia"/>
                <w:color w:val="000000"/>
                <w:sz w:val="24"/>
                <w:szCs w:val="24"/>
              </w:rPr>
              <w:t>-</w:t>
            </w:r>
          </w:p>
        </w:tc>
      </w:tr>
      <w:tr w:rsidR="00F31F6E" w:rsidRPr="001611C5" w:rsidTr="00175D4F">
        <w:tc>
          <w:tcPr>
            <w:tcW w:w="1235" w:type="dxa"/>
            <w:vAlign w:val="center"/>
          </w:tcPr>
          <w:p w:rsidR="00F31F6E" w:rsidRPr="006B72F7" w:rsidRDefault="00F31F6E" w:rsidP="00FB41D3">
            <w:pPr>
              <w:autoSpaceDE w:val="0"/>
              <w:autoSpaceDN w:val="0"/>
              <w:adjustRightInd w:val="0"/>
              <w:spacing w:before="29" w:line="360" w:lineRule="auto"/>
              <w:ind w:left="15"/>
              <w:jc w:val="center"/>
              <w:rPr>
                <w:rFonts w:eastAsiaTheme="minorEastAsia"/>
                <w:color w:val="000000"/>
                <w:sz w:val="24"/>
                <w:szCs w:val="24"/>
              </w:rPr>
            </w:pPr>
            <w:r w:rsidRPr="006B72F7">
              <w:rPr>
                <w:rFonts w:eastAsiaTheme="minorEastAsia"/>
                <w:color w:val="000000"/>
                <w:sz w:val="24"/>
                <w:szCs w:val="24"/>
              </w:rPr>
              <w:t>6</w:t>
            </w:r>
          </w:p>
        </w:tc>
        <w:tc>
          <w:tcPr>
            <w:tcW w:w="2470" w:type="dxa"/>
            <w:vAlign w:val="center"/>
          </w:tcPr>
          <w:p w:rsidR="00F31F6E" w:rsidRPr="006B72F7" w:rsidRDefault="00F31F6E" w:rsidP="00175D4F">
            <w:pPr>
              <w:autoSpaceDE w:val="0"/>
              <w:autoSpaceDN w:val="0"/>
              <w:adjustRightInd w:val="0"/>
              <w:spacing w:before="29" w:line="360" w:lineRule="auto"/>
              <w:ind w:left="15"/>
              <w:rPr>
                <w:rFonts w:eastAsiaTheme="minorEastAsia"/>
                <w:color w:val="000000"/>
                <w:sz w:val="24"/>
                <w:szCs w:val="24"/>
              </w:rPr>
            </w:pPr>
            <w:r w:rsidRPr="006B72F7">
              <w:rPr>
                <w:rFonts w:eastAsiaTheme="minorEastAsia"/>
                <w:color w:val="000000"/>
                <w:sz w:val="24"/>
                <w:szCs w:val="24"/>
              </w:rPr>
              <w:t>其他应收款</w:t>
            </w:r>
          </w:p>
        </w:tc>
        <w:tc>
          <w:tcPr>
            <w:tcW w:w="4808" w:type="dxa"/>
            <w:vAlign w:val="center"/>
          </w:tcPr>
          <w:p w:rsidR="00F31F6E" w:rsidRPr="006B72F7" w:rsidRDefault="00F31F6E" w:rsidP="00FB41D3">
            <w:pPr>
              <w:autoSpaceDE w:val="0"/>
              <w:autoSpaceDN w:val="0"/>
              <w:adjustRightInd w:val="0"/>
              <w:spacing w:before="29" w:line="360" w:lineRule="auto"/>
              <w:ind w:left="15"/>
              <w:jc w:val="right"/>
              <w:rPr>
                <w:rFonts w:eastAsiaTheme="minorEastAsia"/>
                <w:color w:val="000000"/>
                <w:sz w:val="24"/>
                <w:szCs w:val="24"/>
              </w:rPr>
            </w:pPr>
            <w:r w:rsidRPr="006B72F7">
              <w:rPr>
                <w:rFonts w:eastAsiaTheme="minorEastAsia"/>
                <w:color w:val="000000"/>
                <w:sz w:val="24"/>
                <w:szCs w:val="24"/>
              </w:rPr>
              <w:t>-</w:t>
            </w:r>
          </w:p>
        </w:tc>
      </w:tr>
      <w:tr w:rsidR="00EB2C07" w:rsidRPr="001611C5" w:rsidTr="00175D4F">
        <w:tc>
          <w:tcPr>
            <w:tcW w:w="1235" w:type="dxa"/>
            <w:vAlign w:val="center"/>
          </w:tcPr>
          <w:p w:rsidR="00EB2C07" w:rsidRPr="006B72F7" w:rsidRDefault="00EB2C07" w:rsidP="00FB41D3">
            <w:pPr>
              <w:autoSpaceDE w:val="0"/>
              <w:autoSpaceDN w:val="0"/>
              <w:adjustRightInd w:val="0"/>
              <w:spacing w:before="29" w:line="360" w:lineRule="auto"/>
              <w:ind w:left="15"/>
              <w:jc w:val="center"/>
              <w:rPr>
                <w:rFonts w:eastAsiaTheme="minorEastAsia"/>
                <w:color w:val="000000"/>
                <w:sz w:val="24"/>
                <w:szCs w:val="24"/>
              </w:rPr>
            </w:pPr>
            <w:r w:rsidRPr="006B72F7">
              <w:rPr>
                <w:rFonts w:eastAsiaTheme="minorEastAsia"/>
                <w:color w:val="000000"/>
                <w:sz w:val="24"/>
                <w:szCs w:val="24"/>
              </w:rPr>
              <w:t>7</w:t>
            </w:r>
          </w:p>
        </w:tc>
        <w:tc>
          <w:tcPr>
            <w:tcW w:w="2470" w:type="dxa"/>
            <w:vAlign w:val="center"/>
          </w:tcPr>
          <w:p w:rsidR="00EB2C07" w:rsidRPr="006B72F7" w:rsidRDefault="00EB2C07" w:rsidP="00175D4F">
            <w:pPr>
              <w:autoSpaceDE w:val="0"/>
              <w:autoSpaceDN w:val="0"/>
              <w:adjustRightInd w:val="0"/>
              <w:spacing w:before="29" w:line="360" w:lineRule="auto"/>
              <w:ind w:left="15"/>
              <w:rPr>
                <w:rFonts w:eastAsiaTheme="minorEastAsia"/>
                <w:color w:val="000000"/>
                <w:sz w:val="24"/>
                <w:szCs w:val="24"/>
              </w:rPr>
            </w:pPr>
            <w:r w:rsidRPr="006B72F7">
              <w:rPr>
                <w:rFonts w:eastAsiaTheme="minorEastAsia"/>
                <w:color w:val="000000"/>
                <w:sz w:val="24"/>
                <w:szCs w:val="24"/>
              </w:rPr>
              <w:t>待摊费用</w:t>
            </w:r>
          </w:p>
        </w:tc>
        <w:tc>
          <w:tcPr>
            <w:tcW w:w="4808" w:type="dxa"/>
            <w:vAlign w:val="center"/>
          </w:tcPr>
          <w:p w:rsidR="00EB2C07" w:rsidRPr="006B72F7" w:rsidRDefault="00EB2C07" w:rsidP="00FB41D3">
            <w:pPr>
              <w:autoSpaceDE w:val="0"/>
              <w:autoSpaceDN w:val="0"/>
              <w:adjustRightInd w:val="0"/>
              <w:spacing w:before="29" w:line="360" w:lineRule="auto"/>
              <w:ind w:left="15"/>
              <w:jc w:val="right"/>
              <w:rPr>
                <w:rFonts w:eastAsiaTheme="minorEastAsia"/>
                <w:color w:val="000000"/>
                <w:sz w:val="24"/>
                <w:szCs w:val="24"/>
              </w:rPr>
            </w:pPr>
            <w:r w:rsidRPr="006B72F7">
              <w:rPr>
                <w:rFonts w:eastAsiaTheme="minorEastAsia"/>
                <w:color w:val="000000"/>
                <w:sz w:val="24"/>
                <w:szCs w:val="24"/>
              </w:rPr>
              <w:t>-</w:t>
            </w:r>
          </w:p>
        </w:tc>
      </w:tr>
      <w:tr w:rsidR="00F31F6E" w:rsidRPr="001611C5" w:rsidTr="00175D4F">
        <w:tc>
          <w:tcPr>
            <w:tcW w:w="1235" w:type="dxa"/>
            <w:vAlign w:val="center"/>
          </w:tcPr>
          <w:p w:rsidR="00F31F6E" w:rsidRPr="006B72F7" w:rsidRDefault="00F31F6E" w:rsidP="00FB41D3">
            <w:pPr>
              <w:autoSpaceDE w:val="0"/>
              <w:autoSpaceDN w:val="0"/>
              <w:adjustRightInd w:val="0"/>
              <w:spacing w:before="29" w:line="360" w:lineRule="auto"/>
              <w:ind w:left="15"/>
              <w:jc w:val="center"/>
              <w:rPr>
                <w:rFonts w:eastAsiaTheme="minorEastAsia"/>
                <w:color w:val="000000"/>
                <w:sz w:val="24"/>
                <w:szCs w:val="24"/>
              </w:rPr>
            </w:pPr>
            <w:r w:rsidRPr="006B72F7">
              <w:rPr>
                <w:rFonts w:eastAsiaTheme="minorEastAsia"/>
                <w:color w:val="000000"/>
                <w:sz w:val="24"/>
                <w:szCs w:val="24"/>
              </w:rPr>
              <w:t/>
            </w:r>
            <w:r w:rsidR="004D495A" w:rsidRPr="006B72F7">
              <w:rPr>
                <w:rFonts w:eastAsiaTheme="minorEastAsia"/>
                <w:color w:val="000000"/>
                <w:sz w:val="24"/>
                <w:szCs w:val="24"/>
              </w:rPr>
              <w:t/>
            </w:r>
            <w:r w:rsidRPr="006B72F7">
              <w:rPr>
                <w:rFonts w:eastAsiaTheme="minorEastAsia"/>
                <w:color w:val="000000"/>
                <w:sz w:val="24"/>
                <w:szCs w:val="24"/>
              </w:rPr>
              <w:t>8</w:t>
            </w:r>
          </w:p>
        </w:tc>
        <w:tc>
          <w:tcPr>
            <w:tcW w:w="2470" w:type="dxa"/>
            <w:vAlign w:val="center"/>
          </w:tcPr>
          <w:p w:rsidR="00F31F6E" w:rsidRPr="006B72F7" w:rsidRDefault="00F31F6E" w:rsidP="00175D4F">
            <w:pPr>
              <w:autoSpaceDE w:val="0"/>
              <w:autoSpaceDN w:val="0"/>
              <w:adjustRightInd w:val="0"/>
              <w:spacing w:before="29" w:line="360" w:lineRule="auto"/>
              <w:ind w:left="15"/>
              <w:rPr>
                <w:rFonts w:eastAsiaTheme="minorEastAsia"/>
                <w:color w:val="000000"/>
                <w:sz w:val="24"/>
                <w:szCs w:val="24"/>
              </w:rPr>
            </w:pPr>
            <w:r w:rsidRPr="006B72F7">
              <w:rPr>
                <w:rFonts w:eastAsiaTheme="minorEastAsia"/>
                <w:color w:val="000000"/>
                <w:sz w:val="24"/>
                <w:szCs w:val="24"/>
              </w:rPr>
              <w:t>其他</w:t>
            </w:r>
          </w:p>
        </w:tc>
        <w:tc>
          <w:tcPr>
            <w:tcW w:w="4808" w:type="dxa"/>
            <w:vAlign w:val="center"/>
          </w:tcPr>
          <w:p w:rsidR="00F31F6E" w:rsidRPr="006B72F7" w:rsidRDefault="00F31F6E" w:rsidP="00FB41D3">
            <w:pPr>
              <w:autoSpaceDE w:val="0"/>
              <w:autoSpaceDN w:val="0"/>
              <w:adjustRightInd w:val="0"/>
              <w:spacing w:before="29" w:line="360" w:lineRule="auto"/>
              <w:ind w:left="15"/>
              <w:jc w:val="right"/>
              <w:rPr>
                <w:rFonts w:eastAsiaTheme="minorEastAsia"/>
                <w:color w:val="000000"/>
                <w:sz w:val="24"/>
                <w:szCs w:val="24"/>
              </w:rPr>
            </w:pPr>
            <w:r w:rsidRPr="006B72F7">
              <w:rPr>
                <w:rFonts w:eastAsiaTheme="minorEastAsia"/>
                <w:color w:val="000000"/>
                <w:sz w:val="24"/>
                <w:szCs w:val="24"/>
              </w:rPr>
              <w:t>-</w:t>
            </w:r>
          </w:p>
        </w:tc>
      </w:tr>
      <w:tr w:rsidR="00F31F6E" w:rsidRPr="001611C5" w:rsidTr="00175D4F">
        <w:tc>
          <w:tcPr>
            <w:tcW w:w="1235" w:type="dxa"/>
            <w:vAlign w:val="center"/>
          </w:tcPr>
          <w:p w:rsidR="00F31F6E" w:rsidRPr="006B72F7" w:rsidRDefault="004D495A" w:rsidP="00FB41D3">
            <w:pPr>
              <w:autoSpaceDE w:val="0"/>
              <w:autoSpaceDN w:val="0"/>
              <w:adjustRightInd w:val="0"/>
              <w:spacing w:before="29" w:line="360" w:lineRule="auto"/>
              <w:ind w:left="15"/>
              <w:jc w:val="center"/>
              <w:rPr>
                <w:rFonts w:eastAsiaTheme="minorEastAsia"/>
                <w:color w:val="000000"/>
                <w:sz w:val="24"/>
                <w:szCs w:val="24"/>
              </w:rPr>
            </w:pPr>
            <w:r w:rsidRPr="006B72F7">
              <w:rPr>
                <w:rFonts w:eastAsiaTheme="minorEastAsia"/>
                <w:color w:val="000000"/>
                <w:sz w:val="24"/>
                <w:szCs w:val="24"/>
              </w:rPr>
              <w:t/>
            </w:r>
            <w:r w:rsidR="00F31F6E" w:rsidRPr="006B72F7">
              <w:rPr>
                <w:rFonts w:eastAsiaTheme="minorEastAsia"/>
                <w:color w:val="000000"/>
                <w:sz w:val="24"/>
                <w:szCs w:val="24"/>
              </w:rPr>
              <w:t>9</w:t>
            </w:r>
          </w:p>
        </w:tc>
        <w:tc>
          <w:tcPr>
            <w:tcW w:w="2470" w:type="dxa"/>
            <w:vAlign w:val="center"/>
          </w:tcPr>
          <w:p w:rsidR="00F31F6E" w:rsidRPr="006B72F7" w:rsidRDefault="00F31F6E" w:rsidP="00175D4F">
            <w:pPr>
              <w:autoSpaceDE w:val="0"/>
              <w:autoSpaceDN w:val="0"/>
              <w:adjustRightInd w:val="0"/>
              <w:spacing w:before="29" w:line="360" w:lineRule="auto"/>
              <w:ind w:left="15"/>
              <w:rPr>
                <w:rFonts w:eastAsiaTheme="minorEastAsia"/>
                <w:color w:val="000000"/>
                <w:sz w:val="24"/>
                <w:szCs w:val="24"/>
              </w:rPr>
            </w:pPr>
            <w:r w:rsidRPr="006B72F7">
              <w:rPr>
                <w:rFonts w:eastAsiaTheme="minorEastAsia"/>
                <w:color w:val="000000"/>
                <w:sz w:val="24"/>
                <w:szCs w:val="24"/>
              </w:rPr>
              <w:t>合计</w:t>
            </w:r>
          </w:p>
        </w:tc>
        <w:tc>
          <w:tcPr>
            <w:tcW w:w="4808" w:type="dxa"/>
            <w:vAlign w:val="center"/>
          </w:tcPr>
          <w:p w:rsidR="00F31F6E" w:rsidRPr="006B72F7" w:rsidRDefault="00F31F6E" w:rsidP="00FB41D3">
            <w:pPr>
              <w:autoSpaceDE w:val="0"/>
              <w:autoSpaceDN w:val="0"/>
              <w:adjustRightInd w:val="0"/>
              <w:spacing w:before="29" w:line="360" w:lineRule="auto"/>
              <w:ind w:left="15"/>
              <w:jc w:val="right"/>
              <w:rPr>
                <w:rFonts w:eastAsiaTheme="minorEastAsia"/>
                <w:color w:val="000000"/>
                <w:sz w:val="24"/>
                <w:szCs w:val="24"/>
              </w:rPr>
            </w:pPr>
            <w:r w:rsidRPr="006B72F7">
              <w:rPr>
                <w:rFonts w:eastAsiaTheme="minorEastAsia"/>
                <w:color w:val="000000"/>
                <w:sz w:val="24"/>
                <w:szCs w:val="24"/>
              </w:rPr>
              <w:t>118,660.74</w:t>
            </w:r>
          </w:p>
        </w:tc>
      </w:tr>
    </w:tbl>
    <w:p w:rsidR="004061AC" w:rsidRPr="001611C5" w:rsidRDefault="003259C8" w:rsidP="001B0A62">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hint="eastAsia"/>
          <w:b/>
          <w:bCs/>
          <w:color w:val="000000"/>
          <w:kern w:val="0"/>
          <w:sz w:val="24"/>
          <w:szCs w:val="24"/>
        </w:rPr>
        <w:t>5</w:t>
      </w:r>
      <w:r w:rsidR="00275745" w:rsidRPr="001611C5">
        <w:rPr>
          <w:rFonts w:asciiTheme="minorEastAsia" w:eastAsiaTheme="minorEastAsia" w:hAnsiTheme="minorEastAsia"/>
          <w:b/>
          <w:bCs/>
          <w:color w:val="000000"/>
          <w:kern w:val="0"/>
          <w:sz w:val="24"/>
          <w:szCs w:val="24"/>
        </w:rPr>
        <w:t>.</w:t>
      </w:r>
      <w:r w:rsidR="0059076B" w:rsidRPr="001611C5">
        <w:rPr>
          <w:rFonts w:asciiTheme="minorEastAsia" w:eastAsiaTheme="minorEastAsia" w:hAnsiTheme="minorEastAsia" w:hint="eastAsia"/>
          <w:b/>
          <w:bCs/>
          <w:color w:val="000000"/>
          <w:kern w:val="0"/>
          <w:sz w:val="24"/>
          <w:szCs w:val="24"/>
        </w:rPr>
        <w:t>11</w:t>
      </w:r>
      <w:r w:rsidR="0059076B" w:rsidRPr="001611C5">
        <w:rPr>
          <w:rFonts w:asciiTheme="minorEastAsia" w:eastAsiaTheme="minorEastAsia" w:hAnsiTheme="minorEastAsia"/>
          <w:b/>
          <w:bCs/>
          <w:color w:val="000000"/>
          <w:kern w:val="0"/>
          <w:sz w:val="24"/>
          <w:szCs w:val="24"/>
        </w:rPr>
        <w:t>.</w:t>
      </w:r>
      <w:r w:rsidR="0059076B" w:rsidRPr="001611C5">
        <w:rPr>
          <w:rFonts w:asciiTheme="minorEastAsia" w:eastAsiaTheme="minorEastAsia" w:hAnsiTheme="minorEastAsia" w:hint="eastAsia"/>
          <w:b/>
          <w:bCs/>
          <w:color w:val="000000"/>
          <w:kern w:val="0"/>
          <w:sz w:val="24"/>
          <w:szCs w:val="24"/>
        </w:rPr>
        <w:t>4</w:t>
      </w:r>
      <w:r w:rsidR="004061AC" w:rsidRPr="001611C5">
        <w:rPr>
          <w:rFonts w:asciiTheme="minorEastAsia" w:eastAsiaTheme="minorEastAsia" w:hAnsiTheme="minorEastAsia" w:hint="eastAsia"/>
          <w:b/>
          <w:bCs/>
          <w:color w:val="000000"/>
          <w:kern w:val="0"/>
          <w:sz w:val="24"/>
          <w:szCs w:val="24"/>
        </w:rPr>
        <w:t>报告期末持有的处于转股期的可转换债券明细</w:t>
      </w:r>
    </w:p>
    <w:p w:rsidR="002918E3" w:rsidRPr="006B72F7" w:rsidRDefault="00F743D4" w:rsidP="006B72F7">
      <w:pPr>
        <w:spacing w:line="360" w:lineRule="auto"/>
        <w:ind w:firstLineChars="200" w:firstLine="480"/>
        <w:rPr>
          <w:rFonts w:eastAsiaTheme="minorEastAsia"/>
          <w:color w:val="000000"/>
          <w:sz w:val="24"/>
          <w:szCs w:val="24"/>
        </w:rPr>
      </w:pPr>
      <w:r w:rsidRPr="00CD2DB1">
        <w:rPr>
          <w:rFonts w:eastAsiaTheme="minorEastAsia" w:hint="eastAsia"/>
          <w:color w:val="000000"/>
          <w:sz w:val="24"/>
          <w:szCs w:val="24"/>
        </w:rPr>
        <w:t/>
      </w:r>
      <w:r w:rsidR="004061AC" w:rsidRPr="00CD2DB1">
        <w:rPr>
          <w:rFonts w:eastAsiaTheme="minorEastAsia"/>
          <w:color w:val="000000"/>
          <w:sz w:val="24"/>
          <w:szCs w:val="24"/>
        </w:rPr>
        <w:t>本基金本报告期末未持有处于转股期的可转换债券。</w:t>
      </w:r>
    </w:p>
    <w:p w:rsidR="004061AC" w:rsidRPr="001611C5" w:rsidRDefault="003259C8" w:rsidP="001B0A62">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hint="eastAsia"/>
          <w:b/>
          <w:bCs/>
          <w:color w:val="000000"/>
          <w:kern w:val="0"/>
          <w:sz w:val="24"/>
          <w:szCs w:val="24"/>
        </w:rPr>
        <w:t>5</w:t>
      </w:r>
      <w:r w:rsidR="004061AC" w:rsidRPr="001611C5">
        <w:rPr>
          <w:rFonts w:asciiTheme="minorEastAsia" w:eastAsiaTheme="minorEastAsia" w:hAnsiTheme="minorEastAsia"/>
          <w:b/>
          <w:bCs/>
          <w:color w:val="000000"/>
          <w:kern w:val="0"/>
          <w:sz w:val="24"/>
          <w:szCs w:val="24"/>
        </w:rPr>
        <w:t>.</w:t>
      </w:r>
      <w:r w:rsidR="0059076B" w:rsidRPr="001611C5">
        <w:rPr>
          <w:rFonts w:asciiTheme="minorEastAsia" w:eastAsiaTheme="minorEastAsia" w:hAnsiTheme="minorEastAsia" w:hint="eastAsia"/>
          <w:b/>
          <w:bCs/>
          <w:color w:val="000000"/>
          <w:kern w:val="0"/>
          <w:sz w:val="24"/>
          <w:szCs w:val="24"/>
        </w:rPr>
        <w:t>11</w:t>
      </w:r>
      <w:r w:rsidR="0059076B" w:rsidRPr="001611C5">
        <w:rPr>
          <w:rFonts w:asciiTheme="minorEastAsia" w:eastAsiaTheme="minorEastAsia" w:hAnsiTheme="minorEastAsia"/>
          <w:b/>
          <w:bCs/>
          <w:color w:val="000000"/>
          <w:kern w:val="0"/>
          <w:sz w:val="24"/>
          <w:szCs w:val="24"/>
        </w:rPr>
        <w:t>.</w:t>
      </w:r>
      <w:r w:rsidR="0059076B" w:rsidRPr="001611C5">
        <w:rPr>
          <w:rFonts w:asciiTheme="minorEastAsia" w:eastAsiaTheme="minorEastAsia" w:hAnsiTheme="minorEastAsia" w:hint="eastAsia"/>
          <w:b/>
          <w:bCs/>
          <w:color w:val="000000"/>
          <w:kern w:val="0"/>
          <w:sz w:val="24"/>
          <w:szCs w:val="24"/>
        </w:rPr>
        <w:t>5</w:t>
      </w:r>
      <w:r w:rsidR="004061AC" w:rsidRPr="001611C5">
        <w:rPr>
          <w:rFonts w:asciiTheme="minorEastAsia" w:eastAsiaTheme="minorEastAsia" w:hAnsiTheme="minorEastAsia" w:hint="eastAsia"/>
          <w:b/>
          <w:bCs/>
          <w:color w:val="000000"/>
          <w:kern w:val="0"/>
          <w:sz w:val="24"/>
          <w:szCs w:val="24"/>
        </w:rPr>
        <w:t>报告期末前十名股票中存在流通受限情况的说明</w:t>
      </w:r>
    </w:p>
    <w:tbl>
      <w:tblPr>
        <w:tblStyle w:val="af7"/>
        <w:tblW w:w="0" w:type="auto"/>
        <w:tblInd w:w="15" w:type="dxa"/>
        <w:tblLayout w:type="fixed"/>
        <w:tblLook w:val="04A0" w:firstRow="1" w:lastRow="0" w:firstColumn="1" w:lastColumn="0" w:noHBand="0" w:noVBand="1"/>
      </w:tblPr>
      <w:tblGrid>
        <w:gridCol w:w="1083"/>
        <w:gridCol w:w="1302"/>
        <w:gridCol w:w="1301"/>
        <w:gridCol w:w="1805"/>
        <w:gridCol w:w="1655"/>
        <w:gridCol w:w="1367"/>
      </w:tblGrid>
      <w:tr w:rsidR="003E62FB" w:rsidRPr="001611C5" w:rsidTr="00BD7703">
        <w:tc>
          <w:tcPr>
            <w:tcW w:w="1083" w:type="dxa"/>
            <w:vAlign w:val="center"/>
          </w:tcPr>
          <w:p w:rsidR="003E62FB" w:rsidRPr="006B72F7" w:rsidRDefault="003E62FB" w:rsidP="00924582">
            <w:pPr>
              <w:spacing w:before="29" w:line="360" w:lineRule="auto"/>
              <w:ind w:left="17"/>
              <w:jc w:val="center"/>
              <w:rPr>
                <w:rFonts w:eastAsiaTheme="minorEastAsia"/>
                <w:color w:val="000000"/>
                <w:sz w:val="24"/>
                <w:szCs w:val="24"/>
              </w:rPr>
            </w:pPr>
            <w:r w:rsidRPr="006B72F7">
              <w:rPr>
                <w:rFonts w:eastAsiaTheme="minorEastAsia"/>
                <w:color w:val="000000"/>
                <w:sz w:val="24"/>
                <w:szCs w:val="24"/>
              </w:rPr>
              <w:t>序号</w:t>
            </w:r>
          </w:p>
        </w:tc>
        <w:tc>
          <w:tcPr>
            <w:tcW w:w="1302" w:type="dxa"/>
            <w:vAlign w:val="center"/>
          </w:tcPr>
          <w:p w:rsidR="003E62FB" w:rsidRPr="006B72F7" w:rsidRDefault="003E62FB" w:rsidP="00924582">
            <w:pPr>
              <w:spacing w:before="29" w:line="360" w:lineRule="auto"/>
              <w:ind w:left="17"/>
              <w:jc w:val="center"/>
              <w:rPr>
                <w:rFonts w:eastAsiaTheme="minorEastAsia"/>
                <w:color w:val="000000"/>
                <w:sz w:val="24"/>
                <w:szCs w:val="24"/>
              </w:rPr>
            </w:pPr>
            <w:r w:rsidRPr="006B72F7">
              <w:rPr>
                <w:rFonts w:eastAsiaTheme="minorEastAsia"/>
                <w:color w:val="000000"/>
                <w:sz w:val="24"/>
                <w:szCs w:val="24"/>
              </w:rPr>
              <w:t>股票代码</w:t>
            </w:r>
          </w:p>
        </w:tc>
        <w:tc>
          <w:tcPr>
            <w:tcW w:w="1301" w:type="dxa"/>
            <w:vAlign w:val="center"/>
          </w:tcPr>
          <w:p w:rsidR="003E62FB" w:rsidRPr="006B72F7" w:rsidRDefault="003E62FB" w:rsidP="00924582">
            <w:pPr>
              <w:spacing w:before="29" w:line="360" w:lineRule="auto"/>
              <w:ind w:left="17"/>
              <w:jc w:val="center"/>
              <w:rPr>
                <w:rFonts w:eastAsiaTheme="minorEastAsia"/>
                <w:color w:val="000000"/>
                <w:sz w:val="24"/>
                <w:szCs w:val="24"/>
              </w:rPr>
            </w:pPr>
            <w:r w:rsidRPr="006B72F7">
              <w:rPr>
                <w:rFonts w:eastAsiaTheme="minorEastAsia"/>
                <w:color w:val="000000"/>
                <w:sz w:val="24"/>
                <w:szCs w:val="24"/>
              </w:rPr>
              <w:t>股票名称</w:t>
            </w:r>
          </w:p>
        </w:tc>
        <w:tc>
          <w:tcPr>
            <w:tcW w:w="1805" w:type="dxa"/>
            <w:vAlign w:val="center"/>
          </w:tcPr>
          <w:p w:rsidR="003E62FB" w:rsidRPr="006B72F7" w:rsidRDefault="003E62FB" w:rsidP="00924582">
            <w:pPr>
              <w:spacing w:before="29" w:line="360" w:lineRule="auto"/>
              <w:ind w:left="17"/>
              <w:jc w:val="center"/>
              <w:rPr>
                <w:rFonts w:eastAsiaTheme="minorEastAsia"/>
                <w:color w:val="000000"/>
                <w:sz w:val="24"/>
                <w:szCs w:val="24"/>
              </w:rPr>
            </w:pPr>
            <w:r w:rsidRPr="006B72F7">
              <w:rPr>
                <w:rFonts w:eastAsiaTheme="minorEastAsia"/>
                <w:color w:val="000000"/>
                <w:sz w:val="24"/>
                <w:szCs w:val="24"/>
              </w:rPr>
              <w:t>流通受限部分的公允价值</w:t>
            </w:r>
            <w:r w:rsidRPr="006B72F7">
              <w:rPr>
                <w:rFonts w:eastAsiaTheme="minorEastAsia"/>
                <w:color w:val="000000"/>
                <w:sz w:val="24"/>
                <w:szCs w:val="24"/>
              </w:rPr>
              <w:t>(</w:t>
            </w:r>
            <w:r w:rsidRPr="006B72F7">
              <w:rPr>
                <w:rFonts w:eastAsiaTheme="minorEastAsia"/>
                <w:color w:val="000000"/>
                <w:sz w:val="24"/>
                <w:szCs w:val="24"/>
              </w:rPr>
              <w:t>元</w:t>
            </w:r>
            <w:r w:rsidRPr="006B72F7">
              <w:rPr>
                <w:rFonts w:eastAsiaTheme="minorEastAsia"/>
                <w:color w:val="000000"/>
                <w:sz w:val="24"/>
                <w:szCs w:val="24"/>
              </w:rPr>
              <w:t>)</w:t>
            </w:r>
          </w:p>
        </w:tc>
        <w:tc>
          <w:tcPr>
            <w:tcW w:w="1655" w:type="dxa"/>
            <w:vAlign w:val="center"/>
          </w:tcPr>
          <w:p w:rsidR="003E62FB" w:rsidRPr="006B72F7" w:rsidRDefault="003E62FB" w:rsidP="00924582">
            <w:pPr>
              <w:spacing w:before="29" w:line="360" w:lineRule="auto"/>
              <w:ind w:left="17"/>
              <w:jc w:val="center"/>
              <w:rPr>
                <w:rFonts w:eastAsiaTheme="minorEastAsia"/>
                <w:color w:val="000000"/>
                <w:sz w:val="24"/>
                <w:szCs w:val="24"/>
              </w:rPr>
            </w:pPr>
            <w:r w:rsidRPr="006B72F7">
              <w:rPr>
                <w:rFonts w:eastAsiaTheme="minorEastAsia"/>
                <w:color w:val="000000"/>
                <w:sz w:val="24"/>
                <w:szCs w:val="24"/>
              </w:rPr>
              <w:t>占基金资产净值比例</w:t>
            </w:r>
            <w:r w:rsidRPr="006B72F7">
              <w:rPr>
                <w:rFonts w:eastAsiaTheme="minorEastAsia"/>
                <w:color w:val="000000"/>
                <w:sz w:val="24"/>
                <w:szCs w:val="24"/>
              </w:rPr>
              <w:t>(%)</w:t>
            </w:r>
          </w:p>
        </w:tc>
        <w:tc>
          <w:tcPr>
            <w:tcW w:w="1367" w:type="dxa"/>
            <w:vAlign w:val="center"/>
          </w:tcPr>
          <w:p w:rsidR="003E62FB" w:rsidRPr="006B72F7" w:rsidRDefault="003E62FB" w:rsidP="00924582">
            <w:pPr>
              <w:spacing w:before="29" w:line="360" w:lineRule="auto"/>
              <w:ind w:left="17"/>
              <w:jc w:val="center"/>
              <w:rPr>
                <w:rFonts w:eastAsiaTheme="minorEastAsia"/>
                <w:color w:val="000000"/>
                <w:sz w:val="24"/>
                <w:szCs w:val="24"/>
              </w:rPr>
            </w:pPr>
            <w:r w:rsidRPr="006B72F7">
              <w:rPr>
                <w:rFonts w:eastAsiaTheme="minorEastAsia"/>
                <w:color w:val="000000"/>
                <w:sz w:val="24"/>
                <w:szCs w:val="24"/>
              </w:rPr>
              <w:t>流通受限情况说明</w:t>
            </w:r>
          </w:p>
        </w:tc>
      </w:tr>
      <w:tr>
        <w:tc>
          <w:tcPr>
            <w:vAlign w:val="center"/>
          </w:tcPr>
          <w:p>
            <w:pPr>
              <w:jc w:val="center"/>
            </w:pPr>
            <w:r>
              <w:rPr>
                <w:rFonts w:eastAsiaTheme="minorEastAsia"/>
                <w:color w:val="000000"/>
                <w:sz w:val="24"/>
                <w:szCs w:val="24"/>
              </w:rPr>
              <w:t>1</w:t>
            </w:r>
          </w:p>
        </w:tc>
        <w:tc>
          <w:tcPr>
            <w:vAlign w:val="center"/>
          </w:tcPr>
          <w:p>
            <w:pPr>
              <w:jc w:val="center"/>
            </w:pPr>
            <w:r>
              <w:rPr>
                <w:rFonts w:eastAsiaTheme="minorEastAsia"/>
                <w:color w:val="000000"/>
                <w:sz w:val="24"/>
                <w:szCs w:val="24"/>
              </w:rPr>
              <w:t>002168</w:t>
            </w:r>
          </w:p>
        </w:tc>
        <w:tc>
          <w:tcPr>
            <w:vAlign w:val="center"/>
          </w:tcPr>
          <w:p>
            <w:pPr>
              <w:jc w:val="center"/>
            </w:pPr>
            <w:r>
              <w:rPr>
                <w:rFonts w:eastAsiaTheme="minorEastAsia"/>
                <w:color w:val="000000"/>
                <w:sz w:val="24"/>
                <w:szCs w:val="24"/>
              </w:rPr>
              <w:t>深圳惠程</w:t>
            </w:r>
          </w:p>
        </w:tc>
        <w:tc>
          <w:tcPr>
            <w:vAlign w:val="center"/>
          </w:tcPr>
          <w:p>
            <w:pPr>
              <w:jc w:val="right"/>
            </w:pPr>
            <w:r>
              <w:rPr>
                <w:rFonts w:eastAsiaTheme="minorEastAsia"/>
                <w:color w:val="000000"/>
                <w:sz w:val="24"/>
                <w:szCs w:val="24"/>
              </w:rPr>
              <w:t>4,944,100.00</w:t>
            </w:r>
          </w:p>
        </w:tc>
        <w:tc>
          <w:tcPr>
            <w:vAlign w:val="center"/>
          </w:tcPr>
          <w:p>
            <w:pPr>
              <w:jc w:val="right"/>
            </w:pPr>
            <w:r>
              <w:rPr>
                <w:rFonts w:eastAsiaTheme="minorEastAsia"/>
                <w:color w:val="000000"/>
                <w:sz w:val="24"/>
                <w:szCs w:val="24"/>
              </w:rPr>
              <w:t>19.45</w:t>
            </w:r>
          </w:p>
        </w:tc>
        <w:tc>
          <w:tcPr>
            <w:vAlign w:val="center"/>
          </w:tcPr>
          <w:p>
            <w:pPr>
              <w:jc w:val="right"/>
            </w:pPr>
            <w:r>
              <w:rPr>
                <w:rFonts w:eastAsiaTheme="minorEastAsia"/>
                <w:color w:val="000000"/>
                <w:sz w:val="24"/>
                <w:szCs w:val="24"/>
              </w:rPr>
              <w:t>重大事项停牌</w:t>
            </w:r>
          </w:p>
        </w:tc>
      </w:tr>
    </w:tbl>
    <w:p w:rsidR="004061AC" w:rsidRPr="001611C5" w:rsidRDefault="004061AC" w:rsidP="001B2F35">
      <w:pPr>
        <w:pStyle w:val="1"/>
        <w:spacing w:beforeLines="100" w:before="312" w:afterLines="100" w:after="312" w:line="360" w:lineRule="auto"/>
        <w:jc w:val="center"/>
        <w:rPr>
          <w:rFonts w:asciiTheme="minorEastAsia" w:eastAsiaTheme="minorEastAsia" w:hAnsiTheme="minorEastAsia"/>
          <w:color w:val="000000"/>
          <w:kern w:val="0"/>
          <w:sz w:val="24"/>
          <w:szCs w:val="24"/>
        </w:rPr>
      </w:pPr>
      <w:r w:rsidRPr="001611C5">
        <w:rPr>
          <w:rFonts w:asciiTheme="minorEastAsia" w:eastAsiaTheme="minorEastAsia" w:hAnsiTheme="minorEastAsia" w:hint="eastAsia"/>
          <w:color w:val="000000"/>
          <w:kern w:val="0"/>
          <w:sz w:val="24"/>
          <w:szCs w:val="24"/>
        </w:rPr>
        <w:t>§</w:t>
      </w:r>
      <w:r w:rsidRPr="001611C5">
        <w:rPr>
          <w:rFonts w:asciiTheme="minorEastAsia" w:eastAsiaTheme="minorEastAsia" w:hAnsiTheme="minorEastAsia"/>
          <w:color w:val="000000"/>
          <w:kern w:val="0"/>
          <w:sz w:val="24"/>
          <w:szCs w:val="24"/>
        </w:rPr>
        <w:t xml:space="preserve">6  </w:t>
      </w:r>
      <w:r w:rsidRPr="001611C5">
        <w:rPr>
          <w:rFonts w:asciiTheme="minorEastAsia" w:eastAsiaTheme="minorEastAsia" w:hAnsiTheme="minorEastAsia" w:hint="eastAsia"/>
          <w:color w:val="000000"/>
          <w:kern w:val="0"/>
          <w:sz w:val="24"/>
          <w:szCs w:val="24"/>
        </w:rPr>
        <w:t>开放式基金份额变动</w:t>
      </w:r>
    </w:p>
    <w:p w:rsidR="004061AC" w:rsidRPr="001611C5" w:rsidRDefault="004061AC" w:rsidP="004061AC">
      <w:pPr>
        <w:autoSpaceDE w:val="0"/>
        <w:autoSpaceDN w:val="0"/>
        <w:adjustRightInd w:val="0"/>
        <w:spacing w:before="29" w:line="360" w:lineRule="auto"/>
        <w:ind w:left="15"/>
        <w:jc w:val="right"/>
        <w:rPr>
          <w:rFonts w:asciiTheme="minorEastAsia" w:eastAsiaTheme="minorEastAsia" w:hAnsiTheme="minorEastAsia"/>
          <w:color w:val="000000"/>
          <w:kern w:val="0"/>
          <w:sz w:val="24"/>
          <w:szCs w:val="24"/>
        </w:rPr>
      </w:pPr>
      <w:r w:rsidRPr="001611C5">
        <w:rPr>
          <w:rFonts w:asciiTheme="minorEastAsia" w:eastAsiaTheme="minorEastAsia" w:hAnsiTheme="minorEastAsia" w:cs="宋体" w:hint="eastAsia"/>
          <w:color w:val="000000"/>
          <w:kern w:val="0"/>
          <w:sz w:val="24"/>
          <w:szCs w:val="24"/>
        </w:rPr>
        <w:t>单位：份</w:t>
      </w:r>
    </w:p>
    <w:tbl>
      <w:tblPr>
        <w:tblW w:w="0" w:type="auto"/>
        <w:tblInd w:w="-106" w:type="dxa"/>
        <w:tblLayout w:type="fixed"/>
        <w:tblLook w:val="0000" w:firstRow="0" w:lastRow="0" w:firstColumn="0" w:lastColumn="0" w:noHBand="0" w:noVBand="0"/>
      </w:tblPr>
      <w:tblGrid>
        <w:gridCol w:w="4609"/>
        <w:gridCol w:w="4025"/>
      </w:tblGrid>
      <w:tr w:rsidR="004061AC" w:rsidRPr="001611C5" w:rsidTr="00175D4F">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6B72F7" w:rsidRDefault="004061AC" w:rsidP="00175D4F">
            <w:pPr>
              <w:autoSpaceDE w:val="0"/>
              <w:autoSpaceDN w:val="0"/>
              <w:adjustRightInd w:val="0"/>
              <w:spacing w:before="29" w:line="360" w:lineRule="auto"/>
              <w:ind w:left="17"/>
              <w:rPr>
                <w:rFonts w:eastAsiaTheme="minorEastAsia"/>
                <w:color w:val="000000"/>
                <w:kern w:val="0"/>
                <w:sz w:val="24"/>
                <w:szCs w:val="24"/>
              </w:rPr>
            </w:pPr>
            <w:r w:rsidRPr="006B72F7">
              <w:rPr>
                <w:rFonts w:eastAsiaTheme="minorEastAsia"/>
                <w:color w:val="000000"/>
                <w:kern w:val="0"/>
                <w:sz w:val="24"/>
                <w:szCs w:val="24"/>
              </w:rPr>
              <w:lastRenderedPageBreak/>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6B72F7" w:rsidRDefault="008F60F2" w:rsidP="00924582">
            <w:pPr>
              <w:autoSpaceDE w:val="0"/>
              <w:autoSpaceDN w:val="0"/>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
            </w:r>
            <w:r w:rsidR="006D7FF8" w:rsidRPr="006B72F7">
              <w:rPr>
                <w:rFonts w:eastAsiaTheme="minorEastAsia"/>
                <w:color w:val="000000"/>
                <w:sz w:val="24"/>
                <w:szCs w:val="24"/>
              </w:rPr>
              <w:t/>
            </w:r>
            <w:r w:rsidR="00355364" w:rsidRPr="006B72F7">
              <w:rPr>
                <w:rFonts w:eastAsiaTheme="minorEastAsia"/>
                <w:color w:val="000000"/>
                <w:sz w:val="24"/>
                <w:szCs w:val="24"/>
              </w:rPr>
              <w:t/>
            </w:r>
            <w:r w:rsidR="006D7FF8" w:rsidRPr="006B72F7">
              <w:rPr>
                <w:rFonts w:eastAsiaTheme="minorEastAsia"/>
                <w:color w:val="000000"/>
                <w:sz w:val="24"/>
                <w:szCs w:val="24"/>
              </w:rPr>
              <w:t>45,622,520.52</w:t>
            </w:r>
          </w:p>
        </w:tc>
      </w:tr>
      <w:tr w:rsidR="004061AC" w:rsidRPr="001611C5" w:rsidTr="00175D4F">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6B72F7" w:rsidRDefault="00FE179F" w:rsidP="00175D4F">
            <w:pPr>
              <w:autoSpaceDE w:val="0"/>
              <w:autoSpaceDN w:val="0"/>
              <w:adjustRightInd w:val="0"/>
              <w:spacing w:before="29" w:line="360" w:lineRule="auto"/>
              <w:ind w:left="17"/>
              <w:rPr>
                <w:rFonts w:eastAsiaTheme="minorEastAsia"/>
                <w:color w:val="000000"/>
                <w:kern w:val="0"/>
                <w:sz w:val="24"/>
                <w:szCs w:val="24"/>
              </w:rPr>
            </w:pPr>
            <w:r w:rsidRPr="006B72F7">
              <w:rPr>
                <w:rFonts w:eastAsiaTheme="minorEastAsia"/>
                <w:color w:val="000000"/>
                <w:kern w:val="0"/>
                <w:sz w:val="24"/>
                <w:szCs w:val="24"/>
              </w:rPr>
              <w:t>本报告期</w:t>
            </w:r>
            <w:r w:rsidR="004061AC" w:rsidRPr="006B72F7">
              <w:rPr>
                <w:rFonts w:eastAsiaTheme="minorEastAsia"/>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6B72F7" w:rsidRDefault="004061AC" w:rsidP="00924582">
            <w:pPr>
              <w:autoSpaceDE w:val="0"/>
              <w:autoSpaceDN w:val="0"/>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646,669.63</w:t>
            </w:r>
          </w:p>
        </w:tc>
      </w:tr>
      <w:tr w:rsidR="004061AC" w:rsidRPr="001611C5" w:rsidTr="00175D4F">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6B72F7" w:rsidRDefault="004061AC" w:rsidP="00175D4F">
            <w:pPr>
              <w:autoSpaceDE w:val="0"/>
              <w:autoSpaceDN w:val="0"/>
              <w:adjustRightInd w:val="0"/>
              <w:spacing w:before="29" w:line="360" w:lineRule="auto"/>
              <w:ind w:left="17"/>
              <w:rPr>
                <w:rFonts w:eastAsiaTheme="minorEastAsia"/>
                <w:color w:val="000000"/>
                <w:kern w:val="0"/>
                <w:sz w:val="24"/>
                <w:szCs w:val="24"/>
              </w:rPr>
            </w:pPr>
            <w:r w:rsidRPr="006B72F7">
              <w:rPr>
                <w:rFonts w:eastAsiaTheme="minorEastAsia"/>
                <w:color w:val="000000"/>
                <w:kern w:val="0"/>
                <w:sz w:val="24"/>
                <w:szCs w:val="24"/>
              </w:rPr>
              <w:t>减：</w:t>
            </w:r>
            <w:r w:rsidR="00FE179F" w:rsidRPr="006B72F7">
              <w:rPr>
                <w:rFonts w:eastAsiaTheme="minorEastAsia"/>
                <w:color w:val="000000"/>
                <w:kern w:val="0"/>
                <w:sz w:val="24"/>
                <w:szCs w:val="24"/>
              </w:rPr>
              <w:t>本报告期</w:t>
            </w:r>
            <w:r w:rsidRPr="006B72F7">
              <w:rPr>
                <w:rFonts w:eastAsiaTheme="minorEastAsia"/>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6B72F7" w:rsidRDefault="004061AC" w:rsidP="00924582">
            <w:pPr>
              <w:autoSpaceDE w:val="0"/>
              <w:autoSpaceDN w:val="0"/>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23,680,548.28</w:t>
            </w:r>
          </w:p>
        </w:tc>
      </w:tr>
      <w:tr w:rsidR="004061AC" w:rsidRPr="001611C5" w:rsidTr="00175D4F">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6B72F7" w:rsidRDefault="00FE179F" w:rsidP="00175D4F">
            <w:pPr>
              <w:autoSpaceDE w:val="0"/>
              <w:autoSpaceDN w:val="0"/>
              <w:adjustRightInd w:val="0"/>
              <w:spacing w:before="29" w:line="360" w:lineRule="auto"/>
              <w:ind w:left="17"/>
              <w:rPr>
                <w:rFonts w:eastAsiaTheme="minorEastAsia"/>
                <w:color w:val="000000"/>
                <w:kern w:val="0"/>
                <w:sz w:val="24"/>
                <w:szCs w:val="24"/>
              </w:rPr>
            </w:pPr>
            <w:r w:rsidRPr="006B72F7">
              <w:rPr>
                <w:rFonts w:eastAsiaTheme="minorEastAsia"/>
                <w:color w:val="000000"/>
                <w:kern w:val="0"/>
                <w:sz w:val="24"/>
                <w:szCs w:val="24"/>
              </w:rPr>
              <w:t>本报告期</w:t>
            </w:r>
            <w:r w:rsidR="004061AC" w:rsidRPr="006B72F7">
              <w:rPr>
                <w:rFonts w:eastAsiaTheme="minorEastAsia"/>
                <w:color w:val="000000"/>
                <w:kern w:val="0"/>
                <w:sz w:val="24"/>
                <w:szCs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6B72F7" w:rsidRDefault="004061AC" w:rsidP="00924582">
            <w:pPr>
              <w:autoSpaceDE w:val="0"/>
              <w:autoSpaceDN w:val="0"/>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r>
      <w:tr w:rsidR="006D7FF8" w:rsidRPr="001611C5" w:rsidTr="00175D4F">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6B72F7" w:rsidRDefault="006D7FF8" w:rsidP="00175D4F">
            <w:pPr>
              <w:autoSpaceDE w:val="0"/>
              <w:autoSpaceDN w:val="0"/>
              <w:adjustRightInd w:val="0"/>
              <w:spacing w:before="29" w:line="360" w:lineRule="auto"/>
              <w:ind w:left="17"/>
              <w:rPr>
                <w:rFonts w:eastAsiaTheme="minorEastAsia"/>
                <w:color w:val="000000"/>
                <w:kern w:val="0"/>
                <w:sz w:val="24"/>
                <w:szCs w:val="24"/>
              </w:rPr>
            </w:pPr>
            <w:r w:rsidRPr="006B72F7">
              <w:rPr>
                <w:rFonts w:eastAsiaTheme="minorEastAsia"/>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6B72F7" w:rsidRDefault="006D7FF8" w:rsidP="000A2B53">
            <w:pPr>
              <w:autoSpaceDE w:val="0"/>
              <w:autoSpaceDN w:val="0"/>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
            </w:r>
            <w:r w:rsidR="00355364" w:rsidRPr="006B72F7">
              <w:rPr>
                <w:rFonts w:eastAsiaTheme="minorEastAsia"/>
                <w:color w:val="000000"/>
                <w:sz w:val="24"/>
                <w:szCs w:val="24"/>
              </w:rPr>
              <w:t/>
            </w:r>
            <w:r w:rsidRPr="006B72F7">
              <w:rPr>
                <w:rFonts w:eastAsiaTheme="minorEastAsia"/>
                <w:color w:val="000000"/>
                <w:sz w:val="24"/>
                <w:szCs w:val="24"/>
              </w:rPr>
              <w:t>22,588,641.87</w:t>
            </w:r>
          </w:p>
        </w:tc>
      </w:tr>
    </w:tbl>
    <w:p w:rsidR="00EB374A" w:rsidRPr="001611C5" w:rsidRDefault="00EB374A" w:rsidP="00EB374A">
      <w:pPr>
        <w:pStyle w:val="1"/>
        <w:tabs>
          <w:tab w:val="center" w:pos="4156"/>
          <w:tab w:val="right" w:pos="8312"/>
        </w:tabs>
        <w:spacing w:beforeLines="100" w:before="312" w:afterLines="100" w:after="312" w:line="360" w:lineRule="auto"/>
        <w:jc w:val="center"/>
        <w:rPr>
          <w:rFonts w:ascii="方正仿宋简体"/>
          <w:sz w:val="24"/>
          <w:szCs w:val="24"/>
        </w:rPr>
      </w:pPr>
      <w:r w:rsidRPr="001611C5">
        <w:rPr>
          <w:rFonts w:asciiTheme="minorEastAsia" w:eastAsiaTheme="minorEastAsia" w:hAnsiTheme="minorEastAsia" w:hint="eastAsia"/>
          <w:color w:val="000000"/>
          <w:kern w:val="0"/>
          <w:sz w:val="24"/>
          <w:szCs w:val="24"/>
        </w:rPr>
        <w:t/>
      </w:r>
      <w:r w:rsidRPr="001611C5">
        <w:rPr>
          <w:rFonts w:asciiTheme="minorEastAsia" w:eastAsiaTheme="minorEastAsia" w:hAnsiTheme="minorEastAsia" w:cs="Arial" w:hint="eastAsia"/>
          <w:color w:val="000000"/>
          <w:kern w:val="0"/>
          <w:sz w:val="24"/>
          <w:szCs w:val="24"/>
        </w:rPr>
        <w:t xml:space="preserve">§7  </w:t>
      </w:r>
      <w:r w:rsidRPr="001611C5">
        <w:rPr>
          <w:rFonts w:ascii="方正仿宋简体" w:hint="eastAsia"/>
          <w:sz w:val="24"/>
          <w:szCs w:val="24"/>
        </w:rPr>
        <w:t>基金管理人运用固有资金投资本基金情况</w:t>
      </w:r>
    </w:p>
    <w:p w:rsidR="00EB374A" w:rsidRPr="001611C5" w:rsidRDefault="00EB374A" w:rsidP="00EB374A">
      <w:pPr>
        <w:spacing w:line="360" w:lineRule="auto"/>
        <w:jc w:val="left"/>
        <w:rPr>
          <w:sz w:val="24"/>
          <w:szCs w:val="24"/>
        </w:rPr>
      </w:pPr>
      <w:r w:rsidRPr="001611C5">
        <w:rPr>
          <w:b/>
          <w:sz w:val="24"/>
          <w:szCs w:val="24"/>
        </w:rPr>
        <w:t xml:space="preserve">7.1 </w:t>
      </w:r>
      <w:r w:rsidRPr="001611C5">
        <w:rPr>
          <w:rFonts w:hint="eastAsia"/>
          <w:b/>
          <w:sz w:val="24"/>
          <w:szCs w:val="24"/>
        </w:rPr>
        <w:t>基金管理人持有本基金份额变动情况</w:t>
      </w:r>
    </w:p>
    <w:p w:rsidR="00EB374A" w:rsidRPr="001611C5" w:rsidRDefault="00EB374A" w:rsidP="00EB374A">
      <w:pPr>
        <w:autoSpaceDE w:val="0"/>
        <w:autoSpaceDN w:val="0"/>
        <w:adjustRightInd w:val="0"/>
        <w:spacing w:before="29" w:line="360" w:lineRule="auto"/>
        <w:ind w:left="15"/>
        <w:jc w:val="right"/>
        <w:rPr>
          <w:rFonts w:asciiTheme="minorEastAsia" w:eastAsiaTheme="minorEastAsia" w:hAnsiTheme="minorEastAsia" w:cs="Arial"/>
          <w:color w:val="000000"/>
          <w:kern w:val="0"/>
          <w:sz w:val="24"/>
          <w:szCs w:val="24"/>
        </w:rPr>
      </w:pPr>
      <w:r w:rsidRPr="001611C5">
        <w:rPr>
          <w:rFonts w:asciiTheme="minorEastAsia" w:eastAsiaTheme="minorEastAsia" w:hAnsiTheme="minorEastAsia" w:hint="eastAsia"/>
          <w:sz w:val="24"/>
          <w:szCs w:val="24"/>
        </w:rPr>
        <w:t/>
      </w:r>
      <w:r w:rsidRPr="001611C5">
        <w:rPr>
          <w:rFonts w:asciiTheme="minorEastAsia" w:eastAsiaTheme="minorEastAsia" w:hAnsiTheme="minorEastAsia" w:cs="Arial" w:hint="eastAsia"/>
          <w:color w:val="000000"/>
          <w:kern w:val="0"/>
          <w:sz w:val="24"/>
          <w:szCs w:val="24"/>
        </w:rPr>
        <w:t>单位：份</w:t>
      </w:r>
    </w:p>
    <w:tbl>
      <w:tblPr>
        <w:tblW w:w="8415" w:type="dxa"/>
        <w:tblInd w:w="108" w:type="dxa"/>
        <w:tblLayout w:type="fixed"/>
        <w:tblLook w:val="04A0" w:firstRow="1" w:lastRow="0" w:firstColumn="1" w:lastColumn="0" w:noHBand="0" w:noVBand="1"/>
      </w:tblPr>
      <w:tblGrid>
        <w:gridCol w:w="5037"/>
        <w:gridCol w:w="3378"/>
      </w:tblGrid>
      <w:tr w:rsidR="00EB374A" w:rsidRPr="001611C5" w:rsidTr="00EB374A">
        <w:tc>
          <w:tcPr>
            <w:tcW w:w="5040" w:type="dxa"/>
            <w:tcBorders>
              <w:top w:val="single" w:sz="8" w:space="0" w:color="000000"/>
              <w:left w:val="single" w:sz="8" w:space="0" w:color="000000"/>
              <w:bottom w:val="single" w:sz="8" w:space="0" w:color="000000"/>
              <w:right w:val="single" w:sz="8" w:space="0" w:color="000000"/>
            </w:tcBorders>
            <w:vAlign w:val="center"/>
            <w:hideMark/>
          </w:tcPr>
          <w:p w:rsidR="00EB374A" w:rsidRPr="006B72F7" w:rsidRDefault="00EB374A">
            <w:pPr>
              <w:pStyle w:val="ad"/>
              <w:adjustRightInd w:val="0"/>
              <w:snapToGrid w:val="0"/>
              <w:spacing w:line="360" w:lineRule="exact"/>
              <w:rPr>
                <w:rFonts w:eastAsia="方正仿宋简体"/>
                <w:color w:val="000000"/>
              </w:rPr>
            </w:pPr>
            <w:r w:rsidRPr="006B72F7">
              <w:rPr>
                <w:color w:val="000000"/>
              </w:rPr>
              <w:t>报告期期初管理人持有的本基金份额</w:t>
            </w:r>
            <w:r w:rsidRPr="006B72F7">
              <w:rPr>
                <w:rFonts w:eastAsiaTheme="minorEastAsia"/>
              </w:rPr>
              <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EB374A" w:rsidRPr="006B72F7" w:rsidRDefault="00EB374A">
            <w:pPr>
              <w:jc w:val="right"/>
              <w:rPr>
                <w:rFonts w:eastAsiaTheme="minorEastAsia"/>
                <w:sz w:val="24"/>
                <w:szCs w:val="24"/>
              </w:rPr>
            </w:pPr>
            <w:r w:rsidRPr="006B72F7">
              <w:rPr>
                <w:rFonts w:eastAsiaTheme="minorEastAsia"/>
                <w:color w:val="000000"/>
                <w:sz w:val="24"/>
                <w:szCs w:val="24"/>
              </w:rPr>
              <w:t>22,522,522.52</w:t>
            </w:r>
          </w:p>
        </w:tc>
      </w:tr>
      <w:tr w:rsidR="00EB374A" w:rsidRPr="001611C5" w:rsidTr="00EB374A">
        <w:tc>
          <w:tcPr>
            <w:tcW w:w="5040" w:type="dxa"/>
            <w:tcBorders>
              <w:top w:val="single" w:sz="8" w:space="0" w:color="000000"/>
              <w:left w:val="single" w:sz="8" w:space="0" w:color="000000"/>
              <w:bottom w:val="single" w:sz="8" w:space="0" w:color="000000"/>
              <w:right w:val="single" w:sz="8" w:space="0" w:color="000000"/>
            </w:tcBorders>
            <w:vAlign w:val="center"/>
            <w:hideMark/>
          </w:tcPr>
          <w:p w:rsidR="00EB374A" w:rsidRPr="006B72F7" w:rsidRDefault="00EB374A">
            <w:pPr>
              <w:adjustRightInd w:val="0"/>
              <w:snapToGrid w:val="0"/>
              <w:spacing w:line="360" w:lineRule="exact"/>
              <w:rPr>
                <w:color w:val="000000"/>
                <w:sz w:val="24"/>
                <w:szCs w:val="24"/>
              </w:rPr>
            </w:pPr>
            <w:r w:rsidRPr="006B72F7">
              <w:rPr>
                <w:rFonts w:eastAsiaTheme="minorEastAsia"/>
                <w:color w:val="000000"/>
                <w:kern w:val="0"/>
                <w:sz w:val="24"/>
                <w:szCs w:val="24"/>
              </w:rPr>
              <w:t>本报告期</w:t>
            </w:r>
            <w:r w:rsidRPr="006B72F7">
              <w:rPr>
                <w:color w:val="000000"/>
                <w:sz w:val="24"/>
                <w:szCs w:val="24"/>
              </w:rPr>
              <w:t>买入</w:t>
            </w:r>
            <w:r w:rsidRPr="006B72F7">
              <w:rPr>
                <w:color w:val="000000"/>
                <w:sz w:val="24"/>
                <w:szCs w:val="24"/>
              </w:rPr>
              <w:t>/</w:t>
            </w:r>
            <w:r w:rsidRPr="006B72F7">
              <w:rPr>
                <w:color w:val="000000"/>
                <w:sz w:val="24"/>
                <w:szCs w:val="24"/>
              </w:rPr>
              <w:t>申购总份额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EB374A" w:rsidRPr="006B72F7" w:rsidRDefault="00EB374A">
            <w:pPr>
              <w:jc w:val="right"/>
              <w:rPr>
                <w:rFonts w:eastAsiaTheme="minorEastAsia"/>
                <w:color w:val="000000"/>
                <w:kern w:val="0"/>
                <w:sz w:val="24"/>
                <w:szCs w:val="24"/>
              </w:rPr>
            </w:pPr>
            <w:r w:rsidRPr="006B72F7">
              <w:rPr>
                <w:rFonts w:eastAsiaTheme="minorEastAsia"/>
                <w:color w:val="000000"/>
                <w:sz w:val="24"/>
                <w:szCs w:val="24"/>
              </w:rPr>
              <w:t>-</w:t>
            </w:r>
          </w:p>
        </w:tc>
      </w:tr>
      <w:tr w:rsidR="00EB374A" w:rsidRPr="001611C5" w:rsidTr="00EB374A">
        <w:tc>
          <w:tcPr>
            <w:tcW w:w="5040" w:type="dxa"/>
            <w:tcBorders>
              <w:top w:val="single" w:sz="8" w:space="0" w:color="000000"/>
              <w:left w:val="single" w:sz="8" w:space="0" w:color="000000"/>
              <w:bottom w:val="single" w:sz="8" w:space="0" w:color="000000"/>
              <w:right w:val="single" w:sz="8" w:space="0" w:color="000000"/>
            </w:tcBorders>
            <w:vAlign w:val="center"/>
            <w:hideMark/>
          </w:tcPr>
          <w:p w:rsidR="00EB374A" w:rsidRPr="006B72F7" w:rsidRDefault="00EB374A">
            <w:pPr>
              <w:adjustRightInd w:val="0"/>
              <w:snapToGrid w:val="0"/>
              <w:spacing w:line="360" w:lineRule="exact"/>
              <w:rPr>
                <w:color w:val="000000"/>
                <w:sz w:val="24"/>
                <w:szCs w:val="24"/>
              </w:rPr>
            </w:pPr>
            <w:r w:rsidRPr="006B72F7">
              <w:rPr>
                <w:rFonts w:eastAsiaTheme="minorEastAsia"/>
                <w:color w:val="000000"/>
                <w:kern w:val="0"/>
                <w:sz w:val="24"/>
                <w:szCs w:val="24"/>
              </w:rPr>
              <w:t>本报告期</w:t>
            </w:r>
            <w:r w:rsidRPr="006B72F7">
              <w:rPr>
                <w:color w:val="000000"/>
                <w:sz w:val="24"/>
                <w:szCs w:val="24"/>
              </w:rPr>
              <w:t>卖出</w:t>
            </w:r>
            <w:r w:rsidRPr="006B72F7">
              <w:rPr>
                <w:color w:val="000000"/>
                <w:sz w:val="24"/>
                <w:szCs w:val="24"/>
              </w:rPr>
              <w:t>/</w:t>
            </w:r>
            <w:r w:rsidRPr="006B72F7">
              <w:rPr>
                <w:color w:val="000000"/>
                <w:sz w:val="24"/>
                <w:szCs w:val="24"/>
              </w:rPr>
              <w:t>赎回总份额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EB374A" w:rsidRPr="006B72F7" w:rsidRDefault="00EB374A">
            <w:pPr>
              <w:jc w:val="right"/>
              <w:rPr>
                <w:rFonts w:eastAsiaTheme="minorEastAsia"/>
                <w:color w:val="000000"/>
                <w:kern w:val="0"/>
                <w:sz w:val="24"/>
                <w:szCs w:val="24"/>
              </w:rPr>
            </w:pPr>
            <w:r w:rsidRPr="006B72F7">
              <w:rPr>
                <w:rFonts w:eastAsiaTheme="minorEastAsia"/>
                <w:color w:val="000000"/>
                <w:sz w:val="24"/>
                <w:szCs w:val="24"/>
              </w:rPr>
              <w:t>-</w:t>
            </w:r>
          </w:p>
        </w:tc>
      </w:tr>
      <w:tr w:rsidR="00EB374A" w:rsidRPr="001611C5" w:rsidTr="00EB374A">
        <w:tc>
          <w:tcPr>
            <w:tcW w:w="5040" w:type="dxa"/>
            <w:tcBorders>
              <w:top w:val="single" w:sz="8" w:space="0" w:color="000000"/>
              <w:left w:val="single" w:sz="8" w:space="0" w:color="000000"/>
              <w:bottom w:val="single" w:sz="8" w:space="0" w:color="000000"/>
              <w:right w:val="single" w:sz="8" w:space="0" w:color="000000"/>
            </w:tcBorders>
            <w:vAlign w:val="center"/>
            <w:hideMark/>
          </w:tcPr>
          <w:p w:rsidR="00EB374A" w:rsidRPr="006B72F7" w:rsidRDefault="00EB374A">
            <w:pPr>
              <w:adjustRightInd w:val="0"/>
              <w:snapToGrid w:val="0"/>
              <w:spacing w:line="360" w:lineRule="exact"/>
              <w:rPr>
                <w:color w:val="000000"/>
                <w:sz w:val="24"/>
                <w:szCs w:val="24"/>
              </w:rPr>
            </w:pPr>
            <w:r w:rsidRPr="006B72F7">
              <w:rPr>
                <w:color w:val="000000"/>
                <w:sz w:val="24"/>
                <w:szCs w:val="24"/>
              </w:rPr>
              <w:t>报告期期末管理人持有的本基金份额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EB374A" w:rsidRPr="006B72F7" w:rsidRDefault="00EB374A">
            <w:pPr>
              <w:jc w:val="right"/>
              <w:rPr>
                <w:rFonts w:eastAsiaTheme="minorEastAsia"/>
                <w:sz w:val="24"/>
                <w:szCs w:val="24"/>
              </w:rPr>
            </w:pPr>
            <w:r w:rsidRPr="006B72F7">
              <w:rPr>
                <w:rFonts w:eastAsiaTheme="minorEastAsia"/>
                <w:color w:val="000000"/>
                <w:sz w:val="24"/>
                <w:szCs w:val="24"/>
              </w:rPr>
              <w:t>22,522,522.52</w:t>
            </w:r>
          </w:p>
        </w:tc>
      </w:tr>
      <w:tr w:rsidR="00EB374A" w:rsidRPr="001611C5" w:rsidTr="00EB374A">
        <w:tc>
          <w:tcPr>
            <w:tcW w:w="5040" w:type="dxa"/>
            <w:tcBorders>
              <w:top w:val="single" w:sz="8" w:space="0" w:color="000000"/>
              <w:left w:val="single" w:sz="8" w:space="0" w:color="000000"/>
              <w:bottom w:val="single" w:sz="8" w:space="0" w:color="000000"/>
              <w:right w:val="single" w:sz="8" w:space="0" w:color="000000"/>
            </w:tcBorders>
            <w:vAlign w:val="center"/>
            <w:hideMark/>
          </w:tcPr>
          <w:p w:rsidR="00EB374A" w:rsidRPr="006B72F7" w:rsidRDefault="00EB374A">
            <w:pPr>
              <w:adjustRightInd w:val="0"/>
              <w:snapToGrid w:val="0"/>
              <w:spacing w:line="360" w:lineRule="exact"/>
              <w:rPr>
                <w:color w:val="000000"/>
                <w:sz w:val="24"/>
                <w:szCs w:val="24"/>
              </w:rPr>
            </w:pPr>
            <w:r w:rsidRPr="006B72F7">
              <w:rPr>
                <w:color w:val="000000"/>
                <w:sz w:val="24"/>
                <w:szCs w:val="24"/>
              </w:rPr>
              <w:t>报告期期末持有的本基金份额占基金总份额比例（</w:t>
            </w:r>
            <w:r w:rsidRPr="006B72F7">
              <w:rPr>
                <w:color w:val="000000"/>
                <w:sz w:val="24"/>
                <w:szCs w:val="24"/>
              </w:rPr>
              <w:t>%</w:t>
            </w:r>
            <w:r w:rsidRPr="006B72F7">
              <w:rPr>
                <w:color w:val="000000"/>
                <w:sz w:val="24"/>
                <w:szCs w:val="24"/>
              </w:rPr>
              <w:t>）</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EB374A" w:rsidRPr="006B72F7" w:rsidRDefault="00EB374A">
            <w:pPr>
              <w:jc w:val="right"/>
              <w:rPr>
                <w:rFonts w:eastAsiaTheme="minorEastAsia"/>
                <w:color w:val="000000"/>
                <w:kern w:val="0"/>
                <w:sz w:val="24"/>
                <w:szCs w:val="24"/>
              </w:rPr>
            </w:pPr>
            <w:r w:rsidRPr="006B72F7">
              <w:rPr>
                <w:rFonts w:eastAsiaTheme="minorEastAsia"/>
                <w:color w:val="000000"/>
                <w:sz w:val="24"/>
                <w:szCs w:val="24"/>
              </w:rPr>
              <w:t>99.71</w:t>
            </w:r>
          </w:p>
        </w:tc>
      </w:tr>
    </w:tbl>
    <w:p w:rsidR="00EB374A" w:rsidRPr="001611C5" w:rsidRDefault="00EB374A" w:rsidP="00EB374A">
      <w:pPr>
        <w:spacing w:line="360" w:lineRule="auto"/>
        <w:jc w:val="left"/>
        <w:rPr>
          <w:sz w:val="24"/>
          <w:szCs w:val="24"/>
        </w:rPr>
      </w:pPr>
      <w:r w:rsidRPr="001611C5">
        <w:rPr>
          <w:b/>
          <w:sz w:val="24"/>
          <w:szCs w:val="24"/>
        </w:rPr>
        <w:t xml:space="preserve">7.2 </w:t>
      </w:r>
      <w:r w:rsidRPr="001611C5">
        <w:rPr>
          <w:rFonts w:hint="eastAsia"/>
          <w:b/>
          <w:sz w:val="24"/>
          <w:szCs w:val="24"/>
        </w:rPr>
        <w:t>基金管理人运用固有资金投资本基金交易明细</w:t>
      </w:r>
    </w:p>
    <w:p w:rsidR="00EB374A" w:rsidRPr="00CD2DB1" w:rsidRDefault="00EB374A" w:rsidP="00CD2DB1">
      <w:pPr>
        <w:spacing w:line="360" w:lineRule="auto"/>
        <w:ind w:firstLineChars="200" w:firstLine="480"/>
        <w:rPr>
          <w:rFonts w:eastAsiaTheme="minorEastAsia"/>
          <w:color w:val="000000"/>
          <w:sz w:val="24"/>
          <w:szCs w:val="24"/>
        </w:rPr>
      </w:pPr>
      <w:r w:rsidRPr="00CD2DB1">
        <w:rPr>
          <w:rFonts w:eastAsiaTheme="minorEastAsia" w:hint="eastAsia"/>
          <w:color w:val="000000"/>
          <w:sz w:val="24"/>
          <w:szCs w:val="24"/>
        </w:rPr>
        <w:t>本报告期内，基金管理人不存在运用固有资金（认）申购、赎回或买卖本基金的情况。</w:t>
      </w:r>
    </w:p>
    <w:p w:rsidR="0079131B" w:rsidRPr="0079131B" w:rsidRDefault="0079131B" w:rsidP="0079131B">
      <w:pPr>
        <w:pStyle w:val="1"/>
        <w:spacing w:beforeLines="100" w:before="312" w:afterLines="100" w:after="312" w:line="360" w:lineRule="auto"/>
        <w:jc w:val="center"/>
        <w:rPr>
          <w:rFonts w:eastAsiaTheme="minorEastAsia"/>
          <w:color w:val="000000" w:themeColor="text1"/>
          <w:kern w:val="0"/>
          <w:sz w:val="24"/>
          <w:szCs w:val="24"/>
        </w:rPr>
      </w:pPr>
      <w:r w:rsidRPr="0079131B">
        <w:rPr>
          <w:rFonts w:eastAsiaTheme="minorEastAsia"/>
          <w:color w:val="000000" w:themeColor="text1"/>
          <w:kern w:val="0"/>
          <w:sz w:val="24"/>
          <w:szCs w:val="24"/>
        </w:rPr>
        <w:t>§8</w:t>
      </w:r>
      <w:r w:rsidRPr="0079131B">
        <w:rPr>
          <w:rFonts w:eastAsiaTheme="minorEastAsia"/>
          <w:color w:val="000000" w:themeColor="text1"/>
          <w:kern w:val="0"/>
          <w:sz w:val="24"/>
          <w:szCs w:val="24"/>
        </w:rPr>
        <w:t>影响投资者决策的其他重要信息</w:t>
      </w:r>
    </w:p>
    <w:p w:rsidR="00200C59" w:rsidRPr="00636531" w:rsidRDefault="00200C59" w:rsidP="00200C59">
      <w:pPr>
        <w:autoSpaceDE w:val="0"/>
        <w:autoSpaceDN w:val="0"/>
        <w:adjustRightInd w:val="0"/>
        <w:spacing w:line="360" w:lineRule="auto"/>
        <w:jc w:val="left"/>
        <w:rPr>
          <w:rFonts w:eastAsiaTheme="minorEastAsia"/>
          <w:b/>
          <w:bCs/>
          <w:color w:val="000000" w:themeColor="text1"/>
          <w:kern w:val="0"/>
          <w:sz w:val="24"/>
          <w:szCs w:val="24"/>
        </w:rPr>
      </w:pPr>
      <w:r w:rsidRPr="00636531">
        <w:rPr>
          <w:rFonts w:eastAsiaTheme="minorEastAsia"/>
          <w:b/>
          <w:color w:val="000000" w:themeColor="text1"/>
          <w:kern w:val="0"/>
          <w:sz w:val="24"/>
          <w:szCs w:val="24"/>
        </w:rPr>
        <w:t/>
      </w:r>
      <w:r w:rsidRPr="00636531">
        <w:rPr>
          <w:rFonts w:eastAsiaTheme="minorEastAsia"/>
          <w:b/>
          <w:bCs/>
          <w:color w:val="000000" w:themeColor="text1"/>
          <w:kern w:val="0"/>
          <w:sz w:val="24"/>
          <w:szCs w:val="24"/>
        </w:rPr>
        <w:t>8.</w:t>
      </w:r>
      <w:r w:rsidRPr="00636531">
        <w:rPr>
          <w:rFonts w:eastAsiaTheme="minorEastAsia" w:hint="eastAsia"/>
          <w:b/>
          <w:bCs/>
          <w:color w:val="000000" w:themeColor="text1"/>
          <w:kern w:val="0"/>
          <w:sz w:val="24"/>
          <w:szCs w:val="24"/>
        </w:rPr>
        <w:t xml:space="preserve">1 </w:t>
      </w:r>
      <w:r w:rsidRPr="00636531">
        <w:rPr>
          <w:rFonts w:eastAsiaTheme="minorEastAsia" w:hint="eastAsia"/>
          <w:b/>
          <w:bCs/>
          <w:color w:val="000000" w:themeColor="text1"/>
          <w:kern w:val="0"/>
          <w:sz w:val="24"/>
          <w:szCs w:val="24"/>
        </w:rPr>
        <w:t>报告期内单一投资者持有基金份额比例达到或超过</w:t>
      </w:r>
      <w:r w:rsidRPr="00636531">
        <w:rPr>
          <w:rFonts w:eastAsiaTheme="minorEastAsia" w:hint="eastAsia"/>
          <w:b/>
          <w:bCs/>
          <w:color w:val="000000" w:themeColor="text1"/>
          <w:kern w:val="0"/>
          <w:sz w:val="24"/>
          <w:szCs w:val="24"/>
        </w:rPr>
        <w:t>20%</w:t>
      </w:r>
      <w:r w:rsidRPr="00636531">
        <w:rPr>
          <w:rFonts w:eastAsiaTheme="minorEastAsia" w:hint="eastAsia"/>
          <w:b/>
          <w:bCs/>
          <w:color w:val="000000" w:themeColor="text1"/>
          <w:kern w:val="0"/>
          <w:sz w:val="24"/>
          <w:szCs w:val="24"/>
        </w:rPr>
        <w:t>的情况</w:t>
      </w:r>
    </w:p>
    <w:tbl>
      <w:tblPr>
        <w:tblStyle w:val="af7"/>
        <w:tblW w:w="9212" w:type="dxa"/>
        <w:tblInd w:w="-176" w:type="dxa"/>
        <w:tblLayout w:type="fixed"/>
        <w:tblLook w:val="04A0" w:firstRow="1" w:lastRow="0" w:firstColumn="1" w:lastColumn="0" w:noHBand="0" w:noVBand="1"/>
      </w:tblPr>
      <w:tblGrid>
        <w:gridCol w:w="993"/>
        <w:gridCol w:w="992"/>
        <w:gridCol w:w="1843"/>
        <w:gridCol w:w="851"/>
        <w:gridCol w:w="992"/>
        <w:gridCol w:w="850"/>
        <w:gridCol w:w="1418"/>
        <w:gridCol w:w="1273"/>
      </w:tblGrid>
      <w:tr w:rsidR="00F21783" w:rsidRPr="003131FD" w:rsidTr="00C10F10">
        <w:tc>
          <w:tcPr>
            <w:tcW w:w="993" w:type="dxa"/>
            <w:vMerge w:val="restart"/>
            <w:vAlign w:val="center"/>
          </w:tcPr>
          <w:p w:rsidR="00F21783" w:rsidRPr="003131FD" w:rsidRDefault="00F21783" w:rsidP="00C10F10">
            <w:pPr>
              <w:jc w:val="center"/>
              <w:rPr>
                <w:sz w:val="24"/>
                <w:szCs w:val="24"/>
              </w:rPr>
            </w:pPr>
            <w:r w:rsidRPr="003131FD">
              <w:rPr>
                <w:sz w:val="24"/>
                <w:szCs w:val="24"/>
              </w:rPr>
              <w:t>投资者类别</w:t>
            </w:r>
            <w:r w:rsidRPr="003131FD">
              <w:rPr>
                <w:sz w:val="24"/>
                <w:szCs w:val="24"/>
              </w:rPr>
              <w:t/>
            </w:r>
          </w:p>
        </w:tc>
        <w:tc>
          <w:tcPr>
            <w:tcW w:w="5528" w:type="dxa"/>
            <w:gridSpan w:val="5"/>
            <w:vAlign w:val="center"/>
          </w:tcPr>
          <w:p w:rsidR="00F21783" w:rsidRPr="003131FD" w:rsidRDefault="00F21783" w:rsidP="00C10F10">
            <w:pPr>
              <w:jc w:val="center"/>
              <w:rPr>
                <w:sz w:val="24"/>
                <w:szCs w:val="24"/>
              </w:rPr>
            </w:pPr>
            <w:r w:rsidRPr="003131FD">
              <w:rPr>
                <w:sz w:val="24"/>
                <w:szCs w:val="24"/>
              </w:rPr>
              <w:t>报告期内持有基金份额变化情况</w:t>
            </w:r>
          </w:p>
        </w:tc>
        <w:tc>
          <w:tcPr>
            <w:tcW w:w="2691" w:type="dxa"/>
            <w:gridSpan w:val="2"/>
            <w:vAlign w:val="center"/>
          </w:tcPr>
          <w:p w:rsidR="00F21783" w:rsidRPr="003131FD" w:rsidRDefault="00F21783" w:rsidP="00C10F10">
            <w:pPr>
              <w:jc w:val="center"/>
              <w:rPr>
                <w:sz w:val="24"/>
                <w:szCs w:val="24"/>
              </w:rPr>
            </w:pPr>
            <w:r w:rsidRPr="003131FD">
              <w:rPr>
                <w:sz w:val="24"/>
                <w:szCs w:val="24"/>
              </w:rPr>
              <w:t>报告期末持有基金情况</w:t>
            </w:r>
          </w:p>
        </w:tc>
      </w:tr>
      <w:tr w:rsidR="00F21783" w:rsidRPr="003131FD" w:rsidTr="00C10F10">
        <w:tc>
          <w:tcPr>
            <w:tcW w:w="993" w:type="dxa"/>
            <w:vMerge/>
            <w:vAlign w:val="center"/>
          </w:tcPr>
          <w:p w:rsidR="00F21783" w:rsidRPr="003131FD" w:rsidRDefault="00F21783" w:rsidP="00C10F10">
            <w:pPr>
              <w:jc w:val="center"/>
              <w:rPr>
                <w:sz w:val="24"/>
                <w:szCs w:val="24"/>
              </w:rPr>
            </w:pPr>
          </w:p>
        </w:tc>
        <w:tc>
          <w:tcPr>
            <w:tcW w:w="992" w:type="dxa"/>
            <w:vAlign w:val="center"/>
          </w:tcPr>
          <w:p w:rsidR="00F21783" w:rsidRPr="003131FD" w:rsidRDefault="00F21783" w:rsidP="00C10F10">
            <w:pPr>
              <w:jc w:val="center"/>
              <w:rPr>
                <w:sz w:val="24"/>
                <w:szCs w:val="24"/>
              </w:rPr>
            </w:pPr>
            <w:r w:rsidRPr="003131FD">
              <w:rPr>
                <w:sz w:val="24"/>
                <w:szCs w:val="24"/>
              </w:rPr>
              <w:t>序号</w:t>
            </w:r>
          </w:p>
        </w:tc>
        <w:tc>
          <w:tcPr>
            <w:tcW w:w="1843" w:type="dxa"/>
            <w:vAlign w:val="center"/>
          </w:tcPr>
          <w:p w:rsidR="00F21783" w:rsidRPr="003131FD" w:rsidRDefault="00F21783" w:rsidP="00C10F10">
            <w:pPr>
              <w:jc w:val="center"/>
              <w:rPr>
                <w:sz w:val="24"/>
                <w:szCs w:val="24"/>
              </w:rPr>
            </w:pPr>
            <w:r w:rsidRPr="003131FD">
              <w:rPr>
                <w:sz w:val="24"/>
                <w:szCs w:val="24"/>
              </w:rPr>
              <w:t>持有基金份额比例达到或者超过</w:t>
            </w:r>
            <w:r w:rsidRPr="003131FD">
              <w:rPr>
                <w:sz w:val="24"/>
                <w:szCs w:val="24"/>
              </w:rPr>
              <w:t>20%</w:t>
            </w:r>
            <w:r w:rsidRPr="003131FD">
              <w:rPr>
                <w:sz w:val="24"/>
                <w:szCs w:val="24"/>
              </w:rPr>
              <w:t>的时间区间</w:t>
            </w:r>
          </w:p>
        </w:tc>
        <w:tc>
          <w:tcPr>
            <w:tcW w:w="851" w:type="dxa"/>
            <w:vAlign w:val="center"/>
          </w:tcPr>
          <w:p w:rsidR="00F21783" w:rsidRPr="003131FD" w:rsidRDefault="00F21783" w:rsidP="00C10F10">
            <w:pPr>
              <w:jc w:val="center"/>
              <w:rPr>
                <w:sz w:val="24"/>
                <w:szCs w:val="24"/>
              </w:rPr>
            </w:pPr>
            <w:r w:rsidRPr="003131FD">
              <w:rPr>
                <w:sz w:val="24"/>
                <w:szCs w:val="24"/>
              </w:rPr>
              <w:t>期初份额</w:t>
            </w:r>
          </w:p>
        </w:tc>
        <w:tc>
          <w:tcPr>
            <w:tcW w:w="992" w:type="dxa"/>
            <w:vAlign w:val="center"/>
          </w:tcPr>
          <w:p w:rsidR="00F21783" w:rsidRPr="003131FD" w:rsidRDefault="00F21783" w:rsidP="00C10F10">
            <w:pPr>
              <w:jc w:val="center"/>
              <w:rPr>
                <w:sz w:val="24"/>
                <w:szCs w:val="24"/>
              </w:rPr>
            </w:pPr>
            <w:r w:rsidRPr="003131FD">
              <w:rPr>
                <w:sz w:val="24"/>
                <w:szCs w:val="24"/>
              </w:rPr>
              <w:t>申购份额</w:t>
            </w:r>
          </w:p>
        </w:tc>
        <w:tc>
          <w:tcPr>
            <w:tcW w:w="850" w:type="dxa"/>
            <w:vAlign w:val="center"/>
          </w:tcPr>
          <w:p w:rsidR="00F21783" w:rsidRPr="003131FD" w:rsidRDefault="00F21783" w:rsidP="00C10F10">
            <w:pPr>
              <w:jc w:val="center"/>
              <w:rPr>
                <w:sz w:val="24"/>
                <w:szCs w:val="24"/>
              </w:rPr>
            </w:pPr>
            <w:r w:rsidRPr="003131FD">
              <w:rPr>
                <w:sz w:val="24"/>
                <w:szCs w:val="24"/>
              </w:rPr>
              <w:t>赎回份额</w:t>
            </w:r>
          </w:p>
        </w:tc>
        <w:tc>
          <w:tcPr>
            <w:tcW w:w="1418" w:type="dxa"/>
            <w:vAlign w:val="center"/>
          </w:tcPr>
          <w:p w:rsidR="00F21783" w:rsidRPr="003131FD" w:rsidRDefault="00F21783" w:rsidP="00C10F10">
            <w:pPr>
              <w:jc w:val="center"/>
              <w:rPr>
                <w:sz w:val="24"/>
                <w:szCs w:val="24"/>
              </w:rPr>
            </w:pPr>
            <w:r w:rsidRPr="003131FD">
              <w:rPr>
                <w:sz w:val="24"/>
                <w:szCs w:val="24"/>
              </w:rPr>
              <w:t>持有份额</w:t>
            </w:r>
          </w:p>
        </w:tc>
        <w:tc>
          <w:tcPr>
            <w:tcW w:w="1273" w:type="dxa"/>
            <w:vAlign w:val="center"/>
          </w:tcPr>
          <w:p w:rsidR="00F21783" w:rsidRPr="003131FD" w:rsidRDefault="00F21783" w:rsidP="00C10F10">
            <w:pPr>
              <w:jc w:val="center"/>
              <w:rPr>
                <w:sz w:val="24"/>
                <w:szCs w:val="24"/>
              </w:rPr>
            </w:pPr>
            <w:r w:rsidRPr="003131FD">
              <w:rPr>
                <w:sz w:val="24"/>
                <w:szCs w:val="24"/>
              </w:rPr>
              <w:t>份额占比</w:t>
            </w:r>
          </w:p>
        </w:tc>
      </w:tr>
      <w:tr>
        <w:tc>
          <w:tcPr>
            <w:vMerge w:val="restart"/>
          </w:tcPr>
          <w:p/>
          <w:p>
            <w:r>
              <w:rPr>
                <w:sz w:val="24"/>
                <w:szCs w:val="24"/>
              </w:rPr>
              <w:t>机构</w:t>
            </w:r>
          </w:p>
        </w:tc>
        <w:tc>
          <w:tcPr>
            <w:vAlign w:val="center"/>
          </w:tcPr>
          <w:p>
            <w:pPr>
              <w:jc w:val="center"/>
            </w:pPr>
            <w:r>
              <w:rPr>
                <w:sz w:val="24"/>
                <w:szCs w:val="24"/>
              </w:rPr>
              <w:t>1</w:t>
            </w:r>
          </w:p>
        </w:tc>
        <w:tc>
          <w:tcPr>
            <w:vAlign w:val="center"/>
          </w:tcPr>
          <w:p>
            <w:pPr>
              <w:jc w:val="center"/>
            </w:pPr>
            <w:r>
              <w:rPr>
                <w:sz w:val="24"/>
                <w:szCs w:val="24"/>
              </w:rPr>
              <w:t>20170701-20170831</w:t>
            </w:r>
          </w:p>
        </w:tc>
        <w:tc>
          <w:tcPr>
            <w:vAlign w:val="center"/>
          </w:tcPr>
          <w:p>
            <w:pPr>
              <w:jc w:val="center"/>
            </w:pPr>
            <w:r>
              <w:rPr>
                <w:sz w:val="24"/>
                <w:szCs w:val="24"/>
              </w:rPr>
              <w:t>22,522,522.52</w:t>
            </w:r>
          </w:p>
        </w:tc>
        <w:tc>
          <w:tcPr>
            <w:vAlign w:val="center"/>
          </w:tcPr>
          <w:p>
            <w:pPr>
              <w:jc w:val="center"/>
            </w:pPr>
            <w:r>
              <w:rPr>
                <w:sz w:val="24"/>
                <w:szCs w:val="24"/>
              </w:rPr>
              <w:t>0.00</w:t>
            </w:r>
          </w:p>
        </w:tc>
        <w:tc>
          <w:tcPr>
            <w:vAlign w:val="center"/>
          </w:tcPr>
          <w:p>
            <w:pPr>
              <w:jc w:val="center"/>
            </w:pPr>
            <w:r>
              <w:rPr>
                <w:sz w:val="24"/>
                <w:szCs w:val="24"/>
              </w:rPr>
              <w:t>0.00</w:t>
            </w:r>
          </w:p>
        </w:tc>
        <w:tc>
          <w:tcPr>
            <w:vAlign w:val="center"/>
          </w:tcPr>
          <w:p>
            <w:pPr>
              <w:jc w:val="center"/>
            </w:pPr>
            <w:r>
              <w:rPr>
                <w:sz w:val="24"/>
                <w:szCs w:val="24"/>
              </w:rPr>
              <w:t>22,522,522.52</w:t>
            </w:r>
          </w:p>
        </w:tc>
        <w:tc>
          <w:tcPr>
            <w:vAlign w:val="center"/>
          </w:tcPr>
          <w:p>
            <w:pPr>
              <w:jc w:val="center"/>
            </w:pPr>
            <w:r>
              <w:rPr>
                <w:sz w:val="24"/>
                <w:szCs w:val="24"/>
              </w:rPr>
              <w:t>99.71%</w:t>
            </w:r>
          </w:p>
        </w:tc>
      </w:tr>
      <w:tr>
        <w:tc>
          <w:tcPr>
            <w:vMerge/>
          </w:tcPr>
          <w:p/>
        </w:tc>
        <w:tc>
          <w:tcPr>
            <w:vAlign w:val="center"/>
          </w:tcPr>
          <w:p>
            <w:pPr>
              <w:jc w:val="center"/>
            </w:pPr>
            <w:r>
              <w:rPr>
                <w:sz w:val="24"/>
                <w:szCs w:val="24"/>
              </w:rPr>
              <w:t>2</w:t>
            </w:r>
          </w:p>
        </w:tc>
        <w:tc>
          <w:tcPr>
            <w:vAlign w:val="center"/>
          </w:tcPr>
          <w:p>
            <w:pPr>
              <w:jc w:val="center"/>
            </w:pPr>
            <w:r>
              <w:rPr>
                <w:sz w:val="24"/>
                <w:szCs w:val="24"/>
              </w:rPr>
              <w:t>20170701-20170824</w:t>
            </w:r>
          </w:p>
        </w:tc>
        <w:tc>
          <w:tcPr>
            <w:vAlign w:val="center"/>
          </w:tcPr>
          <w:p>
            <w:pPr>
              <w:jc w:val="center"/>
            </w:pPr>
            <w:r>
              <w:rPr>
                <w:sz w:val="24"/>
                <w:szCs w:val="24"/>
              </w:rPr>
              <w:t>21,595,612.61</w:t>
            </w:r>
          </w:p>
        </w:tc>
        <w:tc>
          <w:tcPr>
            <w:vAlign w:val="center"/>
          </w:tcPr>
          <w:p>
            <w:pPr>
              <w:jc w:val="center"/>
            </w:pPr>
            <w:r>
              <w:rPr>
                <w:sz w:val="24"/>
                <w:szCs w:val="24"/>
              </w:rPr>
              <w:t>0.00</w:t>
            </w:r>
          </w:p>
        </w:tc>
        <w:tc>
          <w:tcPr>
            <w:vAlign w:val="center"/>
          </w:tcPr>
          <w:p>
            <w:pPr>
              <w:jc w:val="center"/>
            </w:pPr>
            <w:r>
              <w:rPr>
                <w:sz w:val="24"/>
                <w:szCs w:val="24"/>
              </w:rPr>
              <w:t>21,595,612.61</w:t>
            </w:r>
          </w:p>
        </w:tc>
        <w:tc>
          <w:tcPr>
            <w:vAlign w:val="center"/>
          </w:tcPr>
          <w:p>
            <w:pPr>
              <w:jc w:val="center"/>
            </w:pPr>
            <w:r>
              <w:rPr>
                <w:sz w:val="24"/>
                <w:szCs w:val="24"/>
              </w:rPr>
              <w:t>0.00</w:t>
            </w:r>
          </w:p>
        </w:tc>
        <w:tc>
          <w:tcPr>
            <w:vAlign w:val="center"/>
          </w:tcPr>
          <w:p>
            <w:pPr>
              <w:jc w:val="center"/>
            </w:pPr>
            <w:r>
              <w:rPr>
                <w:sz w:val="24"/>
                <w:szCs w:val="24"/>
              </w:rPr>
              <w:t>0.00%</w:t>
            </w:r>
          </w:p>
        </w:tc>
      </w:tr>
    </w:tbl>
    <w:tbl>
      <w:tblPr>
        <w:tblStyle w:val="af7"/>
        <w:tblW w:w="9212" w:type="dxa"/>
        <w:tblInd w:w="-176" w:type="dxa"/>
        <w:tblLayout w:type="fixed"/>
        <w:tblLook w:val="04A0" w:firstRow="1" w:lastRow="0" w:firstColumn="1" w:lastColumn="0" w:noHBand="0" w:noVBand="1"/>
      </w:tblPr>
      <w:tblGrid>
        <w:gridCol w:w="9212"/>
      </w:tblGrid>
      <w:tr w:rsidR="00F21783" w:rsidRPr="003131FD" w:rsidTr="00C10F10">
        <w:tc>
          <w:tcPr>
            <w:tcW w:w="9212" w:type="dxa"/>
            <w:vAlign w:val="center"/>
          </w:tcPr>
          <w:p w:rsidR="00F21783" w:rsidRPr="003131FD" w:rsidRDefault="00F21783" w:rsidP="00C10F10">
            <w:pPr>
              <w:autoSpaceDE w:val="0"/>
              <w:autoSpaceDN w:val="0"/>
              <w:adjustRightInd w:val="0"/>
              <w:ind w:firstLine="1126"/>
              <w:jc w:val="center"/>
              <w:rPr>
                <w:sz w:val="24"/>
                <w:szCs w:val="24"/>
              </w:rPr>
            </w:pPr>
            <w:r w:rsidRPr="003131FD">
              <w:rPr>
                <w:color w:val="000000"/>
                <w:sz w:val="24"/>
                <w:szCs w:val="24"/>
              </w:rPr>
              <w:t>产品特有风险</w:t>
            </w:r>
            <w:r w:rsidRPr="003131FD">
              <w:rPr>
                <w:sz w:val="24"/>
                <w:szCs w:val="24"/>
              </w:rPr>
              <w:t/>
            </w:r>
          </w:p>
        </w:tc>
      </w:tr>
      <w:tr w:rsidR="00F21783" w:rsidRPr="003131FD" w:rsidTr="00C10F10">
        <w:tc>
          <w:tcPr>
            <w:tcW w:w="9212" w:type="dxa"/>
            <w:vAlign w:val="center"/>
          </w:tcPr>
          <w:p w:rsidR="00F21783" w:rsidRPr="003131FD" w:rsidRDefault="00F21783" w:rsidP="00C10F10">
            <w:pPr>
              <w:autoSpaceDE w:val="0"/>
              <w:autoSpaceDN w:val="0"/>
              <w:adjustRightInd w:val="0"/>
              <w:jc w:val="left"/>
              <w:rPr>
                <w:sz w:val="24"/>
                <w:szCs w:val="24"/>
              </w:rPr>
            </w:pPr>
            <w:r w:rsidRPr="003131FD">
              <w:rPr>
                <w:sz w:val="24"/>
                <w:szCs w:val="24"/>
              </w:rPr>
              <w:t/>
            </w:r>
            <w:bookmarkStart w:id="0" w:name="_GoBack"/>
            <w:bookmarkEnd w:id="0"/>
            <w:r w:rsidRPr="003131FD">
              <w:rPr>
                <w:sz w:val="24"/>
                <w:szCs w:val="24"/>
              </w:rPr>
              <w:t>报告期内，本基金存在单一投资者持有份额比例达到或超过20%的情况，由此可能导致的特有风险主要包括：当投资者持有份额占比较为集中时，个别投资者的大额赎回可能会对基金资产运作及净值表现产生较大影响；极端情况下基金管理人可能无法及时变现基金资产以应对投资者的赎回申请；若个别投资者大额赎回后本基金出现连续六十个工作日基金资产净值低于 5000 万元，基金还可能面临转换运作方式、与其他基金合并或者终止基金合同等情形。本基金管理人将对基金的大额申赎进行审慎评估并合理应对，完善流动性风险管控机制，切实保护持有人利益。</w:t>
            </w:r>
          </w:p>
        </w:tc>
      </w:tr>
    </w:tbl>
    <w:p w:rsidR="00200C59" w:rsidRPr="00636531" w:rsidRDefault="00200C59" w:rsidP="00200C59">
      <w:pPr>
        <w:autoSpaceDE w:val="0"/>
        <w:autoSpaceDN w:val="0"/>
        <w:adjustRightInd w:val="0"/>
        <w:spacing w:line="360" w:lineRule="auto"/>
        <w:jc w:val="left"/>
        <w:rPr>
          <w:rFonts w:eastAsiaTheme="minorEastAsia"/>
          <w:b/>
          <w:bCs/>
          <w:color w:val="000000" w:themeColor="text1"/>
          <w:kern w:val="0"/>
          <w:sz w:val="24"/>
          <w:szCs w:val="24"/>
        </w:rPr>
      </w:pPr>
      <w:r w:rsidRPr="00636531">
        <w:rPr>
          <w:rFonts w:eastAsiaTheme="minorEastAsia"/>
          <w:b/>
          <w:color w:val="000000" w:themeColor="text1"/>
          <w:kern w:val="0"/>
          <w:sz w:val="24"/>
          <w:szCs w:val="24"/>
        </w:rPr>
        <w:t/>
      </w:r>
      <w:r w:rsidRPr="00636531">
        <w:rPr>
          <w:rFonts w:eastAsiaTheme="minorEastAsia" w:hint="eastAsia"/>
          <w:b/>
          <w:bCs/>
          <w:color w:val="000000" w:themeColor="text1"/>
          <w:kern w:val="0"/>
          <w:sz w:val="24"/>
          <w:szCs w:val="24"/>
        </w:rPr>
        <w:t/>
      </w:r>
      <w:proofErr w:type="gramStart"/>
      <w:r w:rsidRPr="00636531">
        <w:rPr>
          <w:rFonts w:eastAsiaTheme="minorEastAsia" w:hint="eastAsia"/>
          <w:b/>
          <w:bCs/>
          <w:color w:val="000000" w:themeColor="text1"/>
          <w:kern w:val="0"/>
          <w:sz w:val="24"/>
          <w:szCs w:val="24"/>
        </w:rPr>
        <w:t/>
      </w:r>
      <w:proofErr w:type="gramEnd"/>
      <w:r w:rsidRPr="00636531">
        <w:rPr>
          <w:rFonts w:eastAsiaTheme="minorEastAsia" w:hint="eastAsia"/>
          <w:b/>
          <w:bCs/>
          <w:color w:val="000000" w:themeColor="text1"/>
          <w:kern w:val="0"/>
          <w:sz w:val="24"/>
          <w:szCs w:val="24"/>
        </w:rPr>
        <w:t xml:space="preserve">8.2 </w:t>
      </w:r>
      <w:r w:rsidRPr="00636531">
        <w:rPr>
          <w:rFonts w:eastAsiaTheme="minorEastAsia" w:hint="eastAsia"/>
          <w:b/>
          <w:bCs/>
          <w:color w:val="000000" w:themeColor="text1"/>
          <w:kern w:val="0"/>
          <w:sz w:val="24"/>
          <w:szCs w:val="24"/>
        </w:rPr>
        <w:t>影响投资者决策的其他重要信息</w:t>
      </w:r>
    </w:p>
    <w:p w:rsidR="0079131B" w:rsidRPr="00200C59" w:rsidRDefault="00200C59" w:rsidP="00200C59">
      <w:pPr>
        <w:spacing w:line="360" w:lineRule="auto"/>
        <w:ind w:firstLineChars="200" w:firstLine="480"/>
        <w:rPr>
          <w:rFonts w:eastAsiaTheme="minorEastAsia"/>
          <w:color w:val="000000" w:themeColor="text1"/>
          <w:sz w:val="24"/>
          <w:szCs w:val="24"/>
        </w:rPr>
      </w:pPr>
      <w:r w:rsidRPr="00636531">
        <w:rPr>
          <w:rFonts w:eastAsiaTheme="minorEastAsia"/>
          <w:color w:val="000000" w:themeColor="text1"/>
          <w:sz w:val="24"/>
          <w:szCs w:val="24"/>
        </w:rPr>
        <w:t>2017年7月28日至2017年8月28日15：00 止，广发新常态灵活配置混合型证券投资基金（以下简称“本基金”）以通讯方式召开了基金份额持有人大会，本次会议议案《关于终止广发新常态灵活配置混合型证券投资基金基金合同相关事项的议案》在2017年8月30日的计票会议上获得通过。根据持有人大会通过的议案及方案说明，本基金从2017年9月4日起进入清算期。基金管理人将按照《广发新常态灵活配置混合型证券投资基金基金合同》的约定，组织成立基金财产清算小组履行基金财产清算程序，并将清算结果及时予以公告。有关重要事项详情可见本基金管理人在《中国证券报》、《上海证券报》、《证券时报》及本公司网站（www.gffunds.com.cn） 于2017年9月1日刊登的《关于广发新常态灵活配置混合型证券投资基金份额持有人大会表决结果暨决议生效的公告》。</w:t>
      </w:r>
    </w:p>
    <w:p w:rsidR="004061AC" w:rsidRPr="001611C5" w:rsidRDefault="004061AC" w:rsidP="001B2F35">
      <w:pPr>
        <w:pStyle w:val="1"/>
        <w:spacing w:beforeLines="100" w:before="312" w:afterLines="100" w:after="312" w:line="360" w:lineRule="auto"/>
        <w:jc w:val="center"/>
        <w:rPr>
          <w:rFonts w:asciiTheme="minorEastAsia" w:eastAsiaTheme="minorEastAsia" w:hAnsiTheme="minorEastAsia"/>
          <w:color w:val="000000"/>
          <w:kern w:val="0"/>
          <w:sz w:val="24"/>
          <w:szCs w:val="24"/>
        </w:rPr>
      </w:pPr>
      <w:r w:rsidRPr="001611C5">
        <w:rPr>
          <w:rFonts w:asciiTheme="minorEastAsia" w:eastAsiaTheme="minorEastAsia" w:hAnsiTheme="minorEastAsia" w:hint="eastAsia"/>
          <w:color w:val="000000"/>
          <w:kern w:val="0"/>
          <w:sz w:val="24"/>
          <w:szCs w:val="24"/>
        </w:rPr>
        <w:lastRenderedPageBreak/>
        <w:t>§</w:t>
      </w:r>
      <w:r w:rsidR="00D02347" w:rsidRPr="001611C5">
        <w:rPr>
          <w:rFonts w:asciiTheme="minorEastAsia" w:eastAsiaTheme="minorEastAsia" w:hAnsiTheme="minorEastAsia" w:hint="eastAsia"/>
          <w:color w:val="000000"/>
          <w:kern w:val="0"/>
          <w:sz w:val="24"/>
          <w:szCs w:val="24"/>
        </w:rPr>
        <w:t/>
      </w:r>
      <w:r w:rsidR="00676095" w:rsidRPr="001611C5">
        <w:rPr>
          <w:rFonts w:asciiTheme="minorEastAsia" w:eastAsiaTheme="minorEastAsia" w:hAnsiTheme="minorEastAsia" w:hint="eastAsia"/>
          <w:color w:val="000000"/>
          <w:kern w:val="0"/>
          <w:sz w:val="24"/>
          <w:szCs w:val="24"/>
        </w:rPr>
        <w:t/>
      </w:r>
      <w:r w:rsidR="00D02347" w:rsidRPr="001611C5">
        <w:rPr>
          <w:rFonts w:asciiTheme="minorEastAsia" w:eastAsiaTheme="minorEastAsia" w:hAnsiTheme="minorEastAsia" w:hint="eastAsia"/>
          <w:color w:val="000000"/>
          <w:kern w:val="0"/>
          <w:sz w:val="24"/>
          <w:szCs w:val="24"/>
        </w:rPr>
        <w:t>9</w:t>
      </w:r>
      <w:r w:rsidRPr="001611C5">
        <w:rPr>
          <w:rFonts w:asciiTheme="minorEastAsia" w:eastAsiaTheme="minorEastAsia" w:hAnsiTheme="minorEastAsia"/>
          <w:color w:val="000000"/>
          <w:kern w:val="0"/>
          <w:sz w:val="24"/>
          <w:szCs w:val="24"/>
        </w:rPr>
        <w:t xml:space="preserve">  </w:t>
      </w:r>
      <w:r w:rsidRPr="001611C5">
        <w:rPr>
          <w:rFonts w:asciiTheme="minorEastAsia" w:eastAsiaTheme="minorEastAsia" w:hAnsiTheme="minorEastAsia" w:hint="eastAsia"/>
          <w:color w:val="000000"/>
          <w:kern w:val="0"/>
          <w:sz w:val="24"/>
          <w:szCs w:val="24"/>
        </w:rPr>
        <w:t>备查文件目录</w:t>
      </w:r>
    </w:p>
    <w:p w:rsidR="004061AC" w:rsidRPr="001611C5" w:rsidRDefault="00D02347" w:rsidP="00C71497">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hint="eastAsia"/>
          <w:b/>
          <w:bCs/>
          <w:color w:val="000000"/>
          <w:kern w:val="0"/>
          <w:sz w:val="24"/>
          <w:szCs w:val="24"/>
        </w:rPr>
        <w:t/>
      </w:r>
      <w:r w:rsidR="00676095" w:rsidRPr="001611C5">
        <w:rPr>
          <w:rFonts w:asciiTheme="minorEastAsia" w:eastAsiaTheme="minorEastAsia" w:hAnsiTheme="minorEastAsia" w:hint="eastAsia"/>
          <w:b/>
          <w:bCs/>
          <w:color w:val="000000"/>
          <w:kern w:val="0"/>
          <w:sz w:val="24"/>
          <w:szCs w:val="24"/>
        </w:rPr>
        <w:t/>
      </w:r>
      <w:r w:rsidRPr="001611C5">
        <w:rPr>
          <w:rFonts w:asciiTheme="minorEastAsia" w:eastAsiaTheme="minorEastAsia" w:hAnsiTheme="minorEastAsia" w:hint="eastAsia"/>
          <w:b/>
          <w:bCs/>
          <w:color w:val="000000"/>
          <w:kern w:val="0"/>
          <w:sz w:val="24"/>
          <w:szCs w:val="24"/>
        </w:rPr>
        <w:t>9</w:t>
      </w:r>
      <w:r w:rsidR="004061AC" w:rsidRPr="001611C5">
        <w:rPr>
          <w:rFonts w:asciiTheme="minorEastAsia" w:eastAsiaTheme="minorEastAsia" w:hAnsiTheme="minorEastAsia"/>
          <w:b/>
          <w:bCs/>
          <w:color w:val="000000"/>
          <w:kern w:val="0"/>
          <w:sz w:val="24"/>
          <w:szCs w:val="24"/>
        </w:rPr>
        <w:t>.</w:t>
      </w:r>
      <w:r w:rsidR="00676095" w:rsidRPr="001611C5">
        <w:rPr>
          <w:rFonts w:asciiTheme="minorEastAsia" w:eastAsiaTheme="minorEastAsia" w:hAnsiTheme="minorEastAsia" w:hint="eastAsia"/>
          <w:b/>
          <w:bCs/>
          <w:color w:val="000000"/>
          <w:kern w:val="0"/>
          <w:sz w:val="24"/>
          <w:szCs w:val="24"/>
        </w:rPr>
        <w:t>1</w:t>
      </w:r>
      <w:r w:rsidR="004061AC" w:rsidRPr="001611C5">
        <w:rPr>
          <w:rFonts w:asciiTheme="minorEastAsia" w:eastAsiaTheme="minorEastAsia" w:hAnsiTheme="minorEastAsia"/>
          <w:b/>
          <w:bCs/>
          <w:color w:val="000000"/>
          <w:kern w:val="0"/>
          <w:sz w:val="24"/>
          <w:szCs w:val="24"/>
        </w:rPr>
        <w:t xml:space="preserve"> </w:t>
      </w:r>
      <w:r w:rsidR="004061AC" w:rsidRPr="001611C5">
        <w:rPr>
          <w:rFonts w:asciiTheme="minorEastAsia" w:eastAsiaTheme="minorEastAsia" w:hAnsiTheme="minorEastAsia" w:hint="eastAsia"/>
          <w:b/>
          <w:bCs/>
          <w:color w:val="000000"/>
          <w:kern w:val="0"/>
          <w:sz w:val="24"/>
          <w:szCs w:val="24"/>
        </w:rPr>
        <w:t>备查文件目录</w:t>
      </w:r>
    </w:p>
    <w:p>
      <w:pPr>
        <w:spacing w:line="360" w:lineRule="auto"/>
        <w:ind w:firstLineChars="200" w:firstLine="480"/>
        <w:rPr>
          <w:rFonts w:eastAsiaTheme="minorEastAsia"/>
          <w:color w:val="000000"/>
          <w:sz w:val="24"/>
          <w:szCs w:val="24"/>
        </w:rPr>
      </w:pPr>
      <w:r>
        <w:rPr>
          <w:rFonts w:eastAsiaTheme="minorEastAsia" w:hint="eastAsia"/>
          <w:color w:val="000000"/>
          <w:sz w:val="24"/>
          <w:szCs w:val="24"/>
        </w:rPr>
        <w:t>（一）中国证监会注册广发新常态灵活配置混合型证券投资基金募集的文件</w:t>
      </w:r>
    </w:p>
    <w:p>
      <w:pPr>
        <w:spacing w:line="360" w:lineRule="auto"/>
        <w:ind w:firstLineChars="200" w:firstLine="480"/>
        <w:rPr>
          <w:rFonts w:eastAsiaTheme="minorEastAsia"/>
          <w:color w:val="000000"/>
          <w:sz w:val="24"/>
          <w:szCs w:val="24"/>
        </w:rPr>
      </w:pPr>
      <w:r>
        <w:rPr>
          <w:rFonts w:eastAsiaTheme="minorEastAsia" w:hint="eastAsia"/>
          <w:color w:val="000000"/>
          <w:sz w:val="24"/>
          <w:szCs w:val="24"/>
        </w:rPr>
        <w:t>（二）《广发新常态灵活配置混合型证券投资基金基金合同》</w:t>
      </w:r>
    </w:p>
    <w:p>
      <w:pPr>
        <w:spacing w:line="360" w:lineRule="auto"/>
        <w:ind w:firstLineChars="200" w:firstLine="480"/>
        <w:rPr>
          <w:rFonts w:eastAsiaTheme="minorEastAsia"/>
          <w:color w:val="000000"/>
          <w:sz w:val="24"/>
          <w:szCs w:val="24"/>
        </w:rPr>
      </w:pPr>
      <w:r>
        <w:rPr>
          <w:rFonts w:eastAsiaTheme="minorEastAsia" w:hint="eastAsia"/>
          <w:color w:val="000000"/>
          <w:sz w:val="24"/>
          <w:szCs w:val="24"/>
        </w:rPr>
        <w:t>（三）《广发基金管理有限公司开放式基金业务规则》</w:t>
      </w:r>
    </w:p>
    <w:p>
      <w:pPr>
        <w:spacing w:line="360" w:lineRule="auto"/>
        <w:ind w:firstLineChars="200" w:firstLine="480"/>
        <w:rPr>
          <w:rFonts w:eastAsiaTheme="minorEastAsia"/>
          <w:color w:val="000000"/>
          <w:sz w:val="24"/>
          <w:szCs w:val="24"/>
        </w:rPr>
      </w:pPr>
      <w:r>
        <w:rPr>
          <w:rFonts w:eastAsiaTheme="minorEastAsia" w:hint="eastAsia"/>
          <w:color w:val="000000"/>
          <w:sz w:val="24"/>
          <w:szCs w:val="24"/>
        </w:rPr>
        <w:t>（四）《广发新常态灵活配置混合型证券投资基金托管协议》</w:t>
      </w:r>
    </w:p>
    <w:p w:rsidR="006A48FD" w:rsidRPr="006B72F7" w:rsidRDefault="006D7FF8" w:rsidP="006B72F7">
      <w:pPr>
        <w:spacing w:line="360" w:lineRule="auto"/>
        <w:ind w:firstLineChars="200" w:firstLine="480"/>
        <w:rPr>
          <w:rFonts w:eastAsiaTheme="minorEastAsia"/>
          <w:color w:val="000000"/>
          <w:sz w:val="24"/>
          <w:szCs w:val="24"/>
        </w:rPr>
      </w:pPr>
      <w:r w:rsidRPr="00CD2DB1">
        <w:rPr>
          <w:rFonts w:eastAsiaTheme="minorEastAsia" w:hint="eastAsia"/>
          <w:color w:val="000000"/>
          <w:sz w:val="24"/>
          <w:szCs w:val="24"/>
        </w:rPr>
        <w:t/>
      </w:r>
      <w:r w:rsidRPr="00CD2DB1">
        <w:rPr>
          <w:rFonts w:eastAsiaTheme="minorEastAsia"/>
          <w:color w:val="000000"/>
          <w:sz w:val="24"/>
          <w:szCs w:val="24"/>
        </w:rPr>
        <w:t/>
      </w:r>
      <w:r w:rsidRPr="00CD2DB1">
        <w:rPr>
          <w:rFonts w:eastAsiaTheme="minorEastAsia" w:hint="eastAsia"/>
          <w:color w:val="000000"/>
          <w:sz w:val="24"/>
          <w:szCs w:val="24"/>
        </w:rPr>
        <w:t>（五）法律意见书</w:t>
      </w:r>
    </w:p>
    <w:p w:rsidR="004061AC" w:rsidRPr="001611C5" w:rsidRDefault="00D02347" w:rsidP="00C71497">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hint="eastAsia"/>
          <w:b/>
          <w:bCs/>
          <w:color w:val="000000"/>
          <w:kern w:val="0"/>
          <w:sz w:val="24"/>
          <w:szCs w:val="24"/>
        </w:rPr>
        <w:t/>
      </w:r>
      <w:r w:rsidR="00676095" w:rsidRPr="001611C5">
        <w:rPr>
          <w:rFonts w:asciiTheme="minorEastAsia" w:eastAsiaTheme="minorEastAsia" w:hAnsiTheme="minorEastAsia" w:hint="eastAsia"/>
          <w:b/>
          <w:bCs/>
          <w:color w:val="000000"/>
          <w:kern w:val="0"/>
          <w:sz w:val="24"/>
          <w:szCs w:val="24"/>
        </w:rPr>
        <w:t/>
      </w:r>
      <w:r w:rsidRPr="001611C5">
        <w:rPr>
          <w:rFonts w:asciiTheme="minorEastAsia" w:eastAsiaTheme="minorEastAsia" w:hAnsiTheme="minorEastAsia" w:hint="eastAsia"/>
          <w:b/>
          <w:bCs/>
          <w:color w:val="000000"/>
          <w:kern w:val="0"/>
          <w:sz w:val="24"/>
          <w:szCs w:val="24"/>
        </w:rPr>
        <w:t>9</w:t>
      </w:r>
      <w:r w:rsidR="004061AC" w:rsidRPr="001611C5">
        <w:rPr>
          <w:rFonts w:asciiTheme="minorEastAsia" w:eastAsiaTheme="minorEastAsia" w:hAnsiTheme="minorEastAsia"/>
          <w:b/>
          <w:bCs/>
          <w:color w:val="000000"/>
          <w:kern w:val="0"/>
          <w:sz w:val="24"/>
          <w:szCs w:val="24"/>
        </w:rPr>
        <w:t>.</w:t>
      </w:r>
      <w:r w:rsidR="00676095" w:rsidRPr="001611C5">
        <w:rPr>
          <w:rFonts w:asciiTheme="minorEastAsia" w:eastAsiaTheme="minorEastAsia" w:hAnsiTheme="minorEastAsia" w:hint="eastAsia"/>
          <w:b/>
          <w:bCs/>
          <w:color w:val="000000"/>
          <w:kern w:val="0"/>
          <w:sz w:val="24"/>
          <w:szCs w:val="24"/>
        </w:rPr>
        <w:t>2</w:t>
      </w:r>
      <w:r w:rsidR="004061AC" w:rsidRPr="001611C5">
        <w:rPr>
          <w:rFonts w:asciiTheme="minorEastAsia" w:eastAsiaTheme="minorEastAsia" w:hAnsiTheme="minorEastAsia"/>
          <w:b/>
          <w:bCs/>
          <w:color w:val="000000"/>
          <w:kern w:val="0"/>
          <w:sz w:val="24"/>
          <w:szCs w:val="24"/>
        </w:rPr>
        <w:t xml:space="preserve"> </w:t>
      </w:r>
      <w:r w:rsidR="004061AC" w:rsidRPr="001611C5">
        <w:rPr>
          <w:rFonts w:asciiTheme="minorEastAsia" w:eastAsiaTheme="minorEastAsia" w:hAnsiTheme="minorEastAsia" w:hint="eastAsia"/>
          <w:b/>
          <w:bCs/>
          <w:color w:val="000000"/>
          <w:kern w:val="0"/>
          <w:sz w:val="24"/>
          <w:szCs w:val="24"/>
        </w:rPr>
        <w:t>存放地点</w:t>
      </w:r>
    </w:p>
    <w:p w:rsidR="006A48FD" w:rsidRPr="006B72F7" w:rsidRDefault="006D7FF8" w:rsidP="006B72F7">
      <w:pPr>
        <w:spacing w:line="360" w:lineRule="auto"/>
        <w:ind w:firstLineChars="200" w:firstLine="480"/>
        <w:rPr>
          <w:rFonts w:eastAsiaTheme="minorEastAsia"/>
          <w:color w:val="000000"/>
          <w:sz w:val="24"/>
          <w:szCs w:val="24"/>
        </w:rPr>
      </w:pPr>
      <w:r w:rsidRPr="00CD2DB1">
        <w:rPr>
          <w:rFonts w:eastAsiaTheme="minorEastAsia" w:hint="eastAsia"/>
          <w:color w:val="000000"/>
          <w:sz w:val="24"/>
          <w:szCs w:val="24"/>
        </w:rPr>
        <w:t/>
      </w:r>
      <w:r w:rsidRPr="00CD2DB1">
        <w:rPr>
          <w:rFonts w:eastAsiaTheme="minorEastAsia"/>
          <w:color w:val="000000"/>
          <w:sz w:val="24"/>
          <w:szCs w:val="24"/>
        </w:rPr>
        <w:t/>
      </w:r>
      <w:r w:rsidRPr="00CD2DB1">
        <w:rPr>
          <w:rFonts w:eastAsiaTheme="minorEastAsia" w:hint="eastAsia"/>
          <w:color w:val="000000"/>
          <w:sz w:val="24"/>
          <w:szCs w:val="24"/>
        </w:rPr>
        <w:t>广州市海珠区琶洲大道东1号保利国际广场南塔31-33楼</w:t>
      </w:r>
    </w:p>
    <w:p w:rsidR="004061AC" w:rsidRPr="001611C5" w:rsidRDefault="00D02347" w:rsidP="00C71497">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hint="eastAsia"/>
          <w:b/>
          <w:bCs/>
          <w:color w:val="000000"/>
          <w:kern w:val="0"/>
          <w:sz w:val="24"/>
          <w:szCs w:val="24"/>
        </w:rPr>
        <w:t/>
      </w:r>
      <w:r w:rsidR="00676095" w:rsidRPr="001611C5">
        <w:rPr>
          <w:rFonts w:asciiTheme="minorEastAsia" w:eastAsiaTheme="minorEastAsia" w:hAnsiTheme="minorEastAsia" w:hint="eastAsia"/>
          <w:b/>
          <w:bCs/>
          <w:color w:val="000000"/>
          <w:kern w:val="0"/>
          <w:sz w:val="24"/>
          <w:szCs w:val="24"/>
        </w:rPr>
        <w:t/>
      </w:r>
      <w:r w:rsidRPr="001611C5">
        <w:rPr>
          <w:rFonts w:asciiTheme="minorEastAsia" w:eastAsiaTheme="minorEastAsia" w:hAnsiTheme="minorEastAsia" w:hint="eastAsia"/>
          <w:b/>
          <w:bCs/>
          <w:color w:val="000000"/>
          <w:kern w:val="0"/>
          <w:sz w:val="24"/>
          <w:szCs w:val="24"/>
        </w:rPr>
        <w:t>9</w:t>
      </w:r>
      <w:r w:rsidR="004061AC" w:rsidRPr="001611C5">
        <w:rPr>
          <w:rFonts w:asciiTheme="minorEastAsia" w:eastAsiaTheme="minorEastAsia" w:hAnsiTheme="minorEastAsia"/>
          <w:b/>
          <w:bCs/>
          <w:color w:val="000000"/>
          <w:kern w:val="0"/>
          <w:sz w:val="24"/>
          <w:szCs w:val="24"/>
        </w:rPr>
        <w:t>.</w:t>
      </w:r>
      <w:r w:rsidR="00676095" w:rsidRPr="001611C5">
        <w:rPr>
          <w:rFonts w:asciiTheme="minorEastAsia" w:eastAsiaTheme="minorEastAsia" w:hAnsiTheme="minorEastAsia" w:hint="eastAsia"/>
          <w:b/>
          <w:bCs/>
          <w:color w:val="000000"/>
          <w:kern w:val="0"/>
          <w:sz w:val="24"/>
          <w:szCs w:val="24"/>
        </w:rPr>
        <w:t>3</w:t>
      </w:r>
      <w:r w:rsidR="004061AC" w:rsidRPr="001611C5">
        <w:rPr>
          <w:rFonts w:asciiTheme="minorEastAsia" w:eastAsiaTheme="minorEastAsia" w:hAnsiTheme="minorEastAsia"/>
          <w:b/>
          <w:bCs/>
          <w:color w:val="000000"/>
          <w:kern w:val="0"/>
          <w:sz w:val="24"/>
          <w:szCs w:val="24"/>
        </w:rPr>
        <w:t xml:space="preserve"> </w:t>
      </w:r>
      <w:r w:rsidR="004061AC" w:rsidRPr="001611C5">
        <w:rPr>
          <w:rFonts w:asciiTheme="minorEastAsia" w:eastAsiaTheme="minorEastAsia" w:hAnsiTheme="minorEastAsia" w:hint="eastAsia"/>
          <w:b/>
          <w:bCs/>
          <w:color w:val="000000"/>
          <w:kern w:val="0"/>
          <w:sz w:val="24"/>
          <w:szCs w:val="24"/>
        </w:rPr>
        <w:t>查阅方式</w:t>
      </w:r>
    </w:p>
    <w:p>
      <w:pPr>
        <w:spacing w:line="360" w:lineRule="auto"/>
        <w:ind w:firstLineChars="200" w:firstLine="480"/>
        <w:rPr>
          <w:rFonts w:eastAsiaTheme="minorEastAsia"/>
          <w:color w:val="000000"/>
          <w:sz w:val="24"/>
          <w:szCs w:val="24"/>
        </w:rPr>
      </w:pPr>
      <w:r>
        <w:rPr>
          <w:rFonts w:eastAsiaTheme="minorEastAsia" w:hint="eastAsia"/>
          <w:color w:val="000000"/>
          <w:sz w:val="24"/>
          <w:szCs w:val="24"/>
        </w:rPr>
        <w:t>1.书面查阅：查阅时间为每工作日8:30-11:30，13:30-17:00。投资者可免费查阅，也可按工本费购买复印件；</w:t>
      </w:r>
    </w:p>
    <w:p>
      <w:pPr>
        <w:spacing w:line="360" w:lineRule="auto"/>
        <w:ind w:firstLineChars="200" w:firstLine="480"/>
        <w:rPr>
          <w:rFonts w:eastAsiaTheme="minorEastAsia"/>
          <w:color w:val="000000"/>
          <w:sz w:val="24"/>
          <w:szCs w:val="24"/>
        </w:rPr>
      </w:pPr>
      <w:r>
        <w:rPr>
          <w:rFonts w:eastAsiaTheme="minorEastAsia" w:hint="eastAsia"/>
          <w:color w:val="000000"/>
          <w:sz w:val="24"/>
          <w:szCs w:val="24"/>
        </w:rPr>
        <w:t>2.网站查阅：基金管理人网址：http://www.gffunds.com.cn。</w:t>
      </w:r>
    </w:p>
    <w:p w:rsidR="00636DB7" w:rsidRPr="00CD2DB1" w:rsidRDefault="006D7FF8" w:rsidP="001611C5">
      <w:pPr>
        <w:spacing w:line="360" w:lineRule="auto"/>
        <w:ind w:firstLineChars="200" w:firstLine="480"/>
        <w:rPr>
          <w:rFonts w:eastAsiaTheme="minorEastAsia"/>
          <w:color w:val="000000"/>
          <w:sz w:val="24"/>
          <w:szCs w:val="24"/>
        </w:rPr>
      </w:pPr>
      <w:r w:rsidRPr="00CD2DB1">
        <w:rPr>
          <w:rFonts w:eastAsiaTheme="minorEastAsia" w:hint="eastAsia"/>
          <w:color w:val="000000"/>
          <w:sz w:val="24"/>
          <w:szCs w:val="24"/>
        </w:rPr>
        <w:t/>
      </w:r>
      <w:r w:rsidRPr="00CD2DB1">
        <w:rPr>
          <w:rFonts w:eastAsiaTheme="minorEastAsia"/>
          <w:color w:val="000000"/>
          <w:sz w:val="24"/>
          <w:szCs w:val="24"/>
        </w:rPr>
        <w:t/>
      </w:r>
      <w:r w:rsidRPr="00CD2DB1">
        <w:rPr>
          <w:rFonts w:eastAsiaTheme="minorEastAsia" w:hint="eastAsia"/>
          <w:color w:val="000000"/>
          <w:sz w:val="24"/>
          <w:szCs w:val="24"/>
        </w:rPr>
        <w:t>投资者如对本报告有疑问，可咨询本基金管理人广发基金管理有限公司，咨询电话95105828或020-83936999，或发电子邮件：services@gf-funds.com.cn。</w:t>
      </w:r>
    </w:p>
    <w:p w:rsidR="004061AC" w:rsidRPr="001611C5" w:rsidRDefault="004061AC" w:rsidP="004061AC">
      <w:pPr>
        <w:spacing w:line="360" w:lineRule="auto"/>
        <w:ind w:left="840"/>
        <w:jc w:val="right"/>
        <w:rPr>
          <w:rFonts w:asciiTheme="minorEastAsia" w:eastAsiaTheme="minorEastAsia" w:hAnsiTheme="minorEastAsia"/>
          <w:color w:val="000000"/>
          <w:sz w:val="24"/>
          <w:szCs w:val="24"/>
        </w:rPr>
      </w:pPr>
    </w:p>
    <w:p w:rsidR="00C71497" w:rsidRPr="001611C5" w:rsidRDefault="00C71497" w:rsidP="004061AC">
      <w:pPr>
        <w:spacing w:line="360" w:lineRule="auto"/>
        <w:ind w:left="840"/>
        <w:jc w:val="right"/>
        <w:rPr>
          <w:rFonts w:asciiTheme="minorEastAsia" w:eastAsiaTheme="minorEastAsia" w:hAnsiTheme="minorEastAsia"/>
          <w:color w:val="000000"/>
          <w:sz w:val="24"/>
          <w:szCs w:val="24"/>
        </w:rPr>
      </w:pPr>
    </w:p>
    <w:p w:rsidR="00C71497" w:rsidRPr="001611C5" w:rsidRDefault="00C71497" w:rsidP="004061AC">
      <w:pPr>
        <w:spacing w:line="360" w:lineRule="auto"/>
        <w:ind w:left="840"/>
        <w:jc w:val="right"/>
        <w:rPr>
          <w:rFonts w:asciiTheme="minorEastAsia" w:eastAsiaTheme="minorEastAsia" w:hAnsiTheme="minorEastAsia"/>
          <w:color w:val="000000"/>
          <w:sz w:val="24"/>
          <w:szCs w:val="24"/>
        </w:rPr>
      </w:pPr>
    </w:p>
    <w:p w:rsidR="00C71497" w:rsidRPr="001611C5" w:rsidRDefault="00C71497" w:rsidP="004061AC">
      <w:pPr>
        <w:spacing w:line="360" w:lineRule="auto"/>
        <w:ind w:left="840"/>
        <w:jc w:val="right"/>
        <w:rPr>
          <w:rFonts w:asciiTheme="minorEastAsia" w:eastAsiaTheme="minorEastAsia" w:hAnsiTheme="minorEastAsia"/>
          <w:color w:val="000000"/>
          <w:sz w:val="24"/>
          <w:szCs w:val="24"/>
        </w:rPr>
      </w:pPr>
    </w:p>
    <w:p w:rsidR="00C71497" w:rsidRPr="001611C5" w:rsidRDefault="00C71497" w:rsidP="004061AC">
      <w:pPr>
        <w:spacing w:line="360" w:lineRule="auto"/>
        <w:ind w:left="840"/>
        <w:jc w:val="right"/>
        <w:rPr>
          <w:rFonts w:asciiTheme="minorEastAsia" w:eastAsiaTheme="minorEastAsia" w:hAnsiTheme="minorEastAsia"/>
          <w:color w:val="000000"/>
          <w:sz w:val="24"/>
          <w:szCs w:val="24"/>
        </w:rPr>
      </w:pPr>
    </w:p>
    <w:p w:rsidR="00C71497" w:rsidRPr="001611C5" w:rsidRDefault="00C71497" w:rsidP="004061AC">
      <w:pPr>
        <w:spacing w:line="360" w:lineRule="auto"/>
        <w:ind w:left="840"/>
        <w:jc w:val="right"/>
        <w:rPr>
          <w:rFonts w:asciiTheme="minorEastAsia" w:eastAsiaTheme="minorEastAsia" w:hAnsiTheme="minorEastAsia"/>
          <w:color w:val="000000"/>
          <w:sz w:val="24"/>
          <w:szCs w:val="24"/>
        </w:rPr>
      </w:pPr>
    </w:p>
    <w:p w:rsidR="004061AC" w:rsidRPr="001611C5" w:rsidRDefault="004061AC" w:rsidP="004061AC">
      <w:pPr>
        <w:spacing w:line="360" w:lineRule="auto"/>
        <w:ind w:left="840"/>
        <w:jc w:val="right"/>
        <w:rPr>
          <w:rFonts w:asciiTheme="minorEastAsia" w:eastAsiaTheme="minorEastAsia" w:hAnsiTheme="minorEastAsia"/>
          <w:color w:val="000000"/>
          <w:sz w:val="24"/>
          <w:szCs w:val="24"/>
        </w:rPr>
      </w:pPr>
    </w:p>
    <w:p w:rsidR="004061AC" w:rsidRPr="001611C5" w:rsidRDefault="004061AC" w:rsidP="004061AC">
      <w:pPr>
        <w:spacing w:line="360" w:lineRule="auto"/>
        <w:ind w:left="840"/>
        <w:jc w:val="right"/>
        <w:rPr>
          <w:rFonts w:asciiTheme="minorEastAsia" w:eastAsiaTheme="minorEastAsia" w:hAnsiTheme="minorEastAsia"/>
          <w:color w:val="000000"/>
          <w:sz w:val="24"/>
          <w:szCs w:val="24"/>
        </w:rPr>
      </w:pPr>
    </w:p>
    <w:p w:rsidR="004061AC" w:rsidRPr="001611C5" w:rsidRDefault="00832A00" w:rsidP="00C71497">
      <w:pPr>
        <w:spacing w:line="360" w:lineRule="auto"/>
        <w:jc w:val="right"/>
        <w:rPr>
          <w:rFonts w:asciiTheme="minorEastAsia" w:eastAsiaTheme="minorEastAsia" w:hAnsiTheme="minorEastAsia"/>
          <w:b/>
          <w:bCs/>
          <w:sz w:val="24"/>
          <w:szCs w:val="24"/>
        </w:rPr>
      </w:pPr>
      <w:r w:rsidRPr="001611C5">
        <w:rPr>
          <w:rFonts w:asciiTheme="minorEastAsia" w:eastAsiaTheme="minorEastAsia" w:hAnsiTheme="minorEastAsia"/>
          <w:b/>
          <w:bCs/>
          <w:sz w:val="24"/>
          <w:szCs w:val="24"/>
        </w:rPr>
        <w:t>广发基金管理有限公司</w:t>
      </w:r>
    </w:p>
    <w:p w:rsidR="004061AC" w:rsidRPr="001611C5" w:rsidRDefault="00945AF6" w:rsidP="00C71497">
      <w:pPr>
        <w:spacing w:line="360" w:lineRule="auto"/>
        <w:jc w:val="right"/>
        <w:rPr>
          <w:rFonts w:asciiTheme="minorEastAsia" w:eastAsiaTheme="minorEastAsia" w:hAnsiTheme="minorEastAsia"/>
          <w:b/>
          <w:bCs/>
          <w:sz w:val="24"/>
          <w:szCs w:val="24"/>
        </w:rPr>
      </w:pPr>
      <w:r w:rsidRPr="001611C5">
        <w:rPr>
          <w:rFonts w:asciiTheme="minorEastAsia" w:eastAsiaTheme="minorEastAsia" w:hAnsiTheme="minorEastAsia"/>
          <w:b/>
          <w:bCs/>
          <w:sz w:val="24"/>
          <w:szCs w:val="24"/>
        </w:rPr>
        <w:t>二〇一七年十月二十七日</w:t>
      </w:r>
    </w:p>
    <w:p w:rsidR="00304A12" w:rsidRPr="001611C5" w:rsidRDefault="00304A12" w:rsidP="00955BE8">
      <w:pPr>
        <w:spacing w:line="360" w:lineRule="auto"/>
        <w:ind w:left="840"/>
        <w:jc w:val="right"/>
        <w:rPr>
          <w:rFonts w:asciiTheme="minorEastAsia" w:eastAsiaTheme="minorEastAsia" w:hAnsiTheme="minorEastAsia"/>
          <w:b/>
          <w:bCs/>
          <w:sz w:val="24"/>
          <w:szCs w:val="24"/>
        </w:rPr>
      </w:pPr>
    </w:p>
    <w:p w:rsidR="00A90049" w:rsidRPr="00264E55" w:rsidRDefault="00A90049">
      <w:pPr>
        <w:rPr>
          <w:rFonts w:asciiTheme="minorEastAsia" w:eastAsiaTheme="minorEastAsia" w:hAnsiTheme="minorEastAsia"/>
          <w:sz w:val="24"/>
          <w:szCs w:val="24"/>
        </w:rPr>
      </w:pPr>
    </w:p>
    <w:sectPr w:rsidR="00A90049" w:rsidRPr="00264E55" w:rsidSect="00304A12">
      <w:footerReference w:type="default" r:id="rId12"/>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55E" w:rsidRDefault="0013155E" w:rsidP="00876D65">
      <w:r>
        <w:separator/>
      </w:r>
    </w:p>
  </w:endnote>
  <w:endnote w:type="continuationSeparator" w:id="0">
    <w:p w:rsidR="0013155E" w:rsidRDefault="0013155E"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EF0" w:rsidRPr="001D0DB0" w:rsidRDefault="00171EF0" w:rsidP="00F11104">
    <w:pPr>
      <w:pStyle w:val="a6"/>
      <w:tabs>
        <w:tab w:val="left" w:pos="4215"/>
        <w:tab w:val="center" w:pos="4545"/>
      </w:tabs>
    </w:pPr>
    <w:r>
      <w:ptab w:relativeTo="margin" w:alignment="center" w:leader="none"/>
    </w:r>
    <w:r>
      <w:ptab w:relativeTo="margin" w:alignment="center" w:leader="none"/>
    </w:r>
    <w:r w:rsidR="008E2DCB">
      <w:fldChar w:fldCharType="begin"/>
    </w:r>
    <w:r>
      <w:instrText xml:space="preserve"> PAGE   \* MERGEFORMAT </w:instrText>
    </w:r>
    <w:r w:rsidR="008E2DCB">
      <w:fldChar w:fldCharType="separate"/>
    </w:r>
    <w:r w:rsidR="00F21783" w:rsidRPr="00F21783">
      <w:rPr>
        <w:noProof/>
        <w:lang w:val="zh-CN"/>
      </w:rPr>
      <w:t>1</w:t>
    </w:r>
    <w:r w:rsidR="008E2DCB">
      <w:rPr>
        <w:noProof/>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EF0" w:rsidRDefault="008E2DCB">
    <w:pPr>
      <w:pStyle w:val="a6"/>
      <w:framePr w:wrap="auto" w:vAnchor="text" w:hAnchor="margin" w:xAlign="center" w:y="1"/>
      <w:rPr>
        <w:rStyle w:val="a7"/>
      </w:rPr>
    </w:pPr>
    <w:r>
      <w:rPr>
        <w:rStyle w:val="a7"/>
      </w:rPr>
      <w:fldChar w:fldCharType="begin"/>
    </w:r>
    <w:r w:rsidR="00171EF0">
      <w:rPr>
        <w:rStyle w:val="a7"/>
      </w:rPr>
      <w:instrText xml:space="preserve">PAGE  </w:instrText>
    </w:r>
    <w:r>
      <w:rPr>
        <w:rStyle w:val="a7"/>
      </w:rPr>
      <w:fldChar w:fldCharType="separate"/>
    </w:r>
    <w:r w:rsidR="00F21783">
      <w:rPr>
        <w:rStyle w:val="a7"/>
        <w:noProof/>
      </w:rPr>
      <w:t>24</w:t>
    </w:r>
    <w:r>
      <w:rPr>
        <w:rStyle w:val="a7"/>
      </w:rPr>
      <w:fldChar w:fldCharType="end"/>
    </w:r>
  </w:p>
  <w:p w:rsidR="00171EF0" w:rsidRDefault="00171EF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55E" w:rsidRDefault="0013155E" w:rsidP="00876D65">
      <w:r>
        <w:separator/>
      </w:r>
    </w:p>
  </w:footnote>
  <w:footnote w:type="continuationSeparator" w:id="0">
    <w:p w:rsidR="0013155E" w:rsidRDefault="0013155E"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EF0" w:rsidRPr="007120CC" w:rsidRDefault="00171EF0" w:rsidP="00090A26">
    <w:pPr>
      <w:pStyle w:val="a9"/>
      <w:pBdr>
        <w:bottom w:val="single" w:sz="6" w:space="0" w:color="auto"/>
      </w:pBdr>
      <w:jc w:val="right"/>
    </w:pPr>
    <w:r w:rsidRPr="007120CC">
      <w:rPr>
        <w:rFonts w:hint="eastAsia"/>
      </w:rPr>
      <w:t/>
    </w:r>
    <w:proofErr w:type="gramStart"/>
    <w:r w:rsidRPr="007120CC">
      <w:t/>
    </w:r>
    <w:r w:rsidRPr="007120CC">
      <w:rPr>
        <w:rFonts w:hint="eastAsia"/>
      </w:rPr>
      <w:t/>
    </w:r>
    <w:r w:rsidRPr="007120CC">
      <w:t/>
    </w:r>
    <w:proofErr w:type="gramEnd"/>
    <w:r w:rsidRPr="007120CC">
      <w:rPr>
        <w:rFonts w:hint="eastAsia"/>
      </w:rPr>
      <w:t>广发新常态灵活配置混合型证券投资基金2017年第3季度报告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1775D"/>
    <w:rsid w:val="000210E7"/>
    <w:rsid w:val="00031EBB"/>
    <w:rsid w:val="00033B8D"/>
    <w:rsid w:val="00043852"/>
    <w:rsid w:val="000450DD"/>
    <w:rsid w:val="000463DE"/>
    <w:rsid w:val="0008313A"/>
    <w:rsid w:val="000907D2"/>
    <w:rsid w:val="00090A26"/>
    <w:rsid w:val="00091D41"/>
    <w:rsid w:val="000A2B53"/>
    <w:rsid w:val="000B624F"/>
    <w:rsid w:val="000B73C6"/>
    <w:rsid w:val="000C190B"/>
    <w:rsid w:val="000C1E17"/>
    <w:rsid w:val="000C5216"/>
    <w:rsid w:val="000D0E6C"/>
    <w:rsid w:val="000D3ED4"/>
    <w:rsid w:val="000F6CC8"/>
    <w:rsid w:val="001043C1"/>
    <w:rsid w:val="00111261"/>
    <w:rsid w:val="0013155E"/>
    <w:rsid w:val="00137452"/>
    <w:rsid w:val="00144F93"/>
    <w:rsid w:val="00147376"/>
    <w:rsid w:val="00150E7E"/>
    <w:rsid w:val="00154BE1"/>
    <w:rsid w:val="00160EDC"/>
    <w:rsid w:val="001611C5"/>
    <w:rsid w:val="001675CD"/>
    <w:rsid w:val="00171EF0"/>
    <w:rsid w:val="00175D4F"/>
    <w:rsid w:val="001761D2"/>
    <w:rsid w:val="001830D7"/>
    <w:rsid w:val="00185A34"/>
    <w:rsid w:val="00196E6C"/>
    <w:rsid w:val="001A73E8"/>
    <w:rsid w:val="001B0A62"/>
    <w:rsid w:val="001B2F35"/>
    <w:rsid w:val="001C0993"/>
    <w:rsid w:val="001C79F2"/>
    <w:rsid w:val="001D63BB"/>
    <w:rsid w:val="001D6A4B"/>
    <w:rsid w:val="001E4630"/>
    <w:rsid w:val="001F0964"/>
    <w:rsid w:val="001F30DA"/>
    <w:rsid w:val="001F5DC5"/>
    <w:rsid w:val="00200C59"/>
    <w:rsid w:val="00200FAB"/>
    <w:rsid w:val="00213821"/>
    <w:rsid w:val="00217B92"/>
    <w:rsid w:val="002279D3"/>
    <w:rsid w:val="00237F09"/>
    <w:rsid w:val="00240248"/>
    <w:rsid w:val="0024363B"/>
    <w:rsid w:val="00261111"/>
    <w:rsid w:val="00264E55"/>
    <w:rsid w:val="00275745"/>
    <w:rsid w:val="0027688F"/>
    <w:rsid w:val="00276E44"/>
    <w:rsid w:val="002835C9"/>
    <w:rsid w:val="00286BEF"/>
    <w:rsid w:val="00286FA2"/>
    <w:rsid w:val="002918E3"/>
    <w:rsid w:val="00296604"/>
    <w:rsid w:val="002973A9"/>
    <w:rsid w:val="002B1D1A"/>
    <w:rsid w:val="002D6FB6"/>
    <w:rsid w:val="002E1B9F"/>
    <w:rsid w:val="002E3B09"/>
    <w:rsid w:val="002E52B3"/>
    <w:rsid w:val="00304A12"/>
    <w:rsid w:val="00305636"/>
    <w:rsid w:val="00311662"/>
    <w:rsid w:val="00312A9F"/>
    <w:rsid w:val="00315D5D"/>
    <w:rsid w:val="00316484"/>
    <w:rsid w:val="00316E01"/>
    <w:rsid w:val="00320300"/>
    <w:rsid w:val="00324508"/>
    <w:rsid w:val="003259C8"/>
    <w:rsid w:val="003307FE"/>
    <w:rsid w:val="003470E2"/>
    <w:rsid w:val="00352719"/>
    <w:rsid w:val="0035422F"/>
    <w:rsid w:val="00355364"/>
    <w:rsid w:val="00364CCB"/>
    <w:rsid w:val="00374488"/>
    <w:rsid w:val="0039085F"/>
    <w:rsid w:val="00394069"/>
    <w:rsid w:val="003A6061"/>
    <w:rsid w:val="003B6FBC"/>
    <w:rsid w:val="003E2240"/>
    <w:rsid w:val="003E62FB"/>
    <w:rsid w:val="003F39DF"/>
    <w:rsid w:val="003F63BE"/>
    <w:rsid w:val="004061AC"/>
    <w:rsid w:val="004149AC"/>
    <w:rsid w:val="0042009D"/>
    <w:rsid w:val="00425A74"/>
    <w:rsid w:val="00427F58"/>
    <w:rsid w:val="00433805"/>
    <w:rsid w:val="00471408"/>
    <w:rsid w:val="004858E0"/>
    <w:rsid w:val="004934E9"/>
    <w:rsid w:val="004943C2"/>
    <w:rsid w:val="004A11A7"/>
    <w:rsid w:val="004B0661"/>
    <w:rsid w:val="004C702F"/>
    <w:rsid w:val="004D495A"/>
    <w:rsid w:val="004D59A3"/>
    <w:rsid w:val="004E5975"/>
    <w:rsid w:val="004E790A"/>
    <w:rsid w:val="004F50FD"/>
    <w:rsid w:val="00500A03"/>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DB7"/>
    <w:rsid w:val="0063783A"/>
    <w:rsid w:val="006423B9"/>
    <w:rsid w:val="00654270"/>
    <w:rsid w:val="00654B0D"/>
    <w:rsid w:val="00655CD8"/>
    <w:rsid w:val="006571DC"/>
    <w:rsid w:val="00660D4B"/>
    <w:rsid w:val="00664ECC"/>
    <w:rsid w:val="00670989"/>
    <w:rsid w:val="006757DC"/>
    <w:rsid w:val="00676095"/>
    <w:rsid w:val="00676FB8"/>
    <w:rsid w:val="00693843"/>
    <w:rsid w:val="0069426C"/>
    <w:rsid w:val="00694DFB"/>
    <w:rsid w:val="006A1C62"/>
    <w:rsid w:val="006A48FD"/>
    <w:rsid w:val="006A67F8"/>
    <w:rsid w:val="006A7AF1"/>
    <w:rsid w:val="006B11BB"/>
    <w:rsid w:val="006B72F7"/>
    <w:rsid w:val="006C12B8"/>
    <w:rsid w:val="006C37FC"/>
    <w:rsid w:val="006C7EA3"/>
    <w:rsid w:val="006D39E9"/>
    <w:rsid w:val="006D3BE3"/>
    <w:rsid w:val="006D7004"/>
    <w:rsid w:val="006D789D"/>
    <w:rsid w:val="006D7FF8"/>
    <w:rsid w:val="006E042A"/>
    <w:rsid w:val="006E48F5"/>
    <w:rsid w:val="006F5E68"/>
    <w:rsid w:val="0070412A"/>
    <w:rsid w:val="00706D60"/>
    <w:rsid w:val="007075E3"/>
    <w:rsid w:val="00707F66"/>
    <w:rsid w:val="007120CC"/>
    <w:rsid w:val="007142B8"/>
    <w:rsid w:val="00720D28"/>
    <w:rsid w:val="00722509"/>
    <w:rsid w:val="00727FCD"/>
    <w:rsid w:val="00733DDD"/>
    <w:rsid w:val="00750CDF"/>
    <w:rsid w:val="00752BA5"/>
    <w:rsid w:val="00753A7D"/>
    <w:rsid w:val="00755D86"/>
    <w:rsid w:val="007650D9"/>
    <w:rsid w:val="00767C98"/>
    <w:rsid w:val="00770971"/>
    <w:rsid w:val="00791180"/>
    <w:rsid w:val="0079131B"/>
    <w:rsid w:val="00796CA8"/>
    <w:rsid w:val="00797305"/>
    <w:rsid w:val="007B035B"/>
    <w:rsid w:val="007B4C04"/>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1D9E"/>
    <w:rsid w:val="00866CF2"/>
    <w:rsid w:val="008700EC"/>
    <w:rsid w:val="00876D65"/>
    <w:rsid w:val="0089068C"/>
    <w:rsid w:val="00891261"/>
    <w:rsid w:val="008A21B2"/>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431FA"/>
    <w:rsid w:val="00945AF6"/>
    <w:rsid w:val="009550BE"/>
    <w:rsid w:val="00955531"/>
    <w:rsid w:val="00955BE8"/>
    <w:rsid w:val="00957594"/>
    <w:rsid w:val="00963F40"/>
    <w:rsid w:val="0098122D"/>
    <w:rsid w:val="00986596"/>
    <w:rsid w:val="00990685"/>
    <w:rsid w:val="0099405D"/>
    <w:rsid w:val="009A0ABE"/>
    <w:rsid w:val="009B2D4B"/>
    <w:rsid w:val="009C0430"/>
    <w:rsid w:val="009C4E99"/>
    <w:rsid w:val="009C5186"/>
    <w:rsid w:val="009C60F7"/>
    <w:rsid w:val="009D0952"/>
    <w:rsid w:val="009E31DA"/>
    <w:rsid w:val="009E402C"/>
    <w:rsid w:val="009E7C6A"/>
    <w:rsid w:val="009F7ED4"/>
    <w:rsid w:val="00A03AAC"/>
    <w:rsid w:val="00A047D1"/>
    <w:rsid w:val="00A161C8"/>
    <w:rsid w:val="00A22AD0"/>
    <w:rsid w:val="00A22DA8"/>
    <w:rsid w:val="00A31671"/>
    <w:rsid w:val="00A33989"/>
    <w:rsid w:val="00A45320"/>
    <w:rsid w:val="00A52F8F"/>
    <w:rsid w:val="00A5612C"/>
    <w:rsid w:val="00A5689C"/>
    <w:rsid w:val="00A57AE4"/>
    <w:rsid w:val="00A63F19"/>
    <w:rsid w:val="00A66F42"/>
    <w:rsid w:val="00A71882"/>
    <w:rsid w:val="00A76625"/>
    <w:rsid w:val="00A83500"/>
    <w:rsid w:val="00A90049"/>
    <w:rsid w:val="00A917BF"/>
    <w:rsid w:val="00A96A94"/>
    <w:rsid w:val="00AA3A38"/>
    <w:rsid w:val="00AA4F94"/>
    <w:rsid w:val="00AB047E"/>
    <w:rsid w:val="00AC592E"/>
    <w:rsid w:val="00AC6C10"/>
    <w:rsid w:val="00AC7BC6"/>
    <w:rsid w:val="00AD24AA"/>
    <w:rsid w:val="00AE7962"/>
    <w:rsid w:val="00B12B7D"/>
    <w:rsid w:val="00B16985"/>
    <w:rsid w:val="00B221B8"/>
    <w:rsid w:val="00B27206"/>
    <w:rsid w:val="00B32AA7"/>
    <w:rsid w:val="00B4012D"/>
    <w:rsid w:val="00B40F64"/>
    <w:rsid w:val="00B42A76"/>
    <w:rsid w:val="00B7378D"/>
    <w:rsid w:val="00B82413"/>
    <w:rsid w:val="00B85352"/>
    <w:rsid w:val="00B87214"/>
    <w:rsid w:val="00B92FF5"/>
    <w:rsid w:val="00B959E6"/>
    <w:rsid w:val="00BA604D"/>
    <w:rsid w:val="00BC4585"/>
    <w:rsid w:val="00BC50F1"/>
    <w:rsid w:val="00BC73E5"/>
    <w:rsid w:val="00BD7473"/>
    <w:rsid w:val="00BD7703"/>
    <w:rsid w:val="00BE420D"/>
    <w:rsid w:val="00BF48B1"/>
    <w:rsid w:val="00BF6314"/>
    <w:rsid w:val="00C073E9"/>
    <w:rsid w:val="00C21520"/>
    <w:rsid w:val="00C222B2"/>
    <w:rsid w:val="00C225FB"/>
    <w:rsid w:val="00C37530"/>
    <w:rsid w:val="00C46B88"/>
    <w:rsid w:val="00C5218C"/>
    <w:rsid w:val="00C52191"/>
    <w:rsid w:val="00C5642F"/>
    <w:rsid w:val="00C63554"/>
    <w:rsid w:val="00C71497"/>
    <w:rsid w:val="00C72F5B"/>
    <w:rsid w:val="00C73BCD"/>
    <w:rsid w:val="00C77AEF"/>
    <w:rsid w:val="00C849CF"/>
    <w:rsid w:val="00C87129"/>
    <w:rsid w:val="00C91E1B"/>
    <w:rsid w:val="00CA5FD5"/>
    <w:rsid w:val="00CA7703"/>
    <w:rsid w:val="00CB0F92"/>
    <w:rsid w:val="00CD2DB1"/>
    <w:rsid w:val="00CD4E6D"/>
    <w:rsid w:val="00CD5707"/>
    <w:rsid w:val="00CD7702"/>
    <w:rsid w:val="00CE29EA"/>
    <w:rsid w:val="00CF6572"/>
    <w:rsid w:val="00D01F6A"/>
    <w:rsid w:val="00D02347"/>
    <w:rsid w:val="00D04755"/>
    <w:rsid w:val="00D13737"/>
    <w:rsid w:val="00D1638E"/>
    <w:rsid w:val="00D21FFF"/>
    <w:rsid w:val="00D272A5"/>
    <w:rsid w:val="00D43AFB"/>
    <w:rsid w:val="00D57B7C"/>
    <w:rsid w:val="00D65B44"/>
    <w:rsid w:val="00D8099B"/>
    <w:rsid w:val="00D866A8"/>
    <w:rsid w:val="00D92F47"/>
    <w:rsid w:val="00D94B8D"/>
    <w:rsid w:val="00D96C8D"/>
    <w:rsid w:val="00DA2876"/>
    <w:rsid w:val="00DC0B51"/>
    <w:rsid w:val="00DE27F7"/>
    <w:rsid w:val="00E44E18"/>
    <w:rsid w:val="00E54301"/>
    <w:rsid w:val="00E55ABD"/>
    <w:rsid w:val="00E60817"/>
    <w:rsid w:val="00E90C35"/>
    <w:rsid w:val="00EA70F1"/>
    <w:rsid w:val="00EB2516"/>
    <w:rsid w:val="00EB2C07"/>
    <w:rsid w:val="00EB374A"/>
    <w:rsid w:val="00ED62BE"/>
    <w:rsid w:val="00EF17AB"/>
    <w:rsid w:val="00EF6FA5"/>
    <w:rsid w:val="00F11104"/>
    <w:rsid w:val="00F13122"/>
    <w:rsid w:val="00F14CC6"/>
    <w:rsid w:val="00F16E3F"/>
    <w:rsid w:val="00F21783"/>
    <w:rsid w:val="00F22499"/>
    <w:rsid w:val="00F22B0F"/>
    <w:rsid w:val="00F246CB"/>
    <w:rsid w:val="00F24B42"/>
    <w:rsid w:val="00F24F73"/>
    <w:rsid w:val="00F27299"/>
    <w:rsid w:val="00F31F6E"/>
    <w:rsid w:val="00F3389C"/>
    <w:rsid w:val="00F375F2"/>
    <w:rsid w:val="00F54EAE"/>
    <w:rsid w:val="00F65334"/>
    <w:rsid w:val="00F66A51"/>
    <w:rsid w:val="00F71057"/>
    <w:rsid w:val="00F71A4B"/>
    <w:rsid w:val="00F728CF"/>
    <w:rsid w:val="00F743D4"/>
    <w:rsid w:val="00F83B17"/>
    <w:rsid w:val="00F87EDA"/>
    <w:rsid w:val="00F94113"/>
    <w:rsid w:val="00F970EE"/>
    <w:rsid w:val="00FB0BC9"/>
    <w:rsid w:val="00FB41D3"/>
    <w:rsid w:val="00FB4F70"/>
    <w:rsid w:val="00FB5EFC"/>
    <w:rsid w:val="00FB77BB"/>
    <w:rsid w:val="00FC15AA"/>
    <w:rsid w:val="00FC6C07"/>
    <w:rsid w:val="00FD1375"/>
    <w:rsid w:val="00FD359E"/>
    <w:rsid w:val="00FD5F37"/>
    <w:rsid w:val="00FE0A17"/>
    <w:rsid w:val="00FE179F"/>
    <w:rsid w:val="00FE5D8B"/>
    <w:rsid w:val="00FF213A"/>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633707909">
      <w:bodyDiv w:val="1"/>
      <w:marLeft w:val="0"/>
      <w:marRight w:val="0"/>
      <w:marTop w:val="0"/>
      <w:marBottom w:val="0"/>
      <w:divBdr>
        <w:top w:val="none" w:sz="0" w:space="0" w:color="auto"/>
        <w:left w:val="none" w:sz="0" w:space="0" w:color="auto"/>
        <w:bottom w:val="none" w:sz="0" w:space="0" w:color="auto"/>
        <w:right w:val="none" w:sz="0" w:space="0" w:color="auto"/>
      </w:divBdr>
    </w:div>
    <w:div w:id="202513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media/image1.jpeg" Type="http://schemas.openxmlformats.org/officeDocument/2006/relationships/image"/>
<Relationship Id="rId12" Target="footer2.xml" Type="http://schemas.openxmlformats.org/officeDocument/2006/relationships/footer"/>
<Relationship Id="rId13" Target="fontTable.xml" Type="http://schemas.openxmlformats.org/officeDocument/2006/relationships/fontTable"/>
<Relationship Id="rId14"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tylesWithEffects.xml" Type="http://schemas.microsoft.com/office/2007/relationships/stylesWithEffects"/>
<Relationship Id="rId5" Target="settings.xml" Type="http://schemas.openxmlformats.org/officeDocument/2006/relationships/settings"/>
<Relationship Id="rId6" Target="webSettings.xml" Type="http://schemas.openxmlformats.org/officeDocument/2006/relationships/webSettings"/>
<Relationship Id="rId7" Target="footnotes.xml" Type="http://schemas.openxmlformats.org/officeDocument/2006/relationships/footnotes"/>
<Relationship Id="rId8" Target="endnotes.xml" Type="http://schemas.openxmlformats.org/officeDocument/2006/relationships/endnotes"/>
<Relationship Id="rId9" Target="header1.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232AF-68F7-457D-8FD0-40204A42B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1683</TotalTime>
  <Pages>25</Pages>
  <Words>3743</Words>
  <Characters>21337</Characters>
  <Application>Microsoft Office Word</Application>
  <DocSecurity>0</DocSecurity>
  <Lines>177</Lines>
  <Paragraphs>50</Paragraphs>
  <ScaleCrop>false</ScaleCrop>
  <Company/>
  <LinksUpToDate>false</LinksUpToDate>
  <CharactersWithSpaces>25030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xbany</cp:lastModifiedBy>
  <dcterms:modified xsi:type="dcterms:W3CDTF">2017-07-14T06:51:00Z</dcterms:modified>
  <cp:revision>269</cp:revision>
</cp:coreProperties>
</file>