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spacing w:before="29" w:line="288" w:lineRule="auto"/>
        <w:jc w:val="center"/>
        <w:rPr>
          <w:b/>
          <w:sz w:val="36"/>
          <w:szCs w:val="36"/>
        </w:rPr>
      </w:pPr>
      <w:r>
        <w:rPr>
          <w:b/>
          <w:sz w:val="36"/>
          <w:szCs w:val="36"/>
        </w:rPr>
        <w:t>海富通欣盛定期开放混合型证券投资基金</w:t>
      </w:r>
    </w:p>
    <w:p>
      <w:pPr>
        <w:spacing w:before="29" w:line="288" w:lineRule="auto"/>
        <w:jc w:val="center"/>
        <w:rPr>
          <w:b/>
          <w:sz w:val="36"/>
          <w:szCs w:val="36"/>
        </w:rPr>
      </w:pPr>
      <w:r>
        <w:rPr>
          <w:b/>
          <w:sz w:val="36"/>
          <w:szCs w:val="36"/>
        </w:rPr>
        <w:t>2017年第3季度报告</w:t>
      </w:r>
    </w:p>
    <w:p>
      <w:pPr>
        <w:spacing w:before="29" w:line="288" w:lineRule="auto"/>
        <w:jc w:val="center"/>
        <w:rPr>
          <w:b/>
          <w:sz w:val="36"/>
          <w:szCs w:val="36"/>
        </w:rPr>
      </w:pPr>
      <w:r>
        <w:rPr>
          <w:b/>
          <w:sz w:val="36"/>
          <w:szCs w:val="36"/>
        </w:rPr>
        <w:t>2017年9月30日</w:t>
      </w: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ind w:firstLine="2168" w:firstLineChars="900"/>
        <w:rPr>
          <w:b/>
          <w:color w:val="000000"/>
          <w:sz w:val="24"/>
          <w:szCs w:val="24"/>
        </w:rPr>
      </w:pPr>
      <w:r>
        <w:rPr>
          <w:b/>
          <w:color w:val="000000"/>
          <w:sz w:val="24"/>
          <w:szCs w:val="24"/>
        </w:rPr>
        <w:t>基金管理人：海富通基金管理有限公司</w:t>
      </w:r>
    </w:p>
    <w:p>
      <w:pPr>
        <w:spacing w:before="29" w:line="288" w:lineRule="auto"/>
        <w:ind w:firstLine="2168" w:firstLineChars="900"/>
        <w:rPr>
          <w:b/>
          <w:color w:val="000000"/>
          <w:sz w:val="24"/>
          <w:szCs w:val="24"/>
        </w:rPr>
      </w:pPr>
      <w:r>
        <w:rPr>
          <w:b/>
          <w:color w:val="000000"/>
          <w:sz w:val="24"/>
          <w:szCs w:val="24"/>
        </w:rPr>
        <w:t>基金托管人：交通银行股份有限公司</w:t>
      </w:r>
    </w:p>
    <w:p>
      <w:pPr>
        <w:spacing w:before="29" w:line="288" w:lineRule="auto"/>
        <w:ind w:firstLine="2168" w:firstLineChars="900"/>
        <w:rPr>
          <w:b/>
          <w:color w:val="000000"/>
          <w:sz w:val="24"/>
          <w:szCs w:val="24"/>
        </w:rPr>
        <w:sectPr>
          <w:headerReference r:id="rId3" w:type="default"/>
          <w:footerReference r:id="rId4" w:type="default"/>
          <w:pgSz w:w="11926" w:h="15840"/>
          <w:pgMar w:top="1418" w:right="1440" w:bottom="851" w:left="1440" w:header="851" w:footer="992" w:gutter="0"/>
          <w:cols w:space="720" w:num="1"/>
        </w:sectPr>
      </w:pPr>
      <w:r>
        <w:rPr>
          <w:b/>
          <w:color w:val="000000"/>
          <w:sz w:val="24"/>
          <w:szCs w:val="24"/>
        </w:rPr>
        <w:t>报告送出日期：二〇一七年十月二十五日</w:t>
      </w:r>
    </w:p>
    <w:p>
      <w:pPr>
        <w:pStyle w:val="2"/>
        <w:spacing w:beforeLines="100" w:afterLines="100" w:line="288" w:lineRule="auto"/>
        <w:jc w:val="center"/>
        <w:rPr>
          <w:b w:val="0"/>
          <w:bCs w:val="0"/>
          <w:color w:val="000000"/>
          <w:kern w:val="0"/>
          <w:sz w:val="24"/>
          <w:szCs w:val="24"/>
        </w:rPr>
      </w:pPr>
      <w:r>
        <w:rPr>
          <w:color w:val="000000"/>
          <w:kern w:val="0"/>
          <w:sz w:val="24"/>
          <w:szCs w:val="24"/>
        </w:rPr>
        <w:t>§1  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基金托管人交通银行股份有限公司根据本基金合同规定，于2017年10月24日复核了本报告中的财务指标、净值表现和投资组合报告等内容，保证复核内容不存在虚假记载、误导性陈述或者重大遗漏。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 xml:space="preserve">本报告中财务资料未经审计。 </w:t>
      </w:r>
    </w:p>
    <w:p>
      <w:pPr>
        <w:spacing w:before="29" w:line="288" w:lineRule="auto"/>
        <w:ind w:firstLine="480" w:firstLineChars="200"/>
        <w:rPr>
          <w:color w:val="000000"/>
          <w:sz w:val="24"/>
          <w:szCs w:val="24"/>
        </w:rPr>
      </w:pPr>
      <w:r>
        <w:rPr>
          <w:color w:val="000000"/>
          <w:sz w:val="24"/>
          <w:szCs w:val="24"/>
        </w:rPr>
        <w:t>本报告期自2017年7月1日起至9月30日止。</w:t>
      </w:r>
    </w:p>
    <w:p>
      <w:pPr>
        <w:spacing w:before="29" w:line="288" w:lineRule="auto"/>
        <w:ind w:firstLine="480" w:firstLineChars="200"/>
        <w:rPr>
          <w:color w:val="000000"/>
          <w:sz w:val="24"/>
          <w:szCs w:val="24"/>
        </w:rPr>
      </w:pPr>
    </w:p>
    <w:p>
      <w:pPr>
        <w:pStyle w:val="2"/>
        <w:spacing w:beforeLines="100" w:afterLines="100" w:line="288" w:lineRule="auto"/>
        <w:jc w:val="center"/>
        <w:rPr>
          <w:color w:val="000000"/>
          <w:kern w:val="0"/>
          <w:sz w:val="24"/>
          <w:szCs w:val="24"/>
        </w:rPr>
      </w:pPr>
      <w:r>
        <w:rPr>
          <w:color w:val="000000"/>
          <w:kern w:val="0"/>
          <w:sz w:val="24"/>
          <w:szCs w:val="24"/>
        </w:rPr>
        <w:t>§2  基金产品概况</w:t>
      </w:r>
    </w:p>
    <w:tbl>
      <w:tblPr>
        <w:tblStyle w:val="30"/>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2922"/>
        <w:gridCol w:w="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kern w:val="0"/>
                <w:sz w:val="24"/>
                <w:szCs w:val="24"/>
              </w:rPr>
            </w:pPr>
            <w:r>
              <w:rPr>
                <w:kern w:val="0"/>
                <w:sz w:val="24"/>
                <w:szCs w:val="24"/>
              </w:rPr>
              <w:t>基金简称</w:t>
            </w:r>
          </w:p>
        </w:tc>
        <w:tc>
          <w:tcPr>
            <w:tcW w:w="5845" w:type="dxa"/>
            <w:gridSpan w:val="2"/>
            <w:vAlign w:val="center"/>
          </w:tcPr>
          <w:p>
            <w:pPr>
              <w:adjustRightInd w:val="0"/>
              <w:spacing w:before="29" w:line="288" w:lineRule="auto"/>
              <w:ind w:left="17"/>
              <w:jc w:val="left"/>
              <w:rPr>
                <w:color w:val="000000"/>
                <w:kern w:val="0"/>
                <w:sz w:val="24"/>
                <w:szCs w:val="24"/>
              </w:rPr>
            </w:pPr>
            <w:r>
              <w:rPr>
                <w:color w:val="000000"/>
                <w:kern w:val="0"/>
                <w:sz w:val="24"/>
                <w:szCs w:val="24"/>
              </w:rPr>
              <w:t>海富通欣盛定开混合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kern w:val="0"/>
                <w:sz w:val="24"/>
                <w:szCs w:val="24"/>
              </w:rPr>
            </w:pPr>
            <w:r>
              <w:rPr>
                <w:kern w:val="0"/>
                <w:sz w:val="24"/>
                <w:szCs w:val="24"/>
              </w:rPr>
              <w:t>基金主代码</w:t>
            </w:r>
          </w:p>
        </w:tc>
        <w:tc>
          <w:tcPr>
            <w:tcW w:w="58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color w:val="000000"/>
                <w:kern w:val="0"/>
                <w:sz w:val="24"/>
                <w:szCs w:val="24"/>
              </w:rPr>
            </w:pPr>
            <w:r>
              <w:rPr>
                <w:color w:val="000000"/>
                <w:kern w:val="0"/>
                <w:sz w:val="24"/>
                <w:szCs w:val="24"/>
              </w:rPr>
              <w:t>519227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kern w:val="0"/>
                <w:sz w:val="24"/>
                <w:szCs w:val="24"/>
              </w:rPr>
            </w:pPr>
            <w:r>
              <w:rPr>
                <w:kern w:val="0"/>
                <w:sz w:val="24"/>
                <w:szCs w:val="24"/>
              </w:rPr>
              <w:t>交易代码</w:t>
            </w:r>
          </w:p>
        </w:tc>
        <w:tc>
          <w:tcPr>
            <w:tcW w:w="5845" w:type="dxa"/>
            <w:gridSpan w:val="2"/>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color w:val="000000"/>
                <w:kern w:val="0"/>
                <w:sz w:val="24"/>
                <w:szCs w:val="24"/>
              </w:rPr>
            </w:pPr>
            <w:r>
              <w:rPr>
                <w:kern w:val="0"/>
                <w:sz w:val="24"/>
              </w:rPr>
              <w:t>519227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基金运作方式</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基金合同生效日</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2017年3月16日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报告期末基金份额总额</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200,062,274.03份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投资目标</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本基金在力求本金长期安全的基础上， 通过稳健的大类资产配置策略和个券及个股精选策略，力争为基金份额持有人创造超额收益。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投资策略</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本基金为混合型基金，对债券资产的投资比例不低于基金资产的60%。在此约束下，本基金通过对宏观经济趋势、金融货币政策、供求因素、估值因素、市场风险收益特征及市场行为因素等进行评估分析，对固定收益类资产和股票资产等的预期风险收益进行动态跟踪，从而决定其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业绩比较基准</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中证全债指数收益率×70%＋沪深300 指数收益率×30％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风险收益特征</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本基金为混合型基金，其预期收益及预期风险水平高于债券型基金和货币市场基金，但低于股票型基金，属于中等风险水平的投资品种。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基金管理人</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海富通基金管理有限公司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基金托管人</w:t>
            </w:r>
          </w:p>
        </w:tc>
        <w:tc>
          <w:tcPr>
            <w:tcW w:w="5845" w:type="dxa"/>
            <w:gridSpan w:val="2"/>
            <w:vAlign w:val="center"/>
          </w:tcPr>
          <w:p>
            <w:pPr>
              <w:adjustRightInd w:val="0"/>
              <w:spacing w:before="29" w:line="288" w:lineRule="auto"/>
              <w:ind w:left="17"/>
              <w:jc w:val="left"/>
              <w:rPr>
                <w:color w:val="000000"/>
                <w:sz w:val="24"/>
                <w:szCs w:val="24"/>
              </w:rPr>
            </w:pPr>
            <w:r>
              <w:rPr>
                <w:color w:val="000000"/>
                <w:kern w:val="0"/>
                <w:sz w:val="24"/>
                <w:szCs w:val="24"/>
              </w:rPr>
              <w:t>交通银行股份有限公司</w:t>
            </w:r>
          </w:p>
        </w:tc>
      </w:tr>
    </w:tbl>
    <w:p>
      <w:pPr>
        <w:autoSpaceDE w:val="0"/>
        <w:autoSpaceDN w:val="0"/>
        <w:adjustRightInd w:val="0"/>
        <w:spacing w:before="29" w:line="288" w:lineRule="auto"/>
        <w:jc w:val="left"/>
        <w:rPr>
          <w:color w:val="000000"/>
          <w:kern w:val="0"/>
          <w:sz w:val="24"/>
          <w:szCs w:val="24"/>
        </w:rPr>
      </w:pPr>
    </w:p>
    <w:p>
      <w:pPr>
        <w:pStyle w:val="2"/>
        <w:spacing w:beforeLines="100" w:afterLines="100" w:line="288" w:lineRule="auto"/>
        <w:jc w:val="center"/>
        <w:rPr>
          <w:color w:val="000000"/>
          <w:kern w:val="0"/>
          <w:sz w:val="24"/>
          <w:szCs w:val="24"/>
        </w:rPr>
      </w:pPr>
      <w:r>
        <w:rPr>
          <w:color w:val="000000"/>
          <w:kern w:val="0"/>
          <w:sz w:val="24"/>
          <w:szCs w:val="24"/>
        </w:rPr>
        <w:t>§3  主要财务指标和基金净值表现</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3.1 主要财务指标</w:t>
      </w:r>
    </w:p>
    <w:p>
      <w:pPr>
        <w:autoSpaceDE w:val="0"/>
        <w:autoSpaceDN w:val="0"/>
        <w:adjustRightInd w:val="0"/>
        <w:spacing w:before="29" w:line="288" w:lineRule="auto"/>
        <w:ind w:left="15"/>
        <w:jc w:val="right"/>
        <w:rPr>
          <w:color w:val="000000"/>
          <w:kern w:val="0"/>
          <w:sz w:val="24"/>
          <w:szCs w:val="24"/>
        </w:rPr>
      </w:pPr>
      <w:r>
        <w:rPr>
          <w:color w:val="000000"/>
          <w:kern w:val="0"/>
          <w:sz w:val="24"/>
          <w:szCs w:val="24"/>
        </w:rPr>
        <w:t>单位：人民币元</w:t>
      </w:r>
    </w:p>
    <w:tbl>
      <w:tblPr>
        <w:tblStyle w:val="30"/>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7"/>
        <w:gridCol w:w="2706"/>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07" w:type="dxa"/>
            <w:vAlign w:val="center"/>
          </w:tcPr>
          <w:p>
            <w:pPr>
              <w:adjustRightInd w:val="0"/>
              <w:spacing w:before="29" w:line="288" w:lineRule="auto"/>
              <w:ind w:left="17"/>
              <w:jc w:val="center"/>
              <w:rPr>
                <w:kern w:val="0"/>
                <w:sz w:val="24"/>
                <w:szCs w:val="24"/>
              </w:rPr>
            </w:pPr>
            <w:r>
              <w:rPr>
                <w:kern w:val="0"/>
                <w:sz w:val="24"/>
                <w:szCs w:val="24"/>
              </w:rPr>
              <w:t>主要财务指标</w:t>
            </w:r>
          </w:p>
        </w:tc>
        <w:tc>
          <w:tcPr>
            <w:tcW w:w="5261" w:type="dxa"/>
            <w:hMerge w:val="restart"/>
            <w:vAlign w:val="center"/>
          </w:tcPr>
          <w:p>
            <w:pPr>
              <w:adjustRightInd w:val="0"/>
              <w:spacing w:before="29" w:line="288" w:lineRule="auto"/>
              <w:ind w:left="17"/>
              <w:jc w:val="center"/>
              <w:rPr>
                <w:color w:val="000000"/>
                <w:sz w:val="24"/>
                <w:szCs w:val="24"/>
              </w:rPr>
            </w:pPr>
            <w:r>
              <w:rPr>
                <w:color w:val="000000"/>
                <w:sz w:val="24"/>
                <w:szCs w:val="24"/>
              </w:rPr>
              <w:t>报告期</w:t>
            </w:r>
          </w:p>
          <w:p>
            <w:pPr>
              <w:adjustRightInd w:val="0"/>
              <w:spacing w:before="29" w:line="288" w:lineRule="auto"/>
              <w:ind w:left="17"/>
              <w:jc w:val="center"/>
              <w:rPr>
                <w:color w:val="000000"/>
                <w:sz w:val="24"/>
                <w:szCs w:val="24"/>
              </w:rPr>
            </w:pPr>
            <w:r>
              <w:rPr>
                <w:color w:val="000000"/>
                <w:sz w:val="24"/>
                <w:szCs w:val="24"/>
              </w:rPr>
              <w:t>(2017年7月1日-2017年9月30日)</w:t>
            </w:r>
          </w:p>
        </w:tc>
        <w:tc>
          <w:tcPr>
            <w:tcW w:w="2555" w:type="dxa"/>
            <w:hMerge/>
            <w:vAlign w:val="center"/>
          </w:tcPr>
          <w:p>
            <w:pPr>
              <w:adjustRightInd w:val="0"/>
              <w:spacing w:before="29" w:line="288" w:lineRule="auto"/>
              <w:ind w:left="17"/>
              <w:jc w:val="center"/>
              <w:rPr>
                <w:color w:val="000000"/>
                <w:sz w:val="24"/>
                <w:szCs w:val="24"/>
              </w:rPr>
            </w:pPr>
            <w:r>
              <w:rPr>
                <w:color w:val="000000"/>
                <w:sz w:val="24"/>
                <w:szCs w:val="24"/>
              </w:rPr>
              <w:t>上期金额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07" w:type="dxa"/>
            <w:vAlign w:val="center"/>
          </w:tcPr>
          <w:p>
            <w:pPr>
              <w:adjustRightInd w:val="0"/>
              <w:spacing w:before="29" w:line="288" w:lineRule="auto"/>
              <w:ind w:left="17"/>
              <w:rPr>
                <w:kern w:val="0"/>
                <w:sz w:val="24"/>
                <w:szCs w:val="24"/>
              </w:rPr>
            </w:pPr>
            <w:r>
              <w:rPr>
                <w:kern w:val="0"/>
                <w:sz w:val="24"/>
                <w:szCs w:val="24"/>
              </w:rPr>
              <w:t>1.本期已实现收益</w:t>
            </w:r>
          </w:p>
        </w:tc>
        <w:tc>
          <w:tcPr>
            <w:tcW w:w="5261" w:type="dxa"/>
            <w:hMerge w:val="restart"/>
            <w:vAlign w:val="center"/>
          </w:tcPr>
          <w:p>
            <w:pPr>
              <w:adjustRightInd w:val="0"/>
              <w:spacing w:before="29" w:line="288" w:lineRule="auto"/>
              <w:ind w:left="17"/>
              <w:jc w:val="right"/>
              <w:rPr>
                <w:color w:val="000000"/>
                <w:sz w:val="24"/>
                <w:szCs w:val="24"/>
              </w:rPr>
            </w:pPr>
            <w:r>
              <w:rPr>
                <w:color w:val="000000"/>
                <w:sz w:val="24"/>
                <w:szCs w:val="24"/>
              </w:rPr>
              <w:t>1,325,271.83</w:t>
            </w:r>
          </w:p>
        </w:tc>
        <w:tc>
          <w:tcPr>
            <w:tcW w:w="2555" w:type="dxa"/>
            <w:hMerge/>
            <w:vAlign w:val="center"/>
          </w:tcPr>
          <w:p>
            <w:pPr>
              <w:adjustRightInd w:val="0"/>
              <w:spacing w:before="29" w:line="288" w:lineRule="auto"/>
              <w:ind w:left="17"/>
              <w:jc w:val="right"/>
              <w:rPr>
                <w:color w:val="000000"/>
                <w:sz w:val="24"/>
                <w:szCs w:val="24"/>
              </w:rPr>
            </w:pPr>
            <w:r>
              <w:rP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07" w:type="dxa"/>
            <w:vAlign w:val="center"/>
          </w:tcPr>
          <w:p>
            <w:pPr>
              <w:adjustRightInd w:val="0"/>
              <w:spacing w:before="29" w:line="288" w:lineRule="auto"/>
              <w:ind w:left="17"/>
              <w:rPr>
                <w:kern w:val="0"/>
                <w:sz w:val="24"/>
                <w:szCs w:val="24"/>
              </w:rPr>
            </w:pPr>
            <w:r>
              <w:rPr>
                <w:kern w:val="0"/>
                <w:sz w:val="24"/>
                <w:szCs w:val="24"/>
              </w:rPr>
              <w:t>2.本期利润</w:t>
            </w:r>
          </w:p>
        </w:tc>
        <w:tc>
          <w:tcPr>
            <w:tcW w:w="5261" w:type="dxa"/>
            <w:hMerge w:val="restart"/>
            <w:vAlign w:val="center"/>
          </w:tcPr>
          <w:p>
            <w:pPr>
              <w:adjustRightInd w:val="0"/>
              <w:spacing w:before="29" w:line="288" w:lineRule="auto"/>
              <w:ind w:left="17"/>
              <w:jc w:val="right"/>
              <w:rPr>
                <w:color w:val="000000"/>
                <w:sz w:val="24"/>
                <w:szCs w:val="24"/>
              </w:rPr>
            </w:pPr>
            <w:r>
              <w:rPr>
                <w:color w:val="000000"/>
                <w:sz w:val="24"/>
                <w:szCs w:val="24"/>
              </w:rPr>
              <w:t>2,768,950.62</w:t>
            </w:r>
          </w:p>
        </w:tc>
        <w:tc>
          <w:tcPr>
            <w:tcW w:w="2555" w:type="dxa"/>
            <w:hMerge/>
            <w:vAlign w:val="center"/>
          </w:tcPr>
          <w:p>
            <w:pPr>
              <w:adjustRightInd w:val="0"/>
              <w:spacing w:before="29" w:line="288" w:lineRule="auto"/>
              <w:ind w:left="17"/>
              <w:jc w:val="right"/>
              <w:rPr>
                <w:color w:val="000000"/>
                <w:sz w:val="24"/>
                <w:szCs w:val="24"/>
              </w:rPr>
            </w:pPr>
            <w:r>
              <w:rP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07" w:type="dxa"/>
            <w:vAlign w:val="center"/>
          </w:tcPr>
          <w:p>
            <w:pPr>
              <w:adjustRightInd w:val="0"/>
              <w:spacing w:before="29" w:line="288" w:lineRule="auto"/>
              <w:ind w:left="17"/>
              <w:rPr>
                <w:kern w:val="0"/>
                <w:sz w:val="24"/>
                <w:szCs w:val="24"/>
              </w:rPr>
            </w:pPr>
            <w:r>
              <w:rPr>
                <w:kern w:val="0"/>
                <w:sz w:val="24"/>
                <w:szCs w:val="24"/>
              </w:rPr>
              <w:t>3.加权平均基金份额本期利润</w:t>
            </w:r>
          </w:p>
        </w:tc>
        <w:tc>
          <w:tcPr>
            <w:tcW w:w="5261" w:type="dxa"/>
            <w:hMerge w:val="restart"/>
            <w:vAlign w:val="center"/>
          </w:tcPr>
          <w:p>
            <w:pPr>
              <w:adjustRightInd w:val="0"/>
              <w:spacing w:before="29" w:line="288" w:lineRule="auto"/>
              <w:ind w:left="17"/>
              <w:jc w:val="right"/>
              <w:rPr>
                <w:color w:val="000000"/>
                <w:sz w:val="24"/>
                <w:szCs w:val="24"/>
              </w:rPr>
            </w:pPr>
            <w:r>
              <w:rPr>
                <w:color w:val="000000"/>
                <w:sz w:val="24"/>
                <w:szCs w:val="24"/>
              </w:rPr>
              <w:t>0.0138</w:t>
            </w:r>
          </w:p>
        </w:tc>
        <w:tc>
          <w:tcPr>
            <w:tcW w:w="2555" w:type="dxa"/>
            <w:hMerge/>
            <w:vAlign w:val="center"/>
          </w:tcPr>
          <w:p>
            <w:pPr>
              <w:adjustRightInd w:val="0"/>
              <w:spacing w:before="29" w:line="288" w:lineRule="auto"/>
              <w:ind w:left="17"/>
              <w:jc w:val="right"/>
              <w:rPr>
                <w:color w:val="000000"/>
                <w:sz w:val="24"/>
                <w:szCs w:val="24"/>
              </w:rPr>
            </w:pPr>
            <w:r>
              <w:rP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07" w:type="dxa"/>
            <w:vAlign w:val="center"/>
          </w:tcPr>
          <w:p>
            <w:pPr>
              <w:adjustRightInd w:val="0"/>
              <w:spacing w:before="29" w:line="288" w:lineRule="auto"/>
              <w:ind w:left="17"/>
              <w:rPr>
                <w:kern w:val="0"/>
                <w:sz w:val="24"/>
                <w:szCs w:val="24"/>
              </w:rPr>
            </w:pPr>
            <w:r>
              <w:rPr>
                <w:kern w:val="0"/>
                <w:sz w:val="24"/>
                <w:szCs w:val="24"/>
              </w:rPr>
              <w:t>4.期末基金资产净值</w:t>
            </w:r>
          </w:p>
        </w:tc>
        <w:tc>
          <w:tcPr>
            <w:tcW w:w="5261" w:type="dxa"/>
            <w:hMerge w:val="restart"/>
            <w:vAlign w:val="center"/>
          </w:tcPr>
          <w:p>
            <w:pPr>
              <w:adjustRightInd w:val="0"/>
              <w:spacing w:before="29" w:line="288" w:lineRule="auto"/>
              <w:ind w:left="17"/>
              <w:jc w:val="right"/>
              <w:rPr>
                <w:color w:val="000000"/>
                <w:sz w:val="24"/>
                <w:szCs w:val="24"/>
              </w:rPr>
            </w:pPr>
            <w:r>
              <w:rPr>
                <w:color w:val="000000"/>
                <w:sz w:val="24"/>
                <w:szCs w:val="24"/>
              </w:rPr>
              <w:t>205,508,874.34</w:t>
            </w:r>
          </w:p>
        </w:tc>
        <w:tc>
          <w:tcPr>
            <w:tcW w:w="2555" w:type="dxa"/>
            <w:hMerge/>
            <w:vAlign w:val="center"/>
          </w:tcPr>
          <w:p>
            <w:pPr>
              <w:adjustRightInd w:val="0"/>
              <w:spacing w:before="29" w:line="288" w:lineRule="auto"/>
              <w:ind w:left="17"/>
              <w:jc w:val="right"/>
              <w:rPr>
                <w:color w:val="000000"/>
                <w:sz w:val="24"/>
                <w:szCs w:val="24"/>
              </w:rPr>
            </w:pPr>
            <w:r>
              <w:rPr>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 w:hRule="atLeast"/>
          <w:jc w:val="center"/>
        </w:trPr>
        <w:tc>
          <w:tcPr>
            <w:tcW w:w="3607" w:type="dxa"/>
            <w:vAlign w:val="center"/>
          </w:tcPr>
          <w:p>
            <w:pPr>
              <w:adjustRightInd w:val="0"/>
              <w:spacing w:before="29" w:line="288" w:lineRule="auto"/>
              <w:ind w:left="17"/>
              <w:rPr>
                <w:kern w:val="0"/>
                <w:sz w:val="24"/>
                <w:szCs w:val="24"/>
              </w:rPr>
            </w:pPr>
            <w:r>
              <w:rPr>
                <w:kern w:val="0"/>
                <w:sz w:val="24"/>
                <w:szCs w:val="24"/>
              </w:rPr>
              <w:t>5.期末基金份额净值</w:t>
            </w:r>
          </w:p>
        </w:tc>
        <w:tc>
          <w:tcPr>
            <w:tcW w:w="5261" w:type="dxa"/>
            <w:hMerge w:val="restart"/>
            <w:vAlign w:val="center"/>
          </w:tcPr>
          <w:p>
            <w:pPr>
              <w:adjustRightInd w:val="0"/>
              <w:spacing w:before="29" w:line="288" w:lineRule="auto"/>
              <w:ind w:left="17"/>
              <w:jc w:val="right"/>
              <w:rPr>
                <w:color w:val="000000"/>
                <w:sz w:val="24"/>
                <w:szCs w:val="24"/>
              </w:rPr>
            </w:pPr>
            <w:r>
              <w:rPr>
                <w:color w:val="000000"/>
                <w:sz w:val="24"/>
                <w:szCs w:val="24"/>
              </w:rPr>
              <w:t>1.027</w:t>
            </w:r>
          </w:p>
        </w:tc>
        <w:tc>
          <w:tcPr>
            <w:tcW w:w="2555" w:type="dxa"/>
            <w:hMerge/>
            <w:vAlign w:val="center"/>
          </w:tcPr>
          <w:p>
            <w:pPr>
              <w:adjustRightInd w:val="0"/>
              <w:spacing w:before="29" w:line="288" w:lineRule="auto"/>
              <w:ind w:left="17"/>
              <w:jc w:val="right"/>
              <w:rPr>
                <w:color w:val="000000"/>
                <w:sz w:val="24"/>
                <w:szCs w:val="24"/>
              </w:rPr>
            </w:pPr>
            <w:r>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注：（1）所述基金业绩指标不包括持有人认购或交易基金的各项费用，计入费用后实际收益水平要低于所列数字。</w:t>
      </w:r>
    </w:p>
    <w:p>
      <w:pPr>
        <w:autoSpaceDE w:val="0"/>
        <w:autoSpaceDN w:val="0"/>
        <w:adjustRightInd w:val="0"/>
        <w:spacing w:before="29" w:line="288" w:lineRule="auto"/>
        <w:jc w:val="left"/>
        <w:rPr>
          <w:color w:val="000000"/>
          <w:sz w:val="24"/>
          <w:szCs w:val="24"/>
        </w:rPr>
      </w:pPr>
      <w:r>
        <w:rPr>
          <w:color w:val="000000"/>
          <w:sz w:val="24"/>
          <w:szCs w:val="24"/>
        </w:rPr>
        <w:t>（2）本期已实现收益指基金本期利息收入、投资收益、其他收入（不含公允价值变动收益）扣除相关费用后的余额，本期利润为本期已实现收益加上本期公允价值变动收益。</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3.2 基金净值表现</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3.2.1 本报告期基金份额净值增长率及其与同期业绩比较基准收益率的比较</w:t>
      </w:r>
    </w:p>
    <w:tbl>
      <w:tblPr>
        <w:tblStyle w:val="31"/>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01"/>
        <w:gridCol w:w="1045"/>
        <w:gridCol w:w="1344"/>
        <w:gridCol w:w="1194"/>
        <w:gridCol w:w="1492"/>
        <w:gridCol w:w="119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701"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阶段</w:t>
            </w:r>
          </w:p>
        </w:tc>
        <w:tc>
          <w:tcPr>
            <w:tcW w:w="1045"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净值增长率</w:t>
            </w:r>
            <w:r>
              <w:rPr>
                <w:rFonts w:hAnsi="宋体"/>
                <w:color w:val="000000"/>
                <w:kern w:val="0"/>
                <w:sz w:val="24"/>
                <w:szCs w:val="24"/>
              </w:rPr>
              <w:t>①</w:t>
            </w:r>
          </w:p>
        </w:tc>
        <w:tc>
          <w:tcPr>
            <w:tcW w:w="1344"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净值增长率标准差</w:t>
            </w:r>
            <w:r>
              <w:rPr>
                <w:rFonts w:hAnsi="宋体"/>
                <w:color w:val="000000"/>
                <w:kern w:val="0"/>
                <w:sz w:val="24"/>
                <w:szCs w:val="24"/>
              </w:rPr>
              <w:t>②</w:t>
            </w:r>
          </w:p>
        </w:tc>
        <w:tc>
          <w:tcPr>
            <w:tcW w:w="1194"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业绩比较基准收益率</w:t>
            </w:r>
            <w:r>
              <w:rPr>
                <w:rFonts w:hAnsi="宋体"/>
                <w:color w:val="000000"/>
                <w:kern w:val="0"/>
                <w:sz w:val="24"/>
                <w:szCs w:val="24"/>
              </w:rPr>
              <w:t>③</w:t>
            </w:r>
          </w:p>
        </w:tc>
        <w:tc>
          <w:tcPr>
            <w:tcW w:w="1492"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业绩比较基准收益率标准差</w:t>
            </w:r>
            <w:r>
              <w:rPr>
                <w:rFonts w:hAnsi="宋体"/>
                <w:color w:val="000000"/>
                <w:kern w:val="0"/>
                <w:sz w:val="24"/>
                <w:szCs w:val="24"/>
              </w:rPr>
              <w:t>④</w:t>
            </w:r>
          </w:p>
        </w:tc>
        <w:tc>
          <w:tcPr>
            <w:tcW w:w="1194" w:type="dxa"/>
            <w:vAlign w:val="center"/>
          </w:tcPr>
          <w:p>
            <w:pPr>
              <w:autoSpaceDE w:val="0"/>
              <w:autoSpaceDN w:val="0"/>
              <w:adjustRightInd w:val="0"/>
              <w:spacing w:before="29" w:line="288" w:lineRule="auto"/>
              <w:ind w:left="17"/>
              <w:jc w:val="center"/>
              <w:rPr>
                <w:color w:val="000000"/>
                <w:kern w:val="0"/>
                <w:sz w:val="24"/>
                <w:szCs w:val="24"/>
              </w:rPr>
            </w:pPr>
            <w:r>
              <w:rPr>
                <w:rFonts w:hAnsi="宋体"/>
                <w:color w:val="000000"/>
                <w:kern w:val="0"/>
                <w:sz w:val="24"/>
                <w:szCs w:val="24"/>
              </w:rPr>
              <w:t>①</w:t>
            </w:r>
            <w:r>
              <w:rPr>
                <w:color w:val="000000"/>
                <w:kern w:val="0"/>
                <w:sz w:val="24"/>
                <w:szCs w:val="24"/>
              </w:rPr>
              <w:t>-</w:t>
            </w:r>
            <w:r>
              <w:rPr>
                <w:rFonts w:hAnsi="宋体"/>
                <w:color w:val="000000"/>
                <w:kern w:val="0"/>
                <w:sz w:val="24"/>
                <w:szCs w:val="24"/>
              </w:rPr>
              <w:t>③</w:t>
            </w:r>
          </w:p>
        </w:tc>
        <w:tc>
          <w:tcPr>
            <w:tcW w:w="898" w:type="dxa"/>
            <w:vAlign w:val="center"/>
          </w:tcPr>
          <w:p>
            <w:pPr>
              <w:autoSpaceDE w:val="0"/>
              <w:autoSpaceDN w:val="0"/>
              <w:adjustRightInd w:val="0"/>
              <w:spacing w:before="29" w:line="288" w:lineRule="auto"/>
              <w:ind w:left="17"/>
              <w:jc w:val="center"/>
              <w:rPr>
                <w:color w:val="000000"/>
                <w:kern w:val="0"/>
                <w:sz w:val="24"/>
                <w:szCs w:val="24"/>
              </w:rPr>
            </w:pPr>
            <w:r>
              <w:rPr>
                <w:rFonts w:hAnsi="宋体"/>
                <w:color w:val="000000"/>
                <w:kern w:val="0"/>
                <w:sz w:val="24"/>
                <w:szCs w:val="24"/>
              </w:rPr>
              <w:t>②</w:t>
            </w:r>
            <w:r>
              <w:rPr>
                <w:color w:val="000000"/>
                <w:kern w:val="0"/>
                <w:sz w:val="24"/>
                <w:szCs w:val="24"/>
              </w:rPr>
              <w:t>-</w:t>
            </w:r>
            <w:r>
              <w:rPr>
                <w:rFonts w:hAnsi="宋体"/>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1.38%</w:t>
            </w:r>
          </w:p>
        </w:tc>
        <w:tc>
          <w:tcPr>
            <w:vAlign w:val="center"/>
          </w:tcPr>
          <w:p>
            <w:pPr>
              <w:jc w:val="center"/>
            </w:pPr>
            <w:r>
              <w:rPr>
                <w:color w:val="000000"/>
                <w:kern w:val="0"/>
                <w:sz w:val="24"/>
                <w:szCs w:val="24"/>
              </w:rPr>
              <w:t>0.12%</w:t>
            </w:r>
          </w:p>
        </w:tc>
        <w:tc>
          <w:tcPr>
            <w:vAlign w:val="center"/>
          </w:tcPr>
          <w:p>
            <w:pPr>
              <w:jc w:val="center"/>
            </w:pPr>
            <w:r>
              <w:rPr>
                <w:color w:val="000000"/>
                <w:kern w:val="0"/>
                <w:sz w:val="24"/>
                <w:szCs w:val="24"/>
              </w:rPr>
              <w:t>1.77%</w:t>
            </w:r>
          </w:p>
        </w:tc>
        <w:tc>
          <w:tcPr>
            <w:vAlign w:val="center"/>
          </w:tcPr>
          <w:p>
            <w:pPr>
              <w:jc w:val="center"/>
            </w:pPr>
            <w:r>
              <w:rPr>
                <w:color w:val="000000"/>
                <w:kern w:val="0"/>
                <w:sz w:val="24"/>
                <w:szCs w:val="24"/>
              </w:rPr>
              <w:t>0.17%</w:t>
            </w:r>
          </w:p>
        </w:tc>
        <w:tc>
          <w:tcPr>
            <w:vAlign w:val="center"/>
          </w:tcPr>
          <w:p>
            <w:pPr>
              <w:jc w:val="center"/>
            </w:pPr>
            <w:r>
              <w:rPr>
                <w:color w:val="000000"/>
                <w:kern w:val="0"/>
                <w:sz w:val="24"/>
                <w:szCs w:val="24"/>
              </w:rPr>
              <w:t>-0.39%</w:t>
            </w:r>
          </w:p>
        </w:tc>
        <w:tc>
          <w:tcPr>
            <w:vAlign w:val="center"/>
          </w:tcPr>
          <w:p>
            <w:pPr>
              <w:jc w:val="center"/>
            </w:pPr>
            <w:r>
              <w:rPr>
                <w:color w:val="000000"/>
                <w:kern w:val="0"/>
                <w:sz w:val="24"/>
                <w:szCs w:val="24"/>
              </w:rPr>
              <w:t>-0.05%</w:t>
            </w:r>
          </w:p>
        </w:tc>
      </w:tr>
    </w:tbl>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3.2.2</w:t>
      </w:r>
      <w:r>
        <w:rPr>
          <w:rFonts w:hint="eastAsia"/>
          <w:b/>
          <w:bCs/>
          <w:color w:val="000000"/>
          <w:kern w:val="0"/>
          <w:sz w:val="24"/>
          <w:szCs w:val="24"/>
        </w:rPr>
        <w:t xml:space="preserve">  自基金合同生效以来</w:t>
      </w:r>
      <w:r>
        <w:rPr>
          <w:b/>
          <w:bCs/>
          <w:color w:val="000000"/>
          <w:sz w:val="24"/>
        </w:rPr>
        <w:t>基金份额累计净值增长率变动及其与同期业绩比较基准收益率变动的比较</w:t>
      </w:r>
    </w:p>
    <w:p>
      <w:pPr>
        <w:spacing w:before="29" w:line="288" w:lineRule="auto"/>
        <w:jc w:val="center"/>
        <w:rPr>
          <w:color w:val="000000"/>
          <w:sz w:val="24"/>
          <w:szCs w:val="24"/>
        </w:rPr>
      </w:pPr>
      <w:r>
        <w:rPr>
          <w:color w:val="000000"/>
          <w:sz w:val="24"/>
          <w:szCs w:val="24"/>
        </w:rPr>
        <w:t>海富通欣盛定期开放混合型证券投资基金</w:t>
      </w:r>
    </w:p>
    <w:p>
      <w:pPr>
        <w:pStyle w:val="11"/>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pPr>
        <w:snapToGrid w:val="0"/>
        <w:spacing w:before="29" w:line="288" w:lineRule="auto"/>
        <w:jc w:val="center"/>
        <w:rPr>
          <w:color w:val="000000"/>
          <w:sz w:val="24"/>
        </w:rPr>
      </w:pPr>
      <w:r>
        <w:rPr>
          <w:rFonts w:hint="eastAsia"/>
          <w:color w:val="000000"/>
          <w:sz w:val="24"/>
        </w:rPr>
        <w:t>(</w:t>
      </w:r>
      <w:r>
        <w:rPr>
          <w:rFonts w:asciiTheme="minorEastAsia" w:hAnsiTheme="minorEastAsia" w:eastAsiaTheme="minorEastAsia"/>
          <w:color w:val="000000" w:themeColor="text1"/>
          <w:kern w:val="0"/>
          <w:sz w:val="24"/>
        </w:rPr>
        <w:t/>
      </w:r>
      <w:r>
        <w:rPr>
          <w:rFonts w:hint="eastAsia"/>
          <w:color w:val="000000"/>
          <w:sz w:val="24"/>
        </w:rPr>
        <w:t>2017年3月16日至</w:t>
      </w:r>
      <w:r>
        <w:rPr>
          <w:color w:val="000000"/>
          <w:sz w:val="24"/>
        </w:rPr>
        <w:t/>
      </w:r>
      <w:r>
        <w:rPr>
          <w:rFonts w:hint="eastAsia"/>
          <w:color w:val="000000"/>
          <w:sz w:val="24"/>
        </w:rPr>
        <w:t/>
      </w:r>
      <w:r>
        <w:rPr>
          <w:color w:val="000000"/>
          <w:sz w:val="24"/>
        </w:rPr>
        <w:t>2017年9月30日</w:t>
      </w:r>
      <w:r>
        <w:rPr>
          <w:rFonts w:hint="eastAsia"/>
          <w:color w:val="000000"/>
          <w:sz w:val="24"/>
        </w:rPr>
        <w:t>)</w:t>
      </w:r>
    </w:p>
    <w:p>
      <w:pPr>
        <w:pStyle w:val="11"/>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走势图1.jpg"/>
                    <pic:cNvPicPr>
                      <a:picLocks noChangeAspect="1"/>
                    </pic:cNvPicPr>
                  </pic:nvPicPr>
                  <pic:blipFill>
                    <a:blip r:embed="rId6" cstate="print"/>
                    <a:stretch>
                      <a:fillRect/>
                    </a:stretch>
                  </pic:blipFill>
                  <pic:spPr>
                    <a:xfrm>
                      <a:off x="0" y="0"/>
                      <a:ext cx="5731510" cy="3356610"/>
                    </a:xfrm>
                    <a:prstGeom prst="rect">
                      <a:avLst/>
                    </a:prstGeom>
                  </pic:spPr>
                </pic:pic>
              </a:graphicData>
            </a:graphic>
          </wp:inline>
        </w:drawing>
      </w:r>
    </w:p>
    <w:p>
      <w:pPr>
        <w:autoSpaceDE w:val="0"/>
        <w:autoSpaceDN w:val="0"/>
        <w:adjustRightInd w:val="0"/>
        <w:spacing w:before="29" w:line="288" w:lineRule="auto"/>
        <w:jc w:val="left"/>
        <w:rPr>
          <w:color w:val="000000"/>
          <w:sz w:val="24"/>
          <w:szCs w:val="24"/>
        </w:rPr>
      </w:pPr>
      <w:r>
        <w:rPr>
          <w:color w:val="000000"/>
          <w:sz w:val="24"/>
          <w:szCs w:val="24"/>
        </w:rPr>
        <w:t>注：1、本基金合同于2017年3月16日生效，截至报告期末本基金合同生效未满一年。</w:t>
      </w:r>
    </w:p>
    <w:p>
      <w:pPr>
        <w:autoSpaceDE w:val="0"/>
        <w:autoSpaceDN w:val="0"/>
        <w:adjustRightInd w:val="0"/>
        <w:spacing w:before="29" w:line="288" w:lineRule="auto"/>
        <w:jc w:val="left"/>
        <w:rPr>
          <w:color w:val="000000"/>
          <w:sz w:val="24"/>
          <w:szCs w:val="24"/>
        </w:rPr>
      </w:pPr>
      <w:r>
        <w:rPr>
          <w:color w:val="000000"/>
          <w:sz w:val="24"/>
          <w:szCs w:val="24"/>
        </w:rPr>
        <w:t>2、按基金合同规定，本基金自基金合同生效起6个月内为建仓期。建仓期结束时本基金的各项投资比例已达到基金合同第十二部分（二）投资范围、（四）投资限制中规定的各项比例。</w:t>
      </w:r>
    </w:p>
    <w:p>
      <w:pPr>
        <w:tabs>
          <w:tab w:val="left" w:pos="1800"/>
        </w:tabs>
        <w:spacing w:before="29" w:line="288" w:lineRule="auto"/>
        <w:rPr>
          <w:color w:val="000000"/>
          <w:sz w:val="24"/>
          <w:szCs w:val="24"/>
        </w:rPr>
      </w:pPr>
    </w:p>
    <w:p>
      <w:pPr>
        <w:tabs>
          <w:tab w:val="left" w:pos="1800"/>
        </w:tabs>
        <w:spacing w:before="29" w:line="288" w:lineRule="auto"/>
        <w:rPr>
          <w:color w:val="000000"/>
          <w:sz w:val="24"/>
          <w:szCs w:val="24"/>
        </w:rPr>
      </w:pPr>
    </w:p>
    <w:p>
      <w:pPr>
        <w:pStyle w:val="2"/>
        <w:spacing w:beforeLines="100" w:afterLines="100" w:line="288" w:lineRule="auto"/>
        <w:jc w:val="center"/>
        <w:rPr>
          <w:color w:val="000000"/>
          <w:kern w:val="0"/>
          <w:sz w:val="24"/>
          <w:szCs w:val="24"/>
        </w:rPr>
      </w:pPr>
      <w:r>
        <w:rPr>
          <w:color w:val="000000"/>
          <w:kern w:val="0"/>
          <w:sz w:val="24"/>
          <w:szCs w:val="24"/>
        </w:rPr>
        <w:t>§4  管理人报告</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4.1 基金经理</w:t>
      </w:r>
      <w:r>
        <w:rPr>
          <w:b/>
          <w:color w:val="000000"/>
          <w:kern w:val="0"/>
          <w:sz w:val="24"/>
        </w:rPr>
        <w:t>（</w:t>
      </w:r>
      <w:r>
        <w:rPr>
          <w:b/>
          <w:bCs/>
          <w:color w:val="000000"/>
          <w:kern w:val="0"/>
          <w:sz w:val="24"/>
          <w:szCs w:val="24"/>
        </w:rPr>
        <w:t>或基金经理小组</w:t>
      </w:r>
      <w:r>
        <w:rPr>
          <w:b/>
          <w:color w:val="000000"/>
          <w:kern w:val="0"/>
          <w:sz w:val="24"/>
        </w:rPr>
        <w:t>）</w:t>
      </w:r>
      <w:r>
        <w:rPr>
          <w:b/>
          <w:bCs/>
          <w:color w:val="000000"/>
          <w:kern w:val="0"/>
          <w:sz w:val="24"/>
          <w:szCs w:val="24"/>
        </w:rPr>
        <w:t>简介</w:t>
      </w:r>
    </w:p>
    <w:tbl>
      <w:tblPr>
        <w:tblStyle w:val="30"/>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5"/>
        <w:gridCol w:w="1549"/>
        <w:gridCol w:w="1548"/>
        <w:gridCol w:w="1407"/>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846" w:type="dxa"/>
            <w:vMerge w:val="restart"/>
            <w:vAlign w:val="center"/>
          </w:tcPr>
          <w:p>
            <w:pPr>
              <w:widowControl/>
              <w:spacing w:before="29" w:line="288" w:lineRule="auto"/>
              <w:ind w:left="17"/>
              <w:jc w:val="center"/>
              <w:rPr>
                <w:color w:val="000000"/>
                <w:kern w:val="0"/>
                <w:sz w:val="24"/>
                <w:szCs w:val="24"/>
              </w:rPr>
            </w:pPr>
            <w:r>
              <w:rPr>
                <w:color w:val="000000"/>
                <w:kern w:val="0"/>
                <w:sz w:val="24"/>
                <w:szCs w:val="24"/>
              </w:rPr>
              <w:t>姓名</w:t>
            </w:r>
          </w:p>
        </w:tc>
        <w:tc>
          <w:tcPr>
            <w:tcW w:w="845" w:type="dxa"/>
            <w:vMerge w:val="restart"/>
            <w:vAlign w:val="center"/>
          </w:tcPr>
          <w:p>
            <w:pPr>
              <w:widowControl/>
              <w:spacing w:before="29" w:line="288" w:lineRule="auto"/>
              <w:ind w:left="17"/>
              <w:jc w:val="center"/>
              <w:rPr>
                <w:color w:val="000000"/>
                <w:kern w:val="0"/>
                <w:sz w:val="24"/>
                <w:szCs w:val="24"/>
              </w:rPr>
            </w:pPr>
            <w:r>
              <w:rPr>
                <w:color w:val="000000"/>
                <w:kern w:val="0"/>
                <w:sz w:val="24"/>
                <w:szCs w:val="24"/>
              </w:rPr>
              <w:t>职务</w:t>
            </w:r>
          </w:p>
        </w:tc>
        <w:tc>
          <w:tcPr>
            <w:tcW w:w="3097" w:type="dxa"/>
            <w:gridSpan w:val="2"/>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任本基金的基金经理期限</w:t>
            </w:r>
          </w:p>
        </w:tc>
        <w:tc>
          <w:tcPr>
            <w:tcW w:w="1407" w:type="dxa"/>
            <w:vMerge w:val="restart"/>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证券从业年限</w:t>
            </w:r>
          </w:p>
        </w:tc>
        <w:tc>
          <w:tcPr>
            <w:tcW w:w="2673" w:type="dxa"/>
            <w:vMerge w:val="restart"/>
            <w:vAlign w:val="center"/>
          </w:tcPr>
          <w:p>
            <w:pPr>
              <w:widowControl/>
              <w:spacing w:before="29" w:line="288" w:lineRule="auto"/>
              <w:ind w:left="17"/>
              <w:jc w:val="center"/>
              <w:rPr>
                <w:color w:val="000000"/>
                <w:kern w:val="0"/>
                <w:sz w:val="24"/>
                <w:szCs w:val="24"/>
              </w:rPr>
            </w:pPr>
            <w:r>
              <w:rPr>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Merge w:val="continue"/>
            <w:vAlign w:val="center"/>
          </w:tcPr>
          <w:p>
            <w:pPr>
              <w:widowControl/>
              <w:spacing w:before="29" w:line="288" w:lineRule="auto"/>
              <w:jc w:val="left"/>
              <w:rPr>
                <w:color w:val="000000"/>
                <w:kern w:val="0"/>
                <w:sz w:val="24"/>
                <w:szCs w:val="24"/>
              </w:rPr>
            </w:pPr>
          </w:p>
        </w:tc>
        <w:tc>
          <w:tcPr>
            <w:tcW w:w="845" w:type="dxa"/>
            <w:vMerge w:val="continue"/>
            <w:vAlign w:val="center"/>
          </w:tcPr>
          <w:p>
            <w:pPr>
              <w:widowControl/>
              <w:spacing w:before="29" w:line="288" w:lineRule="auto"/>
              <w:jc w:val="left"/>
              <w:rPr>
                <w:color w:val="000000"/>
                <w:kern w:val="0"/>
                <w:sz w:val="24"/>
                <w:szCs w:val="24"/>
              </w:rPr>
            </w:pPr>
          </w:p>
        </w:tc>
        <w:tc>
          <w:tcPr>
            <w:tcW w:w="1549"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任职日期</w:t>
            </w:r>
          </w:p>
        </w:tc>
        <w:tc>
          <w:tcPr>
            <w:tcW w:w="1548"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离任日期</w:t>
            </w:r>
          </w:p>
        </w:tc>
        <w:tc>
          <w:tcPr>
            <w:tcW w:w="1407" w:type="dxa"/>
            <w:vMerge w:val="continue"/>
            <w:vAlign w:val="center"/>
          </w:tcPr>
          <w:p>
            <w:pPr>
              <w:widowControl/>
              <w:spacing w:before="29" w:line="288" w:lineRule="auto"/>
              <w:jc w:val="left"/>
              <w:rPr>
                <w:color w:val="000000"/>
                <w:kern w:val="0"/>
                <w:sz w:val="24"/>
                <w:szCs w:val="24"/>
              </w:rPr>
            </w:pPr>
          </w:p>
        </w:tc>
        <w:tc>
          <w:tcPr>
            <w:tcW w:w="2673" w:type="dxa"/>
            <w:vMerge w:val="continue"/>
            <w:vAlign w:val="center"/>
          </w:tcPr>
          <w:p>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谈云飞</w:t>
            </w:r>
          </w:p>
        </w:tc>
        <w:tc>
          <w:tcPr>
            <w:vAlign w:val="center"/>
          </w:tcPr>
          <w:p>
            <w:pPr>
              <w:jc w:val="center"/>
            </w:pPr>
            <w:r>
              <w:rPr>
                <w:color w:val="000000"/>
                <w:sz w:val="24"/>
                <w:szCs w:val="24"/>
              </w:rPr>
              <w:t>本基金的基金经理；海富通季季增利理财债券基金经理；海富通稳健添利债券基金经理；海富通货币基金经理；海富通养老收益混合基金经理；海富通欣益混合基金经理；海富通新内需混合基金经理；海富通聚利债券基金经理；海富通欣荣混合基金经理；海富通强化回报混合基金经理；海富通欣享混合基金经理；海富通季季通利理财债券基金经理。</w:t>
            </w:r>
          </w:p>
        </w:tc>
        <w:tc>
          <w:tcPr>
            <w:vAlign w:val="center"/>
          </w:tcPr>
          <w:p>
            <w:pPr>
              <w:jc w:val="center"/>
            </w:pPr>
            <w:r>
              <w:rPr>
                <w:color w:val="000000"/>
                <w:sz w:val="24"/>
                <w:szCs w:val="24"/>
              </w:rPr>
              <w:t>2017-03-16</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硕士，持有基金从业人员资格证书。2005年4月至2014年6月就职于华宝兴业基金管理有限公司，曾任产品经理、研究员、专户投资经理 、基金经理助理，2014年6月加入海富通基金管理有限公司。2014年7月至2015年10月任海富通现金管理货币基金经理。2014年9月起兼任海富通季季增利理财债券基金经理。2015年1月起兼任海富通稳健添利债券基金经理。2015年4月起兼任海富通新内需混合基金经理。2016年2月起兼任海富通货币基金经理。2016年4月至2017年6月任海富通纯债债券、海富通双福分级债券、海富通双利债券基金经理。2016年4月起兼任海富通养老收益混合基金经理。2016年9月起兼任海富通欣益混合、海富通聚利债券及海富通欣荣混合基金经理。2017年2月起兼任海富通强化回报混合基金经理。2017年3月起兼任海富通欣享混合和海富通欣盛定开混合基金经理。2017年7月起兼任海富通季季通利理财债券基金经理。</w:t>
            </w:r>
          </w:p>
        </w:tc>
      </w:tr>
      <w:tr>
        <w:tc>
          <w:tcPr>
            <w:vAlign w:val="center"/>
          </w:tcPr>
          <w:p>
            <w:pPr>
              <w:jc w:val="center"/>
            </w:pPr>
            <w:r>
              <w:rPr>
                <w:color w:val="000000"/>
                <w:sz w:val="24"/>
                <w:szCs w:val="24"/>
              </w:rPr>
              <w:t>杜晓海</w:t>
            </w:r>
          </w:p>
        </w:tc>
        <w:tc>
          <w:tcPr>
            <w:vAlign w:val="center"/>
          </w:tcPr>
          <w:p>
            <w:pPr>
              <w:jc w:val="center"/>
            </w:pPr>
            <w:r>
              <w:rPr>
                <w:color w:val="000000"/>
                <w:sz w:val="24"/>
                <w:szCs w:val="24"/>
              </w:rPr>
              <w:t>本基金的基金经理；海富通养老收益混合基金经理；海富通新内需混合基金经理；海富通欣荣混合基金经理；海富通富睿混合基金经理；多资产策略投资部总监</w:t>
            </w:r>
          </w:p>
        </w:tc>
        <w:tc>
          <w:tcPr>
            <w:vAlign w:val="center"/>
          </w:tcPr>
          <w:p>
            <w:pPr>
              <w:jc w:val="center"/>
            </w:pPr>
            <w:r>
              <w:rPr>
                <w:color w:val="000000"/>
                <w:sz w:val="24"/>
                <w:szCs w:val="24"/>
              </w:rPr>
              <w:t>2017-04-27</w:t>
            </w:r>
          </w:p>
        </w:tc>
        <w:tc>
          <w:tcPr>
            <w:vAlign w:val="center"/>
          </w:tcPr>
          <w:p>
            <w:pPr>
              <w:jc w:val="center"/>
            </w:pPr>
            <w:r>
              <w:rPr>
                <w:color w:val="000000"/>
                <w:sz w:val="24"/>
                <w:szCs w:val="24"/>
              </w:rPr>
              <w:t>-</w:t>
            </w:r>
          </w:p>
        </w:tc>
        <w:tc>
          <w:tcPr>
            <w:vAlign w:val="center"/>
          </w:tcPr>
          <w:p>
            <w:pPr>
              <w:jc w:val="center"/>
            </w:pPr>
            <w:r>
              <w:rPr>
                <w:color w:val="000000"/>
                <w:sz w:val="24"/>
                <w:szCs w:val="24"/>
              </w:rPr>
              <w:t>17年</w:t>
            </w:r>
          </w:p>
        </w:tc>
        <w:tc>
          <w:tcPr>
            <w:vAlign w:val="center"/>
          </w:tcPr>
          <w:p>
            <w:pPr>
              <w:jc w:val="both"/>
            </w:pPr>
            <w:r>
              <w:rPr>
                <w:color w:val="000000"/>
                <w:sz w:val="24"/>
                <w:szCs w:val="24"/>
              </w:rPr>
              <w:t>硕士，持有基金从业人员资格证书。历任Man-Drapeau Research金融工程师，American Bourses Corporation中国区总经理，海富通基金管理有限公司定量分析师、高级定量分析师、定量及风险管理负责人、定量及风险管理总监、量化投资部总监，现任海富通基金管理有限公司多资产策略投资部总监。2016年6月起兼任海富通新内需混合和海富通养老收益混合基金经理。2016年9月起兼任海富通欣荣混合基金经理。2017年4月起兼任海富通欣盛定开混合基金经理。2017年5月起兼任海富通富睿混合基金经理。</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注：1、对基金的首任基金经理，其任职日期指基金合同生效日，离任日期指公司做出决定之日；非首任基金经理，其任职日期和离任日期均指公司做出决定之日。 </w:t>
      </w:r>
    </w:p>
    <w:p>
      <w:pPr>
        <w:autoSpaceDE w:val="0"/>
        <w:autoSpaceDN w:val="0"/>
        <w:adjustRightInd w:val="0"/>
        <w:spacing w:before="29" w:line="288" w:lineRule="auto"/>
        <w:jc w:val="left"/>
        <w:rPr>
          <w:color w:val="000000"/>
          <w:sz w:val="24"/>
          <w:szCs w:val="24"/>
        </w:rPr>
      </w:pPr>
      <w:r>
        <w:rPr>
          <w:color w:val="000000"/>
          <w:sz w:val="24"/>
          <w:szCs w:val="24"/>
        </w:rPr>
        <w:t>2、证券从业年限的计算标准为：自参加证券行业的相关工作开始计算。</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4.2 管理人对报告期内本基金运作遵规守信情况的说明</w:t>
      </w:r>
    </w:p>
    <w:p>
      <w:pPr>
        <w:spacing w:before="29" w:line="288" w:lineRule="auto"/>
        <w:ind w:firstLine="480" w:firstLineChars="200"/>
        <w:rPr>
          <w:color w:val="000000"/>
          <w:sz w:val="24"/>
          <w:szCs w:val="24"/>
        </w:rPr>
      </w:pPr>
      <w:r>
        <w:rPr>
          <w:color w:val="000000"/>
          <w:sz w:val="24"/>
          <w:szCs w:val="24"/>
        </w:rPr>
        <w:t>本报告期内，本基金管理人认真遵循《中华人民共和国证券投资基金法》及其他有关法律法规、基金合同的规定，本着诚实信用、勤勉尽职的原则管理和运用基金资产，没有发生损害基金份额持有人利益的行为。</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4.3 公平交易专项说明</w:t>
      </w:r>
    </w:p>
    <w:p>
      <w:pPr>
        <w:spacing w:before="29" w:line="288" w:lineRule="auto"/>
        <w:rPr>
          <w:color w:val="000000"/>
          <w:sz w:val="24"/>
          <w:szCs w:val="24"/>
        </w:rPr>
      </w:pPr>
      <w:r>
        <w:rPr>
          <w:color w:val="000000"/>
          <w:sz w:val="24"/>
          <w:szCs w:val="24"/>
        </w:rPr>
        <w:t>4.3.1 公平交易制度的执行情况</w:t>
      </w:r>
    </w:p>
    <w:p>
      <w:pPr>
        <w:spacing w:before="29" w:line="288" w:lineRule="auto"/>
        <w:ind w:firstLine="480" w:firstLineChars="200"/>
        <w:rPr>
          <w:color w:val="000000"/>
          <w:sz w:val="24"/>
          <w:szCs w:val="24"/>
        </w:rPr>
      </w:pPr>
      <w:r>
        <w:rPr>
          <w:color w:val="000000"/>
          <w:sz w:val="24"/>
          <w:szCs w:val="24"/>
        </w:rPr>
        <w:t>公司根据证监会2011年发布的《证券投资基金管理公司公平交易制度指导意见》的具体要求，持续完善了公司投资交易业务流程和公平交易制度。制度和流程覆盖了境内上市股票、债券的一级市场申购、二级市场交易等投资管理活动，涵盖了授权、研究分析、投资决策、交易执行、业绩评估等投资管理活动相关的各个环节。同时，公司投资交易业务组织架构保证了各投资组合投资决策相对独立，确保其在获得投资信息、投资建议和实施投资决策方面享有公平的机会。</w:t>
      </w:r>
    </w:p>
    <w:p>
      <w:pPr>
        <w:spacing w:before="29" w:line="288" w:lineRule="auto"/>
        <w:ind w:firstLine="480" w:firstLineChars="200"/>
        <w:rPr>
          <w:color w:val="000000"/>
          <w:sz w:val="24"/>
          <w:szCs w:val="24"/>
        </w:rPr>
      </w:pPr>
      <w:r>
        <w:rPr>
          <w:color w:val="000000"/>
          <w:sz w:val="24"/>
          <w:szCs w:val="24"/>
        </w:rPr>
        <w:t>公司建立了严格的投资交易行为监控制度，公司投资交易行为监控体系由交易室、投资部、监察稽核部和风险管理部组成，各部门各司其职，对投资交易行为进行事前、事中和事后的全程监控，保证公平交易制度的执行和实现。</w:t>
      </w:r>
    </w:p>
    <w:p>
      <w:pPr>
        <w:spacing w:before="29" w:line="288" w:lineRule="auto"/>
        <w:ind w:firstLine="480" w:firstLineChars="200"/>
        <w:rPr>
          <w:color w:val="000000"/>
          <w:sz w:val="24"/>
          <w:szCs w:val="24"/>
        </w:rPr>
      </w:pPr>
      <w:r>
        <w:rPr>
          <w:color w:val="000000"/>
          <w:sz w:val="24"/>
          <w:szCs w:val="24"/>
        </w:rPr>
        <w:t>报告期内，公司对本基金与公司旗下所有其他投资组合之间的整体收益率差异、分投资类别（股票、债券）的收益率差异进行了分析，并采集了连续四个季度期间内、不同时间窗下（如日内、3日内、5日内）同向交易的样本，对其进行了95%置信区间，假设溢价率为0的T分布检验，检验结果表明，在T日、T+3日和T+5日不同循环期内，不管是买入或是卖出，公司各组合间买卖价差不显著，表明报告期内公司对旗下各基金进行了公平对待，不存在各投资组合之间进行利益输送的行为。</w:t>
      </w:r>
    </w:p>
    <w:p>
      <w:pPr>
        <w:spacing w:before="29" w:line="288" w:lineRule="auto"/>
        <w:rPr>
          <w:color w:val="000000"/>
          <w:sz w:val="24"/>
          <w:szCs w:val="24"/>
        </w:rPr>
      </w:pPr>
      <w:r>
        <w:rPr>
          <w:color w:val="000000"/>
          <w:sz w:val="24"/>
          <w:szCs w:val="24"/>
        </w:rPr>
        <w:t>4.3.2 异常交易行为的专项说明</w:t>
      </w:r>
    </w:p>
    <w:p>
      <w:pPr>
        <w:spacing w:before="29" w:line="288" w:lineRule="auto"/>
        <w:ind w:firstLine="480" w:firstLineChars="200"/>
        <w:rPr>
          <w:color w:val="000000"/>
          <w:sz w:val="24"/>
          <w:szCs w:val="24"/>
        </w:rPr>
      </w:pPr>
      <w:r>
        <w:rPr>
          <w:color w:val="000000"/>
          <w:sz w:val="24"/>
          <w:szCs w:val="24"/>
        </w:rPr>
        <w:t>本报告期内，未发现本基金进行可能导致不公平交易和利益输送的异常交易。</w:t>
      </w:r>
    </w:p>
    <w:p>
      <w:pPr>
        <w:spacing w:before="29" w:line="288" w:lineRule="auto"/>
        <w:ind w:firstLine="480" w:firstLineChars="200"/>
        <w:rPr>
          <w:color w:val="000000"/>
          <w:sz w:val="24"/>
          <w:szCs w:val="24"/>
        </w:rPr>
      </w:pPr>
    </w:p>
    <w:p>
      <w:pPr>
        <w:spacing w:before="29" w:line="288" w:lineRule="auto"/>
        <w:rPr>
          <w:sz w:val="24"/>
          <w:szCs w:val="24"/>
        </w:rPr>
      </w:pPr>
      <w:r>
        <w:rPr>
          <w:b/>
          <w:color w:val="000000"/>
          <w:kern w:val="0"/>
          <w:sz w:val="24"/>
        </w:rPr>
        <w:t xml:space="preserve">4.4 </w:t>
      </w:r>
      <w:r>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三季度，A股市场整体呈现震荡上行的走势，热点层出不穷，结构分化较为明显。相比二季度，三季度市场情绪整体有所复苏，沪指站上3300点并创下了今年以来的新高。截至9月末，三季度各主要指数均有不同幅度的上涨，其中上证综指和深证成指涨幅均接近5%，中小板指涨幅超过8%，创业板也录得2.69%的涨幅。</w:t>
      </w:r>
    </w:p>
    <w:p>
      <w:pPr>
        <w:spacing w:before="29" w:line="288" w:lineRule="auto"/>
        <w:ind w:firstLine="480" w:firstLineChars="200"/>
        <w:rPr>
          <w:color w:val="000000"/>
          <w:sz w:val="24"/>
          <w:szCs w:val="24"/>
        </w:rPr>
      </w:pPr>
      <w:r>
        <w:rPr>
          <w:color w:val="000000"/>
          <w:sz w:val="24"/>
          <w:szCs w:val="24"/>
        </w:rPr>
        <w:t>具体来看，7月主板延续了5月末开始的上行态势，大盘蓝筹股依然备受资金青睐，周期股也强势爆发，有色金属、钢铁、煤炭等行业涨幅均超10%。创业板由于其较高的估值以及二季度欠佳的业绩，全月下跌了4.50%。7月上证综指收于3273.03 点，月涨幅2.52%，深证成指收于10505.04 点，全月下跌0.23%。8月A股市场整体震荡上行，热点百花齐放，但结构分化显著。月初由于供给侧改革持续收缩，上游资源品价格上涨，煤炭、钢铁和有色金属延续上月的走势表现强劲。临近中旬，市场风格悄然生变，以上证50为代表的蓝筹股开始回调，前期高歌猛进的资源品也大幅回落。直至月末，以TMT为代表的创业板个股显著拉升，创业板全月涨幅达6.51%。此外，由于实际公布的中报业绩也好于市场此前悲观的预期，指数随之迎来一波修复性反弹。上证综指和深证成指月涨幅均超2%。9月大盘整体表现平稳，略微下行但结构性机会频现。前半月受到政策助推的影响，新能源汽车板块涨势凶猛，同时叠加供给侧改革的因素带动了上游资源品卷土重来。但好景不长，后半程随着投资者情绪降温，市场重新锁定了业绩与估值的匹配度较高的白马股和消费板块。全月上证综指震荡微跌0.35%，深证成指上涨2.50%。</w:t>
      </w:r>
    </w:p>
    <w:p>
      <w:pPr>
        <w:spacing w:before="29" w:line="288" w:lineRule="auto"/>
        <w:ind w:firstLine="480" w:firstLineChars="200"/>
        <w:rPr>
          <w:color w:val="000000"/>
          <w:sz w:val="24"/>
          <w:szCs w:val="24"/>
        </w:rPr>
      </w:pPr>
      <w:r>
        <w:rPr>
          <w:color w:val="000000"/>
          <w:sz w:val="24"/>
          <w:szCs w:val="24"/>
        </w:rPr>
        <w:t>板块方面，在29个中信一级行业分类中，近九成翻红。其中有色金属（25.62%）、钢铁（17.40%）和煤炭（15.71%）涨幅居前，仅传媒（-3.08%）、纺织服装（-1.04%）、电力及公用事业（-0.28%）和医药（-0.18%）板块表现为下跌。</w:t>
      </w:r>
    </w:p>
    <w:p>
      <w:pPr>
        <w:spacing w:before="29" w:line="288" w:lineRule="auto"/>
        <w:ind w:firstLine="480" w:firstLineChars="200"/>
        <w:rPr>
          <w:color w:val="000000"/>
          <w:sz w:val="24"/>
          <w:szCs w:val="24"/>
        </w:rPr>
      </w:pPr>
      <w:r>
        <w:rPr>
          <w:color w:val="000000"/>
          <w:sz w:val="24"/>
          <w:szCs w:val="24"/>
        </w:rPr>
        <w:t>本年度，基金在控制回撤的基础上，力图寻找合适的股票投资机会以赚取绝对收益。</w:t>
      </w:r>
    </w:p>
    <w:p>
      <w:pPr>
        <w:spacing w:before="29" w:line="288" w:lineRule="auto"/>
        <w:ind w:firstLine="480" w:firstLineChars="200"/>
        <w:rPr>
          <w:color w:val="000000"/>
          <w:sz w:val="24"/>
          <w:szCs w:val="24"/>
        </w:rPr>
      </w:pPr>
      <w:r>
        <w:rPr>
          <w:color w:val="000000"/>
          <w:sz w:val="24"/>
          <w:szCs w:val="24"/>
        </w:rPr>
        <w:t>从债市看，三季度经济基本面呈现稳中回落的态势，一方面产出增速有所下降，七月工业增加值从六月的7.6%回落至6.4%，八月继续回落至6%；另一方面需求端也开始显现出疲态，出口、投资及消费皆有所下滑，七、八月份公布的数据都大幅低于预期。但是，我们也看到棚改货币化支持下房地产投资对经济仍有支撑，同时信贷需求依然较好，经济仍显示出较强的韧性。政策方面，三季度货币政策继续保持中性稳健，9月30日央行宣布明年初针对满足普惠金融标准的银行实施定向降准，只是对原有定向降准政策的拓展和优化，依然保持中性态度。整个三季度央行主要通过公开市场“削峰填谷”式的操作来维持银行体系资金面的总体平稳，虽然非银体系仍时而出现结构性紧张，但资金利率的波动区间已较上半年有所收敛。而金融监管仍在稳步推进，《同业存单管理暂行办法》、《公开募集开放式证券投资基金流动性风险管理规定》等政策陆续出台，继续加强对同业资金链条的管控，不过监管的协调性好于上半年。总体看三季度经济“不好不坏”，政策“不紧不松”，因此债券市场走势也是颇为纠结。长端利率如十年期国债收益率始终在（3.55%,3.7%）的区间窄幅波动，而短端利率则先下后上，八月中下旬受资金面影响短端利率大幅抬升，整体收益率曲线由陡变平。信用债方面，三季度信用债走势也是紧跟资金面，八月中下旬信用债出现一波调整，九月有所修复。总体看短久期品种收益率上行、信用利差走扩，中长久期品种收益率下行、信用利差压缩，体现出市场对中等期限的信用债仍有一定的配置需求。可转债方面，三季度中证转债指数涨4.26%，主要得益于七、八月股市上涨推动。</w:t>
      </w:r>
    </w:p>
    <w:p>
      <w:pPr>
        <w:spacing w:before="29" w:line="288" w:lineRule="auto"/>
        <w:ind w:firstLine="480" w:firstLineChars="200"/>
        <w:rPr>
          <w:color w:val="000000"/>
          <w:sz w:val="24"/>
          <w:szCs w:val="24"/>
        </w:rPr>
      </w:pPr>
      <w:r>
        <w:rPr>
          <w:color w:val="000000"/>
          <w:sz w:val="24"/>
          <w:szCs w:val="24"/>
        </w:rPr>
        <w:t>本基金债券部分在三季度主要配置了短融和同业存单，组合整体维持了一定杠杆，保证流动性的基础上获得稳定的收益。考虑到目前资金面长期处于紧平衡，融资成本高企，本基金并未选择更高的杠杆。</w:t>
      </w:r>
    </w:p>
    <w:p>
      <w:pPr>
        <w:spacing w:before="29" w:line="288" w:lineRule="auto"/>
        <w:ind w:firstLine="480" w:firstLineChars="200"/>
        <w:rPr>
          <w:color w:val="000000"/>
          <w:sz w:val="24"/>
          <w:szCs w:val="24"/>
        </w:rPr>
      </w:pPr>
    </w:p>
    <w:p>
      <w:pPr>
        <w:spacing w:before="29" w:line="288" w:lineRule="auto"/>
        <w:rPr>
          <w:sz w:val="24"/>
          <w:szCs w:val="24"/>
        </w:rPr>
      </w:pPr>
      <w:r>
        <w:rPr>
          <w:b/>
          <w:color w:val="000000"/>
          <w:kern w:val="0"/>
          <w:sz w:val="24"/>
        </w:rPr>
        <w:t>4.5报告期内基金的业绩表现</w:t>
      </w:r>
    </w:p>
    <w:p>
      <w:pPr>
        <w:spacing w:before="29" w:line="288" w:lineRule="auto"/>
        <w:ind w:firstLine="480" w:firstLineChars="200"/>
        <w:rPr>
          <w:color w:val="000000"/>
          <w:sz w:val="24"/>
          <w:szCs w:val="24"/>
        </w:rPr>
      </w:pPr>
      <w:r>
        <w:rPr>
          <w:color w:val="000000"/>
          <w:sz w:val="24"/>
          <w:szCs w:val="24"/>
        </w:rPr>
        <w:t>报告期内，海富通欣盛定期开放净值增长率为1.38%，同期业绩比较基准收益率为1.77%，基金净值跑输业绩比较基准0.39个百分点。本产品在震荡的市场中，追求回撤可控的稳定收益。本季度市场表现差异较大，前期周期股显著好于大盘，由于仓位低于基准权重，且配置偏蓝筹白马，基金小幅跑输基准。</w:t>
      </w:r>
    </w:p>
    <w:p>
      <w:pPr>
        <w:spacing w:before="29" w:line="288" w:lineRule="auto"/>
        <w:ind w:firstLine="480" w:firstLineChars="200"/>
        <w:rPr>
          <w:color w:val="000000"/>
          <w:sz w:val="24"/>
          <w:szCs w:val="24"/>
        </w:rPr>
      </w:pPr>
    </w:p>
    <w:p>
      <w:pPr>
        <w:autoSpaceDE w:val="0"/>
        <w:autoSpaceDN w:val="0"/>
        <w:adjustRightInd w:val="0"/>
        <w:spacing w:before="29" w:line="288" w:lineRule="auto"/>
        <w:jc w:val="left"/>
        <w:rPr>
          <w:b/>
          <w:bCs/>
          <w:color w:val="000000"/>
          <w:kern w:val="0"/>
          <w:sz w:val="24"/>
          <w:szCs w:val="24"/>
        </w:rPr>
      </w:pPr>
      <w:bookmarkStart w:id="0" w:name="_Toc245193825"/>
      <w:bookmarkStart w:id="1" w:name="_Toc255486598"/>
      <w:r>
        <w:rPr>
          <w:rFonts w:asciiTheme="minorEastAsia" w:hAnsiTheme="minorEastAsia" w:eastAsiaTheme="minorEastAsia"/>
          <w:b/>
          <w:color w:val="000000"/>
          <w:kern w:val="0"/>
          <w:sz w:val="24"/>
          <w:szCs w:val="24"/>
        </w:rPr>
        <w:t>4</w:t>
      </w:r>
      <w:r>
        <w:rPr>
          <w:rFonts w:hint="eastAsia" w:asciiTheme="minorEastAsia" w:hAnsiTheme="minorEastAsia" w:eastAsiaTheme="minorEastAsia"/>
          <w:b/>
          <w:color w:val="000000"/>
          <w:kern w:val="0"/>
          <w:sz w:val="24"/>
          <w:szCs w:val="24"/>
        </w:rPr>
        <w:t>.6</w:t>
      </w:r>
      <w:r>
        <w:rPr>
          <w:b/>
          <w:bCs/>
          <w:color w:val="000000"/>
          <w:kern w:val="0"/>
          <w:sz w:val="24"/>
          <w:szCs w:val="24"/>
        </w:rPr>
        <w:t>管理人对宏观经济、证券市场及行业走势的简要展望</w:t>
      </w:r>
      <w:bookmarkEnd w:id="0"/>
      <w:bookmarkEnd w:id="1"/>
    </w:p>
    <w:p>
      <w:pPr>
        <w:tabs>
          <w:tab w:val="left" w:pos="3765"/>
        </w:tabs>
        <w:spacing w:before="29" w:line="288" w:lineRule="auto"/>
        <w:ind w:firstLine="420"/>
        <w:rPr>
          <w:color w:val="000000"/>
          <w:sz w:val="24"/>
          <w:szCs w:val="24"/>
        </w:rPr>
      </w:pPr>
      <w:r>
        <w:rPr>
          <w:color w:val="000000"/>
          <w:sz w:val="24"/>
          <w:szCs w:val="24"/>
        </w:rPr>
        <w:t>2017年前三季度中国宏观经济稳中偏强，企业盈利复苏明显。展望四季度，我们认为中国经济虽然面临着一定的下行压力，但依然将保持较好的韧性；消费稳中趋升，进出口贸易、制造业投资温和复苏，这些力量将支撑着宏观经济稳健地发展。物价水平将保持总体平稳，PPI震荡下行，CPI微幅回升。</w:t>
      </w:r>
    </w:p>
    <w:p>
      <w:pPr>
        <w:tabs>
          <w:tab w:val="left" w:pos="3765"/>
        </w:tabs>
        <w:spacing w:before="29" w:line="288" w:lineRule="auto"/>
        <w:ind w:firstLine="420"/>
        <w:rPr>
          <w:color w:val="000000"/>
          <w:sz w:val="24"/>
          <w:szCs w:val="24"/>
        </w:rPr>
      </w:pPr>
      <w:r>
        <w:rPr>
          <w:color w:val="000000"/>
          <w:sz w:val="24"/>
          <w:szCs w:val="24"/>
        </w:rPr>
        <w:t>货币政策方面，国庆节前央行实施定向降准政策，将于2018年元旦开始实施，预计释放流动性3000亿左右，这将鼓励更多银行在年底前积极支持小额贷款以降低准备金率。不过，这次的政策调整只是中性货币政策的一个结构性微调，“不紧不松”的大基调不会有显著变化，预计四季度资金利率水平仍将以平稳、微幅波动为主。</w:t>
      </w:r>
    </w:p>
    <w:p>
      <w:pPr>
        <w:tabs>
          <w:tab w:val="left" w:pos="3765"/>
        </w:tabs>
        <w:spacing w:before="29" w:line="288" w:lineRule="auto"/>
        <w:ind w:firstLine="420"/>
        <w:rPr>
          <w:color w:val="000000"/>
          <w:sz w:val="24"/>
          <w:szCs w:val="24"/>
        </w:rPr>
      </w:pPr>
      <w:r>
        <w:rPr>
          <w:color w:val="000000"/>
          <w:sz w:val="24"/>
          <w:szCs w:val="24"/>
        </w:rPr>
        <w:t>2017年上半年股票市场呈现出明显的价值偏好，而三季度则出现了一定变化；供给侧改革结合环保治理使得大部分周期产品价格显著上涨，驱动相关股票表现优异，而新能源汽车板块则在成长性行业内表现突出。展望四季度，考虑到很多细分行业和个股今年以来已获利颇丰，我们将把更多的目光投向今年以来涨幅不大、估值不高、未来增长确定的品种，例如泛消费领域的进一步挖掘、大金融的部分低估值品种等。此外，我们会进一步加大对成长股的关注，经过一年多的股价、估值调整，越来越多的成长股开始进入估值合理区间；连续几年业绩增长依然较好、行业前景和公司竞争力均值得肯定的潜力成长股也是四季度可以积极挖掘、择机布局的方向。</w:t>
      </w:r>
    </w:p>
    <w:p>
      <w:pPr>
        <w:tabs>
          <w:tab w:val="left" w:pos="3765"/>
        </w:tabs>
        <w:spacing w:before="29" w:line="288" w:lineRule="auto"/>
        <w:ind w:firstLine="420"/>
        <w:rPr>
          <w:color w:val="000000"/>
          <w:sz w:val="24"/>
          <w:szCs w:val="24"/>
        </w:rPr>
      </w:pPr>
      <w:r>
        <w:rPr>
          <w:color w:val="000000"/>
          <w:sz w:val="24"/>
          <w:szCs w:val="24"/>
        </w:rPr>
        <w:t>本基金的投资思路将在控制风险的基础上，积极地捕捉市场的结构性机会，波段操作以获取回撤可控的绝对收益。本基金也将利用动态的仓位调整或者股指期货套保等风险管理工具来控制回撤风险。</w:t>
      </w:r>
    </w:p>
    <w:p>
      <w:pPr>
        <w:tabs>
          <w:tab w:val="left" w:pos="3765"/>
        </w:tabs>
        <w:spacing w:before="29" w:line="288" w:lineRule="auto"/>
        <w:ind w:firstLine="420"/>
        <w:rPr>
          <w:color w:val="000000"/>
          <w:sz w:val="24"/>
          <w:szCs w:val="24"/>
        </w:rPr>
      </w:pPr>
      <w:r>
        <w:rPr>
          <w:color w:val="000000"/>
          <w:sz w:val="24"/>
          <w:szCs w:val="24"/>
        </w:rPr>
        <w:t>从债市看，四季度经济仍有一定的回落压力，供给侧改革和环保限产对于中上游行业的产出有所影响，而需求层面也呈现边际回落迹象。棚改高峰褪去后房地产销售特别是三四线地产销售或迎来拐点，地产企业融资受限、销售回款率下降制约新开工和拿地，地产投资或边际下滑，但考虑库存较低预计下滑的幅度不会过快。基建受制于财政赤字，资金来源不足，四季度仍有持续的下行压力。而人民币升值带来的出口下滑以及房地产后周期消费的回落，都可能在四季度延续。总体看经济小周期回落已基本确定。通胀方面，四季度工业品价格上涨幅度或不及三季度，甚至有下跌可能，PPI较难维持高增速，而 CPI的波动仍主要受食品价格的影响，可能有所抬升但年内压力可控。因此从经济基本面的角度看四季度对债券市场相对有利，不过监管和货币政策并未转向，仍对债市形成制约。十九大后各项监管政策有落地的可能，金融去杠杆的进程仍在继续。同时九月美联储如期缩表，十二月加息概率增大，九月加拿大央行超预期加息，四季度外围货币政策有同时收紧的可能。好在今年以来人民币累计升值较多、中美利差高位，我国货币政策不一定跟随外围收紧但也难以明显放松。因此总体看四季度利率可能依旧维持震荡，利率债操作空间有限，关注经济和政策的预期差，把握风险释放后产生的交易性机会。信用债四季度有一些供给压力，信用利差仍处历史低位，交易机会不大，仍以获取票息收益为主。在当前曲线极其平坦的情况下，短端收益的确定性更强，但中长端如果出现大幅调整，则存在配置机会。可转债四季度在正股和估值方面都有一些压力，整体机会或许不如三季度。随着新券标的增多，未来个券表现分化，可积极挖掘新发行的优质个券。</w:t>
      </w:r>
    </w:p>
    <w:p>
      <w:pPr>
        <w:tabs>
          <w:tab w:val="left" w:pos="3765"/>
        </w:tabs>
        <w:spacing w:before="29" w:line="288" w:lineRule="auto"/>
        <w:ind w:firstLine="420"/>
        <w:rPr>
          <w:color w:val="000000"/>
          <w:sz w:val="24"/>
          <w:szCs w:val="24"/>
        </w:rPr>
      </w:pPr>
      <w:r>
        <w:rPr>
          <w:color w:val="000000"/>
          <w:sz w:val="24"/>
          <w:szCs w:val="24"/>
        </w:rPr>
        <w:t>下一季度，本基金债券部分主要致力于获得低风险的稳定收益，配置以同业存单和短融为主，在控制风险的基础上获得更高的配置收益。在风险可控的前提下，以适度仓位参与利率债交易。</w:t>
      </w:r>
      <w:r>
        <w:rPr>
          <w:color w:val="000000"/>
          <w:sz w:val="24"/>
          <w:szCs w:val="24"/>
        </w:rPr>
        <w:tab/>
      </w:r>
    </w:p>
    <w:p>
      <w:pPr>
        <w:tabs>
          <w:tab w:val="left" w:pos="3765"/>
        </w:tabs>
        <w:spacing w:before="29" w:line="288" w:lineRule="auto"/>
        <w:ind w:firstLine="420"/>
        <w:rPr>
          <w:color w:val="000000"/>
          <w:sz w:val="24"/>
          <w:szCs w:val="24"/>
        </w:rPr>
      </w:pPr>
    </w:p>
    <w:p>
      <w:pPr>
        <w:autoSpaceDE w:val="0"/>
        <w:autoSpaceDN w:val="0"/>
        <w:adjustRightInd w:val="0"/>
        <w:spacing w:before="29" w:line="288" w:lineRule="auto"/>
        <w:jc w:val="left"/>
        <w:rPr>
          <w:rFonts w:asciiTheme="minorEastAsia" w:hAnsiTheme="minorEastAsia" w:eastAsiaTheme="minorEastAsia"/>
          <w:color w:val="000000"/>
          <w:sz w:val="24"/>
          <w:szCs w:val="24"/>
        </w:rPr>
      </w:pPr>
      <w:r>
        <w:rPr>
          <w:b/>
          <w:bCs/>
          <w:color w:val="000000"/>
          <w:kern w:val="0"/>
          <w:sz w:val="24"/>
          <w:szCs w:val="24"/>
        </w:rPr>
        <w:t>4</w:t>
      </w:r>
      <w:r>
        <w:rPr>
          <w:rFonts w:hint="eastAsia"/>
          <w:b/>
          <w:bCs/>
          <w:color w:val="000000"/>
          <w:kern w:val="0"/>
          <w:sz w:val="24"/>
          <w:szCs w:val="24"/>
        </w:rPr>
        <w:t>.7报告期内基金持有人数或基金资产净值预警说明</w:t>
      </w:r>
    </w:p>
    <w:p>
      <w:pPr>
        <w:tabs>
          <w:tab w:val="left" w:pos="3765"/>
        </w:tabs>
        <w:spacing w:before="29" w:line="288" w:lineRule="auto"/>
        <w:ind w:firstLine="420"/>
        <w:rPr>
          <w:color w:val="000000"/>
          <w:sz w:val="24"/>
          <w:szCs w:val="24"/>
        </w:rPr>
      </w:pPr>
      <w:r>
        <w:rPr>
          <w:color w:val="000000"/>
          <w:sz w:val="24"/>
          <w:szCs w:val="24"/>
        </w:rPr>
        <w:t>本基金本报告期无需要说明的情形。</w:t>
      </w:r>
    </w:p>
    <w:p>
      <w:pPr>
        <w:tabs>
          <w:tab w:val="left" w:pos="3765"/>
        </w:tabs>
        <w:spacing w:before="29" w:line="288" w:lineRule="auto"/>
        <w:ind w:firstLine="420"/>
        <w:rPr>
          <w:color w:val="000000"/>
          <w:sz w:val="24"/>
          <w:szCs w:val="24"/>
        </w:rPr>
      </w:pPr>
    </w:p>
    <w:p>
      <w:pPr>
        <w:pStyle w:val="2"/>
        <w:spacing w:beforeLines="100" w:afterLines="100" w:line="288" w:lineRule="auto"/>
        <w:jc w:val="center"/>
        <w:rPr>
          <w:color w:val="000000"/>
          <w:kern w:val="0"/>
          <w:sz w:val="24"/>
          <w:szCs w:val="24"/>
        </w:rPr>
      </w:pPr>
      <w:r>
        <w:rPr>
          <w:color w:val="000000"/>
          <w:kern w:val="0"/>
          <w:sz w:val="24"/>
          <w:szCs w:val="24"/>
        </w:rPr>
        <w:t>§5投资组合报告</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 报告期末基金资产组合情况</w:t>
      </w:r>
    </w:p>
    <w:tbl>
      <w:tblPr>
        <w:tblStyle w:val="31"/>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346"/>
        <w:gridCol w:w="296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序号</w:t>
            </w:r>
          </w:p>
        </w:tc>
        <w:tc>
          <w:tcPr>
            <w:tcW w:w="3346" w:type="dxa"/>
            <w:vAlign w:val="center"/>
          </w:tcPr>
          <w:p>
            <w:pPr>
              <w:spacing w:before="29" w:line="288" w:lineRule="auto"/>
              <w:ind w:left="17"/>
              <w:jc w:val="center"/>
              <w:rPr>
                <w:color w:val="000000"/>
                <w:kern w:val="0"/>
                <w:sz w:val="24"/>
                <w:szCs w:val="24"/>
              </w:rPr>
            </w:pPr>
            <w:r>
              <w:rPr>
                <w:color w:val="000000"/>
                <w:kern w:val="0"/>
                <w:sz w:val="24"/>
                <w:szCs w:val="24"/>
              </w:rPr>
              <w:t>项目</w:t>
            </w:r>
          </w:p>
        </w:tc>
        <w:tc>
          <w:tcPr>
            <w:tcW w:w="2967" w:type="dxa"/>
            <w:vAlign w:val="center"/>
          </w:tcPr>
          <w:p>
            <w:pPr>
              <w:spacing w:before="29" w:line="288" w:lineRule="auto"/>
              <w:ind w:left="17"/>
              <w:jc w:val="center"/>
              <w:rPr>
                <w:color w:val="000000"/>
                <w:kern w:val="0"/>
                <w:sz w:val="24"/>
                <w:szCs w:val="24"/>
              </w:rPr>
            </w:pPr>
            <w:r>
              <w:rPr>
                <w:color w:val="000000"/>
                <w:kern w:val="0"/>
                <w:sz w:val="24"/>
                <w:szCs w:val="24"/>
              </w:rPr>
              <w:t>金额</w:t>
            </w:r>
            <w:r>
              <w:rPr>
                <w:color w:val="000000"/>
                <w:kern w:val="0"/>
                <w:sz w:val="24"/>
              </w:rPr>
              <w:t>（元）</w:t>
            </w:r>
          </w:p>
        </w:tc>
        <w:tc>
          <w:tcPr>
            <w:tcW w:w="1837" w:type="dxa"/>
            <w:vAlign w:val="center"/>
          </w:tcPr>
          <w:p>
            <w:pPr>
              <w:spacing w:before="29" w:line="288" w:lineRule="auto"/>
              <w:ind w:left="17"/>
              <w:jc w:val="center"/>
              <w:rPr>
                <w:color w:val="000000"/>
                <w:kern w:val="0"/>
                <w:sz w:val="24"/>
                <w:szCs w:val="24"/>
              </w:rPr>
            </w:pPr>
            <w:r>
              <w:rPr>
                <w:color w:val="000000"/>
                <w:kern w:val="0"/>
                <w:sz w:val="24"/>
                <w:szCs w:val="24"/>
              </w:rPr>
              <w:t>占基金总资产的比例</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1</w:t>
            </w:r>
          </w:p>
        </w:tc>
        <w:tc>
          <w:tcPr>
            <w:tcW w:w="3346" w:type="dxa"/>
            <w:vAlign w:val="center"/>
          </w:tcPr>
          <w:p>
            <w:pPr>
              <w:spacing w:before="29" w:line="288" w:lineRule="auto"/>
              <w:ind w:left="17"/>
              <w:jc w:val="left"/>
              <w:rPr>
                <w:kern w:val="0"/>
                <w:sz w:val="24"/>
                <w:szCs w:val="24"/>
              </w:rPr>
            </w:pPr>
            <w:r>
              <w:rPr>
                <w:color w:val="000000"/>
                <w:kern w:val="0"/>
                <w:sz w:val="24"/>
                <w:szCs w:val="24"/>
              </w:rPr>
              <w:t>权益投资</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51,702,087.22</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p>
        </w:tc>
        <w:tc>
          <w:tcPr>
            <w:tcW w:w="3346" w:type="dxa"/>
            <w:vAlign w:val="center"/>
          </w:tcPr>
          <w:p>
            <w:pPr>
              <w:spacing w:before="29" w:line="288" w:lineRule="auto"/>
              <w:ind w:left="17"/>
              <w:jc w:val="left"/>
              <w:rPr>
                <w:kern w:val="0"/>
                <w:sz w:val="24"/>
                <w:szCs w:val="24"/>
              </w:rPr>
            </w:pPr>
            <w:r>
              <w:rPr>
                <w:color w:val="000000"/>
                <w:kern w:val="0"/>
                <w:sz w:val="24"/>
                <w:szCs w:val="24"/>
              </w:rPr>
              <w:t>其中：股票</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51,702,087.22</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23.05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2</w:t>
            </w:r>
          </w:p>
        </w:tc>
        <w:tc>
          <w:tcPr>
            <w:tcW w:w="3346" w:type="dxa"/>
            <w:vAlign w:val="center"/>
          </w:tcPr>
          <w:p>
            <w:pPr>
              <w:spacing w:before="29" w:line="288" w:lineRule="auto"/>
              <w:ind w:left="17"/>
              <w:jc w:val="left"/>
              <w:rPr>
                <w:kern w:val="0"/>
                <w:sz w:val="24"/>
                <w:szCs w:val="24"/>
              </w:rPr>
            </w:pPr>
            <w:r>
              <w:rPr>
                <w:color w:val="000000"/>
                <w:kern w:val="0"/>
                <w:sz w:val="24"/>
                <w:szCs w:val="24"/>
              </w:rPr>
              <w:t>固定收益投资</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162,415,300.00</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p>
        </w:tc>
        <w:tc>
          <w:tcPr>
            <w:tcW w:w="3346" w:type="dxa"/>
            <w:vAlign w:val="center"/>
          </w:tcPr>
          <w:p>
            <w:pPr>
              <w:spacing w:before="29" w:line="288" w:lineRule="auto"/>
              <w:ind w:left="17"/>
              <w:jc w:val="left"/>
              <w:rPr>
                <w:kern w:val="0"/>
                <w:sz w:val="24"/>
                <w:szCs w:val="24"/>
              </w:rPr>
            </w:pPr>
            <w:r>
              <w:rPr>
                <w:color w:val="000000"/>
                <w:kern w:val="0"/>
                <w:sz w:val="24"/>
                <w:szCs w:val="24"/>
              </w:rPr>
              <w:t>其中：债券</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162,415,300.00</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72.40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p>
        </w:tc>
        <w:tc>
          <w:tcPr>
            <w:tcW w:w="3346" w:type="dxa"/>
            <w:vAlign w:val="center"/>
          </w:tcPr>
          <w:p>
            <w:pPr>
              <w:autoSpaceDE w:val="0"/>
              <w:autoSpaceDN w:val="0"/>
              <w:adjustRightInd w:val="0"/>
              <w:spacing w:before="29" w:line="288" w:lineRule="auto"/>
              <w:ind w:left="17" w:leftChars="8" w:firstLine="720" w:firstLineChars="300"/>
              <w:jc w:val="left"/>
              <w:rPr>
                <w:color w:val="000000"/>
                <w:kern w:val="0"/>
                <w:sz w:val="24"/>
                <w:szCs w:val="24"/>
              </w:rPr>
            </w:pPr>
            <w:r>
              <w:rPr>
                <w:color w:val="000000"/>
                <w:kern w:val="0"/>
                <w:sz w:val="24"/>
                <w:szCs w:val="24"/>
              </w:rPr>
              <w:t>资产支持证券</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3</w:t>
            </w:r>
          </w:p>
        </w:tc>
        <w:tc>
          <w:tcPr>
            <w:tcW w:w="3346" w:type="dxa"/>
            <w:vAlign w:val="center"/>
          </w:tcPr>
          <w:p>
            <w:pPr>
              <w:spacing w:before="29" w:line="288" w:lineRule="auto"/>
              <w:ind w:left="17"/>
              <w:jc w:val="left"/>
              <w:rPr>
                <w:color w:val="000000"/>
                <w:kern w:val="0"/>
                <w:sz w:val="24"/>
                <w:szCs w:val="24"/>
              </w:rPr>
            </w:pPr>
            <w:r>
              <w:rPr>
                <w:rFonts w:hAnsi="宋体"/>
                <w:color w:val="000000"/>
                <w:kern w:val="0"/>
                <w:sz w:val="24"/>
                <w:szCs w:val="24"/>
              </w:rPr>
              <w:t>贵金属投资</w:t>
            </w:r>
          </w:p>
        </w:tc>
        <w:tc>
          <w:tcPr>
            <w:tcW w:w="2967" w:type="dxa"/>
            <w:vAlign w:val="center"/>
          </w:tcPr>
          <w:p>
            <w:pPr>
              <w:spacing w:before="29" w:line="288" w:lineRule="auto"/>
              <w:ind w:left="17"/>
              <w:jc w:val="right"/>
              <w:rPr>
                <w:color w:val="000000"/>
                <w:kern w:val="0"/>
                <w:sz w:val="24"/>
                <w:szCs w:val="24"/>
              </w:rPr>
            </w:pPr>
            <w:r>
              <w:rPr>
                <w:rFonts w:eastAsiaTheme="minorEastAsia"/>
                <w:color w:val="000000"/>
                <w:kern w:val="0"/>
                <w:sz w:val="24"/>
                <w:szCs w:val="24"/>
              </w:rPr>
              <w:t>-</w:t>
            </w:r>
          </w:p>
        </w:tc>
        <w:tc>
          <w:tcPr>
            <w:tcW w:w="1837" w:type="dxa"/>
            <w:vAlign w:val="center"/>
          </w:tcPr>
          <w:p>
            <w:pPr>
              <w:spacing w:before="29" w:line="288" w:lineRule="auto"/>
              <w:ind w:left="17"/>
              <w:jc w:val="right"/>
              <w:rPr>
                <w:rFonts w:eastAsiaTheme="minorEastAsia"/>
                <w:color w:val="000000"/>
                <w:kern w:val="0"/>
                <w:sz w:val="24"/>
                <w:szCs w:val="24"/>
              </w:rPr>
            </w:pPr>
            <w:r>
              <w:rPr>
                <w:rFonts w:eastAsiaTheme="minor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4</w:t>
            </w:r>
          </w:p>
        </w:tc>
        <w:tc>
          <w:tcPr>
            <w:tcW w:w="3346" w:type="dxa"/>
            <w:vAlign w:val="center"/>
          </w:tcPr>
          <w:p>
            <w:pPr>
              <w:spacing w:before="29" w:line="288" w:lineRule="auto"/>
              <w:ind w:left="17"/>
              <w:jc w:val="left"/>
              <w:rPr>
                <w:kern w:val="0"/>
                <w:sz w:val="24"/>
                <w:szCs w:val="24"/>
              </w:rPr>
            </w:pPr>
            <w:r>
              <w:rPr>
                <w:color w:val="000000"/>
                <w:kern w:val="0"/>
                <w:sz w:val="24"/>
                <w:szCs w:val="24"/>
              </w:rPr>
              <w:t>金融衍生品投资</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5</w:t>
            </w:r>
          </w:p>
        </w:tc>
        <w:tc>
          <w:tcPr>
            <w:tcW w:w="3346" w:type="dxa"/>
            <w:vAlign w:val="center"/>
          </w:tcPr>
          <w:p>
            <w:pPr>
              <w:spacing w:before="29" w:line="288" w:lineRule="auto"/>
              <w:ind w:left="17"/>
              <w:jc w:val="left"/>
              <w:rPr>
                <w:kern w:val="0"/>
                <w:sz w:val="24"/>
                <w:szCs w:val="24"/>
              </w:rPr>
            </w:pPr>
            <w:r>
              <w:rPr>
                <w:color w:val="000000"/>
                <w:kern w:val="0"/>
                <w:sz w:val="24"/>
                <w:szCs w:val="24"/>
              </w:rPr>
              <w:t>买入返售金融资产</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p>
        </w:tc>
        <w:tc>
          <w:tcPr>
            <w:tcW w:w="3346" w:type="dxa"/>
            <w:vAlign w:val="center"/>
          </w:tcPr>
          <w:p>
            <w:pPr>
              <w:spacing w:before="29" w:line="288" w:lineRule="auto"/>
              <w:ind w:left="17"/>
              <w:jc w:val="left"/>
              <w:rPr>
                <w:kern w:val="0"/>
                <w:sz w:val="24"/>
                <w:szCs w:val="24"/>
              </w:rPr>
            </w:pPr>
            <w:r>
              <w:rPr>
                <w:color w:val="000000"/>
                <w:kern w:val="0"/>
                <w:sz w:val="24"/>
                <w:szCs w:val="24"/>
              </w:rPr>
              <w:t>其中：买断式回购的买入返售金融资产</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6</w:t>
            </w:r>
          </w:p>
        </w:tc>
        <w:tc>
          <w:tcPr>
            <w:tcW w:w="3346" w:type="dxa"/>
            <w:vAlign w:val="center"/>
          </w:tcPr>
          <w:p>
            <w:pPr>
              <w:spacing w:before="29" w:line="288" w:lineRule="auto"/>
              <w:ind w:left="17"/>
              <w:jc w:val="left"/>
              <w:rPr>
                <w:kern w:val="0"/>
                <w:sz w:val="24"/>
                <w:szCs w:val="24"/>
              </w:rPr>
            </w:pPr>
            <w:r>
              <w:rPr>
                <w:color w:val="000000"/>
                <w:kern w:val="0"/>
                <w:sz w:val="24"/>
                <w:szCs w:val="24"/>
              </w:rPr>
              <w:t>银行存款和结算备付金合计</w:t>
            </w:r>
          </w:p>
        </w:tc>
        <w:tc>
          <w:tcPr>
            <w:tcW w:w="2967" w:type="dxa"/>
            <w:vAlign w:val="center"/>
          </w:tcPr>
          <w:p>
            <w:pPr>
              <w:spacing w:before="29" w:line="288" w:lineRule="auto"/>
              <w:ind w:left="17"/>
              <w:jc w:val="right"/>
              <w:rPr>
                <w:color w:val="000000"/>
                <w:kern w:val="0"/>
                <w:sz w:val="24"/>
                <w:szCs w:val="24"/>
              </w:rPr>
            </w:pPr>
            <w:r>
              <w:rPr>
                <w:color w:val="000000"/>
                <w:kern w:val="0"/>
                <w:sz w:val="24"/>
                <w:szCs w:val="24"/>
              </w:rPr>
              <w:t>7,050,571.62</w:t>
            </w:r>
          </w:p>
        </w:tc>
        <w:tc>
          <w:tcPr>
            <w:tcW w:w="1837" w:type="dxa"/>
            <w:vAlign w:val="center"/>
          </w:tcPr>
          <w:p>
            <w:pPr>
              <w:spacing w:before="29" w:line="288" w:lineRule="auto"/>
              <w:ind w:left="17"/>
              <w:jc w:val="right"/>
              <w:rPr>
                <w:color w:val="000000"/>
                <w:kern w:val="0"/>
                <w:sz w:val="24"/>
                <w:szCs w:val="24"/>
              </w:rPr>
            </w:pPr>
            <w:r>
              <w:rPr>
                <w:color w:val="000000"/>
                <w:kern w:val="0"/>
                <w:sz w:val="24"/>
                <w:szCs w:val="24"/>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7</w:t>
            </w:r>
          </w:p>
        </w:tc>
        <w:tc>
          <w:tcPr>
            <w:tcW w:w="3346" w:type="dxa"/>
            <w:vAlign w:val="center"/>
          </w:tcPr>
          <w:p>
            <w:pPr>
              <w:spacing w:before="29" w:line="288" w:lineRule="auto"/>
              <w:jc w:val="left"/>
              <w:rPr>
                <w:kern w:val="0"/>
                <w:sz w:val="24"/>
                <w:szCs w:val="24"/>
              </w:rPr>
            </w:pPr>
            <w:r>
              <w:rPr>
                <w:color w:val="000000"/>
                <w:kern w:val="0"/>
                <w:sz w:val="24"/>
                <w:szCs w:val="24"/>
              </w:rPr>
              <w:t>其他资产</w:t>
            </w:r>
          </w:p>
        </w:tc>
        <w:tc>
          <w:tcPr>
            <w:tcW w:w="2967" w:type="dxa"/>
            <w:vAlign w:val="center"/>
          </w:tcPr>
          <w:p>
            <w:pPr>
              <w:spacing w:before="29" w:line="288" w:lineRule="auto"/>
              <w:jc w:val="right"/>
              <w:rPr>
                <w:color w:val="000000"/>
                <w:kern w:val="0"/>
                <w:sz w:val="24"/>
                <w:szCs w:val="24"/>
              </w:rPr>
            </w:pPr>
            <w:r>
              <w:rPr>
                <w:color w:val="000000"/>
                <w:kern w:val="0"/>
                <w:sz w:val="24"/>
                <w:szCs w:val="24"/>
              </w:rPr>
              <w:t>3,155,609.93</w:t>
            </w:r>
          </w:p>
        </w:tc>
        <w:tc>
          <w:tcPr>
            <w:tcW w:w="1837" w:type="dxa"/>
            <w:vAlign w:val="center"/>
          </w:tcPr>
          <w:p>
            <w:pPr>
              <w:spacing w:before="29" w:line="288" w:lineRule="auto"/>
              <w:jc w:val="right"/>
              <w:rPr>
                <w:color w:val="000000"/>
                <w:kern w:val="0"/>
                <w:sz w:val="24"/>
                <w:szCs w:val="24"/>
              </w:rPr>
            </w:pPr>
            <w:r>
              <w:rPr>
                <w:color w:val="000000"/>
                <w:kern w:val="0"/>
                <w:sz w:val="24"/>
                <w:szCs w:val="24"/>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8" w:type="dxa"/>
            <w:vAlign w:val="center"/>
          </w:tcPr>
          <w:p>
            <w:pPr>
              <w:spacing w:before="29" w:line="288" w:lineRule="auto"/>
              <w:ind w:left="17"/>
              <w:jc w:val="center"/>
              <w:rPr>
                <w:color w:val="000000"/>
                <w:kern w:val="0"/>
                <w:sz w:val="24"/>
                <w:szCs w:val="24"/>
              </w:rPr>
            </w:pPr>
            <w:r>
              <w:rPr>
                <w:color w:val="000000"/>
                <w:kern w:val="0"/>
                <w:sz w:val="24"/>
                <w:szCs w:val="24"/>
              </w:rPr>
              <w:t>8</w:t>
            </w:r>
          </w:p>
        </w:tc>
        <w:tc>
          <w:tcPr>
            <w:tcW w:w="3346" w:type="dxa"/>
            <w:vAlign w:val="center"/>
          </w:tcPr>
          <w:p>
            <w:pPr>
              <w:spacing w:before="29" w:line="288" w:lineRule="auto"/>
              <w:jc w:val="left"/>
              <w:rPr>
                <w:kern w:val="0"/>
                <w:sz w:val="24"/>
                <w:szCs w:val="24"/>
              </w:rPr>
            </w:pPr>
            <w:r>
              <w:rPr>
                <w:color w:val="000000"/>
                <w:kern w:val="0"/>
                <w:sz w:val="24"/>
                <w:szCs w:val="24"/>
              </w:rPr>
              <w:t>合计</w:t>
            </w:r>
          </w:p>
        </w:tc>
        <w:tc>
          <w:tcPr>
            <w:tcW w:w="2967" w:type="dxa"/>
            <w:vAlign w:val="center"/>
          </w:tcPr>
          <w:p>
            <w:pPr>
              <w:spacing w:before="29" w:line="288" w:lineRule="auto"/>
              <w:jc w:val="right"/>
              <w:rPr>
                <w:color w:val="000000"/>
                <w:kern w:val="0"/>
                <w:sz w:val="24"/>
                <w:szCs w:val="24"/>
              </w:rPr>
            </w:pPr>
            <w:r>
              <w:rPr>
                <w:color w:val="000000"/>
                <w:kern w:val="0"/>
                <w:sz w:val="24"/>
                <w:szCs w:val="24"/>
              </w:rPr>
              <w:t>224,323,568.77</w:t>
            </w:r>
          </w:p>
        </w:tc>
        <w:tc>
          <w:tcPr>
            <w:tcW w:w="1837" w:type="dxa"/>
            <w:vAlign w:val="center"/>
          </w:tcPr>
          <w:p>
            <w:pPr>
              <w:spacing w:before="29" w:line="288" w:lineRule="auto"/>
              <w:jc w:val="right"/>
              <w:rPr>
                <w:color w:val="000000"/>
                <w:kern w:val="0"/>
                <w:sz w:val="24"/>
                <w:szCs w:val="24"/>
              </w:rPr>
            </w:pPr>
            <w:r>
              <w:rPr>
                <w:color w:val="000000"/>
                <w:kern w:val="0"/>
                <w:sz w:val="24"/>
                <w:szCs w:val="24"/>
              </w:rPr>
              <w:t>100.00</w:t>
            </w:r>
          </w:p>
        </w:tc>
      </w:tr>
    </w:tbl>
    <w:p>
      <w:pPr>
        <w:autoSpaceDE w:val="0"/>
        <w:autoSpaceDN w:val="0"/>
        <w:adjustRightInd w:val="0"/>
        <w:spacing w:before="29" w:line="288" w:lineRule="auto"/>
        <w:jc w:val="left"/>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5.2 报告期末按行业分类的股票投资组合</w:t>
      </w:r>
    </w:p>
    <w:p>
      <w:pPr>
        <w:autoSpaceDE w:val="0"/>
        <w:autoSpaceDN w:val="0"/>
        <w:adjustRightInd w:val="0"/>
        <w:spacing w:before="29" w:line="288" w:lineRule="auto"/>
        <w:jc w:val="left"/>
        <w:rPr>
          <w:b/>
          <w:bCs/>
          <w:color w:val="000000"/>
          <w:kern w:val="0"/>
          <w:sz w:val="24"/>
          <w:szCs w:val="24"/>
        </w:rPr>
      </w:pPr>
      <w:r>
        <w:rPr>
          <w:b/>
          <w:color w:val="000000" w:themeColor="text1"/>
        </w:rPr>
        <w:t/>
      </w:r>
      <w:r>
        <w:rPr>
          <w:rFonts w:hint="eastAsia" w:eastAsiaTheme="minorEastAsia"/>
          <w:b/>
          <w:color w:val="000000" w:themeColor="text1"/>
          <w:kern w:val="0"/>
        </w:rPr>
        <w:t>5.2.1报告期末按行业分类的境内股票投资组合</w:t>
      </w:r>
    </w:p>
    <w:tbl>
      <w:tblPr>
        <w:tblStyle w:val="30"/>
        <w:tblW w:w="8868" w:type="dxa"/>
        <w:jc w:val="center"/>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
      <w:tblGrid>
        <w:gridCol w:w="845"/>
        <w:gridCol w:w="3544"/>
        <w:gridCol w:w="2841"/>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390" w:hRule="atLeast"/>
          <w:jc w:val="center"/>
        </w:trPr>
        <w:tc>
          <w:tcPr>
            <w:tcW w:w="845"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adjustRightInd w:val="0"/>
              <w:snapToGrid w:val="0"/>
              <w:spacing w:before="29" w:line="288" w:lineRule="auto"/>
              <w:jc w:val="center"/>
              <w:rPr>
                <w:sz w:val="24"/>
                <w:szCs w:val="24"/>
              </w:rPr>
            </w:pPr>
            <w:r>
              <w:rPr>
                <w:sz w:val="24"/>
                <w:szCs w:val="24"/>
              </w:rPr>
              <w:t>代码</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行业类别</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adjustRightInd w:val="0"/>
              <w:snapToGrid w:val="0"/>
              <w:spacing w:before="29" w:line="288" w:lineRule="auto"/>
              <w:jc w:val="center"/>
              <w:rPr>
                <w:sz w:val="24"/>
                <w:szCs w:val="24"/>
              </w:rPr>
            </w:pPr>
            <w:r>
              <w:rPr>
                <w:sz w:val="24"/>
                <w:szCs w:val="24"/>
              </w:rPr>
              <w:t>公允价值（元）</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A</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农、林、牧、渔业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autoSpaceDE w:val="0"/>
              <w:autoSpaceDN w:val="0"/>
              <w:adjustRightInd w:val="0"/>
              <w:spacing w:before="29" w:line="288" w:lineRule="auto"/>
              <w:ind w:left="15"/>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utoSpaceDE w:val="0"/>
              <w:autoSpaceDN w:val="0"/>
              <w:adjustRightInd w:val="0"/>
              <w:spacing w:before="29" w:line="288" w:lineRule="auto"/>
              <w:ind w:left="15"/>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B</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采矿业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C</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制造业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43,205,475.04</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21.02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D</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电力、热力、燃气及水生产和供应业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E</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建筑业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861,584.50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F</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批发和零售业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1,735,346.00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G</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交通运输、仓储和邮政业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49,512.48</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H</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住宿和餐饮业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sz w:val="24"/>
                <w:szCs w:val="24"/>
              </w:rPr>
            </w:pPr>
            <w:r>
              <w:rPr>
                <w:sz w:val="24"/>
                <w:szCs w:val="24"/>
              </w:rPr>
              <w:t>I</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sz w:val="24"/>
                <w:szCs w:val="24"/>
              </w:rPr>
            </w:pPr>
            <w:r>
              <w:rPr>
                <w:sz w:val="24"/>
                <w:szCs w:val="24"/>
              </w:rPr>
              <w:t>信息传输、软件和信息技术服务业</w:t>
            </w:r>
          </w:p>
          <w:p>
            <w:pPr>
              <w:spacing w:before="29" w:line="288" w:lineRule="auto"/>
              <w:jc w:val="left"/>
              <w:rPr>
                <w:sz w:val="24"/>
                <w:szCs w:val="24"/>
              </w:rPr>
            </w:pP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457,150.00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J</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金融业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3,987,559.20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K</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房地产业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411,840.00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L</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租赁和商务服务业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565,815.00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M</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科学研究和技术服务业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N</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水利、环境和公共设施管理业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427,805.00</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O</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居民服务、修理和其他服务业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P</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教育</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Q</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卫生和社会工作</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R</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文化、体育和娱乐业</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r>
              <w:rPr>
                <w:color w:val="000000"/>
                <w:sz w:val="24"/>
                <w:szCs w:val="24"/>
              </w:rPr>
              <w:t>S</w:t>
            </w: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综合</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 w:type="dxa"/>
            <w:left w:w="0" w:type="dxa"/>
            <w:bottom w:w="-1" w:type="dxa"/>
            <w:right w:w="0" w:type="dxa"/>
          </w:tblCellMar>
        </w:tblPrEx>
        <w:trPr>
          <w:trHeight w:val="285" w:hRule="atLeast"/>
          <w:jc w:val="center"/>
        </w:trPr>
        <w:tc>
          <w:tcPr>
            <w:tcW w:w="845"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adjustRightInd w:val="0"/>
              <w:snapToGrid w:val="0"/>
              <w:spacing w:before="29" w:line="288" w:lineRule="auto"/>
              <w:jc w:val="center"/>
              <w:rPr>
                <w:color w:val="000000"/>
                <w:sz w:val="24"/>
                <w:szCs w:val="24"/>
              </w:rPr>
            </w:pPr>
          </w:p>
        </w:tc>
        <w:tc>
          <w:tcPr>
            <w:tcW w:w="3544" w:type="dxa"/>
            <w:tcBorders>
              <w:top w:val="single" w:color="000000" w:sz="4" w:space="0"/>
              <w:left w:val="single" w:color="000000" w:sz="4" w:space="0"/>
              <w:bottom w:val="single" w:color="000000" w:sz="4" w:space="0"/>
              <w:right w:val="single" w:color="auto" w:sz="4" w:space="0"/>
            </w:tcBorders>
            <w:tcMar>
              <w:top w:w="15" w:type="dxa"/>
              <w:left w:w="108" w:type="dxa"/>
              <w:bottom w:w="0" w:type="dxa"/>
              <w:right w:w="108" w:type="dxa"/>
            </w:tcMar>
            <w:vAlign w:val="center"/>
          </w:tcPr>
          <w:p>
            <w:pPr>
              <w:adjustRightInd w:val="0"/>
              <w:snapToGrid w:val="0"/>
              <w:spacing w:before="29" w:line="288" w:lineRule="auto"/>
              <w:jc w:val="left"/>
              <w:rPr>
                <w:color w:val="000000"/>
                <w:sz w:val="24"/>
                <w:szCs w:val="24"/>
              </w:rPr>
            </w:pPr>
            <w:r>
              <w:rPr>
                <w:color w:val="000000"/>
                <w:sz w:val="24"/>
                <w:szCs w:val="24"/>
              </w:rPr>
              <w:t>合计</w:t>
            </w:r>
          </w:p>
        </w:tc>
        <w:tc>
          <w:tcPr>
            <w:tcW w:w="2841"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spacing w:before="29" w:line="288" w:lineRule="auto"/>
              <w:jc w:val="right"/>
              <w:rPr>
                <w:sz w:val="24"/>
                <w:szCs w:val="24"/>
              </w:rPr>
            </w:pPr>
            <w:r>
              <w:rPr>
                <w:sz w:val="24"/>
                <w:szCs w:val="24"/>
              </w:rPr>
              <w:t>51,702,087.22</w:t>
            </w:r>
          </w:p>
        </w:tc>
        <w:tc>
          <w:tcPr>
            <w:tcW w:w="163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pacing w:before="29" w:line="288" w:lineRule="auto"/>
              <w:jc w:val="right"/>
              <w:rPr>
                <w:sz w:val="24"/>
                <w:szCs w:val="24"/>
              </w:rPr>
            </w:pPr>
            <w:r>
              <w:rPr>
                <w:sz w:val="24"/>
                <w:szCs w:val="24"/>
              </w:rPr>
              <w:t>25.16</w:t>
            </w:r>
          </w:p>
        </w:tc>
      </w:tr>
    </w:tbl>
    <w:p>
      <w:pPr>
        <w:jc w:val="left"/>
        <w:rPr>
          <w:b/>
        </w:rPr>
      </w:pPr>
      <w:r>
        <w:rPr>
          <w:b/>
          <w:color w:val="000000" w:themeColor="text1"/>
        </w:rPr>
        <w:t/>
      </w:r>
      <w:r>
        <w:rPr>
          <w:rFonts w:hint="eastAsia" w:ascii="宋体" w:hAnsi="宋体"/>
          <w:b/>
          <w:kern w:val="0"/>
          <w:sz w:val="18"/>
        </w:rPr>
        <w:t>5.2.2</w:t>
      </w:r>
      <w:r>
        <w:rPr>
          <w:rFonts w:hint="eastAsia"/>
          <w:b/>
        </w:rPr>
        <w:t>报告期末按行业分类的</w:t>
      </w:r>
      <w:r>
        <w:rPr>
          <w:rFonts w:hint="eastAsia"/>
          <w:b/>
          <w:lang w:eastAsia="zh-CN"/>
        </w:rPr>
        <w:t>港股通</w:t>
      </w:r>
      <w:r>
        <w:rPr>
          <w:rFonts w:hint="eastAsia"/>
          <w:b/>
        </w:rPr>
        <w:t>投资股票投资组合</w:t>
      </w:r>
    </w:p>
    <w:p>
      <w:pPr>
        <w:autoSpaceDE w:val="0"/>
        <w:autoSpaceDN w:val="0"/>
        <w:adjustRightInd w:val="0"/>
        <w:spacing w:before="29" w:line="288" w:lineRule="auto"/>
        <w:ind w:firstLine="240" w:firstLineChars="100"/>
        <w:jc w:val="left"/>
        <w:rPr>
          <w:sz w:val="24"/>
          <w:szCs w:val="24"/>
        </w:rPr>
      </w:pPr>
      <w:r>
        <w:rPr>
          <w:sz w:val="24"/>
          <w:szCs w:val="24"/>
        </w:rPr>
        <w:t/>
      </w:r>
      <w:bookmarkStart w:id="2" w:name="_GoBack"/>
      <w:bookmarkEnd w:id="2"/>
      <w:r>
        <w:rPr>
          <w:sz w:val="24"/>
          <w:szCs w:val="24"/>
        </w:rPr>
        <w:t>本基金本报告期末未持有港股通股票。</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5.3 报告期末按公允价值占基金资产净值比例大小排序的前十名股票投资明细</w:t>
      </w:r>
    </w:p>
    <w:tbl>
      <w:tblPr>
        <w:tblStyle w:val="31"/>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5"/>
        <w:gridCol w:w="1334"/>
        <w:gridCol w:w="1777"/>
        <w:gridCol w:w="1334"/>
        <w:gridCol w:w="192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855" w:type="dxa"/>
            <w:vAlign w:val="center"/>
          </w:tcPr>
          <w:p>
            <w:pPr>
              <w:spacing w:before="29" w:line="288" w:lineRule="auto"/>
              <w:ind w:left="17"/>
              <w:jc w:val="center"/>
              <w:rPr>
                <w:color w:val="000000"/>
                <w:kern w:val="0"/>
                <w:sz w:val="24"/>
                <w:szCs w:val="24"/>
              </w:rPr>
            </w:pPr>
            <w:r>
              <w:rPr>
                <w:color w:val="000000"/>
                <w:kern w:val="0"/>
                <w:sz w:val="24"/>
                <w:szCs w:val="24"/>
              </w:rPr>
              <w:t>序号</w:t>
            </w:r>
          </w:p>
        </w:tc>
        <w:tc>
          <w:tcPr>
            <w:tcW w:w="1334" w:type="dxa"/>
            <w:vAlign w:val="center"/>
          </w:tcPr>
          <w:p>
            <w:pPr>
              <w:spacing w:before="29" w:line="288" w:lineRule="auto"/>
              <w:ind w:left="17"/>
              <w:jc w:val="center"/>
              <w:rPr>
                <w:color w:val="000000"/>
                <w:kern w:val="0"/>
                <w:sz w:val="24"/>
                <w:szCs w:val="24"/>
              </w:rPr>
            </w:pPr>
            <w:r>
              <w:rPr>
                <w:color w:val="000000"/>
                <w:kern w:val="0"/>
                <w:sz w:val="24"/>
                <w:szCs w:val="24"/>
              </w:rPr>
              <w:t>股票代码</w:t>
            </w:r>
          </w:p>
        </w:tc>
        <w:tc>
          <w:tcPr>
            <w:tcW w:w="1777" w:type="dxa"/>
            <w:vAlign w:val="center"/>
          </w:tcPr>
          <w:p>
            <w:pPr>
              <w:spacing w:before="29" w:line="288" w:lineRule="auto"/>
              <w:ind w:left="17"/>
              <w:jc w:val="center"/>
              <w:rPr>
                <w:color w:val="000000"/>
                <w:kern w:val="0"/>
                <w:sz w:val="24"/>
                <w:szCs w:val="24"/>
              </w:rPr>
            </w:pPr>
            <w:r>
              <w:rPr>
                <w:color w:val="000000"/>
                <w:kern w:val="0"/>
                <w:sz w:val="24"/>
                <w:szCs w:val="24"/>
              </w:rPr>
              <w:t>股票名称</w:t>
            </w:r>
          </w:p>
        </w:tc>
        <w:tc>
          <w:tcPr>
            <w:tcW w:w="1334" w:type="dxa"/>
            <w:vAlign w:val="center"/>
          </w:tcPr>
          <w:p>
            <w:pPr>
              <w:spacing w:before="29" w:line="288" w:lineRule="auto"/>
              <w:ind w:left="17"/>
              <w:jc w:val="center"/>
              <w:rPr>
                <w:color w:val="000000"/>
                <w:kern w:val="0"/>
                <w:sz w:val="24"/>
                <w:szCs w:val="24"/>
              </w:rPr>
            </w:pPr>
            <w:r>
              <w:rPr>
                <w:color w:val="000000"/>
                <w:kern w:val="0"/>
                <w:sz w:val="24"/>
                <w:szCs w:val="24"/>
              </w:rPr>
              <w:t>数量</w:t>
            </w:r>
            <w:r>
              <w:rPr>
                <w:color w:val="000000"/>
                <w:kern w:val="0"/>
                <w:sz w:val="24"/>
              </w:rPr>
              <w:t>（股）</w:t>
            </w:r>
          </w:p>
        </w:tc>
        <w:tc>
          <w:tcPr>
            <w:tcW w:w="1924"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公允价值(元)</w:t>
            </w:r>
          </w:p>
        </w:tc>
        <w:tc>
          <w:tcPr>
            <w:tcW w:w="1644" w:type="dxa"/>
            <w:vAlign w:val="center"/>
          </w:tcPr>
          <w:p>
            <w:pPr>
              <w:spacing w:before="29" w:line="288" w:lineRule="auto"/>
              <w:ind w:left="17"/>
              <w:jc w:val="center"/>
              <w:rPr>
                <w:color w:val="000000"/>
                <w:kern w:val="0"/>
                <w:sz w:val="24"/>
                <w:szCs w:val="24"/>
              </w:rPr>
            </w:pPr>
            <w:r>
              <w:rPr>
                <w:color w:val="000000"/>
                <w:kern w:val="0"/>
                <w:sz w:val="24"/>
                <w:szCs w:val="24"/>
              </w:rPr>
              <w:t>占基金资产净值比例</w:t>
            </w:r>
            <w:r>
              <w:rPr>
                <w:color w:val="000000"/>
                <w:kern w:val="0"/>
                <w:sz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9,012</w:t>
            </w:r>
          </w:p>
        </w:tc>
        <w:tc>
          <w:tcPr>
            <w:vAlign w:val="center"/>
          </w:tcPr>
          <w:p>
            <w:pPr>
              <w:jc w:val="right"/>
            </w:pPr>
            <w:r>
              <w:rPr>
                <w:color w:val="000000"/>
                <w:kern w:val="0"/>
                <w:sz w:val="24"/>
                <w:szCs w:val="24"/>
              </w:rPr>
              <w:t>4,664,971.68</w:t>
            </w:r>
          </w:p>
        </w:tc>
        <w:tc>
          <w:tcPr>
            <w:vAlign w:val="center"/>
          </w:tcPr>
          <w:p>
            <w:pPr>
              <w:jc w:val="right"/>
            </w:pPr>
            <w:r>
              <w:rPr>
                <w:color w:val="000000"/>
                <w:kern w:val="0"/>
                <w:sz w:val="24"/>
                <w:szCs w:val="24"/>
              </w:rPr>
              <w:t>2.27</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 粮 液</w:t>
            </w:r>
          </w:p>
        </w:tc>
        <w:tc>
          <w:tcPr>
            <w:vAlign w:val="center"/>
          </w:tcPr>
          <w:p>
            <w:pPr>
              <w:jc w:val="right"/>
            </w:pPr>
            <w:r>
              <w:rPr>
                <w:color w:val="000000"/>
                <w:kern w:val="0"/>
                <w:sz w:val="24"/>
                <w:szCs w:val="24"/>
              </w:rPr>
              <w:t>72,030</w:t>
            </w:r>
          </w:p>
        </w:tc>
        <w:tc>
          <w:tcPr>
            <w:vAlign w:val="center"/>
          </w:tcPr>
          <w:p>
            <w:pPr>
              <w:jc w:val="right"/>
            </w:pPr>
            <w:r>
              <w:rPr>
                <w:color w:val="000000"/>
                <w:kern w:val="0"/>
                <w:sz w:val="24"/>
                <w:szCs w:val="24"/>
              </w:rPr>
              <w:t>4,125,878.40</w:t>
            </w:r>
          </w:p>
        </w:tc>
        <w:tc>
          <w:tcPr>
            <w:vAlign w:val="center"/>
          </w:tcPr>
          <w:p>
            <w:pPr>
              <w:jc w:val="right"/>
            </w:pPr>
            <w:r>
              <w:rPr>
                <w:color w:val="000000"/>
                <w:kern w:val="0"/>
                <w:sz w:val="24"/>
                <w:szCs w:val="24"/>
              </w:rPr>
              <w:t>2.01</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600887</w:t>
            </w:r>
          </w:p>
        </w:tc>
        <w:tc>
          <w:tcPr>
            <w:vAlign w:val="center"/>
          </w:tcPr>
          <w:p>
            <w:pPr>
              <w:jc w:val="center"/>
            </w:pPr>
            <w:r>
              <w:rPr>
                <w:color w:val="000000"/>
                <w:kern w:val="0"/>
                <w:sz w:val="24"/>
                <w:szCs w:val="24"/>
              </w:rPr>
              <w:t>伊利股份</w:t>
            </w:r>
          </w:p>
        </w:tc>
        <w:tc>
          <w:tcPr>
            <w:vAlign w:val="center"/>
          </w:tcPr>
          <w:p>
            <w:pPr>
              <w:jc w:val="right"/>
            </w:pPr>
            <w:r>
              <w:rPr>
                <w:color w:val="000000"/>
                <w:kern w:val="0"/>
                <w:sz w:val="24"/>
                <w:szCs w:val="24"/>
              </w:rPr>
              <w:t>129,600</w:t>
            </w:r>
          </w:p>
        </w:tc>
        <w:tc>
          <w:tcPr>
            <w:vAlign w:val="center"/>
          </w:tcPr>
          <w:p>
            <w:pPr>
              <w:jc w:val="right"/>
            </w:pPr>
            <w:r>
              <w:rPr>
                <w:color w:val="000000"/>
                <w:kern w:val="0"/>
                <w:sz w:val="24"/>
                <w:szCs w:val="24"/>
              </w:rPr>
              <w:t>3,564,000.00</w:t>
            </w:r>
          </w:p>
        </w:tc>
        <w:tc>
          <w:tcPr>
            <w:vAlign w:val="center"/>
          </w:tcPr>
          <w:p>
            <w:pPr>
              <w:jc w:val="right"/>
            </w:pPr>
            <w:r>
              <w:rPr>
                <w:color w:val="000000"/>
                <w:kern w:val="0"/>
                <w:sz w:val="24"/>
                <w:szCs w:val="24"/>
              </w:rPr>
              <w:t>1.73</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600176</w:t>
            </w:r>
          </w:p>
        </w:tc>
        <w:tc>
          <w:tcPr>
            <w:vAlign w:val="center"/>
          </w:tcPr>
          <w:p>
            <w:pPr>
              <w:jc w:val="center"/>
            </w:pPr>
            <w:r>
              <w:rPr>
                <w:color w:val="000000"/>
                <w:kern w:val="0"/>
                <w:sz w:val="24"/>
                <w:szCs w:val="24"/>
              </w:rPr>
              <w:t>中国巨石</w:t>
            </w:r>
          </w:p>
        </w:tc>
        <w:tc>
          <w:tcPr>
            <w:vAlign w:val="center"/>
          </w:tcPr>
          <w:p>
            <w:pPr>
              <w:jc w:val="right"/>
            </w:pPr>
            <w:r>
              <w:rPr>
                <w:color w:val="000000"/>
                <w:kern w:val="0"/>
                <w:sz w:val="24"/>
                <w:szCs w:val="24"/>
              </w:rPr>
              <w:t>302,324</w:t>
            </w:r>
          </w:p>
        </w:tc>
        <w:tc>
          <w:tcPr>
            <w:vAlign w:val="center"/>
          </w:tcPr>
          <w:p>
            <w:pPr>
              <w:jc w:val="right"/>
            </w:pPr>
            <w:r>
              <w:rPr>
                <w:color w:val="000000"/>
                <w:kern w:val="0"/>
                <w:sz w:val="24"/>
                <w:szCs w:val="24"/>
              </w:rPr>
              <w:t>3,464,633.04</w:t>
            </w:r>
          </w:p>
        </w:tc>
        <w:tc>
          <w:tcPr>
            <w:vAlign w:val="center"/>
          </w:tcPr>
          <w:p>
            <w:pPr>
              <w:jc w:val="right"/>
            </w:pPr>
            <w:r>
              <w:rPr>
                <w:color w:val="000000"/>
                <w:kern w:val="0"/>
                <w:sz w:val="24"/>
                <w:szCs w:val="24"/>
              </w:rPr>
              <w:t>1.69</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000333</w:t>
            </w:r>
          </w:p>
        </w:tc>
        <w:tc>
          <w:tcPr>
            <w:vAlign w:val="center"/>
          </w:tcPr>
          <w:p>
            <w:pPr>
              <w:jc w:val="center"/>
            </w:pPr>
            <w:r>
              <w:rPr>
                <w:color w:val="000000"/>
                <w:kern w:val="0"/>
                <w:sz w:val="24"/>
                <w:szCs w:val="24"/>
              </w:rPr>
              <w:t>美的集团</w:t>
            </w:r>
          </w:p>
        </w:tc>
        <w:tc>
          <w:tcPr>
            <w:vAlign w:val="center"/>
          </w:tcPr>
          <w:p>
            <w:pPr>
              <w:jc w:val="right"/>
            </w:pPr>
            <w:r>
              <w:rPr>
                <w:color w:val="000000"/>
                <w:kern w:val="0"/>
                <w:sz w:val="24"/>
                <w:szCs w:val="24"/>
              </w:rPr>
              <w:t>65,663</w:t>
            </w:r>
          </w:p>
        </w:tc>
        <w:tc>
          <w:tcPr>
            <w:vAlign w:val="center"/>
          </w:tcPr>
          <w:p>
            <w:pPr>
              <w:jc w:val="right"/>
            </w:pPr>
            <w:r>
              <w:rPr>
                <w:color w:val="000000"/>
                <w:kern w:val="0"/>
                <w:sz w:val="24"/>
                <w:szCs w:val="24"/>
              </w:rPr>
              <w:t>2,901,647.97</w:t>
            </w:r>
          </w:p>
        </w:tc>
        <w:tc>
          <w:tcPr>
            <w:vAlign w:val="center"/>
          </w:tcPr>
          <w:p>
            <w:pPr>
              <w:jc w:val="right"/>
            </w:pPr>
            <w:r>
              <w:rPr>
                <w:color w:val="000000"/>
                <w:kern w:val="0"/>
                <w:sz w:val="24"/>
                <w:szCs w:val="24"/>
              </w:rPr>
              <w:t>1.41</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000063</w:t>
            </w:r>
          </w:p>
        </w:tc>
        <w:tc>
          <w:tcPr>
            <w:vAlign w:val="center"/>
          </w:tcPr>
          <w:p>
            <w:pPr>
              <w:jc w:val="center"/>
            </w:pPr>
            <w:r>
              <w:rPr>
                <w:color w:val="000000"/>
                <w:kern w:val="0"/>
                <w:sz w:val="24"/>
                <w:szCs w:val="24"/>
              </w:rPr>
              <w:t>中兴通讯</w:t>
            </w:r>
          </w:p>
        </w:tc>
        <w:tc>
          <w:tcPr>
            <w:vAlign w:val="center"/>
          </w:tcPr>
          <w:p>
            <w:pPr>
              <w:jc w:val="right"/>
            </w:pPr>
            <w:r>
              <w:rPr>
                <w:color w:val="000000"/>
                <w:kern w:val="0"/>
                <w:sz w:val="24"/>
                <w:szCs w:val="24"/>
              </w:rPr>
              <w:t>67,580</w:t>
            </w:r>
          </w:p>
        </w:tc>
        <w:tc>
          <w:tcPr>
            <w:vAlign w:val="center"/>
          </w:tcPr>
          <w:p>
            <w:pPr>
              <w:jc w:val="right"/>
            </w:pPr>
            <w:r>
              <w:rPr>
                <w:color w:val="000000"/>
                <w:kern w:val="0"/>
                <w:sz w:val="24"/>
                <w:szCs w:val="24"/>
              </w:rPr>
              <w:t>1,912,514.00</w:t>
            </w:r>
          </w:p>
        </w:tc>
        <w:tc>
          <w:tcPr>
            <w:vAlign w:val="center"/>
          </w:tcPr>
          <w:p>
            <w:pPr>
              <w:jc w:val="right"/>
            </w:pPr>
            <w:r>
              <w:rPr>
                <w:color w:val="000000"/>
                <w:kern w:val="0"/>
                <w:sz w:val="24"/>
                <w:szCs w:val="24"/>
              </w:rPr>
              <w:t>0.93</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300408</w:t>
            </w:r>
          </w:p>
        </w:tc>
        <w:tc>
          <w:tcPr>
            <w:vAlign w:val="center"/>
          </w:tcPr>
          <w:p>
            <w:pPr>
              <w:jc w:val="center"/>
            </w:pPr>
            <w:r>
              <w:rPr>
                <w:color w:val="000000"/>
                <w:kern w:val="0"/>
                <w:sz w:val="24"/>
                <w:szCs w:val="24"/>
              </w:rPr>
              <w:t>三环集团</w:t>
            </w:r>
          </w:p>
        </w:tc>
        <w:tc>
          <w:tcPr>
            <w:vAlign w:val="center"/>
          </w:tcPr>
          <w:p>
            <w:pPr>
              <w:jc w:val="right"/>
            </w:pPr>
            <w:r>
              <w:rPr>
                <w:color w:val="000000"/>
                <w:kern w:val="0"/>
                <w:sz w:val="24"/>
                <w:szCs w:val="24"/>
              </w:rPr>
              <w:t>77,000</w:t>
            </w:r>
          </w:p>
        </w:tc>
        <w:tc>
          <w:tcPr>
            <w:vAlign w:val="center"/>
          </w:tcPr>
          <w:p>
            <w:pPr>
              <w:jc w:val="right"/>
            </w:pPr>
            <w:r>
              <w:rPr>
                <w:color w:val="000000"/>
                <w:kern w:val="0"/>
                <w:sz w:val="24"/>
                <w:szCs w:val="24"/>
              </w:rPr>
              <w:t>1,893,430.00</w:t>
            </w:r>
          </w:p>
        </w:tc>
        <w:tc>
          <w:tcPr>
            <w:vAlign w:val="center"/>
          </w:tcPr>
          <w:p>
            <w:pPr>
              <w:jc w:val="right"/>
            </w:pPr>
            <w:r>
              <w:rPr>
                <w:color w:val="000000"/>
                <w:kern w:val="0"/>
                <w:sz w:val="24"/>
                <w:szCs w:val="24"/>
              </w:rPr>
              <w:t>0.92</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000786</w:t>
            </w:r>
          </w:p>
        </w:tc>
        <w:tc>
          <w:tcPr>
            <w:vAlign w:val="center"/>
          </w:tcPr>
          <w:p>
            <w:pPr>
              <w:jc w:val="center"/>
            </w:pPr>
            <w:r>
              <w:rPr>
                <w:color w:val="000000"/>
                <w:kern w:val="0"/>
                <w:sz w:val="24"/>
                <w:szCs w:val="24"/>
              </w:rPr>
              <w:t>北新建材</w:t>
            </w:r>
          </w:p>
        </w:tc>
        <w:tc>
          <w:tcPr>
            <w:vAlign w:val="center"/>
          </w:tcPr>
          <w:p>
            <w:pPr>
              <w:jc w:val="right"/>
            </w:pPr>
            <w:r>
              <w:rPr>
                <w:color w:val="000000"/>
                <w:kern w:val="0"/>
                <w:sz w:val="24"/>
                <w:szCs w:val="24"/>
              </w:rPr>
              <w:t>95,000</w:t>
            </w:r>
          </w:p>
        </w:tc>
        <w:tc>
          <w:tcPr>
            <w:vAlign w:val="center"/>
          </w:tcPr>
          <w:p>
            <w:pPr>
              <w:jc w:val="right"/>
            </w:pPr>
            <w:r>
              <w:rPr>
                <w:color w:val="000000"/>
                <w:kern w:val="0"/>
                <w:sz w:val="24"/>
                <w:szCs w:val="24"/>
              </w:rPr>
              <w:t>1,633,050.00</w:t>
            </w:r>
          </w:p>
        </w:tc>
        <w:tc>
          <w:tcPr>
            <w:vAlign w:val="center"/>
          </w:tcPr>
          <w:p>
            <w:pPr>
              <w:jc w:val="right"/>
            </w:pPr>
            <w:r>
              <w:rPr>
                <w:color w:val="000000"/>
                <w:kern w:val="0"/>
                <w:sz w:val="24"/>
                <w:szCs w:val="24"/>
              </w:rPr>
              <w:t>0.79</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600741</w:t>
            </w:r>
          </w:p>
        </w:tc>
        <w:tc>
          <w:tcPr>
            <w:vAlign w:val="center"/>
          </w:tcPr>
          <w:p>
            <w:pPr>
              <w:jc w:val="center"/>
            </w:pPr>
            <w:r>
              <w:rPr>
                <w:color w:val="000000"/>
                <w:kern w:val="0"/>
                <w:sz w:val="24"/>
                <w:szCs w:val="24"/>
              </w:rPr>
              <w:t>华域汽车</w:t>
            </w:r>
          </w:p>
        </w:tc>
        <w:tc>
          <w:tcPr>
            <w:vAlign w:val="center"/>
          </w:tcPr>
          <w:p>
            <w:pPr>
              <w:jc w:val="right"/>
            </w:pPr>
            <w:r>
              <w:rPr>
                <w:color w:val="000000"/>
                <w:kern w:val="0"/>
                <w:sz w:val="24"/>
                <w:szCs w:val="24"/>
              </w:rPr>
              <w:t>61,400</w:t>
            </w:r>
          </w:p>
        </w:tc>
        <w:tc>
          <w:tcPr>
            <w:vAlign w:val="center"/>
          </w:tcPr>
          <w:p>
            <w:pPr>
              <w:jc w:val="right"/>
            </w:pPr>
            <w:r>
              <w:rPr>
                <w:color w:val="000000"/>
                <w:kern w:val="0"/>
                <w:sz w:val="24"/>
                <w:szCs w:val="24"/>
              </w:rPr>
              <w:t>1,384,570.00</w:t>
            </w:r>
          </w:p>
        </w:tc>
        <w:tc>
          <w:tcPr>
            <w:vAlign w:val="center"/>
          </w:tcPr>
          <w:p>
            <w:pPr>
              <w:jc w:val="right"/>
            </w:pPr>
            <w:r>
              <w:rPr>
                <w:color w:val="000000"/>
                <w:kern w:val="0"/>
                <w:sz w:val="24"/>
                <w:szCs w:val="24"/>
              </w:rPr>
              <w:t>0.67</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002456</w:t>
            </w:r>
          </w:p>
        </w:tc>
        <w:tc>
          <w:tcPr>
            <w:vAlign w:val="center"/>
          </w:tcPr>
          <w:p>
            <w:pPr>
              <w:jc w:val="center"/>
            </w:pPr>
            <w:r>
              <w:rPr>
                <w:color w:val="000000"/>
                <w:kern w:val="0"/>
                <w:sz w:val="24"/>
                <w:szCs w:val="24"/>
              </w:rPr>
              <w:t>欧菲光</w:t>
            </w:r>
          </w:p>
        </w:tc>
        <w:tc>
          <w:tcPr>
            <w:vAlign w:val="center"/>
          </w:tcPr>
          <w:p>
            <w:pPr>
              <w:jc w:val="right"/>
            </w:pPr>
            <w:r>
              <w:rPr>
                <w:color w:val="000000"/>
                <w:kern w:val="0"/>
                <w:sz w:val="24"/>
                <w:szCs w:val="24"/>
              </w:rPr>
              <w:t>64,000</w:t>
            </w:r>
          </w:p>
        </w:tc>
        <w:tc>
          <w:tcPr>
            <w:vAlign w:val="center"/>
          </w:tcPr>
          <w:p>
            <w:pPr>
              <w:jc w:val="right"/>
            </w:pPr>
            <w:r>
              <w:rPr>
                <w:color w:val="000000"/>
                <w:kern w:val="0"/>
                <w:sz w:val="24"/>
                <w:szCs w:val="24"/>
              </w:rPr>
              <w:t>1,356,160.00</w:t>
            </w:r>
          </w:p>
        </w:tc>
        <w:tc>
          <w:tcPr>
            <w:vAlign w:val="center"/>
          </w:tcPr>
          <w:p>
            <w:pPr>
              <w:jc w:val="right"/>
            </w:pPr>
            <w:r>
              <w:rPr>
                <w:color w:val="000000"/>
                <w:kern w:val="0"/>
                <w:sz w:val="24"/>
                <w:szCs w:val="24"/>
              </w:rPr>
              <w:t>0.66</w:t>
            </w:r>
          </w:p>
        </w:tc>
      </w:tr>
    </w:tbl>
    <w:p>
      <w:pPr>
        <w:autoSpaceDE w:val="0"/>
        <w:autoSpaceDN w:val="0"/>
        <w:adjustRightInd w:val="0"/>
        <w:spacing w:before="29" w:line="288" w:lineRule="auto"/>
        <w:jc w:val="left"/>
        <w:rPr>
          <w:b/>
          <w:bCs/>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5.4 报告期末按债券品种分类的债券投资组合</w:t>
      </w:r>
    </w:p>
    <w:tbl>
      <w:tblPr>
        <w:tblStyle w:val="31"/>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02"/>
        <w:gridCol w:w="298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序号</w:t>
            </w:r>
          </w:p>
        </w:tc>
        <w:tc>
          <w:tcPr>
            <w:tcW w:w="3302" w:type="dxa"/>
            <w:vAlign w:val="center"/>
          </w:tcPr>
          <w:p>
            <w:pPr>
              <w:spacing w:before="29" w:line="288" w:lineRule="auto"/>
              <w:ind w:left="17"/>
              <w:jc w:val="center"/>
              <w:rPr>
                <w:color w:val="000000"/>
                <w:kern w:val="0"/>
                <w:sz w:val="24"/>
                <w:szCs w:val="24"/>
              </w:rPr>
            </w:pPr>
            <w:r>
              <w:rPr>
                <w:color w:val="000000"/>
                <w:kern w:val="0"/>
                <w:sz w:val="24"/>
                <w:szCs w:val="24"/>
              </w:rPr>
              <w:t>债券品种</w:t>
            </w:r>
          </w:p>
        </w:tc>
        <w:tc>
          <w:tcPr>
            <w:tcW w:w="2987" w:type="dxa"/>
            <w:vAlign w:val="center"/>
          </w:tcPr>
          <w:p>
            <w:pPr>
              <w:spacing w:before="29" w:line="288" w:lineRule="auto"/>
              <w:ind w:left="17"/>
              <w:jc w:val="center"/>
              <w:rPr>
                <w:color w:val="000000"/>
                <w:kern w:val="0"/>
                <w:sz w:val="24"/>
                <w:szCs w:val="24"/>
              </w:rPr>
            </w:pPr>
            <w:r>
              <w:rPr>
                <w:color w:val="000000"/>
                <w:kern w:val="0"/>
                <w:sz w:val="24"/>
                <w:szCs w:val="24"/>
              </w:rPr>
              <w:t>公允价值</w:t>
            </w:r>
            <w:r>
              <w:rPr>
                <w:color w:val="000000"/>
                <w:kern w:val="0"/>
                <w:sz w:val="24"/>
              </w:rPr>
              <w:t>（元）</w:t>
            </w:r>
          </w:p>
        </w:tc>
        <w:tc>
          <w:tcPr>
            <w:tcW w:w="1751" w:type="dxa"/>
            <w:vAlign w:val="center"/>
          </w:tcPr>
          <w:p>
            <w:pPr>
              <w:spacing w:before="29" w:line="288" w:lineRule="auto"/>
              <w:ind w:left="17"/>
              <w:jc w:val="center"/>
              <w:rPr>
                <w:color w:val="000000"/>
                <w:kern w:val="0"/>
                <w:sz w:val="24"/>
                <w:szCs w:val="24"/>
              </w:rPr>
            </w:pPr>
            <w:r>
              <w:rPr>
                <w:color w:val="000000"/>
                <w:kern w:val="0"/>
                <w:sz w:val="24"/>
                <w:szCs w:val="24"/>
              </w:rPr>
              <w:t>占基金资产净值比例</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1</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国家债券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12,975,300.00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2</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央行票据</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3</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金融债券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其中：政策性金融债</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4</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企业债券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19,980,000.00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5</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企业短期融资券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90,344,000.00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43.96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6</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中期票据</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7</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可转债</w:t>
            </w:r>
            <w:r>
              <w:rPr>
                <w:rFonts w:hint="eastAsia"/>
                <w:color w:val="000000"/>
                <w:kern w:val="0"/>
                <w:sz w:val="24"/>
                <w:szCs w:val="24"/>
              </w:rPr>
              <w:t>（可交换债）</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rFonts w:hint="eastAsia"/>
                <w:color w:val="000000"/>
                <w:kern w:val="0"/>
                <w:sz w:val="24"/>
                <w:szCs w:val="24"/>
              </w:rPr>
              <w:t>8</w:t>
            </w:r>
          </w:p>
        </w:tc>
        <w:tc>
          <w:tcPr>
            <w:tcW w:w="3302" w:type="dxa"/>
            <w:vAlign w:val="center"/>
          </w:tcPr>
          <w:p>
            <w:pPr>
              <w:spacing w:before="29" w:line="288" w:lineRule="auto"/>
              <w:ind w:left="17"/>
              <w:jc w:val="left"/>
              <w:rPr>
                <w:color w:val="000000"/>
                <w:kern w:val="0"/>
                <w:sz w:val="24"/>
                <w:szCs w:val="24"/>
              </w:rPr>
            </w:pPr>
            <w:r>
              <w:rPr>
                <w:rFonts w:hint="eastAsia"/>
                <w:color w:val="000000"/>
                <w:kern w:val="0"/>
                <w:sz w:val="24"/>
                <w:szCs w:val="24"/>
              </w:rPr>
              <w:t>同业存单</w:t>
            </w:r>
          </w:p>
        </w:tc>
        <w:tc>
          <w:tcPr>
            <w:tcW w:w="2987" w:type="dxa"/>
            <w:vAlign w:val="center"/>
          </w:tcPr>
          <w:p>
            <w:pPr>
              <w:spacing w:before="29" w:line="288" w:lineRule="auto"/>
              <w:ind w:left="17"/>
              <w:jc w:val="right"/>
              <w:rPr>
                <w:color w:val="000000"/>
                <w:kern w:val="0"/>
                <w:sz w:val="24"/>
                <w:szCs w:val="24"/>
              </w:rPr>
            </w:pPr>
            <w:r>
              <w:rPr>
                <w:rFonts w:hint="eastAsia"/>
                <w:color w:val="000000"/>
                <w:kern w:val="0"/>
                <w:sz w:val="24"/>
                <w:szCs w:val="24"/>
              </w:rPr>
              <w:t/>
            </w:r>
            <w:r>
              <w:rPr>
                <w:color w:val="000000"/>
                <w:kern w:val="0"/>
                <w:sz w:val="24"/>
                <w:szCs w:val="24"/>
              </w:rPr>
              <w:t/>
            </w:r>
            <w:r>
              <w:rPr>
                <w:rFonts w:hint="eastAsia"/>
                <w:color w:val="000000"/>
                <w:kern w:val="0"/>
                <w:sz w:val="24"/>
                <w:szCs w:val="24"/>
              </w:rPr>
              <w:t>39,116,000.00</w:t>
            </w:r>
          </w:p>
        </w:tc>
        <w:tc>
          <w:tcPr>
            <w:tcW w:w="1751" w:type="dxa"/>
            <w:vAlign w:val="center"/>
          </w:tcPr>
          <w:p>
            <w:pPr>
              <w:spacing w:before="29" w:line="288" w:lineRule="auto"/>
              <w:ind w:left="17"/>
              <w:jc w:val="right"/>
              <w:rPr>
                <w:color w:val="000000"/>
                <w:kern w:val="0"/>
                <w:sz w:val="24"/>
                <w:szCs w:val="24"/>
              </w:rPr>
            </w:pPr>
            <w:r>
              <w:rPr>
                <w:rFonts w:hint="eastAsia"/>
                <w:color w:val="000000"/>
                <w:kern w:val="0"/>
                <w:sz w:val="24"/>
                <w:szCs w:val="24"/>
              </w:rPr>
              <w:t/>
            </w:r>
            <w:r>
              <w:rPr>
                <w:color w:val="000000"/>
                <w:kern w:val="0"/>
                <w:sz w:val="24"/>
                <w:szCs w:val="24"/>
              </w:rPr>
              <w:t/>
            </w:r>
            <w:r>
              <w:rPr>
                <w:rFonts w:hint="eastAsia"/>
                <w:color w:val="000000"/>
                <w:kern w:val="0"/>
                <w:sz w:val="24"/>
                <w:szCs w:val="24"/>
              </w:rPr>
              <w:t>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
            </w:r>
            <w:r>
              <w:rPr>
                <w:rFonts w:hint="eastAsia"/>
                <w:color w:val="000000"/>
                <w:kern w:val="0"/>
                <w:sz w:val="24"/>
                <w:szCs w:val="24"/>
              </w:rPr>
              <w:t/>
            </w:r>
            <w:r>
              <w:rPr>
                <w:color w:val="000000"/>
                <w:kern w:val="0"/>
                <w:sz w:val="24"/>
                <w:szCs w:val="24"/>
              </w:rPr>
              <w:t>9</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其他</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
            </w:r>
            <w:r>
              <w:rPr>
                <w:rFonts w:hint="eastAsia"/>
                <w:color w:val="000000"/>
                <w:kern w:val="0"/>
                <w:sz w:val="24"/>
                <w:szCs w:val="24"/>
              </w:rPr>
              <w:t/>
            </w:r>
            <w:r>
              <w:rPr>
                <w:color w:val="000000"/>
                <w:kern w:val="0"/>
                <w:sz w:val="24"/>
                <w:szCs w:val="24"/>
              </w:rPr>
              <w:t>10</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合计</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162,415,300.00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79.03</w:t>
            </w:r>
          </w:p>
        </w:tc>
      </w:tr>
    </w:tbl>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5.5 报告期末按公允价值占基金资产净值比例大小排序的前五名债券投资明细</w:t>
      </w:r>
    </w:p>
    <w:tbl>
      <w:tblPr>
        <w:tblStyle w:val="31"/>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0"/>
        <w:gridCol w:w="1475"/>
        <w:gridCol w:w="1769"/>
        <w:gridCol w:w="1387"/>
        <w:gridCol w:w="21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850" w:type="dxa"/>
            <w:vAlign w:val="center"/>
          </w:tcPr>
          <w:p>
            <w:pPr>
              <w:spacing w:before="29" w:line="288" w:lineRule="auto"/>
              <w:ind w:left="17"/>
              <w:jc w:val="center"/>
              <w:rPr>
                <w:color w:val="000000"/>
                <w:kern w:val="0"/>
                <w:sz w:val="24"/>
                <w:szCs w:val="24"/>
              </w:rPr>
            </w:pPr>
            <w:r>
              <w:rPr>
                <w:color w:val="000000"/>
                <w:kern w:val="0"/>
                <w:sz w:val="24"/>
                <w:szCs w:val="24"/>
              </w:rPr>
              <w:t>序号</w:t>
            </w:r>
          </w:p>
        </w:tc>
        <w:tc>
          <w:tcPr>
            <w:tcW w:w="1475" w:type="dxa"/>
            <w:vAlign w:val="center"/>
          </w:tcPr>
          <w:p>
            <w:pPr>
              <w:spacing w:before="29" w:line="288" w:lineRule="auto"/>
              <w:ind w:left="17"/>
              <w:jc w:val="center"/>
              <w:rPr>
                <w:color w:val="000000"/>
                <w:kern w:val="0"/>
                <w:sz w:val="24"/>
                <w:szCs w:val="24"/>
              </w:rPr>
            </w:pPr>
            <w:r>
              <w:rPr>
                <w:color w:val="000000"/>
                <w:kern w:val="0"/>
                <w:sz w:val="24"/>
                <w:szCs w:val="24"/>
              </w:rPr>
              <w:t>债券代码</w:t>
            </w:r>
          </w:p>
        </w:tc>
        <w:tc>
          <w:tcPr>
            <w:tcW w:w="1769" w:type="dxa"/>
            <w:vAlign w:val="center"/>
          </w:tcPr>
          <w:p>
            <w:pPr>
              <w:spacing w:before="29" w:line="288" w:lineRule="auto"/>
              <w:ind w:left="17"/>
              <w:jc w:val="center"/>
              <w:rPr>
                <w:color w:val="000000"/>
                <w:kern w:val="0"/>
                <w:sz w:val="24"/>
                <w:szCs w:val="24"/>
              </w:rPr>
            </w:pPr>
            <w:r>
              <w:rPr>
                <w:color w:val="000000"/>
                <w:kern w:val="0"/>
                <w:sz w:val="24"/>
                <w:szCs w:val="24"/>
              </w:rPr>
              <w:t>债券名称</w:t>
            </w:r>
          </w:p>
        </w:tc>
        <w:tc>
          <w:tcPr>
            <w:tcW w:w="1387" w:type="dxa"/>
            <w:vAlign w:val="center"/>
          </w:tcPr>
          <w:p>
            <w:pPr>
              <w:spacing w:before="29" w:line="288" w:lineRule="auto"/>
              <w:ind w:left="17"/>
              <w:jc w:val="center"/>
              <w:rPr>
                <w:color w:val="000000"/>
                <w:kern w:val="0"/>
                <w:sz w:val="24"/>
                <w:szCs w:val="24"/>
              </w:rPr>
            </w:pPr>
            <w:r>
              <w:rPr>
                <w:color w:val="000000"/>
                <w:kern w:val="0"/>
                <w:sz w:val="24"/>
                <w:szCs w:val="24"/>
              </w:rPr>
              <w:t>数量</w:t>
            </w:r>
            <w:r>
              <w:rPr>
                <w:color w:val="000000"/>
                <w:kern w:val="0"/>
                <w:sz w:val="24"/>
              </w:rPr>
              <w:t>（张）</w:t>
            </w:r>
          </w:p>
        </w:tc>
        <w:tc>
          <w:tcPr>
            <w:tcW w:w="2150" w:type="dxa"/>
            <w:vAlign w:val="center"/>
          </w:tcPr>
          <w:p>
            <w:pPr>
              <w:spacing w:before="29" w:line="288" w:lineRule="auto"/>
              <w:ind w:left="17"/>
              <w:jc w:val="center"/>
              <w:rPr>
                <w:color w:val="000000"/>
                <w:kern w:val="0"/>
                <w:sz w:val="24"/>
                <w:szCs w:val="24"/>
              </w:rPr>
            </w:pPr>
            <w:r>
              <w:rPr>
                <w:color w:val="000000"/>
                <w:kern w:val="0"/>
                <w:sz w:val="24"/>
                <w:szCs w:val="24"/>
              </w:rPr>
              <w:t>公允价值(元)</w:t>
            </w:r>
          </w:p>
        </w:tc>
        <w:tc>
          <w:tcPr>
            <w:tcW w:w="1237" w:type="dxa"/>
            <w:vAlign w:val="center"/>
          </w:tcPr>
          <w:p>
            <w:pPr>
              <w:spacing w:before="29" w:line="288" w:lineRule="auto"/>
              <w:ind w:left="17"/>
              <w:jc w:val="center"/>
              <w:rPr>
                <w:color w:val="000000"/>
                <w:kern w:val="0"/>
                <w:sz w:val="24"/>
                <w:szCs w:val="24"/>
              </w:rPr>
            </w:pPr>
            <w:r>
              <w:rPr>
                <w:color w:val="000000"/>
                <w:kern w:val="0"/>
                <w:sz w:val="24"/>
                <w:szCs w:val="24"/>
              </w:rPr>
              <w:t>占基金资产净值比例</w:t>
            </w:r>
            <w:r>
              <w:rPr>
                <w:color w:val="000000"/>
                <w:kern w:val="0"/>
                <w:sz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111782028</w:t>
            </w:r>
          </w:p>
        </w:tc>
        <w:tc>
          <w:tcPr>
            <w:vAlign w:val="center"/>
          </w:tcPr>
          <w:p>
            <w:pPr>
              <w:jc w:val="center"/>
            </w:pPr>
            <w:r>
              <w:rPr>
                <w:color w:val="000000"/>
                <w:kern w:val="0"/>
                <w:sz w:val="24"/>
                <w:szCs w:val="24"/>
              </w:rPr>
              <w:t>17徽商银行CD129</w:t>
            </w:r>
          </w:p>
        </w:tc>
        <w:tc>
          <w:tcPr>
            <w:vAlign w:val="center"/>
          </w:tcPr>
          <w:p>
            <w:pPr>
              <w:jc w:val="right"/>
            </w:pPr>
            <w:r>
              <w:rPr>
                <w:color w:val="000000"/>
                <w:kern w:val="0"/>
                <w:sz w:val="24"/>
                <w:szCs w:val="24"/>
              </w:rPr>
              <w:t>400,000</w:t>
            </w:r>
          </w:p>
        </w:tc>
        <w:tc>
          <w:tcPr>
            <w:vAlign w:val="center"/>
          </w:tcPr>
          <w:p>
            <w:pPr>
              <w:jc w:val="right"/>
            </w:pPr>
            <w:r>
              <w:rPr>
                <w:color w:val="000000"/>
                <w:kern w:val="0"/>
                <w:sz w:val="24"/>
                <w:szCs w:val="24"/>
              </w:rPr>
              <w:t>39,116,000.00</w:t>
            </w:r>
          </w:p>
        </w:tc>
        <w:tc>
          <w:tcPr>
            <w:vAlign w:val="center"/>
          </w:tcPr>
          <w:p>
            <w:pPr>
              <w:jc w:val="right"/>
            </w:pPr>
            <w:r>
              <w:rPr>
                <w:color w:val="000000"/>
                <w:kern w:val="0"/>
                <w:sz w:val="24"/>
                <w:szCs w:val="24"/>
              </w:rPr>
              <w:t>19.03</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011754101</w:t>
            </w:r>
          </w:p>
        </w:tc>
        <w:tc>
          <w:tcPr>
            <w:vAlign w:val="center"/>
          </w:tcPr>
          <w:p>
            <w:pPr>
              <w:jc w:val="center"/>
            </w:pPr>
            <w:r>
              <w:rPr>
                <w:color w:val="000000"/>
                <w:kern w:val="0"/>
                <w:sz w:val="24"/>
                <w:szCs w:val="24"/>
              </w:rPr>
              <w:t>17康美SCP002</w:t>
            </w:r>
          </w:p>
        </w:tc>
        <w:tc>
          <w:tcPr>
            <w:vAlign w:val="center"/>
          </w:tcPr>
          <w:p>
            <w:pPr>
              <w:jc w:val="right"/>
            </w:pPr>
            <w:r>
              <w:rPr>
                <w:color w:val="000000"/>
                <w:kern w:val="0"/>
                <w:sz w:val="24"/>
                <w:szCs w:val="24"/>
              </w:rPr>
              <w:t>200,000</w:t>
            </w:r>
          </w:p>
        </w:tc>
        <w:tc>
          <w:tcPr>
            <w:vAlign w:val="center"/>
          </w:tcPr>
          <w:p>
            <w:pPr>
              <w:jc w:val="right"/>
            </w:pPr>
            <w:r>
              <w:rPr>
                <w:color w:val="000000"/>
                <w:kern w:val="0"/>
                <w:sz w:val="24"/>
                <w:szCs w:val="24"/>
              </w:rPr>
              <w:t>20,062,000.00</w:t>
            </w:r>
          </w:p>
        </w:tc>
        <w:tc>
          <w:tcPr>
            <w:vAlign w:val="center"/>
          </w:tcPr>
          <w:p>
            <w:pPr>
              <w:jc w:val="right"/>
            </w:pPr>
            <w:r>
              <w:rPr>
                <w:color w:val="000000"/>
                <w:kern w:val="0"/>
                <w:sz w:val="24"/>
                <w:szCs w:val="24"/>
              </w:rPr>
              <w:t>9.76</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019557</w:t>
            </w:r>
          </w:p>
        </w:tc>
        <w:tc>
          <w:tcPr>
            <w:vAlign w:val="center"/>
          </w:tcPr>
          <w:p>
            <w:pPr>
              <w:jc w:val="center"/>
            </w:pPr>
            <w:r>
              <w:rPr>
                <w:color w:val="000000"/>
                <w:kern w:val="0"/>
                <w:sz w:val="24"/>
                <w:szCs w:val="24"/>
              </w:rPr>
              <w:t>17国债03</w:t>
            </w:r>
          </w:p>
        </w:tc>
        <w:tc>
          <w:tcPr>
            <w:vAlign w:val="center"/>
          </w:tcPr>
          <w:p>
            <w:pPr>
              <w:jc w:val="right"/>
            </w:pPr>
            <w:r>
              <w:rPr>
                <w:color w:val="000000"/>
                <w:kern w:val="0"/>
                <w:sz w:val="24"/>
                <w:szCs w:val="24"/>
              </w:rPr>
              <w:t>130,000</w:t>
            </w:r>
          </w:p>
        </w:tc>
        <w:tc>
          <w:tcPr>
            <w:vAlign w:val="center"/>
          </w:tcPr>
          <w:p>
            <w:pPr>
              <w:jc w:val="right"/>
            </w:pPr>
            <w:r>
              <w:rPr>
                <w:color w:val="000000"/>
                <w:kern w:val="0"/>
                <w:sz w:val="24"/>
                <w:szCs w:val="24"/>
              </w:rPr>
              <w:t>12,975,300.00</w:t>
            </w:r>
          </w:p>
        </w:tc>
        <w:tc>
          <w:tcPr>
            <w:vAlign w:val="center"/>
          </w:tcPr>
          <w:p>
            <w:pPr>
              <w:jc w:val="right"/>
            </w:pPr>
            <w:r>
              <w:rPr>
                <w:color w:val="000000"/>
                <w:kern w:val="0"/>
                <w:sz w:val="24"/>
                <w:szCs w:val="24"/>
              </w:rPr>
              <w:t>6.31</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011762006</w:t>
            </w:r>
          </w:p>
        </w:tc>
        <w:tc>
          <w:tcPr>
            <w:vAlign w:val="center"/>
          </w:tcPr>
          <w:p>
            <w:pPr>
              <w:jc w:val="center"/>
            </w:pPr>
            <w:r>
              <w:rPr>
                <w:color w:val="000000"/>
                <w:kern w:val="0"/>
                <w:sz w:val="24"/>
                <w:szCs w:val="24"/>
              </w:rPr>
              <w:t>17天士力SCP001</w:t>
            </w:r>
          </w:p>
        </w:tc>
        <w:tc>
          <w:tcPr>
            <w:vAlign w:val="center"/>
          </w:tcPr>
          <w:p>
            <w:pPr>
              <w:jc w:val="right"/>
            </w:pPr>
            <w:r>
              <w:rPr>
                <w:color w:val="000000"/>
                <w:kern w:val="0"/>
                <w:sz w:val="24"/>
                <w:szCs w:val="24"/>
              </w:rPr>
              <w:t>100,000</w:t>
            </w:r>
          </w:p>
        </w:tc>
        <w:tc>
          <w:tcPr>
            <w:vAlign w:val="center"/>
          </w:tcPr>
          <w:p>
            <w:pPr>
              <w:jc w:val="right"/>
            </w:pPr>
            <w:r>
              <w:rPr>
                <w:color w:val="000000"/>
                <w:kern w:val="0"/>
                <w:sz w:val="24"/>
                <w:szCs w:val="24"/>
              </w:rPr>
              <w:t>10,054,000.00</w:t>
            </w:r>
          </w:p>
        </w:tc>
        <w:tc>
          <w:tcPr>
            <w:vAlign w:val="center"/>
          </w:tcPr>
          <w:p>
            <w:pPr>
              <w:jc w:val="right"/>
            </w:pPr>
            <w:r>
              <w:rPr>
                <w:color w:val="000000"/>
                <w:kern w:val="0"/>
                <w:sz w:val="24"/>
                <w:szCs w:val="24"/>
              </w:rPr>
              <w:t>4.89</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011752025</w:t>
            </w:r>
          </w:p>
        </w:tc>
        <w:tc>
          <w:tcPr>
            <w:vAlign w:val="center"/>
          </w:tcPr>
          <w:p>
            <w:pPr>
              <w:jc w:val="center"/>
            </w:pPr>
            <w:r>
              <w:rPr>
                <w:color w:val="000000"/>
                <w:kern w:val="0"/>
                <w:sz w:val="24"/>
                <w:szCs w:val="24"/>
              </w:rPr>
              <w:t>17皖出版SCP002</w:t>
            </w:r>
          </w:p>
        </w:tc>
        <w:tc>
          <w:tcPr>
            <w:vAlign w:val="center"/>
          </w:tcPr>
          <w:p>
            <w:pPr>
              <w:jc w:val="right"/>
            </w:pPr>
            <w:r>
              <w:rPr>
                <w:color w:val="000000"/>
                <w:kern w:val="0"/>
                <w:sz w:val="24"/>
                <w:szCs w:val="24"/>
              </w:rPr>
              <w:t>100,000</w:t>
            </w:r>
          </w:p>
        </w:tc>
        <w:tc>
          <w:tcPr>
            <w:vAlign w:val="center"/>
          </w:tcPr>
          <w:p>
            <w:pPr>
              <w:jc w:val="right"/>
            </w:pPr>
            <w:r>
              <w:rPr>
                <w:color w:val="000000"/>
                <w:kern w:val="0"/>
                <w:sz w:val="24"/>
                <w:szCs w:val="24"/>
              </w:rPr>
              <w:t>10,051,000.00</w:t>
            </w:r>
          </w:p>
        </w:tc>
        <w:tc>
          <w:tcPr>
            <w:vAlign w:val="center"/>
          </w:tcPr>
          <w:p>
            <w:pPr>
              <w:jc w:val="right"/>
            </w:pPr>
            <w:r>
              <w:rPr>
                <w:color w:val="000000"/>
                <w:kern w:val="0"/>
                <w:sz w:val="24"/>
                <w:szCs w:val="24"/>
              </w:rPr>
              <w:t>4.89</w:t>
            </w:r>
          </w:p>
        </w:tc>
      </w:tr>
    </w:tbl>
    <w:p>
      <w:pPr>
        <w:autoSpaceDE w:val="0"/>
        <w:autoSpaceDN w:val="0"/>
        <w:adjustRightInd w:val="0"/>
        <w:spacing w:before="29" w:line="288" w:lineRule="auto"/>
        <w:jc w:val="left"/>
        <w:rPr>
          <w:b/>
          <w:bCs/>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5.6 报告期末按公允价值占基金资产净值比例大小排序的前十名资产支持证券投资明细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本基金本报告期末未持有资产支持证券。</w:t>
      </w:r>
    </w:p>
    <w:p>
      <w:pPr>
        <w:autoSpaceDE w:val="0"/>
        <w:autoSpaceDN w:val="0"/>
        <w:adjustRightInd w:val="0"/>
        <w:spacing w:before="29" w:line="288" w:lineRule="auto"/>
        <w:jc w:val="left"/>
        <w:rPr>
          <w:color w:val="000000"/>
          <w:sz w:val="24"/>
          <w:szCs w:val="24"/>
        </w:rPr>
      </w:pPr>
    </w:p>
    <w:p>
      <w:pPr>
        <w:autoSpaceDE w:val="0"/>
        <w:autoSpaceDN w:val="0"/>
        <w:adjustRightInd w:val="0"/>
        <w:spacing w:before="29" w:line="288" w:lineRule="auto"/>
        <w:jc w:val="left"/>
        <w:rPr>
          <w:color w:val="000000"/>
          <w:kern w:val="0"/>
          <w:sz w:val="24"/>
          <w:szCs w:val="24"/>
        </w:rPr>
      </w:pPr>
      <w:r>
        <w:rPr>
          <w:b/>
          <w:bCs/>
          <w:color w:val="000000"/>
          <w:kern w:val="0"/>
          <w:sz w:val="24"/>
          <w:szCs w:val="24"/>
        </w:rPr>
        <w:t>5.7</w:t>
      </w:r>
      <w:r>
        <w:rPr>
          <w:rFonts w:eastAsiaTheme="minorEastAsia"/>
          <w:b/>
          <w:bCs/>
          <w:color w:val="000000"/>
          <w:kern w:val="0"/>
          <w:sz w:val="24"/>
          <w:szCs w:val="24"/>
        </w:rPr>
        <w:t xml:space="preserve"> </w:t>
      </w:r>
      <w:r>
        <w:rPr>
          <w:rFonts w:hAnsi="宋体"/>
          <w:b/>
          <w:bCs/>
          <w:color w:val="000000"/>
          <w:kern w:val="0"/>
          <w:sz w:val="24"/>
          <w:szCs w:val="24"/>
        </w:rPr>
        <w:t>报告期末按公允价值占基金资产净值比例大小排序的前五名贵金属投资明细</w:t>
      </w:r>
    </w:p>
    <w:p>
      <w:pPr>
        <w:widowControl/>
        <w:spacing w:line="288" w:lineRule="auto"/>
        <w:jc w:val="left"/>
        <w:rPr>
          <w:sz w:val="24"/>
          <w:szCs w:val="24"/>
        </w:rPr>
      </w:pPr>
      <w:r>
        <w:rPr>
          <w:sz w:val="24"/>
          <w:szCs w:val="24"/>
        </w:rPr>
        <w:t>本基金本报告期末未持有贵金属。</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5.8 报告期末按公允价值占基金资产净值比例大小排序的前五名权证投资明细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本基金本报告期末未持有权证。</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5.9 报告期末本基金投资的股指期货交易情况说明</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5.9.1 报告期末本基金投资的股指期货持仓和损益明细</w:t>
      </w:r>
      <w:r>
        <w:rPr>
          <w:rFonts w:eastAsiaTheme="minorEastAsia"/>
          <w:b/>
          <w:sz w:val="24"/>
        </w:rPr>
        <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本基金本报告期末未持有股指期货。</w:t>
      </w:r>
    </w:p>
    <w:p>
      <w:pPr>
        <w:adjustRightInd w:val="0"/>
        <w:snapToGrid w:val="0"/>
        <w:spacing w:before="29" w:line="288" w:lineRule="auto"/>
        <w:rPr>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5.9.2 本基金投资股指期货的投资政策</w:t>
      </w:r>
      <w:r>
        <w:rPr>
          <w:rFonts w:eastAsiaTheme="minorEastAsia"/>
          <w:b/>
          <w:bCs/>
          <w:color w:val="000000"/>
          <w:kern w:val="0"/>
          <w:sz w:val="24"/>
        </w:rPr>
        <w:t/>
      </w:r>
    </w:p>
    <w:p>
      <w:pPr>
        <w:autoSpaceDE w:val="0"/>
        <w:autoSpaceDN w:val="0"/>
        <w:adjustRightInd w:val="0"/>
        <w:spacing w:before="29" w:line="288" w:lineRule="auto"/>
        <w:jc w:val="left"/>
        <w:rPr>
          <w:color w:val="000000"/>
          <w:sz w:val="24"/>
          <w:szCs w:val="24"/>
        </w:rPr>
      </w:pPr>
      <w:r>
        <w:rPr>
          <w:color w:val="000000"/>
          <w:sz w:val="24"/>
          <w:szCs w:val="24"/>
        </w:rPr>
        <w:t>本基金的股指期货投资将用于套期保值。在预期市场上涨时，可以通过买入股指期货作为股票替代，增加股票仓位，同时提高资金的利用效率；在预期市场下跌时，可以通过卖出股指期货对冲股市整体下跌的系统性风险，对投资组合的价值进行保护。</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5.10 报告期末本基金投资的国债期货交易情况说明</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5.10.1 本期国债期货投资政策</w:t>
      </w:r>
      <w:r>
        <w:rPr>
          <w:rFonts w:eastAsiaTheme="minorEastAsia"/>
          <w:b/>
          <w:bCs/>
          <w:color w:val="000000"/>
          <w:kern w:val="0"/>
          <w:sz w:val="24"/>
        </w:rPr>
        <w:t/>
      </w:r>
    </w:p>
    <w:p>
      <w:pPr>
        <w:autoSpaceDE w:val="0"/>
        <w:autoSpaceDN w:val="0"/>
        <w:adjustRightInd w:val="0"/>
        <w:spacing w:before="29" w:line="288" w:lineRule="auto"/>
        <w:jc w:val="left"/>
        <w:rPr>
          <w:color w:val="000000"/>
          <w:sz w:val="24"/>
          <w:szCs w:val="24"/>
        </w:rPr>
      </w:pPr>
      <w:r>
        <w:rPr>
          <w:color w:val="000000"/>
          <w:sz w:val="24"/>
          <w:szCs w:val="24"/>
        </w:rPr>
        <w:t>本基金的国债期货投资将以风险管理为原则，以套期保值为目的。管理人将按照相关法律法规的规定，结合国债现货市场和期货市场的波动性、流动性等情况，通过多头或空头套期保值等策略进行操作，获取超额收益。</w:t>
      </w:r>
    </w:p>
    <w:p>
      <w:pPr>
        <w:spacing w:before="29" w:line="288" w:lineRule="auto"/>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5.10.2 报告期末本基金投资的国债期货持仓和损益明细</w:t>
      </w:r>
      <w:r>
        <w:rPr>
          <w:rFonts w:eastAsiaTheme="minorEastAsia"/>
          <w:b/>
          <w:sz w:val="24"/>
        </w:rPr>
        <w:t/>
      </w:r>
    </w:p>
    <w:p>
      <w:pPr>
        <w:autoSpaceDE w:val="0"/>
        <w:autoSpaceDN w:val="0"/>
        <w:adjustRightInd w:val="0"/>
        <w:spacing w:before="29" w:line="288" w:lineRule="auto"/>
        <w:jc w:val="left"/>
        <w:rPr>
          <w:color w:val="000000"/>
          <w:sz w:val="24"/>
          <w:szCs w:val="24"/>
        </w:rPr>
      </w:pPr>
      <w:r>
        <w:rPr>
          <w:color w:val="000000"/>
          <w:sz w:val="24"/>
          <w:szCs w:val="24"/>
        </w:rPr>
        <w:t>本基金本报告期末未持有国债期货。</w:t>
      </w:r>
    </w:p>
    <w:p>
      <w:pPr>
        <w:autoSpaceDE w:val="0"/>
        <w:autoSpaceDN w:val="0"/>
        <w:adjustRightInd w:val="0"/>
        <w:spacing w:before="29" w:line="288" w:lineRule="auto"/>
        <w:jc w:val="left"/>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5.10.3 本期国债期货投资评价</w:t>
      </w:r>
      <w:r>
        <w:rPr>
          <w:rFonts w:eastAsiaTheme="minorEastAsia"/>
          <w:b/>
          <w:bCs/>
          <w:color w:val="000000"/>
          <w:kern w:val="0"/>
          <w:sz w:val="24"/>
        </w:rPr>
        <w:t/>
      </w:r>
    </w:p>
    <w:p>
      <w:pPr>
        <w:autoSpaceDE w:val="0"/>
        <w:autoSpaceDN w:val="0"/>
        <w:adjustRightInd w:val="0"/>
        <w:spacing w:before="29" w:line="288" w:lineRule="auto"/>
        <w:jc w:val="left"/>
        <w:rPr>
          <w:color w:val="000000"/>
          <w:sz w:val="24"/>
          <w:szCs w:val="24"/>
        </w:rPr>
      </w:pPr>
      <w:r>
        <w:rPr>
          <w:color w:val="000000"/>
          <w:sz w:val="24"/>
          <w:szCs w:val="24"/>
        </w:rPr>
        <w:t>本基金本报告期内未投资国债期货。</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 投资组合报告附注</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5.11.1报告期内，本基金投资的前十名证券的发行主体没有出现被监管部门立案调查,或在报告编制日前一年内受到公开谴责、处罚的情形。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5.11.2基金投资的前十名股票中，没有投资于超出基金合同规定备选股票库之外的股票。</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5.11.3 其他资产构成</w:t>
      </w:r>
    </w:p>
    <w:tbl>
      <w:tblPr>
        <w:tblStyle w:val="31"/>
        <w:tblpPr w:leftFromText="180" w:rightFromText="180" w:vertAnchor="text" w:horzAnchor="margin" w:tblpXSpec="center" w:tblpY="265"/>
        <w:tblW w:w="88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
      <w:tblGrid>
        <w:gridCol w:w="1287"/>
        <w:gridCol w:w="257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序号</w:t>
            </w:r>
          </w:p>
        </w:tc>
        <w:tc>
          <w:tcPr>
            <w:tcW w:w="2573"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名称</w:t>
            </w:r>
          </w:p>
        </w:tc>
        <w:tc>
          <w:tcPr>
            <w:tcW w:w="5008"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金额</w:t>
            </w:r>
            <w:r>
              <w:rPr>
                <w:color w:val="000000"/>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1</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存出保证金</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86,027.99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2</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应收证券清算款</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723,666.58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3</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应收股利</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4</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应收利息</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2,345,915.36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5</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应收申购款</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6</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其他应收款</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7</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待摊费用</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8</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其他</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Ex>
        <w:trPr>
          <w:jc w:val="center"/>
        </w:trPr>
        <w:tc>
          <w:tcPr>
            <w:tcW w:w="1287"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9</w:t>
            </w:r>
          </w:p>
        </w:tc>
        <w:tc>
          <w:tcPr>
            <w:tcW w:w="2573"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合计</w:t>
            </w:r>
          </w:p>
        </w:tc>
        <w:tc>
          <w:tcPr>
            <w:tcW w:w="50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3,155,609.93</w:t>
            </w:r>
          </w:p>
        </w:tc>
      </w:tr>
    </w:tbl>
    <w:p>
      <w:pPr>
        <w:autoSpaceDE w:val="0"/>
        <w:autoSpaceDN w:val="0"/>
        <w:adjustRightInd w:val="0"/>
        <w:spacing w:before="29" w:line="288" w:lineRule="auto"/>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5.11.4 报告期末持有的处于转股期的可转换债券明细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本基金本报告期末未持有处于转股期的可转换债券。</w:t>
      </w:r>
    </w:p>
    <w:p>
      <w:pPr>
        <w:autoSpaceDE w:val="0"/>
        <w:autoSpaceDN w:val="0"/>
        <w:adjustRightInd w:val="0"/>
        <w:spacing w:before="29" w:line="288" w:lineRule="auto"/>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5.11.5 报告期末前十名股票中存在流通受限情况的说明</w:t>
      </w:r>
    </w:p>
    <w:p>
      <w:pPr>
        <w:autoSpaceDE w:val="0"/>
        <w:autoSpaceDN w:val="0"/>
        <w:adjustRightInd w:val="0"/>
        <w:spacing w:before="29" w:line="288" w:lineRule="auto"/>
        <w:jc w:val="left"/>
        <w:rPr>
          <w:color w:val="000000"/>
          <w:sz w:val="24"/>
          <w:szCs w:val="24"/>
        </w:rPr>
      </w:pPr>
      <w:r>
        <w:rPr>
          <w:color w:val="000000"/>
          <w:sz w:val="24"/>
          <w:szCs w:val="24"/>
        </w:rPr>
        <w:t>本基金本报告期末前十名股票中不存在流通受限情况。</w:t>
      </w:r>
    </w:p>
    <w:p>
      <w:pPr>
        <w:autoSpaceDE w:val="0"/>
        <w:autoSpaceDN w:val="0"/>
        <w:adjustRightInd w:val="0"/>
        <w:spacing w:before="29" w:line="288" w:lineRule="auto"/>
        <w:rPr>
          <w:color w:val="000000"/>
          <w:sz w:val="24"/>
          <w:szCs w:val="24"/>
        </w:rPr>
      </w:pPr>
    </w:p>
    <w:p>
      <w:pPr>
        <w:spacing w:before="29" w:line="288" w:lineRule="auto"/>
        <w:ind w:firstLine="482" w:firstLineChars="200"/>
        <w:jc w:val="center"/>
        <w:rPr>
          <w:b/>
          <w:color w:val="000000"/>
          <w:sz w:val="24"/>
          <w:szCs w:val="24"/>
        </w:rPr>
      </w:pPr>
      <w:r>
        <w:rPr>
          <w:b/>
          <w:color w:val="000000"/>
          <w:kern w:val="0"/>
          <w:sz w:val="24"/>
          <w:szCs w:val="24"/>
        </w:rPr>
        <w:t>§6  开放式基金份额变动</w:t>
      </w:r>
    </w:p>
    <w:p>
      <w:pPr>
        <w:autoSpaceDE w:val="0"/>
        <w:autoSpaceDN w:val="0"/>
        <w:adjustRightInd w:val="0"/>
        <w:spacing w:before="29" w:line="288" w:lineRule="auto"/>
        <w:ind w:left="15"/>
        <w:jc w:val="right"/>
        <w:rPr>
          <w:color w:val="000000"/>
          <w:kern w:val="0"/>
          <w:sz w:val="24"/>
          <w:szCs w:val="24"/>
        </w:rPr>
      </w:pPr>
      <w:r>
        <w:rPr>
          <w:color w:val="000000"/>
          <w:kern w:val="0"/>
          <w:sz w:val="24"/>
          <w:szCs w:val="24"/>
        </w:rPr>
        <w:t>单位：份</w:t>
      </w:r>
    </w:p>
    <w:tbl>
      <w:tblPr>
        <w:tblStyle w:val="30"/>
        <w:tblW w:w="8868" w:type="dxa"/>
        <w:jc w:val="center"/>
        <w:tblInd w:w="0" w:type="dxa"/>
        <w:tblLayout w:type="fixed"/>
        <w:tblCellMar>
          <w:top w:w="-1" w:type="dxa"/>
          <w:left w:w="108" w:type="dxa"/>
          <w:bottom w:w="-1" w:type="dxa"/>
          <w:right w:w="108" w:type="dxa"/>
        </w:tblCellMar>
      </w:tblPr>
      <w:tblGrid>
        <w:gridCol w:w="4734"/>
        <w:gridCol w:w="4134"/>
      </w:tblGrid>
      <w:tr>
        <w:tblPrEx>
          <w:tblLayout w:type="fixed"/>
          <w:tblCellMar>
            <w:top w:w="-1" w:type="dxa"/>
            <w:left w:w="108" w:type="dxa"/>
            <w:bottom w:w="-1" w:type="dxa"/>
            <w:right w:w="108" w:type="dxa"/>
          </w:tblCellMar>
        </w:tblPrEx>
        <w:trPr>
          <w:jc w:val="center"/>
        </w:trPr>
        <w:tc>
          <w:tcPr>
            <w:tcW w:w="47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本报告期期初基金份额总额</w:t>
            </w:r>
          </w:p>
        </w:tc>
        <w:tc>
          <w:tcPr>
            <w:tcW w:w="41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200,062,274.03</w:t>
            </w:r>
          </w:p>
        </w:tc>
      </w:tr>
      <w:tr>
        <w:tblPrEx>
          <w:tblLayout w:type="fixed"/>
          <w:tblCellMar>
            <w:top w:w="-1" w:type="dxa"/>
            <w:left w:w="108" w:type="dxa"/>
            <w:bottom w:w="-1" w:type="dxa"/>
            <w:right w:w="108" w:type="dxa"/>
          </w:tblCellMar>
        </w:tblPrEx>
        <w:trPr>
          <w:jc w:val="center"/>
        </w:trPr>
        <w:tc>
          <w:tcPr>
            <w:tcW w:w="47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本报告期基金总申购份额</w:t>
            </w:r>
          </w:p>
        </w:tc>
        <w:tc>
          <w:tcPr>
            <w:tcW w:w="41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w:t>
            </w:r>
          </w:p>
        </w:tc>
      </w:tr>
      <w:tr>
        <w:tblPrEx>
          <w:tblLayout w:type="fixed"/>
          <w:tblCellMar>
            <w:top w:w="-1" w:type="dxa"/>
            <w:left w:w="108" w:type="dxa"/>
            <w:bottom w:w="-1" w:type="dxa"/>
            <w:right w:w="108" w:type="dxa"/>
          </w:tblCellMar>
        </w:tblPrEx>
        <w:trPr>
          <w:jc w:val="center"/>
        </w:trPr>
        <w:tc>
          <w:tcPr>
            <w:tcW w:w="47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减：本报告期基金总赎回份额</w:t>
            </w:r>
          </w:p>
        </w:tc>
        <w:tc>
          <w:tcPr>
            <w:tcW w:w="41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w:t>
            </w:r>
          </w:p>
        </w:tc>
      </w:tr>
      <w:tr>
        <w:tblPrEx>
          <w:tblLayout w:type="fixed"/>
          <w:tblCellMar>
            <w:top w:w="-1" w:type="dxa"/>
            <w:left w:w="108" w:type="dxa"/>
            <w:bottom w:w="-1" w:type="dxa"/>
            <w:right w:w="108" w:type="dxa"/>
          </w:tblCellMar>
        </w:tblPrEx>
        <w:trPr>
          <w:jc w:val="center"/>
        </w:trPr>
        <w:tc>
          <w:tcPr>
            <w:tcW w:w="47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本报告期基金拆分变动份额</w:t>
            </w:r>
          </w:p>
        </w:tc>
        <w:tc>
          <w:tcPr>
            <w:tcW w:w="41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w:t>
            </w:r>
          </w:p>
        </w:tc>
      </w:tr>
      <w:tr>
        <w:tblPrEx>
          <w:tblLayout w:type="fixed"/>
          <w:tblCellMar>
            <w:top w:w="-1" w:type="dxa"/>
            <w:left w:w="108" w:type="dxa"/>
            <w:bottom w:w="-1" w:type="dxa"/>
            <w:right w:w="108" w:type="dxa"/>
          </w:tblCellMar>
        </w:tblPrEx>
        <w:trPr>
          <w:jc w:val="center"/>
        </w:trPr>
        <w:tc>
          <w:tcPr>
            <w:tcW w:w="47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本报告期期末基金份额总额</w:t>
            </w:r>
          </w:p>
        </w:tc>
        <w:tc>
          <w:tcPr>
            <w:tcW w:w="413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200,062,274.03</w:t>
            </w:r>
          </w:p>
        </w:tc>
      </w:tr>
    </w:tbl>
    <w:p>
      <w:pPr>
        <w:autoSpaceDE w:val="0"/>
        <w:autoSpaceDN w:val="0"/>
        <w:adjustRightInd w:val="0"/>
        <w:spacing w:before="29" w:line="288" w:lineRule="auto"/>
        <w:jc w:val="left"/>
        <w:rPr>
          <w:color w:val="000000"/>
          <w:sz w:val="24"/>
          <w:szCs w:val="24"/>
        </w:rPr>
      </w:pPr>
    </w:p>
    <w:p>
      <w:pPr>
        <w:pStyle w:val="2"/>
        <w:tabs>
          <w:tab w:val="center" w:pos="4156"/>
          <w:tab w:val="right" w:pos="8312"/>
        </w:tabs>
        <w:spacing w:beforeLines="100" w:afterLines="100" w:line="288" w:lineRule="auto"/>
        <w:jc w:val="center"/>
        <w:rPr>
          <w:sz w:val="24"/>
          <w:szCs w:val="24"/>
        </w:rPr>
      </w:pPr>
      <w:r>
        <w:rPr>
          <w:rFonts w:eastAsiaTheme="minorEastAsia"/>
          <w:color w:val="000000"/>
          <w:kern w:val="0"/>
          <w:sz w:val="24"/>
          <w:szCs w:val="24"/>
        </w:rPr>
        <w:t/>
      </w:r>
      <w:r>
        <w:rPr>
          <w:color w:val="000000"/>
          <w:kern w:val="0"/>
          <w:sz w:val="24"/>
          <w:szCs w:val="24"/>
        </w:rPr>
        <w:t>§</w:t>
      </w:r>
      <w:r>
        <w:rPr>
          <w:rFonts w:eastAsiaTheme="minorEastAsia"/>
          <w:color w:val="000000"/>
          <w:kern w:val="0"/>
          <w:sz w:val="24"/>
          <w:szCs w:val="24"/>
        </w:rPr>
        <w:t xml:space="preserve">7  </w:t>
      </w:r>
      <w:r>
        <w:rPr>
          <w:sz w:val="24"/>
          <w:szCs w:val="24"/>
        </w:rPr>
        <w:t>基金管理人运用固有资金投资本基金情况</w:t>
      </w:r>
    </w:p>
    <w:p>
      <w:pPr>
        <w:spacing w:line="288" w:lineRule="auto"/>
        <w:jc w:val="left"/>
        <w:rPr>
          <w:sz w:val="24"/>
          <w:szCs w:val="24"/>
        </w:rPr>
      </w:pPr>
      <w:r>
        <w:rPr>
          <w:b/>
          <w:sz w:val="24"/>
        </w:rPr>
        <w:t>7.1 基金管理人持有本基金份额变动情况</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w:r>
      <w:r>
        <w:rPr>
          <w:rFonts w:hint="eastAsia" w:eastAsiaTheme="minorEastAsia"/>
          <w:color w:val="000000"/>
          <w:sz w:val="24"/>
        </w:rPr>
        <w:t/>
      </w:r>
      <w:r>
        <w:rPr>
          <w:rFonts w:eastAsiaTheme="minorEastAsia"/>
          <w:color w:val="000000"/>
          <w:sz w:val="24"/>
        </w:rPr>
        <w:t>本基金本报告期基金管理人未持有本基金。</w:t>
      </w:r>
    </w:p>
    <w:p>
      <w:pPr>
        <w:autoSpaceDE w:val="0"/>
        <w:autoSpaceDN w:val="0"/>
        <w:adjustRightInd w:val="0"/>
        <w:spacing w:before="29" w:line="288" w:lineRule="auto"/>
        <w:jc w:val="left"/>
        <w:rPr>
          <w:rFonts w:eastAsiaTheme="minorEastAsia"/>
          <w:color w:val="000000"/>
          <w:sz w:val="24"/>
        </w:rPr>
      </w:pPr>
    </w:p>
    <w:p>
      <w:pPr>
        <w:spacing w:line="288" w:lineRule="auto"/>
        <w:jc w:val="left"/>
        <w:rPr>
          <w:b/>
          <w:sz w:val="24"/>
        </w:rPr>
      </w:pPr>
      <w:r>
        <w:rPr>
          <w:b/>
          <w:sz w:val="24"/>
        </w:rPr>
        <w:t>7.2</w:t>
      </w:r>
      <w:r>
        <w:rPr>
          <w:rFonts w:hint="eastAsia"/>
          <w:b/>
          <w:sz w:val="24"/>
        </w:rPr>
        <w:t xml:space="preserve"> 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本基金本报告期基金管理人未运用固有资金投资本基金。</w:t>
      </w:r>
    </w:p>
    <w:p>
      <w:pPr>
        <w:autoSpaceDE w:val="0"/>
        <w:autoSpaceDN w:val="0"/>
        <w:adjustRightInd w:val="0"/>
        <w:spacing w:before="29" w:line="288" w:lineRule="auto"/>
        <w:jc w:val="left"/>
        <w:rPr>
          <w:color w:val="000000"/>
          <w:sz w:val="24"/>
        </w:rPr>
      </w:pPr>
    </w:p>
    <w:p>
      <w:pPr>
        <w:pStyle w:val="2"/>
        <w:spacing w:beforeLines="100" w:afterLines="100" w:line="288" w:lineRule="auto"/>
        <w:jc w:val="center"/>
        <w:rPr>
          <w:color w:val="000000"/>
          <w:kern w:val="0"/>
          <w:sz w:val="24"/>
          <w:szCs w:val="24"/>
        </w:rPr>
      </w:pPr>
      <w:r>
        <w:rPr>
          <w:color w:val="000000"/>
          <w:kern w:val="0"/>
          <w:sz w:val="24"/>
          <w:szCs w:val="24"/>
        </w:rPr>
        <w:t>§8 影响投资者决策的其他重要信息</w:t>
      </w:r>
    </w:p>
    <w:p>
      <w:pPr>
        <w:autoSpaceDE w:val="0"/>
        <w:autoSpaceDN w:val="0"/>
        <w:adjustRightInd w:val="0"/>
        <w:spacing w:line="360" w:lineRule="auto"/>
        <w:jc w:val="left"/>
        <w:rPr>
          <w:rFonts w:ascii="宋体" w:hAnsi="宋体"/>
          <w:b/>
          <w:bCs/>
          <w:color w:val="000000"/>
          <w:kern w:val="0"/>
          <w:sz w:val="24"/>
          <w:szCs w:val="24"/>
        </w:rPr>
      </w:pPr>
      <w:r>
        <w:rPr>
          <w:rFonts w:ascii="宋体" w:hAnsi="宋体"/>
          <w:b/>
          <w:color w:val="000000"/>
          <w:kern w:val="0"/>
          <w:sz w:val="24"/>
          <w:szCs w:val="24"/>
        </w:rPr>
        <w:t/>
      </w:r>
      <w:r>
        <w:rPr>
          <w:rFonts w:ascii="宋体" w:hAnsi="宋体"/>
          <w:b/>
          <w:bCs/>
          <w:color w:val="000000"/>
          <w:kern w:val="0"/>
          <w:sz w:val="24"/>
          <w:szCs w:val="24"/>
        </w:rPr>
        <w:t>8.</w:t>
      </w:r>
      <w:r>
        <w:rPr>
          <w:rFonts w:hint="eastAsia" w:ascii="宋体" w:hAnsi="宋体"/>
          <w:b/>
          <w:bCs/>
          <w:color w:val="000000"/>
          <w:kern w:val="0"/>
          <w:sz w:val="24"/>
          <w:szCs w:val="24"/>
        </w:rPr>
        <w:t>1 报告期内单一投资者持有基金份额比例达到或超过20%的情况</w:t>
      </w:r>
    </w:p>
    <w:tbl>
      <w:tblPr>
        <w:tblStyle w:val="30"/>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投资者类别</w:t>
            </w:r>
            <w:r>
              <w:rPr>
                <w:rFonts w:ascii="宋体" w:hAnsi="宋体"/>
                <w:color w:val="000000"/>
                <w:kern w:val="0"/>
                <w:sz w:val="24"/>
                <w:szCs w:val="24"/>
              </w:rPr>
              <w:t xml:space="preserve">  </w:t>
            </w:r>
          </w:p>
        </w:tc>
        <w:tc>
          <w:tcPr>
            <w:tcW w:w="5670" w:type="dxa"/>
            <w:gridSpan w:val="5"/>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sz w:val="24"/>
                <w:szCs w:val="24"/>
              </w:rPr>
            </w:pPr>
          </w:p>
        </w:tc>
        <w:tc>
          <w:tcPr>
            <w:tcW w:w="992" w:type="dxa"/>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序号</w:t>
            </w:r>
          </w:p>
        </w:tc>
        <w:tc>
          <w:tcPr>
            <w:tcW w:w="1843" w:type="dxa"/>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持有基金份额比例达到或者超过20%的时间区间</w:t>
            </w:r>
          </w:p>
        </w:tc>
        <w:tc>
          <w:tcPr>
            <w:tcW w:w="851" w:type="dxa"/>
            <w:vAlign w:val="center"/>
          </w:tcPr>
          <w:p>
            <w:pPr>
              <w:widowControl/>
              <w:jc w:val="center"/>
              <w:rPr>
                <w:rFonts w:ascii="宋体" w:hAnsi="宋体"/>
                <w:b/>
                <w:bCs/>
                <w:color w:val="000000"/>
                <w:kern w:val="0"/>
                <w:sz w:val="24"/>
                <w:szCs w:val="24"/>
              </w:rPr>
            </w:pPr>
            <w:r>
              <w:rPr>
                <w:rFonts w:hint="eastAsia" w:ascii="宋体" w:hAnsi="宋体"/>
                <w:color w:val="000000"/>
                <w:kern w:val="0"/>
                <w:sz w:val="24"/>
                <w:szCs w:val="24"/>
              </w:rPr>
              <w:t>期初份额</w:t>
            </w:r>
          </w:p>
        </w:tc>
        <w:tc>
          <w:tcPr>
            <w:tcW w:w="850" w:type="dxa"/>
            <w:vAlign w:val="center"/>
          </w:tcPr>
          <w:p>
            <w:pPr>
              <w:widowControl/>
              <w:jc w:val="center"/>
              <w:rPr>
                <w:rFonts w:ascii="宋体" w:hAnsi="宋体"/>
                <w:b/>
                <w:bCs/>
                <w:color w:val="000000"/>
                <w:kern w:val="0"/>
                <w:sz w:val="24"/>
                <w:szCs w:val="24"/>
              </w:rPr>
            </w:pPr>
            <w:r>
              <w:rPr>
                <w:rFonts w:hint="eastAsia" w:ascii="宋体" w:hAnsi="宋体"/>
                <w:color w:val="000000"/>
                <w:kern w:val="0"/>
                <w:sz w:val="24"/>
                <w:szCs w:val="24"/>
              </w:rPr>
              <w:t>申购份额</w:t>
            </w:r>
          </w:p>
        </w:tc>
        <w:tc>
          <w:tcPr>
            <w:tcW w:w="1134" w:type="dxa"/>
            <w:vAlign w:val="center"/>
          </w:tcPr>
          <w:p>
            <w:pPr>
              <w:widowControl/>
              <w:jc w:val="center"/>
              <w:rPr>
                <w:rFonts w:ascii="宋体" w:hAnsi="宋体"/>
                <w:b/>
                <w:bCs/>
                <w:color w:val="000000"/>
                <w:kern w:val="0"/>
                <w:sz w:val="24"/>
                <w:szCs w:val="24"/>
              </w:rPr>
            </w:pPr>
            <w:r>
              <w:rPr>
                <w:rFonts w:hint="eastAsia" w:ascii="宋体" w:hAnsi="宋体"/>
                <w:color w:val="000000"/>
                <w:kern w:val="0"/>
                <w:sz w:val="24"/>
                <w:szCs w:val="24"/>
              </w:rPr>
              <w:t>赎回份额</w:t>
            </w:r>
          </w:p>
        </w:tc>
        <w:tc>
          <w:tcPr>
            <w:tcW w:w="1419" w:type="dxa"/>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持有份额</w:t>
            </w:r>
          </w:p>
        </w:tc>
        <w:tc>
          <w:tcPr>
            <w:tcW w:w="1130" w:type="dxa"/>
            <w:vAlign w:val="center"/>
          </w:tcPr>
          <w:p>
            <w:pPr>
              <w:autoSpaceDE w:val="0"/>
              <w:autoSpaceDN w:val="0"/>
              <w:adjustRightInd w:val="0"/>
              <w:jc w:val="center"/>
              <w:rPr>
                <w:rFonts w:ascii="宋体" w:hAnsi="宋体"/>
                <w:b/>
                <w:bCs/>
                <w:color w:val="000000"/>
                <w:kern w:val="0"/>
                <w:sz w:val="24"/>
                <w:szCs w:val="24"/>
              </w:rPr>
            </w:pPr>
            <w:r>
              <w:rPr>
                <w:rFonts w:hint="eastAsia" w:ascii="宋体" w:hAnsi="宋体"/>
                <w:color w:val="000000"/>
                <w:kern w:val="0"/>
                <w:sz w:val="24"/>
                <w:szCs w:val="24"/>
              </w:rPr>
              <w:t>份额占比</w:t>
            </w:r>
          </w:p>
        </w:tc>
      </w:tr>
      <w:tr>
        <w:tc>
          <w:tcPr>
            <w:vMerge w:val="restart"/>
          </w:tcPr>
          <w:p/>
          <w:p>
            <w:r>
              <w:rPr>
                <w:rFonts w:hint="eastAsia" w:ascii="宋体" w:hAnsi="宋体"/>
                <w:bCs/>
                <w:color w:val="000000"/>
                <w:kern w:val="0"/>
                <w:sz w:val="24"/>
                <w:szCs w:val="24"/>
              </w:rPr>
              <w:t>机构</w:t>
            </w:r>
          </w:p>
        </w:tc>
        <w:tc>
          <w:tcPr>
            <w:vAlign w:val="center"/>
          </w:tcPr>
          <w:p>
            <w:pPr>
              <w:jc w:val="center"/>
            </w:pPr>
            <w:r>
              <w:rPr>
                <w:rFonts w:ascii="宋体" w:hAnsi="宋体"/>
                <w:color w:val="000000"/>
                <w:kern w:val="0"/>
                <w:sz w:val="24"/>
                <w:szCs w:val="24"/>
              </w:rPr>
              <w:t>1</w:t>
            </w:r>
          </w:p>
        </w:tc>
        <w:tc>
          <w:tcPr>
            <w:vAlign w:val="center"/>
          </w:tcPr>
          <w:p>
            <w:pPr>
              <w:jc w:val="center"/>
            </w:pPr>
            <w:r>
              <w:rPr>
                <w:rFonts w:ascii="宋体" w:hAnsi="宋体"/>
                <w:color w:val="000000"/>
                <w:kern w:val="0"/>
                <w:sz w:val="24"/>
                <w:szCs w:val="24"/>
              </w:rPr>
              <w:t>2017/7/1-2017/9/30</w:t>
            </w:r>
          </w:p>
        </w:tc>
        <w:tc>
          <w:tcPr>
            <w:vAlign w:val="center"/>
          </w:tcPr>
          <w:p>
            <w:pPr>
              <w:jc w:val="center"/>
            </w:pPr>
            <w:r>
              <w:rPr>
                <w:rFonts w:ascii="宋体" w:hAnsi="宋体"/>
                <w:color w:val="000000"/>
                <w:kern w:val="0"/>
                <w:sz w:val="24"/>
                <w:szCs w:val="24"/>
              </w:rPr>
              <w:t>200,035,000.00</w:t>
            </w:r>
          </w:p>
        </w:tc>
        <w:tc>
          <w:tcPr>
            <w:vAlign w:val="center"/>
          </w:tcPr>
          <w:p>
            <w:pPr>
              <w:jc w:val="center"/>
            </w:pPr>
            <w:r>
              <w:rPr>
                <w:rFonts w:ascii="宋体" w:hAnsi="宋体"/>
                <w:color w:val="000000"/>
                <w:kern w:val="0"/>
                <w:sz w:val="24"/>
                <w:szCs w:val="24"/>
              </w:rPr>
              <w:t>-</w:t>
            </w:r>
          </w:p>
        </w:tc>
        <w:tc>
          <w:tcPr>
            <w:vAlign w:val="center"/>
          </w:tcPr>
          <w:p>
            <w:pPr>
              <w:jc w:val="center"/>
            </w:pPr>
            <w:r>
              <w:rPr>
                <w:rFonts w:ascii="宋体" w:hAnsi="宋体"/>
                <w:color w:val="000000"/>
                <w:kern w:val="0"/>
                <w:sz w:val="24"/>
                <w:szCs w:val="24"/>
              </w:rPr>
              <w:t>-</w:t>
            </w:r>
          </w:p>
        </w:tc>
        <w:tc>
          <w:tcPr>
            <w:vAlign w:val="center"/>
          </w:tcPr>
          <w:p>
            <w:pPr>
              <w:jc w:val="center"/>
            </w:pPr>
            <w:r>
              <w:rPr>
                <w:rFonts w:ascii="宋体" w:hAnsi="宋体"/>
                <w:color w:val="000000"/>
                <w:kern w:val="0"/>
                <w:sz w:val="24"/>
                <w:szCs w:val="24"/>
              </w:rPr>
              <w:t>200,035,000.00</w:t>
            </w:r>
          </w:p>
        </w:tc>
        <w:tc>
          <w:tcPr>
            <w:vAlign w:val="center"/>
          </w:tcPr>
          <w:p>
            <w:pPr>
              <w:jc w:val="center"/>
            </w:pPr>
            <w:r>
              <w:rPr>
                <w:rFonts w:ascii="宋体" w:hAnsi="宋体"/>
                <w:color w:val="000000"/>
                <w:kern w:val="0"/>
                <w:sz w:val="24"/>
                <w:szCs w:val="24"/>
              </w:rPr>
              <w:t>99.99%</w:t>
            </w:r>
          </w:p>
        </w:tc>
      </w:tr>
    </w:tbl>
    <w:tbl>
      <w:tblPr>
        <w:tblStyle w:val="30"/>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2" w:type="dxa"/>
            <w:vAlign w:val="center"/>
          </w:tcPr>
          <w:p>
            <w:pPr>
              <w:autoSpaceDE w:val="0"/>
              <w:autoSpaceDN w:val="0"/>
              <w:adjustRightInd w:val="0"/>
              <w:jc w:val="center"/>
              <w:rPr>
                <w:rFonts w:ascii="宋体" w:hAnsi="宋体"/>
                <w:kern w:val="0"/>
                <w:sz w:val="24"/>
                <w:szCs w:val="24"/>
              </w:rPr>
            </w:pPr>
            <w:r>
              <w:rPr>
                <w:rFonts w:ascii="宋体" w:hAnsi="宋体"/>
                <w:color w:val="000000"/>
                <w:kern w:val="0"/>
                <w:sz w:val="24"/>
                <w:szCs w:val="24"/>
              </w:rPr>
              <w:t>产品特有风险</w:t>
            </w:r>
            <w:r>
              <w:rPr>
                <w:rFonts w:ascii="宋体" w:hAnsi="宋体"/>
                <w:kern w:val="0"/>
                <w:sz w:val="24"/>
                <w:szCs w:val="24"/>
              </w:rPr>
              <w:t/>
            </w:r>
            <w:r>
              <w:rPr>
                <w:rFonts w:hint="eastAsia" w:ascii="宋体" w:hAnsi="宋体"/>
                <w:kern w:val="0"/>
                <w:sz w:val="24"/>
                <w:szCs w:val="24"/>
              </w:rPr>
              <w:t/>
            </w:r>
            <w:r>
              <w:rPr>
                <w:rFonts w:ascii="宋体" w:hAnsi="宋体"/>
                <w:kern w:val="0"/>
                <w:sz w:val="24"/>
                <w:szCs w:val="24"/>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2" w:type="dxa"/>
            <w:vAlign w:val="center"/>
          </w:tcPr>
          <w:p>
            <w:pPr>
              <w:autoSpaceDE w:val="0"/>
              <w:autoSpaceDN w:val="0"/>
              <w:adjustRightInd w:val="0"/>
              <w:jc w:val="left"/>
              <w:rPr>
                <w:rFonts w:ascii="宋体" w:hAnsi="宋体"/>
                <w:kern w:val="0"/>
                <w:sz w:val="24"/>
                <w:szCs w:val="24"/>
              </w:rPr>
            </w:pPr>
            <w:r>
              <w:rPr>
                <w:rFonts w:hint="eastAsia" w:ascii="宋体" w:hAnsi="宋体"/>
                <w:kern w:val="0"/>
                <w:sz w:val="24"/>
                <w:szCs w:val="24"/>
              </w:rPr>
              <w:t>报告期内，本基金存在单一投资者持有份额比例达到或超过20%的情况，由此可能导致的特有风险主要包括：</w:t>
            </w:r>
          </w:p>
          <w:p>
            <w:pPr>
              <w:autoSpaceDE w:val="0"/>
              <w:autoSpaceDN w:val="0"/>
              <w:adjustRightInd w:val="0"/>
              <w:jc w:val="left"/>
              <w:rPr>
                <w:rFonts w:ascii="宋体" w:hAnsi="宋体"/>
                <w:kern w:val="0"/>
                <w:sz w:val="24"/>
                <w:szCs w:val="24"/>
              </w:rPr>
            </w:pPr>
            <w:r>
              <w:rPr>
                <w:rFonts w:hint="eastAsia" w:ascii="宋体" w:hAnsi="宋体"/>
                <w:kern w:val="0"/>
                <w:sz w:val="24"/>
                <w:szCs w:val="24"/>
              </w:rPr>
              <w:t>1、当基金份额持有人占比过于集中时，可能会因某单一基金份额持有人大额赎回而引发基金净值剧烈波动的风险；</w:t>
            </w:r>
          </w:p>
          <w:p>
            <w:pPr>
              <w:autoSpaceDE w:val="0"/>
              <w:autoSpaceDN w:val="0"/>
              <w:adjustRightInd w:val="0"/>
              <w:jc w:val="left"/>
              <w:rPr>
                <w:rFonts w:ascii="宋体" w:hAnsi="宋体"/>
                <w:kern w:val="0"/>
                <w:sz w:val="24"/>
                <w:szCs w:val="24"/>
              </w:rPr>
            </w:pPr>
            <w:r>
              <w:rPr>
                <w:rFonts w:hint="eastAsia" w:ascii="宋体" w:hAnsi="宋体"/>
                <w:kern w:val="0"/>
                <w:sz w:val="24"/>
                <w:szCs w:val="24"/>
              </w:rPr>
              <w:t>2、若某单一基金份额持有人巨额赎回有可能引发基金的流动性风险，基金管理人可能无法及时变现基金资产以应对基金份额持有人的赎回申请，基金份额持有人可能无法及时赎回持有的全部基金份额。</w:t>
            </w:r>
          </w:p>
          <w:p>
            <w:pPr>
              <w:autoSpaceDE w:val="0"/>
              <w:autoSpaceDN w:val="0"/>
              <w:adjustRightInd w:val="0"/>
              <w:jc w:val="left"/>
              <w:rPr>
                <w:rFonts w:ascii="宋体" w:hAnsi="宋体"/>
                <w:kern w:val="0"/>
                <w:sz w:val="24"/>
                <w:szCs w:val="24"/>
              </w:rPr>
            </w:pPr>
            <w:r>
              <w:rPr>
                <w:rFonts w:hint="eastAsia" w:ascii="宋体" w:hAnsi="宋体"/>
                <w:kern w:val="0"/>
                <w:sz w:val="24"/>
                <w:szCs w:val="24"/>
              </w:rPr>
              <w:t>3、若个别投资者大额赎回后，可能会导致基金资产净值连续出现六十个工作日低于5000万元的风险，基金可能会面临转换运作方式、与其他基金合并或者终止基金合同等情形。</w:t>
            </w:r>
          </w:p>
          <w:p>
            <w:pPr>
              <w:autoSpaceDE w:val="0"/>
              <w:autoSpaceDN w:val="0"/>
              <w:adjustRightInd w:val="0"/>
              <w:jc w:val="left"/>
              <w:rPr>
                <w:rFonts w:ascii="宋体" w:hAnsi="宋体"/>
                <w:kern w:val="0"/>
                <w:sz w:val="24"/>
                <w:szCs w:val="24"/>
              </w:rPr>
            </w:pPr>
            <w:r>
              <w:rPr>
                <w:rFonts w:hint="eastAsia" w:ascii="宋体" w:hAnsi="宋体"/>
                <w:kern w:val="0"/>
                <w:sz w:val="24"/>
                <w:szCs w:val="24"/>
              </w:rPr>
              <w:t>4、其他可能的风险。</w:t>
            </w:r>
          </w:p>
          <w:p>
            <w:pPr>
              <w:autoSpaceDE w:val="0"/>
              <w:autoSpaceDN w:val="0"/>
              <w:adjustRightInd w:val="0"/>
              <w:jc w:val="left"/>
              <w:rPr>
                <w:rFonts w:ascii="宋体" w:hAnsi="宋体"/>
                <w:kern w:val="0"/>
                <w:sz w:val="24"/>
                <w:szCs w:val="24"/>
              </w:rPr>
            </w:pPr>
            <w:r>
              <w:rPr>
                <w:rFonts w:hint="eastAsia" w:ascii="宋体" w:hAnsi="宋体"/>
                <w:kern w:val="0"/>
                <w:sz w:val="24"/>
                <w:szCs w:val="24"/>
              </w:rPr>
              <w:t/>
            </w:r>
            <w:r>
              <w:rPr>
                <w:rFonts w:ascii="宋体" w:hAnsi="宋体"/>
                <w:kern w:val="0"/>
                <w:sz w:val="24"/>
                <w:szCs w:val="24"/>
              </w:rPr>
              <w:t/>
            </w:r>
            <w:r>
              <w:rPr>
                <w:rFonts w:hint="eastAsia" w:ascii="宋体" w:hAnsi="宋体"/>
                <w:kern w:val="0"/>
                <w:sz w:val="24"/>
                <w:szCs w:val="24"/>
              </w:rPr>
              <w:t xml:space="preserve">   另外，当某单一基金份额持有人所持有的基金份额已经达到或超过本基金规模的50%或者接受某笔或者某些申购或转换转入申请有可能导致单一投资者持有基金份额的比例达到或者超过50%时，本基金管理人可拒绝该持有人对本基金基金份额提出的申购及转换转入申请。</w:t>
            </w:r>
            <w:r>
              <w:rPr>
                <w:rFonts w:ascii="宋体" w:hAnsi="宋体"/>
                <w:kern w:val="0"/>
                <w:sz w:val="24"/>
                <w:szCs w:val="24"/>
              </w:rPr>
              <w:t/>
            </w:r>
          </w:p>
        </w:tc>
      </w:tr>
    </w:tbl>
    <w:p>
      <w:pPr>
        <w:autoSpaceDE w:val="0"/>
        <w:autoSpaceDN w:val="0"/>
        <w:adjustRightInd w:val="0"/>
        <w:spacing w:line="360" w:lineRule="auto"/>
        <w:jc w:val="left"/>
        <w:rPr>
          <w:rFonts w:ascii="宋体" w:hAnsi="宋体"/>
          <w:b/>
          <w:bCs/>
          <w:color w:val="000000"/>
          <w:kern w:val="0"/>
          <w:sz w:val="24"/>
          <w:szCs w:val="24"/>
        </w:rPr>
      </w:pPr>
      <w:r>
        <w:rPr>
          <w:rFonts w:ascii="宋体" w:hAnsi="宋体"/>
          <w:b/>
          <w:color w:val="000000"/>
          <w:kern w:val="0"/>
          <w:sz w:val="24"/>
          <w:szCs w:val="24"/>
        </w:rPr>
        <w:t/>
      </w:r>
      <w:r>
        <w:rPr>
          <w:rFonts w:hint="eastAsia" w:ascii="宋体" w:hAnsi="宋体"/>
          <w:b/>
          <w:bCs/>
          <w:color w:val="000000"/>
          <w:kern w:val="0"/>
          <w:sz w:val="24"/>
          <w:szCs w:val="24"/>
        </w:rPr>
        <w:t>8.2 影响投资者决策的其他重要信息</w:t>
      </w:r>
    </w:p>
    <w:p>
      <w:pPr>
        <w:spacing w:line="360" w:lineRule="auto"/>
        <w:ind w:firstLine="480" w:firstLineChars="200"/>
        <w:rPr>
          <w:rFonts w:ascii="宋体" w:hAnsi="宋体"/>
          <w:color w:val="000000"/>
          <w:sz w:val="24"/>
          <w:szCs w:val="24"/>
        </w:rPr>
      </w:pPr>
      <w:r>
        <w:rPr>
          <w:rFonts w:ascii="宋体" w:hAnsi="宋体"/>
          <w:color w:val="000000"/>
          <w:sz w:val="24"/>
          <w:szCs w:val="24"/>
        </w:rPr>
        <w:t>海富通基金管理有限公司成立于2003年4月，是中国首批获准成立的中外合资基金管理公司。</w:t>
      </w:r>
    </w:p>
    <w:p>
      <w:pPr>
        <w:spacing w:line="360" w:lineRule="auto"/>
        <w:ind w:firstLine="480" w:firstLineChars="200"/>
        <w:rPr>
          <w:rFonts w:ascii="宋体" w:hAnsi="宋体"/>
          <w:color w:val="000000"/>
          <w:sz w:val="24"/>
          <w:szCs w:val="24"/>
        </w:rPr>
      </w:pPr>
      <w:r>
        <w:rPr>
          <w:rFonts w:ascii="宋体" w:hAnsi="宋体"/>
          <w:color w:val="000000"/>
          <w:sz w:val="24"/>
          <w:szCs w:val="24"/>
        </w:rPr>
        <w:t>从2003年8月开始，海富通先后募集成立了55只公募基金。截至2017年9月30日，海富通管理的公募基金资产规模超过500亿元人民币。</w:t>
      </w:r>
    </w:p>
    <w:p>
      <w:pPr>
        <w:spacing w:line="360" w:lineRule="auto"/>
        <w:ind w:firstLine="480" w:firstLineChars="200"/>
        <w:rPr>
          <w:rFonts w:ascii="宋体" w:hAnsi="宋体"/>
          <w:color w:val="000000"/>
          <w:sz w:val="24"/>
          <w:szCs w:val="24"/>
        </w:rPr>
      </w:pPr>
      <w:r>
        <w:rPr>
          <w:rFonts w:ascii="宋体" w:hAnsi="宋体"/>
          <w:color w:val="000000"/>
          <w:sz w:val="24"/>
          <w:szCs w:val="24"/>
        </w:rPr>
        <w:t>2004年末开始，海富通及子公司为QFII（合格境外机构投资者）及其他多个海内外投资组合担任投资咨询顾问，截至2017年9月30日，投资咨询及海外业务规模超过40亿元人民币。</w:t>
      </w:r>
    </w:p>
    <w:p>
      <w:pPr>
        <w:spacing w:line="360" w:lineRule="auto"/>
        <w:ind w:firstLine="480" w:firstLineChars="200"/>
        <w:rPr>
          <w:rFonts w:ascii="宋体" w:hAnsi="宋体"/>
          <w:color w:val="000000"/>
          <w:sz w:val="24"/>
          <w:szCs w:val="24"/>
        </w:rPr>
      </w:pPr>
      <w:r>
        <w:rPr>
          <w:rFonts w:ascii="宋体" w:hAnsi="宋体"/>
          <w:color w:val="000000"/>
          <w:sz w:val="24"/>
          <w:szCs w:val="24"/>
        </w:rPr>
        <w:t>作为国家人力资源和社会保障部首批企业年金基金投资管理人，截至2017年9月30日，海富通为近80家企业超过368亿元的企业年金基金担任了投资管理人。作为首批特定客户资产管理业务资格的基金管理公司，截至2017年9月30日，海富通管理的特定客户资产管理业务规模超过403亿元。2010年12月，海富通基金管理有限公司被全国社会保障基金理事会选聘为境内委托投资管理人。2011年12月，海富通全资子公司——海富通资产管理（香港）有限公司获得证监会核准批复RQFII（人民币合格境外机构投资者）业务资格，能够在香港筹集人民币资金投资境内证券市场。2012年2月，海富通资产管理（香港）有限公司已募集发行了首只RQFII产品。2012年9月，中国保监会公告确认海富通基金为首批保险资金投资管理人之一。2014年8月，海富通全资子公司上海富诚海富通资产管理公司正式开业，获准开展特定客户资产管理服务。2016年12月，海富通基金管理有限公司被全国社会保障基金理事会选聘为首批基本养老保险基金投资管理人。</w:t>
      </w:r>
    </w:p>
    <w:p>
      <w:pPr>
        <w:spacing w:line="360" w:lineRule="auto"/>
        <w:ind w:firstLine="480" w:firstLineChars="200"/>
        <w:rPr>
          <w:rFonts w:ascii="宋体" w:hAnsi="宋体"/>
          <w:color w:val="000000"/>
          <w:sz w:val="24"/>
          <w:szCs w:val="24"/>
        </w:rPr>
      </w:pPr>
      <w:r>
        <w:rPr>
          <w:rFonts w:ascii="宋体" w:hAnsi="宋体"/>
          <w:color w:val="000000"/>
          <w:sz w:val="24"/>
          <w:szCs w:val="24"/>
        </w:rPr>
        <w:t>2016年3月，国内权威财经媒体《中国证券报》授予海富通基金管理有限公司“固定收益投资金牛基金公司”。</w:t>
      </w:r>
    </w:p>
    <w:p>
      <w:pPr>
        <w:spacing w:before="29" w:line="288" w:lineRule="auto"/>
        <w:ind w:firstLine="480" w:firstLineChars="200"/>
        <w:rPr>
          <w:color w:val="000000"/>
          <w:sz w:val="24"/>
          <w:szCs w:val="24"/>
        </w:rPr>
      </w:pPr>
    </w:p>
    <w:p>
      <w:pPr>
        <w:pStyle w:val="2"/>
        <w:spacing w:beforeLines="100" w:afterLines="100" w:line="288" w:lineRule="auto"/>
        <w:jc w:val="center"/>
        <w:rPr>
          <w:color w:val="000000"/>
          <w:kern w:val="0"/>
          <w:sz w:val="24"/>
          <w:szCs w:val="24"/>
        </w:rPr>
      </w:pPr>
      <w:r>
        <w:rPr>
          <w:color w:val="000000"/>
          <w:kern w:val="0"/>
          <w:sz w:val="24"/>
          <w:szCs w:val="24"/>
        </w:rPr>
        <w:t>§9 备查文件目录</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9.1 备查文件目录</w:t>
      </w:r>
    </w:p>
    <w:p>
      <w:pPr>
        <w:spacing w:before="29" w:line="288" w:lineRule="auto"/>
        <w:ind w:firstLine="480" w:firstLineChars="200"/>
        <w:rPr>
          <w:color w:val="000000"/>
          <w:sz w:val="24"/>
          <w:szCs w:val="24"/>
        </w:rPr>
      </w:pPr>
      <w:r>
        <w:rPr>
          <w:color w:val="000000"/>
          <w:sz w:val="24"/>
          <w:szCs w:val="24"/>
        </w:rPr>
        <w:t xml:space="preserve">（一）中国证监会批准设立海富通欣盛定期开放混合型证券投资基金的文件 </w:t>
      </w:r>
    </w:p>
    <w:p>
      <w:pPr>
        <w:spacing w:before="29" w:line="288" w:lineRule="auto"/>
        <w:ind w:firstLine="480" w:firstLineChars="200"/>
        <w:rPr>
          <w:color w:val="000000"/>
          <w:sz w:val="24"/>
          <w:szCs w:val="24"/>
        </w:rPr>
      </w:pPr>
      <w:r>
        <w:rPr>
          <w:color w:val="000000"/>
          <w:sz w:val="24"/>
          <w:szCs w:val="24"/>
        </w:rPr>
        <w:t xml:space="preserve">（二）海富通欣盛定期开放混合型证券投资基金基金合同 </w:t>
      </w:r>
    </w:p>
    <w:p>
      <w:pPr>
        <w:spacing w:before="29" w:line="288" w:lineRule="auto"/>
        <w:ind w:firstLine="480" w:firstLineChars="200"/>
        <w:rPr>
          <w:color w:val="000000"/>
          <w:sz w:val="24"/>
          <w:szCs w:val="24"/>
        </w:rPr>
      </w:pPr>
      <w:r>
        <w:rPr>
          <w:color w:val="000000"/>
          <w:sz w:val="24"/>
          <w:szCs w:val="24"/>
        </w:rPr>
        <w:t xml:space="preserve">（三）海富通欣盛定期开放混合型证券投资基金招募说明书 </w:t>
      </w:r>
    </w:p>
    <w:p>
      <w:pPr>
        <w:spacing w:before="29" w:line="288" w:lineRule="auto"/>
        <w:ind w:firstLine="480" w:firstLineChars="200"/>
        <w:rPr>
          <w:color w:val="000000"/>
          <w:sz w:val="24"/>
          <w:szCs w:val="24"/>
        </w:rPr>
      </w:pPr>
      <w:r>
        <w:rPr>
          <w:color w:val="000000"/>
          <w:sz w:val="24"/>
          <w:szCs w:val="24"/>
        </w:rPr>
        <w:t xml:space="preserve">（四）海富通欣盛定期开放混合型证券投资基金托管协议 </w:t>
      </w:r>
    </w:p>
    <w:p>
      <w:pPr>
        <w:spacing w:before="29" w:line="288" w:lineRule="auto"/>
        <w:ind w:firstLine="480" w:firstLineChars="200"/>
        <w:rPr>
          <w:color w:val="000000"/>
          <w:sz w:val="24"/>
          <w:szCs w:val="24"/>
        </w:rPr>
      </w:pPr>
      <w:r>
        <w:rPr>
          <w:color w:val="000000"/>
          <w:sz w:val="24"/>
          <w:szCs w:val="24"/>
        </w:rPr>
        <w:t xml:space="preserve">（五）中国证监会批准设立海富通基金管理有限公司的文件 </w:t>
      </w:r>
    </w:p>
    <w:p>
      <w:pPr>
        <w:spacing w:before="29" w:line="288" w:lineRule="auto"/>
        <w:ind w:firstLine="480" w:firstLineChars="200"/>
        <w:rPr>
          <w:color w:val="000000"/>
          <w:sz w:val="24"/>
          <w:szCs w:val="24"/>
        </w:rPr>
      </w:pPr>
      <w:r>
        <w:rPr>
          <w:color w:val="000000"/>
          <w:sz w:val="24"/>
          <w:szCs w:val="24"/>
        </w:rPr>
        <w:t>（六）报告期内海富通欣盛定期开放混合型证券投资基金在指定报刊上披露的各项公告</w:t>
      </w:r>
    </w:p>
    <w:p>
      <w:pPr>
        <w:spacing w:before="29" w:line="288" w:lineRule="auto"/>
        <w:ind w:firstLine="480" w:firstLineChars="200"/>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9.2 存放地点</w:t>
      </w:r>
    </w:p>
    <w:p>
      <w:pPr>
        <w:spacing w:before="29" w:line="288" w:lineRule="auto"/>
        <w:ind w:firstLine="480" w:firstLineChars="200"/>
        <w:rPr>
          <w:color w:val="000000"/>
          <w:sz w:val="24"/>
          <w:szCs w:val="24"/>
        </w:rPr>
      </w:pPr>
      <w:r>
        <w:rPr>
          <w:color w:val="000000"/>
          <w:sz w:val="24"/>
          <w:szCs w:val="24"/>
        </w:rPr>
        <w:t>上海市浦东新区陆家嘴花园石桥路66号东亚银行金融大厦36－37层本基金管理人办公地址。</w:t>
      </w:r>
    </w:p>
    <w:p>
      <w:pPr>
        <w:spacing w:before="29" w:line="288" w:lineRule="auto"/>
        <w:ind w:firstLine="480" w:firstLineChars="200"/>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9.3 查阅方式</w:t>
      </w:r>
    </w:p>
    <w:p>
      <w:pPr>
        <w:spacing w:before="29" w:line="288" w:lineRule="auto"/>
        <w:ind w:firstLine="480" w:firstLineChars="200"/>
        <w:rPr>
          <w:color w:val="000000"/>
          <w:sz w:val="24"/>
          <w:szCs w:val="24"/>
        </w:rPr>
      </w:pPr>
      <w:r>
        <w:rPr>
          <w:color w:val="000000"/>
          <w:sz w:val="24"/>
          <w:szCs w:val="24"/>
        </w:rPr>
        <w:t>投资者可于本基金管理人办公时间预约查阅。</w:t>
      </w: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tabs>
          <w:tab w:val="left" w:pos="5715"/>
        </w:tabs>
        <w:spacing w:before="29" w:line="288" w:lineRule="auto"/>
        <w:ind w:firstLine="480" w:firstLineChars="200"/>
        <w:rPr>
          <w:color w:val="000000"/>
          <w:sz w:val="24"/>
        </w:rPr>
      </w:pPr>
    </w:p>
    <w:p>
      <w:pPr>
        <w:tabs>
          <w:tab w:val="left" w:pos="5715"/>
        </w:tabs>
        <w:spacing w:before="29" w:line="288" w:lineRule="auto"/>
        <w:ind w:firstLine="482" w:firstLineChars="200"/>
        <w:jc w:val="right"/>
        <w:rPr>
          <w:b/>
          <w:color w:val="000000"/>
          <w:sz w:val="24"/>
        </w:rPr>
      </w:pPr>
      <w:r>
        <w:rPr>
          <w:b/>
          <w:color w:val="000000"/>
          <w:sz w:val="24"/>
        </w:rPr>
        <w:t>海富通基金管理有限公司</w:t>
      </w:r>
    </w:p>
    <w:p>
      <w:pPr>
        <w:tabs>
          <w:tab w:val="left" w:pos="5715"/>
        </w:tabs>
        <w:spacing w:before="29" w:line="288" w:lineRule="auto"/>
        <w:ind w:firstLine="482" w:firstLineChars="200"/>
        <w:jc w:val="right"/>
        <w:rPr>
          <w:b/>
          <w:color w:val="000000"/>
          <w:sz w:val="24"/>
        </w:rPr>
      </w:pPr>
      <w:r>
        <w:rPr>
          <w:b/>
          <w:color w:val="000000"/>
          <w:sz w:val="24"/>
        </w:rPr>
        <w:t>二〇一七年十月二十五日</w:t>
      </w:r>
    </w:p>
    <w:p>
      <w:pPr>
        <w:spacing w:before="29" w:line="288" w:lineRule="auto"/>
        <w:ind w:firstLine="480" w:firstLineChars="200"/>
        <w:rPr>
          <w:color w:val="000000"/>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24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25</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0"/>
      </w:pBdr>
      <w:jc w:val="right"/>
    </w:pPr>
    <w:r>
      <w:t>海富通欣盛定期开放混合型证券投资基金2017年第3季度报告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2B4B"/>
    <w:rsid w:val="00014099"/>
    <w:rsid w:val="000160C5"/>
    <w:rsid w:val="000210E7"/>
    <w:rsid w:val="000243BD"/>
    <w:rsid w:val="00024F7F"/>
    <w:rsid w:val="00031EBB"/>
    <w:rsid w:val="00033B8D"/>
    <w:rsid w:val="0004308C"/>
    <w:rsid w:val="00043852"/>
    <w:rsid w:val="000450DD"/>
    <w:rsid w:val="000463DE"/>
    <w:rsid w:val="000625ED"/>
    <w:rsid w:val="00064D40"/>
    <w:rsid w:val="000669E3"/>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357D"/>
    <w:rsid w:val="000E7E5E"/>
    <w:rsid w:val="000F6CC8"/>
    <w:rsid w:val="00111261"/>
    <w:rsid w:val="00121FC4"/>
    <w:rsid w:val="00133015"/>
    <w:rsid w:val="00137452"/>
    <w:rsid w:val="00137B31"/>
    <w:rsid w:val="00144F93"/>
    <w:rsid w:val="00147376"/>
    <w:rsid w:val="0015450B"/>
    <w:rsid w:val="00154BE1"/>
    <w:rsid w:val="001563BB"/>
    <w:rsid w:val="0015710B"/>
    <w:rsid w:val="00160EDC"/>
    <w:rsid w:val="00162D61"/>
    <w:rsid w:val="001675CD"/>
    <w:rsid w:val="001717D5"/>
    <w:rsid w:val="00171EF0"/>
    <w:rsid w:val="001761D2"/>
    <w:rsid w:val="00176C21"/>
    <w:rsid w:val="001830D7"/>
    <w:rsid w:val="00185A34"/>
    <w:rsid w:val="001934F6"/>
    <w:rsid w:val="00194301"/>
    <w:rsid w:val="00196E6C"/>
    <w:rsid w:val="001A73E8"/>
    <w:rsid w:val="001B02BC"/>
    <w:rsid w:val="001B0A62"/>
    <w:rsid w:val="001B2F35"/>
    <w:rsid w:val="001C0993"/>
    <w:rsid w:val="001C79F2"/>
    <w:rsid w:val="001D2DEE"/>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65C9B"/>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6C96"/>
    <w:rsid w:val="00302816"/>
    <w:rsid w:val="003038AE"/>
    <w:rsid w:val="00304A12"/>
    <w:rsid w:val="00305636"/>
    <w:rsid w:val="00311662"/>
    <w:rsid w:val="00312A9F"/>
    <w:rsid w:val="00315D5D"/>
    <w:rsid w:val="00316484"/>
    <w:rsid w:val="00316E01"/>
    <w:rsid w:val="00320300"/>
    <w:rsid w:val="00320E90"/>
    <w:rsid w:val="00324508"/>
    <w:rsid w:val="003259C8"/>
    <w:rsid w:val="00327C0E"/>
    <w:rsid w:val="003307FE"/>
    <w:rsid w:val="00333AD0"/>
    <w:rsid w:val="00336EAF"/>
    <w:rsid w:val="003470E2"/>
    <w:rsid w:val="00352719"/>
    <w:rsid w:val="0035383E"/>
    <w:rsid w:val="00355364"/>
    <w:rsid w:val="0036152B"/>
    <w:rsid w:val="00364CCB"/>
    <w:rsid w:val="00365798"/>
    <w:rsid w:val="0039085F"/>
    <w:rsid w:val="00394069"/>
    <w:rsid w:val="00396809"/>
    <w:rsid w:val="003A6061"/>
    <w:rsid w:val="003B3494"/>
    <w:rsid w:val="003B6FBC"/>
    <w:rsid w:val="003D0AFF"/>
    <w:rsid w:val="003D2F6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087"/>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B3695"/>
    <w:rsid w:val="004B6D83"/>
    <w:rsid w:val="004C0914"/>
    <w:rsid w:val="004C702F"/>
    <w:rsid w:val="004D340C"/>
    <w:rsid w:val="004D495A"/>
    <w:rsid w:val="004E1298"/>
    <w:rsid w:val="004E5975"/>
    <w:rsid w:val="004E790A"/>
    <w:rsid w:val="004E7AD3"/>
    <w:rsid w:val="004F1A4E"/>
    <w:rsid w:val="004F50FD"/>
    <w:rsid w:val="00500A03"/>
    <w:rsid w:val="00506EE6"/>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E56E7"/>
    <w:rsid w:val="005F118D"/>
    <w:rsid w:val="005F2ABA"/>
    <w:rsid w:val="005F3996"/>
    <w:rsid w:val="005F6AF6"/>
    <w:rsid w:val="00604E50"/>
    <w:rsid w:val="006054CF"/>
    <w:rsid w:val="006066D2"/>
    <w:rsid w:val="006075E6"/>
    <w:rsid w:val="0061286A"/>
    <w:rsid w:val="00613BB8"/>
    <w:rsid w:val="00614CC4"/>
    <w:rsid w:val="0062025E"/>
    <w:rsid w:val="00625BFC"/>
    <w:rsid w:val="00626998"/>
    <w:rsid w:val="006269FB"/>
    <w:rsid w:val="00626EE5"/>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16F"/>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601C"/>
    <w:rsid w:val="0079369C"/>
    <w:rsid w:val="00794090"/>
    <w:rsid w:val="00796CA8"/>
    <w:rsid w:val="00797305"/>
    <w:rsid w:val="007B035B"/>
    <w:rsid w:val="007B4C04"/>
    <w:rsid w:val="007B4DDA"/>
    <w:rsid w:val="007B5AFB"/>
    <w:rsid w:val="007C395A"/>
    <w:rsid w:val="007C5862"/>
    <w:rsid w:val="007D0922"/>
    <w:rsid w:val="007D100C"/>
    <w:rsid w:val="007E2686"/>
    <w:rsid w:val="007E57C0"/>
    <w:rsid w:val="007F29B1"/>
    <w:rsid w:val="007F797B"/>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6618"/>
    <w:rsid w:val="00837635"/>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1677"/>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2803"/>
    <w:rsid w:val="00921AC7"/>
    <w:rsid w:val="00924582"/>
    <w:rsid w:val="00931291"/>
    <w:rsid w:val="0093367D"/>
    <w:rsid w:val="009431FA"/>
    <w:rsid w:val="00945AF6"/>
    <w:rsid w:val="009550BE"/>
    <w:rsid w:val="00955531"/>
    <w:rsid w:val="00955BE8"/>
    <w:rsid w:val="00957594"/>
    <w:rsid w:val="00963F40"/>
    <w:rsid w:val="00970613"/>
    <w:rsid w:val="009730B8"/>
    <w:rsid w:val="0097424F"/>
    <w:rsid w:val="0098122D"/>
    <w:rsid w:val="00986596"/>
    <w:rsid w:val="00990685"/>
    <w:rsid w:val="009A0ABE"/>
    <w:rsid w:val="009A4E5D"/>
    <w:rsid w:val="009B2D4B"/>
    <w:rsid w:val="009C379B"/>
    <w:rsid w:val="009C5186"/>
    <w:rsid w:val="009C60F7"/>
    <w:rsid w:val="009D0952"/>
    <w:rsid w:val="009E19A9"/>
    <w:rsid w:val="009E31DA"/>
    <w:rsid w:val="009E402C"/>
    <w:rsid w:val="009E7C6A"/>
    <w:rsid w:val="009F0367"/>
    <w:rsid w:val="009F3659"/>
    <w:rsid w:val="009F4271"/>
    <w:rsid w:val="009F4861"/>
    <w:rsid w:val="009F61BE"/>
    <w:rsid w:val="009F7ED4"/>
    <w:rsid w:val="00A03AAC"/>
    <w:rsid w:val="00A047D1"/>
    <w:rsid w:val="00A17EEE"/>
    <w:rsid w:val="00A21300"/>
    <w:rsid w:val="00A22AD0"/>
    <w:rsid w:val="00A22DA8"/>
    <w:rsid w:val="00A3030E"/>
    <w:rsid w:val="00A31574"/>
    <w:rsid w:val="00A31671"/>
    <w:rsid w:val="00A324F4"/>
    <w:rsid w:val="00A36930"/>
    <w:rsid w:val="00A42DBD"/>
    <w:rsid w:val="00A45320"/>
    <w:rsid w:val="00A504C9"/>
    <w:rsid w:val="00A54C7D"/>
    <w:rsid w:val="00A5612C"/>
    <w:rsid w:val="00A5689C"/>
    <w:rsid w:val="00A575FF"/>
    <w:rsid w:val="00A57AE4"/>
    <w:rsid w:val="00A63F19"/>
    <w:rsid w:val="00A656BB"/>
    <w:rsid w:val="00A669FC"/>
    <w:rsid w:val="00A66F42"/>
    <w:rsid w:val="00A76625"/>
    <w:rsid w:val="00A81F53"/>
    <w:rsid w:val="00A83500"/>
    <w:rsid w:val="00A8721A"/>
    <w:rsid w:val="00A90049"/>
    <w:rsid w:val="00A90AED"/>
    <w:rsid w:val="00A917BF"/>
    <w:rsid w:val="00A96A94"/>
    <w:rsid w:val="00AA3A38"/>
    <w:rsid w:val="00AA4F94"/>
    <w:rsid w:val="00AA6513"/>
    <w:rsid w:val="00AB047E"/>
    <w:rsid w:val="00AB4DB6"/>
    <w:rsid w:val="00AC063D"/>
    <w:rsid w:val="00AC56B1"/>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64DD"/>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97BFC"/>
    <w:rsid w:val="00BA604D"/>
    <w:rsid w:val="00BB51A0"/>
    <w:rsid w:val="00BB5DA7"/>
    <w:rsid w:val="00BB5E0E"/>
    <w:rsid w:val="00BB7F3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6A75"/>
    <w:rsid w:val="00C678B0"/>
    <w:rsid w:val="00C7047C"/>
    <w:rsid w:val="00C71497"/>
    <w:rsid w:val="00C7221C"/>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17A6"/>
    <w:rsid w:val="00D43AFB"/>
    <w:rsid w:val="00D44EE8"/>
    <w:rsid w:val="00D503FE"/>
    <w:rsid w:val="00D57B7C"/>
    <w:rsid w:val="00D6166F"/>
    <w:rsid w:val="00D65994"/>
    <w:rsid w:val="00D65B44"/>
    <w:rsid w:val="00D75E69"/>
    <w:rsid w:val="00D8099B"/>
    <w:rsid w:val="00D866A8"/>
    <w:rsid w:val="00D9082B"/>
    <w:rsid w:val="00D94B8D"/>
    <w:rsid w:val="00D96C8D"/>
    <w:rsid w:val="00D974EF"/>
    <w:rsid w:val="00DA0C61"/>
    <w:rsid w:val="00DA14B0"/>
    <w:rsid w:val="00DA2876"/>
    <w:rsid w:val="00DC0B51"/>
    <w:rsid w:val="00DC6B55"/>
    <w:rsid w:val="00DE08A7"/>
    <w:rsid w:val="00DE27F7"/>
    <w:rsid w:val="00DE39DD"/>
    <w:rsid w:val="00DE4B43"/>
    <w:rsid w:val="00DE4CFB"/>
    <w:rsid w:val="00E02660"/>
    <w:rsid w:val="00E02D1C"/>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046CE"/>
    <w:rsid w:val="00F11104"/>
    <w:rsid w:val="00F11BB5"/>
    <w:rsid w:val="00F16E3F"/>
    <w:rsid w:val="00F22499"/>
    <w:rsid w:val="00F22B0F"/>
    <w:rsid w:val="00F24B42"/>
    <w:rsid w:val="00F24F73"/>
    <w:rsid w:val="00F27299"/>
    <w:rsid w:val="00F31F6E"/>
    <w:rsid w:val="00F3389C"/>
    <w:rsid w:val="00F375F2"/>
    <w:rsid w:val="00F43802"/>
    <w:rsid w:val="00F45C47"/>
    <w:rsid w:val="00F53294"/>
    <w:rsid w:val="00F542E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 w:val="79736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0" w:semiHidden="0" w:name="footnote text"/>
    <w:lsdException w:qFormat="1" w:unhideWhenUsed="0"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33"/>
    <w:qFormat/>
    <w:uiPriority w:val="99"/>
    <w:pPr>
      <w:keepNext/>
      <w:keepLines/>
      <w:spacing w:before="260" w:after="260" w:line="360" w:lineRule="auto"/>
      <w:outlineLvl w:val="1"/>
    </w:pPr>
    <w:rPr>
      <w:rFonts w:ascii="Arial" w:hAnsi="Arial" w:cs="Arial"/>
      <w:b/>
      <w:bCs/>
      <w:sz w:val="24"/>
      <w:szCs w:val="24"/>
    </w:rPr>
  </w:style>
  <w:style w:type="paragraph" w:styleId="5">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3">
    <w:name w:val="Default Paragraph Font"/>
    <w:unhideWhenUsed/>
    <w:uiPriority w:val="1"/>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6">
    <w:name w:val="annotation subject"/>
    <w:basedOn w:val="7"/>
    <w:next w:val="7"/>
    <w:link w:val="62"/>
    <w:semiHidden/>
    <w:qFormat/>
    <w:uiPriority w:val="99"/>
    <w:rPr>
      <w:b/>
      <w:bCs/>
    </w:rPr>
  </w:style>
  <w:style w:type="paragraph" w:styleId="7">
    <w:name w:val="annotation text"/>
    <w:basedOn w:val="1"/>
    <w:link w:val="61"/>
    <w:semiHidden/>
    <w:qFormat/>
    <w:uiPriority w:val="99"/>
    <w:pPr>
      <w:jc w:val="left"/>
    </w:pPr>
  </w:style>
  <w:style w:type="paragraph" w:styleId="8">
    <w:name w:val="Document Map"/>
    <w:basedOn w:val="1"/>
    <w:link w:val="64"/>
    <w:semiHidden/>
    <w:uiPriority w:val="99"/>
    <w:pPr>
      <w:shd w:val="clear" w:color="auto" w:fill="000080"/>
    </w:pPr>
  </w:style>
  <w:style w:type="paragraph" w:styleId="9">
    <w:name w:val="Body Text"/>
    <w:basedOn w:val="1"/>
    <w:link w:val="41"/>
    <w:qFormat/>
    <w:uiPriority w:val="99"/>
    <w:pPr>
      <w:spacing w:after="120"/>
    </w:pPr>
  </w:style>
  <w:style w:type="paragraph" w:styleId="10">
    <w:name w:val="Body Text Indent"/>
    <w:basedOn w:val="1"/>
    <w:link w:val="35"/>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1">
    <w:name w:val="Plain Text"/>
    <w:basedOn w:val="1"/>
    <w:link w:val="36"/>
    <w:uiPriority w:val="99"/>
    <w:rPr>
      <w:rFonts w:ascii="宋体" w:hAnsi="Courier New" w:cs="宋体"/>
    </w:rPr>
  </w:style>
  <w:style w:type="paragraph" w:styleId="12">
    <w:name w:val="Date"/>
    <w:basedOn w:val="1"/>
    <w:next w:val="1"/>
    <w:link w:val="42"/>
    <w:qFormat/>
    <w:uiPriority w:val="0"/>
    <w:rPr>
      <w:sz w:val="24"/>
      <w:szCs w:val="24"/>
    </w:rPr>
  </w:style>
  <w:style w:type="paragraph" w:styleId="13">
    <w:name w:val="Body Text Indent 2"/>
    <w:basedOn w:val="1"/>
    <w:link w:val="37"/>
    <w:uiPriority w:val="99"/>
    <w:pPr>
      <w:spacing w:line="560" w:lineRule="exact"/>
      <w:ind w:firstLine="480" w:firstLineChars="200"/>
    </w:pPr>
    <w:rPr>
      <w:rFonts w:ascii="宋体" w:hAnsi="宋体" w:cs="宋体"/>
      <w:color w:val="FF0000"/>
      <w:sz w:val="24"/>
      <w:szCs w:val="24"/>
    </w:rPr>
  </w:style>
  <w:style w:type="paragraph" w:styleId="14">
    <w:name w:val="Balloon Text"/>
    <w:basedOn w:val="1"/>
    <w:link w:val="60"/>
    <w:semiHidden/>
    <w:qFormat/>
    <w:uiPriority w:val="99"/>
    <w:rPr>
      <w:sz w:val="18"/>
      <w:szCs w:val="18"/>
    </w:rPr>
  </w:style>
  <w:style w:type="paragraph" w:styleId="15">
    <w:name w:val="footer"/>
    <w:basedOn w:val="1"/>
    <w:link w:val="38"/>
    <w:uiPriority w:val="0"/>
    <w:pPr>
      <w:tabs>
        <w:tab w:val="center" w:pos="4153"/>
        <w:tab w:val="right" w:pos="8306"/>
      </w:tabs>
      <w:snapToGrid w:val="0"/>
      <w:jc w:val="left"/>
    </w:pPr>
    <w:rPr>
      <w:sz w:val="18"/>
      <w:szCs w:val="18"/>
    </w:rPr>
  </w:style>
  <w:style w:type="paragraph" w:styleId="16">
    <w:name w:val="header"/>
    <w:basedOn w:val="1"/>
    <w:link w:val="40"/>
    <w:uiPriority w:val="99"/>
    <w:pPr>
      <w:pBdr>
        <w:bottom w:val="single" w:color="auto" w:sz="6" w:space="1"/>
      </w:pBdr>
      <w:tabs>
        <w:tab w:val="center" w:pos="4153"/>
        <w:tab w:val="right" w:pos="8306"/>
      </w:tabs>
      <w:snapToGrid w:val="0"/>
      <w:jc w:val="center"/>
    </w:pPr>
    <w:rPr>
      <w:sz w:val="18"/>
      <w:szCs w:val="18"/>
    </w:rPr>
  </w:style>
  <w:style w:type="paragraph" w:styleId="17">
    <w:name w:val="List"/>
    <w:basedOn w:val="9"/>
    <w:qFormat/>
    <w:uiPriority w:val="99"/>
    <w:pPr>
      <w:spacing w:after="220" w:line="220" w:lineRule="atLeast"/>
      <w:ind w:left="1440" w:hanging="360"/>
    </w:pPr>
  </w:style>
  <w:style w:type="paragraph" w:styleId="18">
    <w:name w:val="footnote text"/>
    <w:basedOn w:val="1"/>
    <w:link w:val="66"/>
    <w:uiPriority w:val="0"/>
    <w:pPr>
      <w:snapToGrid w:val="0"/>
      <w:jc w:val="left"/>
    </w:pPr>
    <w:rPr>
      <w:sz w:val="18"/>
      <w:szCs w:val="18"/>
    </w:rPr>
  </w:style>
  <w:style w:type="paragraph" w:styleId="19">
    <w:name w:val="Body Text Indent 3"/>
    <w:basedOn w:val="1"/>
    <w:link w:val="39"/>
    <w:qFormat/>
    <w:uiPriority w:val="99"/>
    <w:pPr>
      <w:spacing w:line="560" w:lineRule="exact"/>
      <w:ind w:firstLine="420" w:firstLineChars="200"/>
    </w:pPr>
    <w:rPr>
      <w:rFonts w:ascii="Arial" w:hAnsi="Arial" w:cs="Arial"/>
      <w:color w:val="FF000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index 1"/>
    <w:basedOn w:val="1"/>
    <w:next w:val="1"/>
    <w:semiHidden/>
    <w:qFormat/>
    <w:uiPriority w:val="99"/>
    <w:pPr>
      <w:jc w:val="right"/>
    </w:pPr>
    <w:rPr>
      <w:color w:val="008000"/>
    </w:rPr>
  </w:style>
  <w:style w:type="paragraph" w:styleId="22">
    <w:name w:val="Title"/>
    <w:basedOn w:val="1"/>
    <w:next w:val="1"/>
    <w:link w:val="70"/>
    <w:qFormat/>
    <w:uiPriority w:val="99"/>
    <w:pPr>
      <w:spacing w:before="240" w:after="60"/>
      <w:jc w:val="center"/>
      <w:outlineLvl w:val="0"/>
    </w:pPr>
    <w:rPr>
      <w:rFonts w:ascii="Cambria" w:hAnsi="Cambria" w:cs="Cambria"/>
      <w:b/>
      <w:bCs/>
      <w:sz w:val="32"/>
      <w:szCs w:val="32"/>
    </w:rPr>
  </w:style>
  <w:style w:type="character" w:styleId="24">
    <w:name w:val="Strong"/>
    <w:basedOn w:val="23"/>
    <w:qFormat/>
    <w:uiPriority w:val="22"/>
    <w:rPr>
      <w:b/>
      <w:bCs/>
    </w:rPr>
  </w:style>
  <w:style w:type="character" w:styleId="25">
    <w:name w:val="page number"/>
    <w:basedOn w:val="23"/>
    <w:uiPriority w:val="99"/>
  </w:style>
  <w:style w:type="character" w:styleId="26">
    <w:name w:val="FollowedHyperlink"/>
    <w:basedOn w:val="23"/>
    <w:qFormat/>
    <w:uiPriority w:val="99"/>
    <w:rPr>
      <w:color w:val="800080"/>
      <w:u w:val="single"/>
    </w:rPr>
  </w:style>
  <w:style w:type="character" w:styleId="27">
    <w:name w:val="Hyperlink"/>
    <w:basedOn w:val="23"/>
    <w:qFormat/>
    <w:uiPriority w:val="99"/>
    <w:rPr>
      <w:color w:val="0000FF"/>
      <w:u w:val="single"/>
    </w:rPr>
  </w:style>
  <w:style w:type="character" w:styleId="28">
    <w:name w:val="annotation reference"/>
    <w:basedOn w:val="23"/>
    <w:semiHidden/>
    <w:uiPriority w:val="99"/>
    <w:rPr>
      <w:sz w:val="21"/>
      <w:szCs w:val="21"/>
    </w:rPr>
  </w:style>
  <w:style w:type="character" w:styleId="29">
    <w:name w:val="footnote reference"/>
    <w:basedOn w:val="23"/>
    <w:qFormat/>
    <w:uiPriority w:val="0"/>
    <w:rPr>
      <w:vertAlign w:val="superscript"/>
    </w:rPr>
  </w:style>
  <w:style w:type="table" w:styleId="31">
    <w:name w:val="Table Grid"/>
    <w:basedOn w:val="30"/>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标题 1 Char"/>
    <w:basedOn w:val="23"/>
    <w:link w:val="2"/>
    <w:uiPriority w:val="99"/>
    <w:rPr>
      <w:rFonts w:ascii="Times New Roman" w:hAnsi="Times New Roman" w:eastAsia="宋体" w:cs="Times New Roman"/>
      <w:b/>
      <w:bCs/>
      <w:kern w:val="44"/>
      <w:sz w:val="44"/>
      <w:szCs w:val="44"/>
    </w:rPr>
  </w:style>
  <w:style w:type="character" w:customStyle="1" w:styleId="33">
    <w:name w:val="标题 2 Char"/>
    <w:basedOn w:val="23"/>
    <w:link w:val="3"/>
    <w:qFormat/>
    <w:uiPriority w:val="99"/>
    <w:rPr>
      <w:rFonts w:ascii="Arial" w:hAnsi="Arial" w:eastAsia="宋体" w:cs="Arial"/>
      <w:b/>
      <w:bCs/>
      <w:sz w:val="24"/>
      <w:szCs w:val="24"/>
    </w:rPr>
  </w:style>
  <w:style w:type="character" w:customStyle="1" w:styleId="34">
    <w:name w:val="标题 3 Char"/>
    <w:basedOn w:val="23"/>
    <w:link w:val="5"/>
    <w:uiPriority w:val="99"/>
    <w:rPr>
      <w:rFonts w:ascii="Times New Roman" w:hAnsi="Times New Roman" w:eastAsia="宋体" w:cs="Times New Roman"/>
      <w:b/>
      <w:bCs/>
      <w:sz w:val="32"/>
      <w:szCs w:val="32"/>
    </w:rPr>
  </w:style>
  <w:style w:type="character" w:customStyle="1" w:styleId="35">
    <w:name w:val="正文文本缩进 Char"/>
    <w:basedOn w:val="23"/>
    <w:link w:val="10"/>
    <w:uiPriority w:val="99"/>
    <w:rPr>
      <w:rFonts w:ascii="Arial Unicode MS" w:hAnsi="Arial Unicode MS" w:eastAsia="Arial Unicode MS" w:cs="Arial Unicode MS"/>
      <w:kern w:val="0"/>
      <w:sz w:val="24"/>
      <w:szCs w:val="24"/>
    </w:rPr>
  </w:style>
  <w:style w:type="character" w:customStyle="1" w:styleId="36">
    <w:name w:val="纯文本 Char"/>
    <w:basedOn w:val="23"/>
    <w:link w:val="11"/>
    <w:uiPriority w:val="99"/>
    <w:rPr>
      <w:rFonts w:ascii="宋体" w:hAnsi="Courier New" w:eastAsia="宋体" w:cs="宋体"/>
      <w:szCs w:val="21"/>
    </w:rPr>
  </w:style>
  <w:style w:type="character" w:customStyle="1" w:styleId="37">
    <w:name w:val="正文文本缩进 2 Char"/>
    <w:basedOn w:val="23"/>
    <w:link w:val="13"/>
    <w:uiPriority w:val="99"/>
    <w:rPr>
      <w:rFonts w:ascii="宋体" w:hAnsi="宋体" w:eastAsia="宋体" w:cs="宋体"/>
      <w:color w:val="FF0000"/>
      <w:sz w:val="24"/>
      <w:szCs w:val="24"/>
    </w:rPr>
  </w:style>
  <w:style w:type="character" w:customStyle="1" w:styleId="38">
    <w:name w:val="页脚 Char"/>
    <w:basedOn w:val="23"/>
    <w:link w:val="15"/>
    <w:uiPriority w:val="99"/>
    <w:rPr>
      <w:rFonts w:ascii="Times New Roman" w:hAnsi="Times New Roman" w:eastAsia="宋体" w:cs="Times New Roman"/>
      <w:sz w:val="18"/>
      <w:szCs w:val="18"/>
    </w:rPr>
  </w:style>
  <w:style w:type="character" w:customStyle="1" w:styleId="39">
    <w:name w:val="正文文本缩进 3 Char"/>
    <w:basedOn w:val="23"/>
    <w:link w:val="19"/>
    <w:qFormat/>
    <w:uiPriority w:val="99"/>
    <w:rPr>
      <w:rFonts w:ascii="Arial" w:hAnsi="Arial" w:eastAsia="宋体" w:cs="Arial"/>
      <w:color w:val="FF0000"/>
      <w:szCs w:val="21"/>
    </w:rPr>
  </w:style>
  <w:style w:type="character" w:customStyle="1" w:styleId="40">
    <w:name w:val="页眉 Char"/>
    <w:basedOn w:val="23"/>
    <w:link w:val="16"/>
    <w:qFormat/>
    <w:uiPriority w:val="99"/>
    <w:rPr>
      <w:rFonts w:ascii="Times New Roman" w:hAnsi="Times New Roman" w:eastAsia="宋体" w:cs="Times New Roman"/>
      <w:sz w:val="18"/>
      <w:szCs w:val="18"/>
    </w:rPr>
  </w:style>
  <w:style w:type="character" w:customStyle="1" w:styleId="41">
    <w:name w:val="正文文本 Char"/>
    <w:basedOn w:val="23"/>
    <w:link w:val="9"/>
    <w:qFormat/>
    <w:uiPriority w:val="99"/>
    <w:rPr>
      <w:rFonts w:ascii="Times New Roman" w:hAnsi="Times New Roman" w:eastAsia="宋体" w:cs="Times New Roman"/>
      <w:szCs w:val="21"/>
    </w:rPr>
  </w:style>
  <w:style w:type="character" w:customStyle="1" w:styleId="42">
    <w:name w:val="日期 Char"/>
    <w:basedOn w:val="23"/>
    <w:link w:val="12"/>
    <w:uiPriority w:val="0"/>
    <w:rPr>
      <w:rFonts w:ascii="Times New Roman" w:hAnsi="Times New Roman" w:eastAsia="宋体" w:cs="Times New Roman"/>
      <w:sz w:val="24"/>
      <w:szCs w:val="24"/>
    </w:rPr>
  </w:style>
  <w:style w:type="character" w:customStyle="1" w:styleId="43">
    <w:name w:val="c1"/>
    <w:basedOn w:val="23"/>
    <w:qFormat/>
    <w:uiPriority w:val="99"/>
    <w:rPr>
      <w:color w:val="000000"/>
      <w:sz w:val="18"/>
      <w:szCs w:val="18"/>
    </w:rPr>
  </w:style>
  <w:style w:type="paragraph" w:customStyle="1" w:styleId="44">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45">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0000FF"/>
      <w:kern w:val="0"/>
      <w:sz w:val="29"/>
      <w:szCs w:val="29"/>
    </w:rPr>
  </w:style>
  <w:style w:type="paragraph" w:customStyle="1" w:styleId="46">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kern w:val="0"/>
      <w:sz w:val="24"/>
      <w:szCs w:val="24"/>
    </w:rPr>
  </w:style>
  <w:style w:type="paragraph" w:customStyle="1" w:styleId="47">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48">
    <w:name w:val="xl2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12"/>
      <w:szCs w:val="12"/>
    </w:rPr>
  </w:style>
  <w:style w:type="paragraph" w:customStyle="1" w:styleId="49">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50">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51">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52">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53">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54">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color w:val="000000"/>
      <w:kern w:val="0"/>
      <w:sz w:val="22"/>
      <w:szCs w:val="22"/>
    </w:rPr>
  </w:style>
  <w:style w:type="paragraph" w:customStyle="1" w:styleId="55">
    <w:name w:val="xl34"/>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56">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kern w:val="0"/>
      <w:sz w:val="23"/>
      <w:szCs w:val="23"/>
    </w:rPr>
  </w:style>
  <w:style w:type="paragraph" w:customStyle="1" w:styleId="57">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paragraph" w:customStyle="1" w:styleId="58">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FF0000"/>
      <w:kern w:val="0"/>
      <w:sz w:val="23"/>
      <w:szCs w:val="23"/>
    </w:rPr>
  </w:style>
  <w:style w:type="paragraph" w:customStyle="1" w:styleId="59">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character" w:customStyle="1" w:styleId="60">
    <w:name w:val="批注框文本 Char"/>
    <w:basedOn w:val="23"/>
    <w:link w:val="14"/>
    <w:semiHidden/>
    <w:qFormat/>
    <w:uiPriority w:val="99"/>
    <w:rPr>
      <w:rFonts w:ascii="Times New Roman" w:hAnsi="Times New Roman" w:eastAsia="宋体" w:cs="Times New Roman"/>
      <w:sz w:val="18"/>
      <w:szCs w:val="18"/>
    </w:rPr>
  </w:style>
  <w:style w:type="character" w:customStyle="1" w:styleId="61">
    <w:name w:val="批注文字 Char"/>
    <w:basedOn w:val="23"/>
    <w:link w:val="7"/>
    <w:semiHidden/>
    <w:qFormat/>
    <w:uiPriority w:val="99"/>
    <w:rPr>
      <w:rFonts w:ascii="Times New Roman" w:hAnsi="Times New Roman" w:eastAsia="宋体" w:cs="Times New Roman"/>
      <w:szCs w:val="21"/>
    </w:rPr>
  </w:style>
  <w:style w:type="character" w:customStyle="1" w:styleId="62">
    <w:name w:val="批注主题 Char"/>
    <w:basedOn w:val="61"/>
    <w:link w:val="6"/>
    <w:semiHidden/>
    <w:qFormat/>
    <w:uiPriority w:val="99"/>
    <w:rPr>
      <w:rFonts w:ascii="Times New Roman" w:hAnsi="Times New Roman" w:eastAsia="宋体" w:cs="Times New Roman"/>
      <w:b/>
      <w:bCs/>
      <w:szCs w:val="21"/>
    </w:rPr>
  </w:style>
  <w:style w:type="paragraph" w:customStyle="1" w:styleId="63">
    <w:name w:val="Char"/>
    <w:basedOn w:val="1"/>
    <w:qFormat/>
    <w:uiPriority w:val="99"/>
  </w:style>
  <w:style w:type="character" w:customStyle="1" w:styleId="64">
    <w:name w:val="文档结构图 Char"/>
    <w:basedOn w:val="23"/>
    <w:link w:val="8"/>
    <w:semiHidden/>
    <w:qFormat/>
    <w:uiPriority w:val="99"/>
    <w:rPr>
      <w:rFonts w:ascii="Times New Roman" w:hAnsi="Times New Roman" w:eastAsia="宋体" w:cs="Times New Roman"/>
      <w:szCs w:val="21"/>
      <w:shd w:val="clear" w:color="auto" w:fill="000080"/>
    </w:rPr>
  </w:style>
  <w:style w:type="paragraph" w:customStyle="1" w:styleId="65">
    <w:name w:val="正文 + (符号) 宋体"/>
    <w:basedOn w:val="1"/>
    <w:qFormat/>
    <w:uiPriority w:val="99"/>
    <w:pPr>
      <w:autoSpaceDE w:val="0"/>
      <w:autoSpaceDN w:val="0"/>
      <w:adjustRightInd w:val="0"/>
      <w:ind w:right="1409" w:rightChars="671" w:firstLine="1229" w:firstLineChars="512"/>
      <w:jc w:val="distribute"/>
    </w:pPr>
    <w:rPr>
      <w:sz w:val="24"/>
      <w:szCs w:val="24"/>
    </w:rPr>
  </w:style>
  <w:style w:type="character" w:customStyle="1" w:styleId="66">
    <w:name w:val="脚注文本 Char"/>
    <w:basedOn w:val="23"/>
    <w:link w:val="18"/>
    <w:qFormat/>
    <w:uiPriority w:val="0"/>
    <w:rPr>
      <w:rFonts w:ascii="Times New Roman" w:hAnsi="Times New Roman" w:eastAsia="宋体" w:cs="Times New Roman"/>
      <w:sz w:val="18"/>
      <w:szCs w:val="18"/>
    </w:rPr>
  </w:style>
  <w:style w:type="paragraph" w:customStyle="1" w:styleId="67">
    <w:name w:val="Char1"/>
    <w:basedOn w:val="1"/>
    <w:qFormat/>
    <w:uiPriority w:val="99"/>
  </w:style>
  <w:style w:type="paragraph" w:customStyle="1" w:styleId="68">
    <w:name w:val="Char Char Char Char Char Char1 Char Char Char"/>
    <w:basedOn w:val="1"/>
    <w:qFormat/>
    <w:uiPriority w:val="99"/>
    <w:pPr>
      <w:autoSpaceDE w:val="0"/>
      <w:autoSpaceDN w:val="0"/>
      <w:adjustRightInd w:val="0"/>
      <w:jc w:val="left"/>
      <w:textAlignment w:val="baseline"/>
    </w:pPr>
    <w:rPr>
      <w:rFonts w:ascii="宋体" w:cs="宋体"/>
      <w:kern w:val="0"/>
      <w:sz w:val="34"/>
      <w:szCs w:val="34"/>
    </w:rPr>
  </w:style>
  <w:style w:type="paragraph" w:customStyle="1" w:styleId="69">
    <w:name w:val="Char Char Char Char Char Char1 Char Char Char2"/>
    <w:basedOn w:val="1"/>
    <w:qFormat/>
    <w:uiPriority w:val="99"/>
    <w:pPr>
      <w:autoSpaceDE w:val="0"/>
      <w:autoSpaceDN w:val="0"/>
      <w:adjustRightInd w:val="0"/>
      <w:jc w:val="left"/>
      <w:textAlignment w:val="baseline"/>
    </w:pPr>
    <w:rPr>
      <w:rFonts w:ascii="宋体" w:cs="宋体"/>
      <w:kern w:val="0"/>
      <w:sz w:val="34"/>
      <w:szCs w:val="34"/>
    </w:rPr>
  </w:style>
  <w:style w:type="character" w:customStyle="1" w:styleId="70">
    <w:name w:val="标题 Char"/>
    <w:basedOn w:val="23"/>
    <w:link w:val="22"/>
    <w:qFormat/>
    <w:uiPriority w:val="99"/>
    <w:rPr>
      <w:rFonts w:ascii="Cambria" w:hAnsi="Cambria" w:eastAsia="宋体" w:cs="Cambria"/>
      <w:b/>
      <w:bCs/>
      <w:sz w:val="32"/>
      <w:szCs w:val="32"/>
    </w:rPr>
  </w:style>
  <w:style w:type="paragraph" w:customStyle="1" w:styleId="71">
    <w:name w:val="Char Char Char Char Char Char1 Char Char Char1"/>
    <w:basedOn w:val="1"/>
    <w:uiPriority w:val="99"/>
    <w:pPr>
      <w:autoSpaceDE w:val="0"/>
      <w:autoSpaceDN w:val="0"/>
      <w:adjustRightInd w:val="0"/>
      <w:jc w:val="left"/>
      <w:textAlignment w:val="baseline"/>
    </w:pPr>
    <w:rPr>
      <w:rFonts w:ascii="宋体" w:cs="宋体"/>
      <w:kern w:val="0"/>
      <w:sz w:val="34"/>
      <w:szCs w:val="34"/>
    </w:rPr>
  </w:style>
  <w:style w:type="paragraph" w:customStyle="1" w:styleId="72">
    <w:name w:val="No Spacing"/>
    <w:link w:val="73"/>
    <w:qFormat/>
    <w:uiPriority w:val="1"/>
    <w:rPr>
      <w:rFonts w:ascii="Calibri" w:hAnsi="Calibri" w:eastAsia="宋体" w:cs="Calibri"/>
      <w:kern w:val="0"/>
      <w:sz w:val="22"/>
      <w:szCs w:val="22"/>
      <w:lang w:val="en-US" w:eastAsia="zh-CN" w:bidi="ar-SA"/>
    </w:rPr>
  </w:style>
  <w:style w:type="character" w:customStyle="1" w:styleId="73">
    <w:name w:val="无间隔 Char"/>
    <w:basedOn w:val="23"/>
    <w:link w:val="72"/>
    <w:qFormat/>
    <w:locked/>
    <w:uiPriority w:val="1"/>
    <w:rPr>
      <w:rFonts w:ascii="Calibri" w:hAnsi="Calibri" w:eastAsia="宋体" w:cs="Calibri"/>
      <w:kern w:val="0"/>
      <w:sz w:val="22"/>
    </w:rPr>
  </w:style>
  <w:style w:type="character" w:customStyle="1" w:styleId="74">
    <w:name w:val="t1"/>
    <w:basedOn w:val="23"/>
    <w:qFormat/>
    <w:uiPriority w:val="99"/>
    <w:rPr>
      <w:color w:val="auto"/>
    </w:rPr>
  </w:style>
  <w:style w:type="paragraph" w:customStyle="1" w:styleId="75">
    <w:name w:val="List Paragraph"/>
    <w:basedOn w:val="1"/>
    <w:qFormat/>
    <w:uiPriority w:val="34"/>
    <w:pPr>
      <w:ind w:firstLine="420" w:firstLineChars="200"/>
    </w:pPr>
  </w:style>
  <w:style w:type="paragraph" w:customStyle="1" w:styleId="76">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media/image1.jpeg"/>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33BC03-B443-4254-8013-0F566A4118FC}">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3768</Words>
  <Characters>21478</Characters>
  <Lines>178</Lines>
  <Paragraphs>50</Paragraphs>
  <TotalTime>0</TotalTime>
  <ScaleCrop>false</ScaleCrop>
  <LinksUpToDate>false</LinksUpToDate>
  <CharactersWithSpaces>25196</CharactersWithSpaces>
  <Application>WPS Office_10.1.0.6235_F1E327BC-269C-435d-A152-05C5408002CA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lastModifiedBy>Administrator</lastModifiedBy>
  <dcterms:modified xsi:type="dcterms:W3CDTF">2017-07-11T07:48:54Z</dcterms:modified>
  <revision>570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