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CB1" w:rsidRDefault="00333CB1">
      <w:pPr>
        <w:autoSpaceDE w:val="0"/>
        <w:autoSpaceDN w:val="0"/>
        <w:adjustRightInd w:val="0"/>
        <w:spacing w:before="29" w:line="288" w:lineRule="auto"/>
        <w:jc w:val="left"/>
        <w:rPr>
          <w:color w:val="000000"/>
          <w:kern w:val="0"/>
          <w:sz w:val="24"/>
          <w:szCs w:val="24"/>
        </w:rPr>
      </w:pPr>
    </w:p>
    <w:p w:rsidR="00333CB1" w:rsidRDefault="00333CB1">
      <w:pPr>
        <w:autoSpaceDE w:val="0"/>
        <w:autoSpaceDN w:val="0"/>
        <w:adjustRightInd w:val="0"/>
        <w:spacing w:before="29" w:line="288" w:lineRule="auto"/>
        <w:jc w:val="left"/>
        <w:rPr>
          <w:color w:val="000000"/>
          <w:kern w:val="0"/>
          <w:sz w:val="24"/>
          <w:szCs w:val="24"/>
        </w:rPr>
      </w:pPr>
    </w:p>
    <w:p w:rsidR="00333CB1" w:rsidRDefault="00333CB1">
      <w:pPr>
        <w:autoSpaceDE w:val="0"/>
        <w:autoSpaceDN w:val="0"/>
        <w:adjustRightInd w:val="0"/>
        <w:spacing w:before="29" w:line="288" w:lineRule="auto"/>
        <w:jc w:val="left"/>
        <w:rPr>
          <w:color w:val="000000"/>
          <w:kern w:val="0"/>
          <w:sz w:val="24"/>
          <w:szCs w:val="24"/>
        </w:rPr>
      </w:pPr>
    </w:p>
    <w:p w:rsidR="00333CB1" w:rsidRDefault="00333CB1">
      <w:pPr>
        <w:autoSpaceDE w:val="0"/>
        <w:autoSpaceDN w:val="0"/>
        <w:adjustRightInd w:val="0"/>
        <w:spacing w:before="29" w:line="288" w:lineRule="auto"/>
        <w:jc w:val="left"/>
        <w:rPr>
          <w:color w:val="000000"/>
          <w:kern w:val="0"/>
          <w:sz w:val="24"/>
          <w:szCs w:val="24"/>
        </w:rPr>
      </w:pPr>
    </w:p>
    <w:p w:rsidR="00333CB1" w:rsidRDefault="00333CB1">
      <w:pPr>
        <w:autoSpaceDE w:val="0"/>
        <w:autoSpaceDN w:val="0"/>
        <w:adjustRightInd w:val="0"/>
        <w:spacing w:before="29" w:line="288" w:lineRule="auto"/>
        <w:jc w:val="left"/>
        <w:rPr>
          <w:color w:val="000000"/>
          <w:kern w:val="0"/>
          <w:sz w:val="24"/>
          <w:szCs w:val="24"/>
        </w:rPr>
      </w:pPr>
    </w:p>
    <w:p w:rsidR="00333CB1" w:rsidRDefault="00A64BAA">
      <w:pPr>
        <w:spacing w:before="29" w:line="288" w:lineRule="auto"/>
        <w:jc w:val="center"/>
        <w:rPr>
          <w:b/>
          <w:sz w:val="36"/>
          <w:szCs w:val="36"/>
        </w:rPr>
      </w:pPr>
      <w:proofErr w:type="gramStart"/>
      <w:r>
        <w:rPr>
          <w:b/>
          <w:sz w:val="36"/>
          <w:szCs w:val="36"/>
        </w:rPr>
        <w:t>海富通瑞益债券</w:t>
      </w:r>
      <w:proofErr w:type="gramEnd"/>
      <w:r>
        <w:rPr>
          <w:b/>
          <w:sz w:val="36"/>
          <w:szCs w:val="36"/>
        </w:rPr>
        <w:t>型证券投资基金</w:t>
      </w:r>
    </w:p>
    <w:p w:rsidR="00333CB1" w:rsidRDefault="00A64BAA">
      <w:pPr>
        <w:spacing w:before="29" w:line="288" w:lineRule="auto"/>
        <w:jc w:val="center"/>
        <w:rPr>
          <w:b/>
          <w:sz w:val="36"/>
          <w:szCs w:val="36"/>
        </w:rPr>
      </w:pPr>
      <w:r>
        <w:rPr>
          <w:b/>
          <w:sz w:val="36"/>
          <w:szCs w:val="36"/>
        </w:rPr>
        <w:t>2017</w:t>
      </w:r>
      <w:r>
        <w:rPr>
          <w:b/>
          <w:sz w:val="36"/>
          <w:szCs w:val="36"/>
        </w:rPr>
        <w:t>年第</w:t>
      </w:r>
      <w:r>
        <w:rPr>
          <w:b/>
          <w:sz w:val="36"/>
          <w:szCs w:val="36"/>
        </w:rPr>
        <w:t>3</w:t>
      </w:r>
      <w:r>
        <w:rPr>
          <w:b/>
          <w:sz w:val="36"/>
          <w:szCs w:val="36"/>
        </w:rPr>
        <w:t>季度报告</w:t>
      </w:r>
    </w:p>
    <w:p w:rsidR="00333CB1" w:rsidRDefault="00A64BAA">
      <w:pPr>
        <w:spacing w:before="29" w:line="288" w:lineRule="auto"/>
        <w:jc w:val="center"/>
        <w:rPr>
          <w:b/>
          <w:sz w:val="36"/>
          <w:szCs w:val="36"/>
        </w:rPr>
      </w:pPr>
      <w:r>
        <w:rPr>
          <w:b/>
          <w:sz w:val="36"/>
          <w:szCs w:val="36"/>
        </w:rPr>
        <w:t>2017</w:t>
      </w:r>
      <w:r>
        <w:rPr>
          <w:b/>
          <w:sz w:val="36"/>
          <w:szCs w:val="36"/>
        </w:rPr>
        <w:t>年</w:t>
      </w:r>
      <w:r>
        <w:rPr>
          <w:b/>
          <w:sz w:val="36"/>
          <w:szCs w:val="36"/>
        </w:rPr>
        <w:t>9</w:t>
      </w:r>
      <w:r>
        <w:rPr>
          <w:b/>
          <w:sz w:val="36"/>
          <w:szCs w:val="36"/>
        </w:rPr>
        <w:t>月</w:t>
      </w:r>
      <w:r>
        <w:rPr>
          <w:b/>
          <w:sz w:val="36"/>
          <w:szCs w:val="36"/>
        </w:rPr>
        <w:t>30</w:t>
      </w:r>
      <w:r>
        <w:rPr>
          <w:b/>
          <w:sz w:val="36"/>
          <w:szCs w:val="36"/>
        </w:rPr>
        <w:t>日</w:t>
      </w:r>
    </w:p>
    <w:p w:rsidR="00333CB1" w:rsidRDefault="00333CB1">
      <w:pPr>
        <w:spacing w:before="29" w:line="288" w:lineRule="auto"/>
        <w:jc w:val="center"/>
        <w:rPr>
          <w:b/>
          <w:bCs/>
          <w:color w:val="000000"/>
          <w:sz w:val="24"/>
          <w:szCs w:val="24"/>
        </w:rPr>
      </w:pPr>
    </w:p>
    <w:p w:rsidR="00333CB1" w:rsidRDefault="00333CB1">
      <w:pPr>
        <w:spacing w:before="29" w:line="288" w:lineRule="auto"/>
        <w:jc w:val="center"/>
        <w:rPr>
          <w:b/>
          <w:bCs/>
          <w:color w:val="000000"/>
          <w:sz w:val="24"/>
          <w:szCs w:val="24"/>
        </w:rPr>
      </w:pPr>
    </w:p>
    <w:p w:rsidR="00333CB1" w:rsidRDefault="00333CB1">
      <w:pPr>
        <w:spacing w:before="29" w:line="288" w:lineRule="auto"/>
        <w:jc w:val="center"/>
        <w:rPr>
          <w:b/>
          <w:bCs/>
          <w:color w:val="000000"/>
          <w:sz w:val="24"/>
          <w:szCs w:val="24"/>
        </w:rPr>
      </w:pPr>
    </w:p>
    <w:p w:rsidR="00333CB1" w:rsidRDefault="00333CB1">
      <w:pPr>
        <w:spacing w:before="29" w:line="288" w:lineRule="auto"/>
        <w:jc w:val="center"/>
        <w:rPr>
          <w:b/>
          <w:bCs/>
          <w:color w:val="000000"/>
          <w:sz w:val="24"/>
          <w:szCs w:val="24"/>
        </w:rPr>
      </w:pPr>
    </w:p>
    <w:p w:rsidR="00333CB1" w:rsidRDefault="00333CB1">
      <w:pPr>
        <w:spacing w:before="29" w:line="288" w:lineRule="auto"/>
        <w:jc w:val="center"/>
        <w:rPr>
          <w:b/>
          <w:bCs/>
          <w:color w:val="000000"/>
          <w:sz w:val="24"/>
          <w:szCs w:val="24"/>
        </w:rPr>
      </w:pPr>
    </w:p>
    <w:p w:rsidR="00333CB1" w:rsidRDefault="00333CB1">
      <w:pPr>
        <w:spacing w:before="29" w:line="288" w:lineRule="auto"/>
        <w:jc w:val="center"/>
        <w:rPr>
          <w:b/>
          <w:bCs/>
          <w:color w:val="000000"/>
          <w:sz w:val="24"/>
          <w:szCs w:val="24"/>
        </w:rPr>
      </w:pPr>
    </w:p>
    <w:p w:rsidR="00333CB1" w:rsidRDefault="00333CB1">
      <w:pPr>
        <w:spacing w:before="29" w:line="288" w:lineRule="auto"/>
        <w:jc w:val="center"/>
        <w:rPr>
          <w:b/>
          <w:bCs/>
          <w:color w:val="000000"/>
          <w:sz w:val="24"/>
          <w:szCs w:val="24"/>
        </w:rPr>
      </w:pPr>
    </w:p>
    <w:p w:rsidR="00333CB1" w:rsidRDefault="00333CB1">
      <w:pPr>
        <w:spacing w:before="29" w:line="288" w:lineRule="auto"/>
        <w:jc w:val="center"/>
        <w:rPr>
          <w:b/>
          <w:bCs/>
          <w:color w:val="000000"/>
          <w:sz w:val="24"/>
          <w:szCs w:val="24"/>
        </w:rPr>
      </w:pPr>
    </w:p>
    <w:p w:rsidR="00333CB1" w:rsidRDefault="00333CB1">
      <w:pPr>
        <w:spacing w:before="29" w:line="288" w:lineRule="auto"/>
        <w:jc w:val="center"/>
        <w:rPr>
          <w:b/>
          <w:bCs/>
          <w:color w:val="000000"/>
          <w:sz w:val="24"/>
          <w:szCs w:val="24"/>
        </w:rPr>
      </w:pPr>
    </w:p>
    <w:p w:rsidR="00333CB1" w:rsidRDefault="00333CB1">
      <w:pPr>
        <w:spacing w:before="29" w:line="288" w:lineRule="auto"/>
        <w:jc w:val="center"/>
        <w:rPr>
          <w:b/>
          <w:bCs/>
          <w:color w:val="000000"/>
          <w:sz w:val="24"/>
          <w:szCs w:val="24"/>
        </w:rPr>
      </w:pPr>
    </w:p>
    <w:p w:rsidR="00333CB1" w:rsidRDefault="00333CB1">
      <w:pPr>
        <w:spacing w:before="29" w:line="288" w:lineRule="auto"/>
        <w:jc w:val="center"/>
        <w:rPr>
          <w:b/>
          <w:bCs/>
          <w:color w:val="000000"/>
          <w:sz w:val="24"/>
          <w:szCs w:val="24"/>
        </w:rPr>
      </w:pPr>
    </w:p>
    <w:p w:rsidR="00333CB1" w:rsidRDefault="00333CB1">
      <w:pPr>
        <w:spacing w:before="29" w:line="288" w:lineRule="auto"/>
        <w:jc w:val="center"/>
        <w:rPr>
          <w:b/>
          <w:bCs/>
          <w:color w:val="000000"/>
          <w:sz w:val="24"/>
          <w:szCs w:val="24"/>
        </w:rPr>
      </w:pPr>
    </w:p>
    <w:p w:rsidR="00333CB1" w:rsidRDefault="00A64BAA">
      <w:pPr>
        <w:spacing w:before="29" w:line="288" w:lineRule="auto"/>
        <w:ind w:firstLineChars="900" w:firstLine="2168"/>
        <w:rPr>
          <w:b/>
          <w:color w:val="000000"/>
          <w:sz w:val="24"/>
          <w:szCs w:val="24"/>
        </w:rPr>
      </w:pPr>
      <w:r>
        <w:rPr>
          <w:b/>
          <w:color w:val="000000"/>
          <w:sz w:val="24"/>
          <w:szCs w:val="24"/>
        </w:rPr>
        <w:t>基金管理人：海富通基金管理有限公司</w:t>
      </w:r>
    </w:p>
    <w:p w:rsidR="00333CB1" w:rsidRDefault="00A64BAA">
      <w:pPr>
        <w:spacing w:before="29" w:line="288" w:lineRule="auto"/>
        <w:ind w:firstLineChars="900" w:firstLine="2168"/>
        <w:rPr>
          <w:b/>
          <w:color w:val="000000"/>
          <w:sz w:val="24"/>
          <w:szCs w:val="24"/>
        </w:rPr>
      </w:pPr>
      <w:r>
        <w:rPr>
          <w:b/>
          <w:color w:val="000000"/>
          <w:sz w:val="24"/>
          <w:szCs w:val="24"/>
        </w:rPr>
        <w:t>基金托管人：交通银行股份有限公司</w:t>
      </w:r>
    </w:p>
    <w:p w:rsidR="00333CB1" w:rsidRDefault="00A64BAA">
      <w:pPr>
        <w:spacing w:before="29" w:line="288" w:lineRule="auto"/>
        <w:ind w:firstLineChars="900" w:firstLine="2168"/>
        <w:rPr>
          <w:b/>
          <w:color w:val="000000"/>
          <w:sz w:val="24"/>
          <w:szCs w:val="24"/>
        </w:rPr>
        <w:sectPr w:rsidR="00333CB1">
          <w:headerReference w:type="default" r:id="rId9"/>
          <w:footerReference w:type="default" r:id="rId10"/>
          <w:pgSz w:w="11926" w:h="15840"/>
          <w:pgMar w:top="1418" w:right="1440" w:bottom="851" w:left="1440" w:header="851" w:footer="992" w:gutter="0"/>
          <w:cols w:space="720"/>
        </w:sectPr>
      </w:pPr>
      <w:r>
        <w:rPr>
          <w:b/>
          <w:color w:val="000000"/>
          <w:sz w:val="24"/>
          <w:szCs w:val="24"/>
        </w:rPr>
        <w:t>报告送出日期：二〇一七年十月二十五日</w:t>
      </w:r>
    </w:p>
    <w:p w:rsidR="00333CB1" w:rsidRDefault="00A64BAA" w:rsidP="00B33365">
      <w:pPr>
        <w:pStyle w:val="1"/>
        <w:spacing w:beforeLines="100" w:before="312" w:afterLines="100" w:after="312" w:line="288" w:lineRule="auto"/>
        <w:jc w:val="center"/>
        <w:rPr>
          <w:b w:val="0"/>
          <w:bCs w:val="0"/>
          <w:color w:val="000000"/>
          <w:kern w:val="0"/>
          <w:sz w:val="24"/>
          <w:szCs w:val="24"/>
        </w:rPr>
      </w:pPr>
      <w:r>
        <w:rPr>
          <w:color w:val="000000"/>
          <w:kern w:val="0"/>
          <w:sz w:val="24"/>
          <w:szCs w:val="24"/>
        </w:rPr>
        <w:lastRenderedPageBreak/>
        <w:t xml:space="preserve">§1  </w:t>
      </w:r>
      <w:r>
        <w:rPr>
          <w:color w:val="000000"/>
          <w:kern w:val="0"/>
          <w:sz w:val="24"/>
          <w:szCs w:val="24"/>
        </w:rPr>
        <w:t>重要提示</w:t>
      </w:r>
    </w:p>
    <w:p w:rsidR="00333CB1" w:rsidRDefault="00A64BAA">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333CB1" w:rsidRDefault="00A64BAA">
      <w:pPr>
        <w:spacing w:before="29" w:line="288" w:lineRule="auto"/>
        <w:ind w:firstLineChars="200" w:firstLine="480"/>
        <w:rPr>
          <w:color w:val="000000"/>
          <w:sz w:val="24"/>
          <w:szCs w:val="24"/>
        </w:rPr>
      </w:pPr>
      <w:r>
        <w:rPr>
          <w:color w:val="000000"/>
          <w:sz w:val="24"/>
          <w:szCs w:val="24"/>
        </w:rPr>
        <w:t>基金托管人交通银行股份有限公司根据本基金合同规定，于</w:t>
      </w:r>
      <w:r>
        <w:rPr>
          <w:color w:val="000000"/>
          <w:sz w:val="24"/>
          <w:szCs w:val="24"/>
        </w:rPr>
        <w:t>2017</w:t>
      </w:r>
      <w:r>
        <w:rPr>
          <w:color w:val="000000"/>
          <w:sz w:val="24"/>
          <w:szCs w:val="24"/>
        </w:rPr>
        <w:t>年</w:t>
      </w:r>
      <w:r>
        <w:rPr>
          <w:color w:val="000000"/>
          <w:sz w:val="24"/>
          <w:szCs w:val="24"/>
        </w:rPr>
        <w:t>10</w:t>
      </w:r>
      <w:r>
        <w:rPr>
          <w:color w:val="000000"/>
          <w:sz w:val="24"/>
          <w:szCs w:val="24"/>
        </w:rPr>
        <w:t>月</w:t>
      </w:r>
      <w:r>
        <w:rPr>
          <w:color w:val="000000"/>
          <w:sz w:val="24"/>
          <w:szCs w:val="24"/>
        </w:rPr>
        <w:t>24</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333CB1" w:rsidRDefault="00A64BAA">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333CB1" w:rsidRDefault="00A64BAA">
      <w:pPr>
        <w:spacing w:before="29" w:line="288" w:lineRule="auto"/>
        <w:ind w:firstLineChars="200" w:firstLine="480"/>
        <w:rPr>
          <w:color w:val="000000"/>
          <w:sz w:val="24"/>
          <w:szCs w:val="24"/>
        </w:rPr>
      </w:pPr>
      <w:r>
        <w:rPr>
          <w:color w:val="000000"/>
          <w:sz w:val="24"/>
          <w:szCs w:val="24"/>
        </w:rPr>
        <w:t>基金的过往业绩并不代表其未来表现。投资有风险，投资者在</w:t>
      </w:r>
      <w:proofErr w:type="gramStart"/>
      <w:r>
        <w:rPr>
          <w:color w:val="000000"/>
          <w:sz w:val="24"/>
          <w:szCs w:val="24"/>
        </w:rPr>
        <w:t>作出</w:t>
      </w:r>
      <w:proofErr w:type="gramEnd"/>
      <w:r>
        <w:rPr>
          <w:color w:val="000000"/>
          <w:sz w:val="24"/>
          <w:szCs w:val="24"/>
        </w:rPr>
        <w:t>投资决策前应仔细阅读本基金的招募说</w:t>
      </w:r>
      <w:r>
        <w:rPr>
          <w:color w:val="000000"/>
          <w:sz w:val="24"/>
          <w:szCs w:val="24"/>
        </w:rPr>
        <w:t>明书。</w:t>
      </w:r>
      <w:r>
        <w:rPr>
          <w:color w:val="000000"/>
          <w:sz w:val="24"/>
          <w:szCs w:val="24"/>
        </w:rPr>
        <w:t xml:space="preserve"> </w:t>
      </w:r>
    </w:p>
    <w:p w:rsidR="00333CB1" w:rsidRDefault="00A64BAA">
      <w:pPr>
        <w:spacing w:before="29" w:line="288" w:lineRule="auto"/>
        <w:ind w:firstLineChars="200" w:firstLine="480"/>
        <w:rPr>
          <w:color w:val="000000"/>
          <w:sz w:val="24"/>
          <w:szCs w:val="24"/>
        </w:rPr>
      </w:pPr>
      <w:r>
        <w:rPr>
          <w:color w:val="000000"/>
          <w:sz w:val="24"/>
          <w:szCs w:val="24"/>
        </w:rPr>
        <w:t>本报告中财务资料未经审计。</w:t>
      </w:r>
      <w:r>
        <w:rPr>
          <w:color w:val="000000"/>
          <w:sz w:val="24"/>
          <w:szCs w:val="24"/>
        </w:rPr>
        <w:t xml:space="preserve"> </w:t>
      </w:r>
    </w:p>
    <w:p w:rsidR="00333CB1" w:rsidRDefault="00A64BAA">
      <w:pPr>
        <w:spacing w:before="29" w:line="288" w:lineRule="auto"/>
        <w:ind w:firstLineChars="200" w:firstLine="480"/>
        <w:rPr>
          <w:color w:val="000000"/>
          <w:sz w:val="24"/>
          <w:szCs w:val="24"/>
        </w:rPr>
      </w:pPr>
      <w:r>
        <w:rPr>
          <w:color w:val="000000"/>
          <w:sz w:val="24"/>
          <w:szCs w:val="24"/>
        </w:rPr>
        <w:t>本报告期自</w:t>
      </w:r>
      <w:r>
        <w:rPr>
          <w:color w:val="000000"/>
          <w:sz w:val="24"/>
          <w:szCs w:val="24"/>
        </w:rPr>
        <w:t>2017</w:t>
      </w:r>
      <w:r>
        <w:rPr>
          <w:color w:val="000000"/>
          <w:sz w:val="24"/>
          <w:szCs w:val="24"/>
        </w:rPr>
        <w:t>年</w:t>
      </w:r>
      <w:r>
        <w:rPr>
          <w:color w:val="000000"/>
          <w:sz w:val="24"/>
          <w:szCs w:val="24"/>
        </w:rPr>
        <w:t>7</w:t>
      </w:r>
      <w:r>
        <w:rPr>
          <w:color w:val="000000"/>
          <w:sz w:val="24"/>
          <w:szCs w:val="24"/>
        </w:rPr>
        <w:t>月</w:t>
      </w:r>
      <w:r>
        <w:rPr>
          <w:color w:val="000000"/>
          <w:sz w:val="24"/>
          <w:szCs w:val="24"/>
        </w:rPr>
        <w:t>1</w:t>
      </w:r>
      <w:r>
        <w:rPr>
          <w:color w:val="000000"/>
          <w:sz w:val="24"/>
          <w:szCs w:val="24"/>
        </w:rPr>
        <w:t>日起至</w:t>
      </w:r>
      <w:r>
        <w:rPr>
          <w:color w:val="000000"/>
          <w:sz w:val="24"/>
          <w:szCs w:val="24"/>
        </w:rPr>
        <w:t>8</w:t>
      </w:r>
      <w:r>
        <w:rPr>
          <w:color w:val="000000"/>
          <w:sz w:val="24"/>
          <w:szCs w:val="24"/>
        </w:rPr>
        <w:t>月</w:t>
      </w:r>
      <w:r>
        <w:rPr>
          <w:color w:val="000000"/>
          <w:sz w:val="24"/>
          <w:szCs w:val="24"/>
        </w:rPr>
        <w:t>31</w:t>
      </w:r>
      <w:r>
        <w:rPr>
          <w:color w:val="000000"/>
          <w:sz w:val="24"/>
          <w:szCs w:val="24"/>
        </w:rPr>
        <w:t>日（最后运作日）止。</w:t>
      </w:r>
    </w:p>
    <w:p w:rsidR="00333CB1" w:rsidRDefault="00333CB1">
      <w:pPr>
        <w:spacing w:before="29" w:line="288" w:lineRule="auto"/>
        <w:ind w:firstLineChars="200" w:firstLine="480"/>
        <w:rPr>
          <w:color w:val="000000"/>
          <w:sz w:val="24"/>
          <w:szCs w:val="24"/>
        </w:rPr>
      </w:pPr>
    </w:p>
    <w:p w:rsidR="00333CB1" w:rsidRDefault="00A64BAA" w:rsidP="00B33365">
      <w:pPr>
        <w:pStyle w:val="1"/>
        <w:spacing w:beforeLines="100" w:before="312" w:afterLines="100" w:after="312" w:line="288" w:lineRule="auto"/>
        <w:jc w:val="center"/>
        <w:rPr>
          <w:color w:val="000000"/>
          <w:kern w:val="0"/>
          <w:sz w:val="24"/>
          <w:szCs w:val="24"/>
        </w:rPr>
      </w:pPr>
      <w:r>
        <w:rPr>
          <w:color w:val="000000"/>
          <w:kern w:val="0"/>
          <w:sz w:val="24"/>
          <w:szCs w:val="24"/>
        </w:rPr>
        <w:t xml:space="preserve">§2  </w:t>
      </w:r>
      <w:r>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3"/>
        <w:gridCol w:w="5845"/>
      </w:tblGrid>
      <w:tr w:rsidR="00333CB1">
        <w:trPr>
          <w:jc w:val="center"/>
        </w:trPr>
        <w:tc>
          <w:tcPr>
            <w:tcW w:w="3023" w:type="dxa"/>
            <w:vAlign w:val="center"/>
          </w:tcPr>
          <w:p w:rsidR="00333CB1" w:rsidRDefault="00A64BAA">
            <w:pPr>
              <w:adjustRightInd w:val="0"/>
              <w:spacing w:before="29" w:line="288" w:lineRule="auto"/>
              <w:ind w:left="17"/>
              <w:jc w:val="left"/>
              <w:rPr>
                <w:kern w:val="0"/>
                <w:sz w:val="24"/>
                <w:szCs w:val="24"/>
              </w:rPr>
            </w:pPr>
            <w:r>
              <w:rPr>
                <w:kern w:val="0"/>
                <w:sz w:val="24"/>
                <w:szCs w:val="24"/>
              </w:rPr>
              <w:t>基金简称</w:t>
            </w:r>
          </w:p>
        </w:tc>
        <w:tc>
          <w:tcPr>
            <w:tcW w:w="5845" w:type="dxa"/>
            <w:vAlign w:val="center"/>
          </w:tcPr>
          <w:p w:rsidR="00333CB1" w:rsidRDefault="00A64BAA">
            <w:pPr>
              <w:adjustRightInd w:val="0"/>
              <w:spacing w:before="29" w:line="288" w:lineRule="auto"/>
              <w:ind w:left="17"/>
              <w:jc w:val="left"/>
              <w:rPr>
                <w:color w:val="000000"/>
                <w:kern w:val="0"/>
                <w:sz w:val="24"/>
                <w:szCs w:val="24"/>
              </w:rPr>
            </w:pPr>
            <w:r>
              <w:rPr>
                <w:color w:val="000000"/>
                <w:kern w:val="0"/>
                <w:sz w:val="24"/>
                <w:szCs w:val="24"/>
              </w:rPr>
              <w:t>海富通瑞益债券</w:t>
            </w:r>
          </w:p>
        </w:tc>
      </w:tr>
      <w:tr w:rsidR="00333CB1">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333CB1" w:rsidRDefault="00A64BAA">
            <w:pPr>
              <w:adjustRightInd w:val="0"/>
              <w:spacing w:before="29" w:line="288" w:lineRule="auto"/>
              <w:ind w:left="17"/>
              <w:jc w:val="left"/>
              <w:rPr>
                <w:kern w:val="0"/>
                <w:sz w:val="24"/>
                <w:szCs w:val="24"/>
              </w:rPr>
            </w:pPr>
            <w:r>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tcPr>
          <w:p w:rsidR="00333CB1" w:rsidRDefault="00A64BAA">
            <w:pPr>
              <w:adjustRightInd w:val="0"/>
              <w:spacing w:before="29" w:line="288" w:lineRule="auto"/>
              <w:ind w:left="17"/>
              <w:jc w:val="left"/>
              <w:rPr>
                <w:color w:val="000000"/>
                <w:kern w:val="0"/>
                <w:sz w:val="24"/>
                <w:szCs w:val="24"/>
              </w:rPr>
            </w:pPr>
            <w:r>
              <w:rPr>
                <w:color w:val="000000"/>
                <w:kern w:val="0"/>
                <w:sz w:val="24"/>
                <w:szCs w:val="24"/>
              </w:rPr>
              <w:t>519135</w:t>
            </w:r>
          </w:p>
        </w:tc>
      </w:tr>
      <w:tr w:rsidR="00333CB1">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333CB1" w:rsidRDefault="00A64BAA">
            <w:pPr>
              <w:adjustRightInd w:val="0"/>
              <w:spacing w:before="29" w:line="288" w:lineRule="auto"/>
              <w:ind w:left="17"/>
              <w:jc w:val="left"/>
              <w:rPr>
                <w:kern w:val="0"/>
                <w:sz w:val="24"/>
                <w:szCs w:val="24"/>
              </w:rPr>
            </w:pPr>
            <w:r>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333CB1" w:rsidRDefault="00A64BAA">
            <w:pPr>
              <w:adjustRightInd w:val="0"/>
              <w:spacing w:before="29" w:line="288" w:lineRule="auto"/>
              <w:ind w:left="17"/>
              <w:jc w:val="left"/>
              <w:rPr>
                <w:color w:val="000000"/>
                <w:kern w:val="0"/>
                <w:sz w:val="24"/>
                <w:szCs w:val="24"/>
              </w:rPr>
            </w:pPr>
            <w:r>
              <w:rPr>
                <w:kern w:val="0"/>
                <w:sz w:val="24"/>
              </w:rPr>
              <w:t>519135</w:t>
            </w:r>
          </w:p>
        </w:tc>
      </w:tr>
      <w:tr w:rsidR="00333CB1">
        <w:trPr>
          <w:jc w:val="center"/>
        </w:trPr>
        <w:tc>
          <w:tcPr>
            <w:tcW w:w="3023" w:type="dxa"/>
            <w:vAlign w:val="center"/>
          </w:tcPr>
          <w:p w:rsidR="00333CB1" w:rsidRDefault="00A64BAA">
            <w:pPr>
              <w:adjustRightInd w:val="0"/>
              <w:spacing w:before="29" w:line="288" w:lineRule="auto"/>
              <w:ind w:left="17"/>
              <w:jc w:val="left"/>
              <w:rPr>
                <w:sz w:val="24"/>
                <w:szCs w:val="24"/>
              </w:rPr>
            </w:pPr>
            <w:r>
              <w:rPr>
                <w:kern w:val="0"/>
                <w:sz w:val="24"/>
                <w:szCs w:val="24"/>
              </w:rPr>
              <w:t>基金运作方式</w:t>
            </w:r>
          </w:p>
        </w:tc>
        <w:tc>
          <w:tcPr>
            <w:tcW w:w="5845" w:type="dxa"/>
            <w:vAlign w:val="center"/>
          </w:tcPr>
          <w:p w:rsidR="00333CB1" w:rsidRDefault="00A64BAA">
            <w:pPr>
              <w:adjustRightInd w:val="0"/>
              <w:spacing w:before="29" w:line="288" w:lineRule="auto"/>
              <w:ind w:left="17"/>
              <w:jc w:val="left"/>
              <w:rPr>
                <w:color w:val="000000"/>
                <w:sz w:val="24"/>
                <w:szCs w:val="24"/>
              </w:rPr>
            </w:pPr>
            <w:r>
              <w:rPr>
                <w:color w:val="000000"/>
                <w:kern w:val="0"/>
                <w:sz w:val="24"/>
                <w:szCs w:val="24"/>
              </w:rPr>
              <w:t>契约型、开放式</w:t>
            </w:r>
          </w:p>
        </w:tc>
      </w:tr>
      <w:tr w:rsidR="00333CB1">
        <w:trPr>
          <w:jc w:val="center"/>
        </w:trPr>
        <w:tc>
          <w:tcPr>
            <w:tcW w:w="3023" w:type="dxa"/>
            <w:vAlign w:val="center"/>
          </w:tcPr>
          <w:p w:rsidR="00333CB1" w:rsidRDefault="00A64BAA">
            <w:pPr>
              <w:adjustRightInd w:val="0"/>
              <w:spacing w:before="29" w:line="288" w:lineRule="auto"/>
              <w:ind w:left="17"/>
              <w:jc w:val="left"/>
              <w:rPr>
                <w:sz w:val="24"/>
                <w:szCs w:val="24"/>
              </w:rPr>
            </w:pPr>
            <w:r>
              <w:rPr>
                <w:kern w:val="0"/>
                <w:sz w:val="24"/>
                <w:szCs w:val="24"/>
              </w:rPr>
              <w:t>基金合同生效日</w:t>
            </w:r>
          </w:p>
        </w:tc>
        <w:tc>
          <w:tcPr>
            <w:tcW w:w="5845" w:type="dxa"/>
            <w:vAlign w:val="center"/>
          </w:tcPr>
          <w:p w:rsidR="00333CB1" w:rsidRDefault="00A64BAA">
            <w:pPr>
              <w:adjustRightInd w:val="0"/>
              <w:spacing w:before="29" w:line="288" w:lineRule="auto"/>
              <w:ind w:left="17"/>
              <w:jc w:val="left"/>
              <w:rPr>
                <w:color w:val="000000"/>
                <w:sz w:val="24"/>
                <w:szCs w:val="24"/>
              </w:rPr>
            </w:pPr>
            <w:r>
              <w:rPr>
                <w:color w:val="000000"/>
                <w:kern w:val="0"/>
                <w:sz w:val="24"/>
                <w:szCs w:val="24"/>
              </w:rPr>
              <w:t>2016</w:t>
            </w:r>
            <w:r>
              <w:rPr>
                <w:color w:val="000000"/>
                <w:kern w:val="0"/>
                <w:sz w:val="24"/>
                <w:szCs w:val="24"/>
              </w:rPr>
              <w:t>年</w:t>
            </w:r>
            <w:r>
              <w:rPr>
                <w:color w:val="000000"/>
                <w:kern w:val="0"/>
                <w:sz w:val="24"/>
                <w:szCs w:val="24"/>
              </w:rPr>
              <w:t>8</w:t>
            </w:r>
            <w:r>
              <w:rPr>
                <w:color w:val="000000"/>
                <w:kern w:val="0"/>
                <w:sz w:val="24"/>
                <w:szCs w:val="24"/>
              </w:rPr>
              <w:t>月</w:t>
            </w:r>
            <w:r>
              <w:rPr>
                <w:color w:val="000000"/>
                <w:kern w:val="0"/>
                <w:sz w:val="24"/>
                <w:szCs w:val="24"/>
              </w:rPr>
              <w:t>3</w:t>
            </w:r>
            <w:r>
              <w:rPr>
                <w:color w:val="000000"/>
                <w:kern w:val="0"/>
                <w:sz w:val="24"/>
                <w:szCs w:val="24"/>
              </w:rPr>
              <w:t>日</w:t>
            </w:r>
          </w:p>
        </w:tc>
      </w:tr>
      <w:tr w:rsidR="00333CB1">
        <w:trPr>
          <w:jc w:val="center"/>
        </w:trPr>
        <w:tc>
          <w:tcPr>
            <w:tcW w:w="3023" w:type="dxa"/>
            <w:vAlign w:val="center"/>
          </w:tcPr>
          <w:p w:rsidR="00333CB1" w:rsidRDefault="00A64BAA">
            <w:pPr>
              <w:adjustRightInd w:val="0"/>
              <w:spacing w:before="29" w:line="288" w:lineRule="auto"/>
              <w:ind w:left="17"/>
              <w:jc w:val="left"/>
              <w:rPr>
                <w:sz w:val="24"/>
                <w:szCs w:val="24"/>
              </w:rPr>
            </w:pPr>
            <w:r>
              <w:rPr>
                <w:kern w:val="0"/>
                <w:sz w:val="24"/>
                <w:szCs w:val="24"/>
              </w:rPr>
              <w:t>报告期末基金份额总额</w:t>
            </w:r>
          </w:p>
        </w:tc>
        <w:tc>
          <w:tcPr>
            <w:tcW w:w="5845" w:type="dxa"/>
            <w:vAlign w:val="center"/>
          </w:tcPr>
          <w:p w:rsidR="00333CB1" w:rsidRDefault="00A64BAA">
            <w:pPr>
              <w:adjustRightInd w:val="0"/>
              <w:spacing w:before="29" w:line="288" w:lineRule="auto"/>
              <w:ind w:left="17"/>
              <w:jc w:val="left"/>
              <w:rPr>
                <w:color w:val="000000"/>
                <w:sz w:val="24"/>
                <w:szCs w:val="24"/>
              </w:rPr>
            </w:pPr>
            <w:r>
              <w:rPr>
                <w:color w:val="000000"/>
                <w:kern w:val="0"/>
                <w:sz w:val="24"/>
                <w:szCs w:val="24"/>
              </w:rPr>
              <w:t>396,629.43</w:t>
            </w:r>
            <w:r>
              <w:rPr>
                <w:color w:val="000000"/>
                <w:kern w:val="0"/>
                <w:sz w:val="24"/>
                <w:szCs w:val="24"/>
              </w:rPr>
              <w:t>份</w:t>
            </w:r>
          </w:p>
        </w:tc>
      </w:tr>
      <w:tr w:rsidR="00333CB1">
        <w:trPr>
          <w:jc w:val="center"/>
        </w:trPr>
        <w:tc>
          <w:tcPr>
            <w:tcW w:w="3023" w:type="dxa"/>
            <w:vAlign w:val="center"/>
          </w:tcPr>
          <w:p w:rsidR="00333CB1" w:rsidRDefault="00A64BAA">
            <w:pPr>
              <w:adjustRightInd w:val="0"/>
              <w:spacing w:before="29" w:line="288" w:lineRule="auto"/>
              <w:ind w:left="17"/>
              <w:jc w:val="left"/>
              <w:rPr>
                <w:sz w:val="24"/>
                <w:szCs w:val="24"/>
              </w:rPr>
            </w:pPr>
            <w:r>
              <w:rPr>
                <w:kern w:val="0"/>
                <w:sz w:val="24"/>
                <w:szCs w:val="24"/>
              </w:rPr>
              <w:t>投资目标</w:t>
            </w:r>
          </w:p>
        </w:tc>
        <w:tc>
          <w:tcPr>
            <w:tcW w:w="5845" w:type="dxa"/>
            <w:vAlign w:val="center"/>
          </w:tcPr>
          <w:p w:rsidR="00333CB1" w:rsidRDefault="00A64BAA">
            <w:pPr>
              <w:adjustRightInd w:val="0"/>
              <w:spacing w:before="29" w:line="288" w:lineRule="auto"/>
              <w:ind w:left="17"/>
              <w:jc w:val="left"/>
              <w:rPr>
                <w:color w:val="000000"/>
                <w:sz w:val="24"/>
                <w:szCs w:val="24"/>
              </w:rPr>
            </w:pPr>
            <w:r>
              <w:rPr>
                <w:color w:val="000000"/>
                <w:kern w:val="0"/>
                <w:sz w:val="24"/>
                <w:szCs w:val="24"/>
              </w:rPr>
              <w:t>在严格控制风险的基础上，追求基金资产长期稳定增值，力争实现高于业绩比较基准的投资收益。</w:t>
            </w:r>
          </w:p>
        </w:tc>
      </w:tr>
      <w:tr w:rsidR="00333CB1">
        <w:trPr>
          <w:jc w:val="center"/>
        </w:trPr>
        <w:tc>
          <w:tcPr>
            <w:tcW w:w="3023" w:type="dxa"/>
            <w:vAlign w:val="center"/>
          </w:tcPr>
          <w:p w:rsidR="00333CB1" w:rsidRDefault="00A64BAA">
            <w:pPr>
              <w:adjustRightInd w:val="0"/>
              <w:spacing w:before="29" w:line="288" w:lineRule="auto"/>
              <w:ind w:left="17"/>
              <w:jc w:val="left"/>
              <w:rPr>
                <w:sz w:val="24"/>
                <w:szCs w:val="24"/>
              </w:rPr>
            </w:pPr>
            <w:r>
              <w:rPr>
                <w:kern w:val="0"/>
                <w:sz w:val="24"/>
                <w:szCs w:val="24"/>
              </w:rPr>
              <w:t>投资策略</w:t>
            </w:r>
          </w:p>
        </w:tc>
        <w:tc>
          <w:tcPr>
            <w:tcW w:w="5845" w:type="dxa"/>
            <w:vAlign w:val="center"/>
          </w:tcPr>
          <w:p w:rsidR="00333CB1" w:rsidRDefault="00A64BAA">
            <w:pPr>
              <w:adjustRightInd w:val="0"/>
              <w:spacing w:before="29" w:line="288" w:lineRule="auto"/>
              <w:ind w:left="17"/>
              <w:jc w:val="left"/>
              <w:rPr>
                <w:color w:val="000000"/>
                <w:sz w:val="24"/>
                <w:szCs w:val="24"/>
              </w:rPr>
            </w:pPr>
            <w:r>
              <w:rPr>
                <w:color w:val="000000"/>
                <w:kern w:val="0"/>
                <w:sz w:val="24"/>
                <w:szCs w:val="24"/>
              </w:rPr>
              <w:t>本基金为债券型基金，对债券的投资比例不低于基金资产的</w:t>
            </w:r>
            <w:r>
              <w:rPr>
                <w:color w:val="000000"/>
                <w:kern w:val="0"/>
                <w:sz w:val="24"/>
                <w:szCs w:val="24"/>
              </w:rPr>
              <w:t>80%</w:t>
            </w:r>
            <w:r>
              <w:rPr>
                <w:color w:val="000000"/>
                <w:kern w:val="0"/>
                <w:sz w:val="24"/>
                <w:szCs w:val="24"/>
              </w:rPr>
              <w:t>。在此约束下，本基金通过对宏观经济趋势、金融货币政策、供求因素、估值因素、市场行为因素等进行评估分析，对固定收益类资产和货币资产等的预期收益进行动态跟踪，从而决定其配置比例。</w:t>
            </w:r>
          </w:p>
        </w:tc>
      </w:tr>
      <w:tr w:rsidR="00333CB1">
        <w:trPr>
          <w:jc w:val="center"/>
        </w:trPr>
        <w:tc>
          <w:tcPr>
            <w:tcW w:w="3023" w:type="dxa"/>
            <w:vAlign w:val="center"/>
          </w:tcPr>
          <w:p w:rsidR="00333CB1" w:rsidRDefault="00A64BAA">
            <w:pPr>
              <w:adjustRightInd w:val="0"/>
              <w:spacing w:before="29" w:line="288" w:lineRule="auto"/>
              <w:ind w:left="17"/>
              <w:jc w:val="left"/>
              <w:rPr>
                <w:sz w:val="24"/>
                <w:szCs w:val="24"/>
              </w:rPr>
            </w:pPr>
            <w:r>
              <w:rPr>
                <w:kern w:val="0"/>
                <w:sz w:val="24"/>
                <w:szCs w:val="24"/>
              </w:rPr>
              <w:t>业绩比较基准</w:t>
            </w:r>
          </w:p>
        </w:tc>
        <w:tc>
          <w:tcPr>
            <w:tcW w:w="5845" w:type="dxa"/>
            <w:vAlign w:val="center"/>
          </w:tcPr>
          <w:p w:rsidR="00333CB1" w:rsidRDefault="00A64BAA">
            <w:pPr>
              <w:adjustRightInd w:val="0"/>
              <w:spacing w:before="29" w:line="288" w:lineRule="auto"/>
              <w:ind w:left="17"/>
              <w:jc w:val="left"/>
              <w:rPr>
                <w:color w:val="000000"/>
                <w:sz w:val="24"/>
                <w:szCs w:val="24"/>
              </w:rPr>
            </w:pPr>
            <w:r>
              <w:rPr>
                <w:color w:val="000000"/>
                <w:kern w:val="0"/>
                <w:sz w:val="24"/>
                <w:szCs w:val="24"/>
              </w:rPr>
              <w:t>中</w:t>
            </w:r>
            <w:proofErr w:type="gramStart"/>
            <w:r>
              <w:rPr>
                <w:color w:val="000000"/>
                <w:kern w:val="0"/>
                <w:sz w:val="24"/>
                <w:szCs w:val="24"/>
              </w:rPr>
              <w:t>证全债指数</w:t>
            </w:r>
            <w:proofErr w:type="gramEnd"/>
            <w:r>
              <w:rPr>
                <w:color w:val="000000"/>
                <w:kern w:val="0"/>
                <w:sz w:val="24"/>
                <w:szCs w:val="24"/>
              </w:rPr>
              <w:t>收益率</w:t>
            </w:r>
            <w:r>
              <w:rPr>
                <w:color w:val="000000"/>
                <w:kern w:val="0"/>
                <w:sz w:val="24"/>
                <w:szCs w:val="24"/>
              </w:rPr>
              <w:t>×80%</w:t>
            </w:r>
            <w:r>
              <w:rPr>
                <w:color w:val="000000"/>
                <w:kern w:val="0"/>
                <w:sz w:val="24"/>
                <w:szCs w:val="24"/>
              </w:rPr>
              <w:t>＋沪深</w:t>
            </w:r>
            <w:r>
              <w:rPr>
                <w:color w:val="000000"/>
                <w:kern w:val="0"/>
                <w:sz w:val="24"/>
                <w:szCs w:val="24"/>
              </w:rPr>
              <w:t xml:space="preserve">300 </w:t>
            </w:r>
            <w:r>
              <w:rPr>
                <w:color w:val="000000"/>
                <w:kern w:val="0"/>
                <w:sz w:val="24"/>
                <w:szCs w:val="24"/>
              </w:rPr>
              <w:t>指数收益率</w:t>
            </w:r>
            <w:r>
              <w:rPr>
                <w:color w:val="000000"/>
                <w:kern w:val="0"/>
                <w:sz w:val="24"/>
                <w:szCs w:val="24"/>
              </w:rPr>
              <w:t>×20</w:t>
            </w:r>
            <w:r>
              <w:rPr>
                <w:color w:val="000000"/>
                <w:kern w:val="0"/>
                <w:sz w:val="24"/>
                <w:szCs w:val="24"/>
              </w:rPr>
              <w:t>％</w:t>
            </w:r>
          </w:p>
        </w:tc>
      </w:tr>
      <w:tr w:rsidR="00333CB1">
        <w:trPr>
          <w:jc w:val="center"/>
        </w:trPr>
        <w:tc>
          <w:tcPr>
            <w:tcW w:w="3023" w:type="dxa"/>
            <w:vAlign w:val="center"/>
          </w:tcPr>
          <w:p w:rsidR="00333CB1" w:rsidRDefault="00A64BAA">
            <w:pPr>
              <w:adjustRightInd w:val="0"/>
              <w:spacing w:before="29" w:line="288" w:lineRule="auto"/>
              <w:ind w:left="17"/>
              <w:jc w:val="left"/>
              <w:rPr>
                <w:sz w:val="24"/>
                <w:szCs w:val="24"/>
              </w:rPr>
            </w:pPr>
            <w:r>
              <w:rPr>
                <w:kern w:val="0"/>
                <w:sz w:val="24"/>
                <w:szCs w:val="24"/>
              </w:rPr>
              <w:t>风险收益特征</w:t>
            </w:r>
          </w:p>
        </w:tc>
        <w:tc>
          <w:tcPr>
            <w:tcW w:w="5845" w:type="dxa"/>
            <w:vAlign w:val="center"/>
          </w:tcPr>
          <w:p w:rsidR="00333CB1" w:rsidRDefault="00A64BAA">
            <w:pPr>
              <w:adjustRightInd w:val="0"/>
              <w:spacing w:before="29" w:line="288" w:lineRule="auto"/>
              <w:ind w:left="17"/>
              <w:jc w:val="left"/>
              <w:rPr>
                <w:color w:val="000000"/>
                <w:sz w:val="24"/>
                <w:szCs w:val="24"/>
              </w:rPr>
            </w:pPr>
            <w:r>
              <w:rPr>
                <w:color w:val="000000"/>
                <w:kern w:val="0"/>
                <w:sz w:val="24"/>
                <w:szCs w:val="24"/>
              </w:rPr>
              <w:t>本基金为债券型基金，预期收益和预期风险高于货币市场基金，但低于混合型基金、股票型基金，属于较低风险</w:t>
            </w:r>
            <w:r>
              <w:rPr>
                <w:color w:val="000000"/>
                <w:kern w:val="0"/>
                <w:sz w:val="24"/>
                <w:szCs w:val="24"/>
              </w:rPr>
              <w:t>/</w:t>
            </w:r>
            <w:r>
              <w:rPr>
                <w:color w:val="000000"/>
                <w:kern w:val="0"/>
                <w:sz w:val="24"/>
                <w:szCs w:val="24"/>
              </w:rPr>
              <w:t>收益的产品。</w:t>
            </w:r>
          </w:p>
        </w:tc>
      </w:tr>
      <w:tr w:rsidR="00333CB1">
        <w:trPr>
          <w:jc w:val="center"/>
        </w:trPr>
        <w:tc>
          <w:tcPr>
            <w:tcW w:w="3023" w:type="dxa"/>
            <w:vAlign w:val="center"/>
          </w:tcPr>
          <w:p w:rsidR="00333CB1" w:rsidRDefault="00A64BAA">
            <w:pPr>
              <w:adjustRightInd w:val="0"/>
              <w:spacing w:before="29" w:line="288" w:lineRule="auto"/>
              <w:ind w:left="17"/>
              <w:jc w:val="left"/>
              <w:rPr>
                <w:sz w:val="24"/>
                <w:szCs w:val="24"/>
              </w:rPr>
            </w:pPr>
            <w:r>
              <w:rPr>
                <w:kern w:val="0"/>
                <w:sz w:val="24"/>
                <w:szCs w:val="24"/>
              </w:rPr>
              <w:lastRenderedPageBreak/>
              <w:t>基金管理人</w:t>
            </w:r>
          </w:p>
        </w:tc>
        <w:tc>
          <w:tcPr>
            <w:tcW w:w="5845" w:type="dxa"/>
            <w:vAlign w:val="center"/>
          </w:tcPr>
          <w:p w:rsidR="00333CB1" w:rsidRDefault="00A64BAA">
            <w:pPr>
              <w:adjustRightInd w:val="0"/>
              <w:spacing w:before="29" w:line="288" w:lineRule="auto"/>
              <w:ind w:left="17"/>
              <w:jc w:val="left"/>
              <w:rPr>
                <w:color w:val="000000"/>
                <w:sz w:val="24"/>
                <w:szCs w:val="24"/>
              </w:rPr>
            </w:pPr>
            <w:r>
              <w:rPr>
                <w:color w:val="000000"/>
                <w:kern w:val="0"/>
                <w:sz w:val="24"/>
                <w:szCs w:val="24"/>
              </w:rPr>
              <w:t>海富通基金管理有限公司</w:t>
            </w:r>
          </w:p>
        </w:tc>
      </w:tr>
      <w:tr w:rsidR="00333CB1">
        <w:trPr>
          <w:jc w:val="center"/>
        </w:trPr>
        <w:tc>
          <w:tcPr>
            <w:tcW w:w="3023" w:type="dxa"/>
            <w:vAlign w:val="center"/>
          </w:tcPr>
          <w:p w:rsidR="00333CB1" w:rsidRDefault="00A64BAA">
            <w:pPr>
              <w:adjustRightInd w:val="0"/>
              <w:spacing w:before="29" w:line="288" w:lineRule="auto"/>
              <w:ind w:left="17"/>
              <w:jc w:val="left"/>
              <w:rPr>
                <w:sz w:val="24"/>
                <w:szCs w:val="24"/>
              </w:rPr>
            </w:pPr>
            <w:r>
              <w:rPr>
                <w:kern w:val="0"/>
                <w:sz w:val="24"/>
                <w:szCs w:val="24"/>
              </w:rPr>
              <w:t>基金托管人</w:t>
            </w:r>
          </w:p>
        </w:tc>
        <w:tc>
          <w:tcPr>
            <w:tcW w:w="5845" w:type="dxa"/>
            <w:vAlign w:val="center"/>
          </w:tcPr>
          <w:p w:rsidR="00333CB1" w:rsidRDefault="00A64BAA">
            <w:pPr>
              <w:adjustRightInd w:val="0"/>
              <w:spacing w:before="29" w:line="288" w:lineRule="auto"/>
              <w:ind w:left="17"/>
              <w:jc w:val="left"/>
              <w:rPr>
                <w:color w:val="000000"/>
                <w:sz w:val="24"/>
                <w:szCs w:val="24"/>
              </w:rPr>
            </w:pPr>
            <w:r>
              <w:rPr>
                <w:color w:val="000000"/>
                <w:kern w:val="0"/>
                <w:sz w:val="24"/>
                <w:szCs w:val="24"/>
              </w:rPr>
              <w:t>交通银行股份有限公司</w:t>
            </w:r>
          </w:p>
        </w:tc>
      </w:tr>
    </w:tbl>
    <w:p w:rsidR="00333CB1" w:rsidRDefault="00333CB1">
      <w:pPr>
        <w:autoSpaceDE w:val="0"/>
        <w:autoSpaceDN w:val="0"/>
        <w:adjustRightInd w:val="0"/>
        <w:spacing w:before="29" w:line="288" w:lineRule="auto"/>
        <w:jc w:val="left"/>
        <w:rPr>
          <w:color w:val="000000"/>
          <w:kern w:val="0"/>
          <w:sz w:val="24"/>
          <w:szCs w:val="24"/>
        </w:rPr>
      </w:pPr>
    </w:p>
    <w:p w:rsidR="00333CB1" w:rsidRDefault="00A64BAA" w:rsidP="00B33365">
      <w:pPr>
        <w:pStyle w:val="1"/>
        <w:spacing w:beforeLines="100" w:before="312" w:afterLines="100" w:after="312" w:line="288" w:lineRule="auto"/>
        <w:jc w:val="center"/>
        <w:rPr>
          <w:color w:val="000000"/>
          <w:kern w:val="0"/>
          <w:sz w:val="24"/>
          <w:szCs w:val="24"/>
        </w:rPr>
      </w:pPr>
      <w:r>
        <w:rPr>
          <w:color w:val="000000"/>
          <w:kern w:val="0"/>
          <w:sz w:val="24"/>
          <w:szCs w:val="24"/>
        </w:rPr>
        <w:t xml:space="preserve">§3  </w:t>
      </w:r>
      <w:r>
        <w:rPr>
          <w:color w:val="000000"/>
          <w:kern w:val="0"/>
          <w:sz w:val="24"/>
          <w:szCs w:val="24"/>
        </w:rPr>
        <w:t>主要财务指标和基金净值表现</w:t>
      </w:r>
    </w:p>
    <w:p w:rsidR="00333CB1" w:rsidRDefault="00A64BAA">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3.1 </w:t>
      </w:r>
      <w:r>
        <w:rPr>
          <w:b/>
          <w:bCs/>
          <w:color w:val="000000"/>
          <w:kern w:val="0"/>
          <w:sz w:val="24"/>
          <w:szCs w:val="24"/>
        </w:rPr>
        <w:t>主要财务指标</w:t>
      </w:r>
    </w:p>
    <w:p w:rsidR="00333CB1" w:rsidRDefault="00A64BAA">
      <w:pPr>
        <w:autoSpaceDE w:val="0"/>
        <w:autoSpaceDN w:val="0"/>
        <w:adjustRightInd w:val="0"/>
        <w:spacing w:before="29" w:line="288" w:lineRule="auto"/>
        <w:ind w:left="15"/>
        <w:jc w:val="right"/>
        <w:rPr>
          <w:color w:val="000000"/>
          <w:kern w:val="0"/>
          <w:sz w:val="24"/>
          <w:szCs w:val="24"/>
        </w:rPr>
      </w:pPr>
      <w:r>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7"/>
        <w:gridCol w:w="5261"/>
      </w:tblGrid>
      <w:tr w:rsidR="00B33365" w:rsidTr="00B33365">
        <w:trPr>
          <w:jc w:val="center"/>
        </w:trPr>
        <w:tc>
          <w:tcPr>
            <w:tcW w:w="3607" w:type="dxa"/>
            <w:vAlign w:val="center"/>
          </w:tcPr>
          <w:p w:rsidR="00333CB1" w:rsidRDefault="00A64BAA">
            <w:pPr>
              <w:adjustRightInd w:val="0"/>
              <w:spacing w:before="29" w:line="288" w:lineRule="auto"/>
              <w:ind w:left="17"/>
              <w:jc w:val="center"/>
              <w:rPr>
                <w:kern w:val="0"/>
                <w:sz w:val="24"/>
                <w:szCs w:val="24"/>
              </w:rPr>
            </w:pPr>
            <w:r>
              <w:rPr>
                <w:kern w:val="0"/>
                <w:sz w:val="24"/>
                <w:szCs w:val="24"/>
              </w:rPr>
              <w:t>主要财务指标</w:t>
            </w:r>
          </w:p>
        </w:tc>
        <w:tc>
          <w:tcPr>
            <w:tcW w:w="5261" w:type="dxa"/>
            <w:vAlign w:val="center"/>
          </w:tcPr>
          <w:p w:rsidR="00333CB1" w:rsidRDefault="00A64BAA">
            <w:pPr>
              <w:adjustRightInd w:val="0"/>
              <w:spacing w:before="29" w:line="288" w:lineRule="auto"/>
              <w:ind w:left="17"/>
              <w:jc w:val="center"/>
              <w:rPr>
                <w:color w:val="000000"/>
                <w:sz w:val="24"/>
                <w:szCs w:val="24"/>
              </w:rPr>
            </w:pPr>
            <w:r>
              <w:rPr>
                <w:color w:val="000000"/>
                <w:sz w:val="24"/>
                <w:szCs w:val="24"/>
              </w:rPr>
              <w:t>报告期</w:t>
            </w:r>
          </w:p>
          <w:p w:rsidR="00333CB1" w:rsidRDefault="00A64BAA">
            <w:pPr>
              <w:adjustRightInd w:val="0"/>
              <w:spacing w:before="29" w:line="288" w:lineRule="auto"/>
              <w:ind w:left="17"/>
              <w:jc w:val="center"/>
              <w:rPr>
                <w:color w:val="000000"/>
                <w:sz w:val="24"/>
                <w:szCs w:val="24"/>
              </w:rPr>
            </w:pPr>
            <w:r>
              <w:rPr>
                <w:color w:val="000000"/>
                <w:sz w:val="24"/>
                <w:szCs w:val="24"/>
              </w:rPr>
              <w:t>(2017</w:t>
            </w:r>
            <w:r>
              <w:rPr>
                <w:color w:val="000000"/>
                <w:sz w:val="24"/>
                <w:szCs w:val="24"/>
              </w:rPr>
              <w:t>年</w:t>
            </w:r>
            <w:r>
              <w:rPr>
                <w:color w:val="000000"/>
                <w:sz w:val="24"/>
                <w:szCs w:val="24"/>
              </w:rPr>
              <w:t>7</w:t>
            </w:r>
            <w:r>
              <w:rPr>
                <w:color w:val="000000"/>
                <w:sz w:val="24"/>
                <w:szCs w:val="24"/>
              </w:rPr>
              <w:t>月</w:t>
            </w:r>
            <w:r>
              <w:rPr>
                <w:color w:val="000000"/>
                <w:sz w:val="24"/>
                <w:szCs w:val="24"/>
              </w:rPr>
              <w:t>1</w:t>
            </w:r>
            <w:r>
              <w:rPr>
                <w:color w:val="000000"/>
                <w:sz w:val="24"/>
                <w:szCs w:val="24"/>
              </w:rPr>
              <w:t>日</w:t>
            </w:r>
            <w:r>
              <w:rPr>
                <w:color w:val="000000"/>
                <w:sz w:val="24"/>
                <w:szCs w:val="24"/>
              </w:rPr>
              <w:t>-2017</w:t>
            </w:r>
            <w:r>
              <w:rPr>
                <w:color w:val="000000"/>
                <w:sz w:val="24"/>
                <w:szCs w:val="24"/>
              </w:rPr>
              <w:t>年</w:t>
            </w:r>
            <w:r w:rsidR="00B33365">
              <w:rPr>
                <w:color w:val="000000"/>
                <w:sz w:val="24"/>
                <w:szCs w:val="24"/>
              </w:rPr>
              <w:t>8</w:t>
            </w:r>
            <w:r w:rsidR="00B33365">
              <w:rPr>
                <w:color w:val="000000"/>
                <w:sz w:val="24"/>
                <w:szCs w:val="24"/>
              </w:rPr>
              <w:t>月</w:t>
            </w:r>
            <w:r w:rsidR="00B33365">
              <w:rPr>
                <w:color w:val="000000"/>
                <w:sz w:val="24"/>
                <w:szCs w:val="24"/>
              </w:rPr>
              <w:t>31</w:t>
            </w:r>
            <w:r w:rsidR="00B33365">
              <w:rPr>
                <w:color w:val="000000"/>
                <w:sz w:val="24"/>
                <w:szCs w:val="24"/>
              </w:rPr>
              <w:t>日</w:t>
            </w:r>
            <w:bookmarkStart w:id="0" w:name="_GoBack"/>
            <w:bookmarkEnd w:id="0"/>
            <w:r>
              <w:rPr>
                <w:color w:val="000000"/>
                <w:sz w:val="24"/>
                <w:szCs w:val="24"/>
              </w:rPr>
              <w:t>)</w:t>
            </w:r>
          </w:p>
        </w:tc>
      </w:tr>
      <w:tr w:rsidR="00B33365" w:rsidTr="00B33365">
        <w:trPr>
          <w:jc w:val="center"/>
        </w:trPr>
        <w:tc>
          <w:tcPr>
            <w:tcW w:w="3607" w:type="dxa"/>
            <w:vAlign w:val="center"/>
          </w:tcPr>
          <w:p w:rsidR="00333CB1" w:rsidRDefault="00A64BAA">
            <w:pPr>
              <w:adjustRightInd w:val="0"/>
              <w:spacing w:before="29" w:line="288" w:lineRule="auto"/>
              <w:ind w:left="17"/>
              <w:rPr>
                <w:kern w:val="0"/>
                <w:sz w:val="24"/>
                <w:szCs w:val="24"/>
              </w:rPr>
            </w:pPr>
            <w:r>
              <w:rPr>
                <w:kern w:val="0"/>
                <w:sz w:val="24"/>
                <w:szCs w:val="24"/>
              </w:rPr>
              <w:t>1.</w:t>
            </w:r>
            <w:r>
              <w:rPr>
                <w:kern w:val="0"/>
                <w:sz w:val="24"/>
                <w:szCs w:val="24"/>
              </w:rPr>
              <w:t>本期已实现收益</w:t>
            </w:r>
          </w:p>
        </w:tc>
        <w:tc>
          <w:tcPr>
            <w:tcW w:w="5261" w:type="dxa"/>
            <w:vAlign w:val="center"/>
          </w:tcPr>
          <w:p w:rsidR="00333CB1" w:rsidRDefault="00A64BAA">
            <w:pPr>
              <w:adjustRightInd w:val="0"/>
              <w:spacing w:before="29" w:line="288" w:lineRule="auto"/>
              <w:ind w:left="17"/>
              <w:jc w:val="right"/>
              <w:rPr>
                <w:color w:val="000000"/>
                <w:sz w:val="24"/>
                <w:szCs w:val="24"/>
              </w:rPr>
            </w:pPr>
            <w:r>
              <w:rPr>
                <w:color w:val="000000"/>
                <w:sz w:val="24"/>
                <w:szCs w:val="24"/>
              </w:rPr>
              <w:t>-2,026.87</w:t>
            </w:r>
          </w:p>
        </w:tc>
      </w:tr>
      <w:tr w:rsidR="00B33365" w:rsidTr="00B33365">
        <w:trPr>
          <w:jc w:val="center"/>
        </w:trPr>
        <w:tc>
          <w:tcPr>
            <w:tcW w:w="3607" w:type="dxa"/>
            <w:vAlign w:val="center"/>
          </w:tcPr>
          <w:p w:rsidR="00333CB1" w:rsidRDefault="00A64BAA">
            <w:pPr>
              <w:adjustRightInd w:val="0"/>
              <w:spacing w:before="29" w:line="288" w:lineRule="auto"/>
              <w:ind w:left="17"/>
              <w:rPr>
                <w:kern w:val="0"/>
                <w:sz w:val="24"/>
                <w:szCs w:val="24"/>
              </w:rPr>
            </w:pPr>
            <w:r>
              <w:rPr>
                <w:kern w:val="0"/>
                <w:sz w:val="24"/>
                <w:szCs w:val="24"/>
              </w:rPr>
              <w:t>2.</w:t>
            </w:r>
            <w:r>
              <w:rPr>
                <w:kern w:val="0"/>
                <w:sz w:val="24"/>
                <w:szCs w:val="24"/>
              </w:rPr>
              <w:t>本期利润</w:t>
            </w:r>
          </w:p>
        </w:tc>
        <w:tc>
          <w:tcPr>
            <w:tcW w:w="5261" w:type="dxa"/>
            <w:vAlign w:val="center"/>
          </w:tcPr>
          <w:p w:rsidR="00333CB1" w:rsidRDefault="00A64BAA">
            <w:pPr>
              <w:adjustRightInd w:val="0"/>
              <w:spacing w:before="29" w:line="288" w:lineRule="auto"/>
              <w:ind w:left="17"/>
              <w:jc w:val="right"/>
              <w:rPr>
                <w:color w:val="000000"/>
                <w:sz w:val="24"/>
                <w:szCs w:val="24"/>
              </w:rPr>
            </w:pPr>
            <w:r>
              <w:rPr>
                <w:color w:val="000000"/>
                <w:sz w:val="24"/>
                <w:szCs w:val="24"/>
              </w:rPr>
              <w:t>-2,916.71</w:t>
            </w:r>
          </w:p>
        </w:tc>
      </w:tr>
      <w:tr w:rsidR="00B33365" w:rsidTr="00B33365">
        <w:trPr>
          <w:jc w:val="center"/>
        </w:trPr>
        <w:tc>
          <w:tcPr>
            <w:tcW w:w="3607" w:type="dxa"/>
            <w:vAlign w:val="center"/>
          </w:tcPr>
          <w:p w:rsidR="00333CB1" w:rsidRDefault="00A64BAA">
            <w:pPr>
              <w:adjustRightInd w:val="0"/>
              <w:spacing w:before="29" w:line="288" w:lineRule="auto"/>
              <w:ind w:left="17"/>
              <w:rPr>
                <w:kern w:val="0"/>
                <w:sz w:val="24"/>
                <w:szCs w:val="24"/>
              </w:rPr>
            </w:pPr>
            <w:r>
              <w:rPr>
                <w:kern w:val="0"/>
                <w:sz w:val="24"/>
                <w:szCs w:val="24"/>
              </w:rPr>
              <w:t>3.</w:t>
            </w:r>
            <w:r>
              <w:rPr>
                <w:kern w:val="0"/>
                <w:sz w:val="24"/>
                <w:szCs w:val="24"/>
              </w:rPr>
              <w:t>加权平均基金份额本期利润</w:t>
            </w:r>
          </w:p>
        </w:tc>
        <w:tc>
          <w:tcPr>
            <w:tcW w:w="5261" w:type="dxa"/>
            <w:vAlign w:val="center"/>
          </w:tcPr>
          <w:p w:rsidR="00333CB1" w:rsidRDefault="00A64BAA">
            <w:pPr>
              <w:adjustRightInd w:val="0"/>
              <w:spacing w:before="29" w:line="288" w:lineRule="auto"/>
              <w:ind w:left="17"/>
              <w:jc w:val="right"/>
              <w:rPr>
                <w:color w:val="000000"/>
                <w:sz w:val="24"/>
                <w:szCs w:val="24"/>
              </w:rPr>
            </w:pPr>
            <w:r>
              <w:rPr>
                <w:color w:val="000000"/>
                <w:sz w:val="24"/>
                <w:szCs w:val="24"/>
              </w:rPr>
              <w:t>-0.0037</w:t>
            </w:r>
          </w:p>
        </w:tc>
      </w:tr>
      <w:tr w:rsidR="00B33365" w:rsidTr="00B33365">
        <w:trPr>
          <w:jc w:val="center"/>
        </w:trPr>
        <w:tc>
          <w:tcPr>
            <w:tcW w:w="3607" w:type="dxa"/>
            <w:vAlign w:val="center"/>
          </w:tcPr>
          <w:p w:rsidR="00333CB1" w:rsidRDefault="00A64BAA">
            <w:pPr>
              <w:adjustRightInd w:val="0"/>
              <w:spacing w:before="29" w:line="288" w:lineRule="auto"/>
              <w:ind w:left="17"/>
              <w:rPr>
                <w:kern w:val="0"/>
                <w:sz w:val="24"/>
                <w:szCs w:val="24"/>
              </w:rPr>
            </w:pPr>
            <w:r>
              <w:rPr>
                <w:kern w:val="0"/>
                <w:sz w:val="24"/>
                <w:szCs w:val="24"/>
              </w:rPr>
              <w:t>4.</w:t>
            </w:r>
            <w:r>
              <w:rPr>
                <w:kern w:val="0"/>
                <w:sz w:val="24"/>
                <w:szCs w:val="24"/>
              </w:rPr>
              <w:t>期末基金资产净值</w:t>
            </w:r>
          </w:p>
        </w:tc>
        <w:tc>
          <w:tcPr>
            <w:tcW w:w="5261" w:type="dxa"/>
            <w:vAlign w:val="center"/>
          </w:tcPr>
          <w:p w:rsidR="00333CB1" w:rsidRDefault="00A64BAA">
            <w:pPr>
              <w:adjustRightInd w:val="0"/>
              <w:spacing w:before="29" w:line="288" w:lineRule="auto"/>
              <w:ind w:left="17"/>
              <w:jc w:val="right"/>
              <w:rPr>
                <w:color w:val="000000"/>
                <w:sz w:val="24"/>
                <w:szCs w:val="24"/>
              </w:rPr>
            </w:pPr>
            <w:r>
              <w:rPr>
                <w:color w:val="000000"/>
                <w:sz w:val="24"/>
                <w:szCs w:val="24"/>
              </w:rPr>
              <w:t>492,581.57</w:t>
            </w:r>
          </w:p>
        </w:tc>
      </w:tr>
      <w:tr w:rsidR="00B33365" w:rsidTr="00B33365">
        <w:trPr>
          <w:trHeight w:val="158"/>
          <w:jc w:val="center"/>
        </w:trPr>
        <w:tc>
          <w:tcPr>
            <w:tcW w:w="3607" w:type="dxa"/>
            <w:vAlign w:val="center"/>
          </w:tcPr>
          <w:p w:rsidR="00333CB1" w:rsidRDefault="00A64BAA">
            <w:pPr>
              <w:adjustRightInd w:val="0"/>
              <w:spacing w:before="29" w:line="288" w:lineRule="auto"/>
              <w:ind w:left="17"/>
              <w:rPr>
                <w:kern w:val="0"/>
                <w:sz w:val="24"/>
                <w:szCs w:val="24"/>
              </w:rPr>
            </w:pPr>
            <w:r>
              <w:rPr>
                <w:kern w:val="0"/>
                <w:sz w:val="24"/>
                <w:szCs w:val="24"/>
              </w:rPr>
              <w:t>5.</w:t>
            </w:r>
            <w:r>
              <w:rPr>
                <w:kern w:val="0"/>
                <w:sz w:val="24"/>
                <w:szCs w:val="24"/>
              </w:rPr>
              <w:t>期末基金份额净值</w:t>
            </w:r>
          </w:p>
        </w:tc>
        <w:tc>
          <w:tcPr>
            <w:tcW w:w="5261" w:type="dxa"/>
            <w:vAlign w:val="center"/>
          </w:tcPr>
          <w:p w:rsidR="00333CB1" w:rsidRDefault="00A64BAA">
            <w:pPr>
              <w:adjustRightInd w:val="0"/>
              <w:spacing w:before="29" w:line="288" w:lineRule="auto"/>
              <w:ind w:left="17"/>
              <w:jc w:val="right"/>
              <w:rPr>
                <w:color w:val="000000"/>
                <w:sz w:val="24"/>
                <w:szCs w:val="24"/>
              </w:rPr>
            </w:pPr>
            <w:r>
              <w:rPr>
                <w:color w:val="000000"/>
                <w:sz w:val="24"/>
                <w:szCs w:val="24"/>
              </w:rPr>
              <w:t>1.242</w:t>
            </w:r>
          </w:p>
        </w:tc>
      </w:tr>
    </w:tbl>
    <w:p w:rsidR="00333CB1" w:rsidRDefault="00A64BAA">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）所述基金业绩指标不包括持有人认购或交易基金的各项费用，计入费用后实际收益水平要低于所列数字。</w:t>
      </w:r>
    </w:p>
    <w:p w:rsidR="00333CB1" w:rsidRDefault="00A64BAA">
      <w:pPr>
        <w:autoSpaceDE w:val="0"/>
        <w:autoSpaceDN w:val="0"/>
        <w:adjustRightInd w:val="0"/>
        <w:spacing w:before="29" w:line="288" w:lineRule="auto"/>
        <w:jc w:val="left"/>
        <w:rPr>
          <w:color w:val="000000"/>
          <w:sz w:val="24"/>
          <w:szCs w:val="24"/>
        </w:rPr>
      </w:pPr>
      <w:r>
        <w:rPr>
          <w:color w:val="000000"/>
          <w:sz w:val="24"/>
          <w:szCs w:val="24"/>
        </w:rPr>
        <w:t>（</w:t>
      </w:r>
      <w:r>
        <w:rPr>
          <w:color w:val="000000"/>
          <w:sz w:val="24"/>
          <w:szCs w:val="24"/>
        </w:rPr>
        <w:t>2</w:t>
      </w:r>
      <w:r>
        <w:rPr>
          <w:color w:val="000000"/>
          <w:sz w:val="24"/>
          <w:szCs w:val="24"/>
        </w:rPr>
        <w:t>）本期已实现收益指基金本期利息收入、投资收益、其他收入（不含公允价值变动收益）扣除相关费用后的余额，本期利润为本期已实现收益加上本期公允价值变动收益。</w:t>
      </w:r>
    </w:p>
    <w:p w:rsidR="00333CB1" w:rsidRDefault="00A64BAA">
      <w:pPr>
        <w:autoSpaceDE w:val="0"/>
        <w:autoSpaceDN w:val="0"/>
        <w:adjustRightInd w:val="0"/>
        <w:spacing w:before="29" w:line="288" w:lineRule="auto"/>
        <w:jc w:val="left"/>
        <w:rPr>
          <w:color w:val="000000"/>
          <w:sz w:val="24"/>
          <w:szCs w:val="24"/>
        </w:rPr>
      </w:pPr>
      <w:r>
        <w:rPr>
          <w:color w:val="000000"/>
          <w:sz w:val="24"/>
          <w:szCs w:val="24"/>
        </w:rPr>
        <w:t>（</w:t>
      </w:r>
      <w:r>
        <w:rPr>
          <w:color w:val="000000"/>
          <w:sz w:val="24"/>
          <w:szCs w:val="24"/>
        </w:rPr>
        <w:t>3</w:t>
      </w:r>
      <w:r>
        <w:rPr>
          <w:color w:val="000000"/>
          <w:sz w:val="24"/>
          <w:szCs w:val="24"/>
        </w:rPr>
        <w:t>）</w:t>
      </w:r>
      <w:proofErr w:type="gramStart"/>
      <w:r>
        <w:rPr>
          <w:color w:val="000000"/>
          <w:sz w:val="24"/>
          <w:szCs w:val="24"/>
        </w:rPr>
        <w:t>海富通瑞益债券</w:t>
      </w:r>
      <w:proofErr w:type="gramEnd"/>
      <w:r>
        <w:rPr>
          <w:color w:val="000000"/>
          <w:sz w:val="24"/>
          <w:szCs w:val="24"/>
        </w:rPr>
        <w:t>型证券投资基金的最后运作日为</w:t>
      </w:r>
      <w:r>
        <w:rPr>
          <w:color w:val="000000"/>
          <w:sz w:val="24"/>
          <w:szCs w:val="24"/>
        </w:rPr>
        <w:t>2017</w:t>
      </w:r>
      <w:r>
        <w:rPr>
          <w:color w:val="000000"/>
          <w:sz w:val="24"/>
          <w:szCs w:val="24"/>
        </w:rPr>
        <w:t>年</w:t>
      </w:r>
      <w:r>
        <w:rPr>
          <w:color w:val="000000"/>
          <w:sz w:val="24"/>
          <w:szCs w:val="24"/>
        </w:rPr>
        <w:t>8</w:t>
      </w:r>
      <w:r>
        <w:rPr>
          <w:color w:val="000000"/>
          <w:sz w:val="24"/>
          <w:szCs w:val="24"/>
        </w:rPr>
        <w:t>月</w:t>
      </w:r>
      <w:r>
        <w:rPr>
          <w:color w:val="000000"/>
          <w:sz w:val="24"/>
          <w:szCs w:val="24"/>
        </w:rPr>
        <w:t>31</w:t>
      </w:r>
      <w:r>
        <w:rPr>
          <w:color w:val="000000"/>
          <w:sz w:val="24"/>
          <w:szCs w:val="24"/>
        </w:rPr>
        <w:t>日，自</w:t>
      </w:r>
      <w:r>
        <w:rPr>
          <w:color w:val="000000"/>
          <w:sz w:val="24"/>
          <w:szCs w:val="24"/>
        </w:rPr>
        <w:t>2017</w:t>
      </w:r>
      <w:r>
        <w:rPr>
          <w:color w:val="000000"/>
          <w:sz w:val="24"/>
          <w:szCs w:val="24"/>
        </w:rPr>
        <w:t>年</w:t>
      </w:r>
      <w:r>
        <w:rPr>
          <w:color w:val="000000"/>
          <w:sz w:val="24"/>
          <w:szCs w:val="24"/>
        </w:rPr>
        <w:t>9</w:t>
      </w:r>
      <w:r>
        <w:rPr>
          <w:color w:val="000000"/>
          <w:sz w:val="24"/>
          <w:szCs w:val="24"/>
        </w:rPr>
        <w:t>月</w:t>
      </w:r>
      <w:r>
        <w:rPr>
          <w:color w:val="000000"/>
          <w:sz w:val="24"/>
          <w:szCs w:val="24"/>
        </w:rPr>
        <w:t>1</w:t>
      </w:r>
      <w:r>
        <w:rPr>
          <w:color w:val="000000"/>
          <w:sz w:val="24"/>
          <w:szCs w:val="24"/>
        </w:rPr>
        <w:t>日起进入清盘期。</w:t>
      </w:r>
    </w:p>
    <w:p w:rsidR="00333CB1" w:rsidRDefault="00333CB1">
      <w:pPr>
        <w:autoSpaceDE w:val="0"/>
        <w:autoSpaceDN w:val="0"/>
        <w:adjustRightInd w:val="0"/>
        <w:spacing w:before="29" w:line="288" w:lineRule="auto"/>
        <w:jc w:val="left"/>
        <w:rPr>
          <w:color w:val="000000"/>
          <w:kern w:val="0"/>
          <w:sz w:val="24"/>
          <w:szCs w:val="24"/>
        </w:rPr>
      </w:pPr>
    </w:p>
    <w:p w:rsidR="00333CB1" w:rsidRDefault="00A64BAA">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3.2 </w:t>
      </w:r>
      <w:r>
        <w:rPr>
          <w:b/>
          <w:bCs/>
          <w:color w:val="000000"/>
          <w:kern w:val="0"/>
          <w:sz w:val="24"/>
          <w:szCs w:val="24"/>
        </w:rPr>
        <w:t>基金净值表现</w:t>
      </w:r>
    </w:p>
    <w:p w:rsidR="00333CB1" w:rsidRDefault="00A64BAA">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3.2.1 </w:t>
      </w:r>
      <w:r>
        <w:rPr>
          <w:b/>
          <w:bCs/>
          <w:color w:val="000000"/>
          <w:kern w:val="0"/>
          <w:sz w:val="24"/>
          <w:szCs w:val="24"/>
        </w:rPr>
        <w:t>本报告</w:t>
      </w:r>
      <w:proofErr w:type="gramStart"/>
      <w:r>
        <w:rPr>
          <w:b/>
          <w:bCs/>
          <w:color w:val="000000"/>
          <w:kern w:val="0"/>
          <w:sz w:val="24"/>
          <w:szCs w:val="24"/>
        </w:rPr>
        <w:t>期基金</w:t>
      </w:r>
      <w:proofErr w:type="gramEnd"/>
      <w:r>
        <w:rPr>
          <w:b/>
          <w:bCs/>
          <w:color w:val="000000"/>
          <w:kern w:val="0"/>
          <w:sz w:val="24"/>
          <w:szCs w:val="24"/>
        </w:rPr>
        <w:t>份额净值增长率及其与同期业绩比较基准收益率的比较</w:t>
      </w:r>
    </w:p>
    <w:tbl>
      <w:tblPr>
        <w:tblStyle w:val="af8"/>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333CB1">
        <w:trPr>
          <w:jc w:val="center"/>
        </w:trPr>
        <w:tc>
          <w:tcPr>
            <w:tcW w:w="1701" w:type="dxa"/>
            <w:vAlign w:val="center"/>
          </w:tcPr>
          <w:p w:rsidR="00333CB1" w:rsidRDefault="00A64BAA">
            <w:pPr>
              <w:autoSpaceDE w:val="0"/>
              <w:autoSpaceDN w:val="0"/>
              <w:adjustRightInd w:val="0"/>
              <w:spacing w:before="29" w:line="288" w:lineRule="auto"/>
              <w:ind w:left="17"/>
              <w:jc w:val="center"/>
              <w:rPr>
                <w:color w:val="000000"/>
                <w:kern w:val="0"/>
                <w:sz w:val="24"/>
                <w:szCs w:val="24"/>
              </w:rPr>
            </w:pPr>
            <w:r>
              <w:rPr>
                <w:color w:val="000000"/>
                <w:kern w:val="0"/>
                <w:sz w:val="24"/>
                <w:szCs w:val="24"/>
              </w:rPr>
              <w:t>阶段</w:t>
            </w:r>
          </w:p>
        </w:tc>
        <w:tc>
          <w:tcPr>
            <w:tcW w:w="1045" w:type="dxa"/>
            <w:vAlign w:val="center"/>
          </w:tcPr>
          <w:p w:rsidR="00333CB1" w:rsidRDefault="00A64BAA">
            <w:pPr>
              <w:autoSpaceDE w:val="0"/>
              <w:autoSpaceDN w:val="0"/>
              <w:adjustRightInd w:val="0"/>
              <w:spacing w:before="29" w:line="288" w:lineRule="auto"/>
              <w:ind w:left="17"/>
              <w:jc w:val="center"/>
              <w:rPr>
                <w:color w:val="000000"/>
                <w:kern w:val="0"/>
                <w:sz w:val="24"/>
                <w:szCs w:val="24"/>
              </w:rPr>
            </w:pPr>
            <w:r>
              <w:rPr>
                <w:color w:val="000000"/>
                <w:kern w:val="0"/>
                <w:sz w:val="24"/>
                <w:szCs w:val="24"/>
              </w:rPr>
              <w:t>净值增长率</w:t>
            </w:r>
            <w:r>
              <w:rPr>
                <w:rFonts w:hAnsi="宋体"/>
                <w:color w:val="000000"/>
                <w:kern w:val="0"/>
                <w:sz w:val="24"/>
                <w:szCs w:val="24"/>
              </w:rPr>
              <w:t>①</w:t>
            </w:r>
          </w:p>
        </w:tc>
        <w:tc>
          <w:tcPr>
            <w:tcW w:w="1344" w:type="dxa"/>
            <w:vAlign w:val="center"/>
          </w:tcPr>
          <w:p w:rsidR="00333CB1" w:rsidRDefault="00A64BAA">
            <w:pPr>
              <w:autoSpaceDE w:val="0"/>
              <w:autoSpaceDN w:val="0"/>
              <w:adjustRightInd w:val="0"/>
              <w:spacing w:before="29" w:line="288" w:lineRule="auto"/>
              <w:ind w:left="17"/>
              <w:jc w:val="center"/>
              <w:rPr>
                <w:color w:val="000000"/>
                <w:kern w:val="0"/>
                <w:sz w:val="24"/>
                <w:szCs w:val="24"/>
              </w:rPr>
            </w:pPr>
            <w:r>
              <w:rPr>
                <w:color w:val="000000"/>
                <w:kern w:val="0"/>
                <w:sz w:val="24"/>
                <w:szCs w:val="24"/>
              </w:rPr>
              <w:t>净值增长率标准差</w:t>
            </w:r>
            <w:r>
              <w:rPr>
                <w:rFonts w:hAnsi="宋体"/>
                <w:color w:val="000000"/>
                <w:kern w:val="0"/>
                <w:sz w:val="24"/>
                <w:szCs w:val="24"/>
              </w:rPr>
              <w:t>②</w:t>
            </w:r>
          </w:p>
        </w:tc>
        <w:tc>
          <w:tcPr>
            <w:tcW w:w="1194" w:type="dxa"/>
            <w:vAlign w:val="center"/>
          </w:tcPr>
          <w:p w:rsidR="00333CB1" w:rsidRDefault="00A64BAA">
            <w:pPr>
              <w:autoSpaceDE w:val="0"/>
              <w:autoSpaceDN w:val="0"/>
              <w:adjustRightInd w:val="0"/>
              <w:spacing w:before="29" w:line="288" w:lineRule="auto"/>
              <w:ind w:left="17"/>
              <w:jc w:val="center"/>
              <w:rPr>
                <w:color w:val="000000"/>
                <w:kern w:val="0"/>
                <w:sz w:val="24"/>
                <w:szCs w:val="24"/>
              </w:rPr>
            </w:pPr>
            <w:r>
              <w:rPr>
                <w:color w:val="000000"/>
                <w:kern w:val="0"/>
                <w:sz w:val="24"/>
                <w:szCs w:val="24"/>
              </w:rPr>
              <w:t>业绩比较基准收益率</w:t>
            </w:r>
            <w:r>
              <w:rPr>
                <w:rFonts w:hAnsi="宋体"/>
                <w:color w:val="000000"/>
                <w:kern w:val="0"/>
                <w:sz w:val="24"/>
                <w:szCs w:val="24"/>
              </w:rPr>
              <w:t>③</w:t>
            </w:r>
          </w:p>
        </w:tc>
        <w:tc>
          <w:tcPr>
            <w:tcW w:w="1492" w:type="dxa"/>
            <w:vAlign w:val="center"/>
          </w:tcPr>
          <w:p w:rsidR="00333CB1" w:rsidRDefault="00A64BAA">
            <w:pPr>
              <w:autoSpaceDE w:val="0"/>
              <w:autoSpaceDN w:val="0"/>
              <w:adjustRightInd w:val="0"/>
              <w:spacing w:before="29" w:line="288" w:lineRule="auto"/>
              <w:ind w:left="17"/>
              <w:jc w:val="center"/>
              <w:rPr>
                <w:color w:val="000000"/>
                <w:kern w:val="0"/>
                <w:sz w:val="24"/>
                <w:szCs w:val="24"/>
              </w:rPr>
            </w:pPr>
            <w:r>
              <w:rPr>
                <w:color w:val="000000"/>
                <w:kern w:val="0"/>
                <w:sz w:val="24"/>
                <w:szCs w:val="24"/>
              </w:rPr>
              <w:t>业绩比较基准收益率标准差</w:t>
            </w:r>
            <w:r>
              <w:rPr>
                <w:rFonts w:hAnsi="宋体"/>
                <w:color w:val="000000"/>
                <w:kern w:val="0"/>
                <w:sz w:val="24"/>
                <w:szCs w:val="24"/>
              </w:rPr>
              <w:t>④</w:t>
            </w:r>
          </w:p>
        </w:tc>
        <w:tc>
          <w:tcPr>
            <w:tcW w:w="1194" w:type="dxa"/>
            <w:vAlign w:val="center"/>
          </w:tcPr>
          <w:p w:rsidR="00333CB1" w:rsidRDefault="00A64BAA">
            <w:pPr>
              <w:autoSpaceDE w:val="0"/>
              <w:autoSpaceDN w:val="0"/>
              <w:adjustRightInd w:val="0"/>
              <w:spacing w:before="29" w:line="288" w:lineRule="auto"/>
              <w:ind w:left="17"/>
              <w:jc w:val="center"/>
              <w:rPr>
                <w:color w:val="000000"/>
                <w:kern w:val="0"/>
                <w:sz w:val="24"/>
                <w:szCs w:val="24"/>
              </w:rPr>
            </w:pPr>
            <w:r>
              <w:rPr>
                <w:rFonts w:hAnsi="宋体"/>
                <w:color w:val="000000"/>
                <w:kern w:val="0"/>
                <w:sz w:val="24"/>
                <w:szCs w:val="24"/>
              </w:rPr>
              <w:t>①</w:t>
            </w:r>
            <w:r>
              <w:rPr>
                <w:color w:val="000000"/>
                <w:kern w:val="0"/>
                <w:sz w:val="24"/>
                <w:szCs w:val="24"/>
              </w:rPr>
              <w:t>-</w:t>
            </w:r>
            <w:r>
              <w:rPr>
                <w:rFonts w:hAnsi="宋体"/>
                <w:color w:val="000000"/>
                <w:kern w:val="0"/>
                <w:sz w:val="24"/>
                <w:szCs w:val="24"/>
              </w:rPr>
              <w:t>③</w:t>
            </w:r>
          </w:p>
        </w:tc>
        <w:tc>
          <w:tcPr>
            <w:tcW w:w="898" w:type="dxa"/>
            <w:vAlign w:val="center"/>
          </w:tcPr>
          <w:p w:rsidR="00333CB1" w:rsidRDefault="00A64BAA">
            <w:pPr>
              <w:autoSpaceDE w:val="0"/>
              <w:autoSpaceDN w:val="0"/>
              <w:adjustRightInd w:val="0"/>
              <w:spacing w:before="29" w:line="288" w:lineRule="auto"/>
              <w:ind w:left="17"/>
              <w:jc w:val="center"/>
              <w:rPr>
                <w:color w:val="000000"/>
                <w:kern w:val="0"/>
                <w:sz w:val="24"/>
                <w:szCs w:val="24"/>
              </w:rPr>
            </w:pPr>
            <w:r>
              <w:rPr>
                <w:rFonts w:hAnsi="宋体"/>
                <w:color w:val="000000"/>
                <w:kern w:val="0"/>
                <w:sz w:val="24"/>
                <w:szCs w:val="24"/>
              </w:rPr>
              <w:t>②</w:t>
            </w:r>
            <w:r>
              <w:rPr>
                <w:color w:val="000000"/>
                <w:kern w:val="0"/>
                <w:sz w:val="24"/>
                <w:szCs w:val="24"/>
              </w:rPr>
              <w:t>-</w:t>
            </w:r>
            <w:r>
              <w:rPr>
                <w:rFonts w:hAnsi="宋体"/>
                <w:color w:val="000000"/>
                <w:kern w:val="0"/>
                <w:sz w:val="24"/>
                <w:szCs w:val="24"/>
              </w:rPr>
              <w:t>④</w:t>
            </w:r>
          </w:p>
        </w:tc>
      </w:tr>
      <w:tr w:rsidR="00333CB1">
        <w:trPr>
          <w:jc w:val="center"/>
        </w:trPr>
        <w:tc>
          <w:tcPr>
            <w:tcW w:w="1701" w:type="dxa"/>
            <w:vAlign w:val="center"/>
          </w:tcPr>
          <w:p w:rsidR="00333CB1" w:rsidRDefault="00A64BAA">
            <w:pPr>
              <w:jc w:val="left"/>
            </w:pPr>
            <w:r>
              <w:rPr>
                <w:color w:val="000000"/>
                <w:kern w:val="0"/>
                <w:sz w:val="24"/>
                <w:szCs w:val="24"/>
              </w:rPr>
              <w:t>2017.7.1-2017.8.31</w:t>
            </w:r>
          </w:p>
        </w:tc>
        <w:tc>
          <w:tcPr>
            <w:tcW w:w="1045" w:type="dxa"/>
            <w:vAlign w:val="center"/>
          </w:tcPr>
          <w:p w:rsidR="00333CB1" w:rsidRDefault="00A64BAA">
            <w:pPr>
              <w:jc w:val="center"/>
            </w:pPr>
            <w:r>
              <w:rPr>
                <w:color w:val="000000"/>
                <w:kern w:val="0"/>
                <w:sz w:val="24"/>
                <w:szCs w:val="24"/>
              </w:rPr>
              <w:t>0.00%</w:t>
            </w:r>
          </w:p>
        </w:tc>
        <w:tc>
          <w:tcPr>
            <w:tcW w:w="1344" w:type="dxa"/>
            <w:vAlign w:val="center"/>
          </w:tcPr>
          <w:p w:rsidR="00333CB1" w:rsidRDefault="00A64BAA">
            <w:pPr>
              <w:jc w:val="center"/>
            </w:pPr>
            <w:r>
              <w:rPr>
                <w:color w:val="000000"/>
                <w:kern w:val="0"/>
                <w:sz w:val="24"/>
                <w:szCs w:val="24"/>
              </w:rPr>
              <w:t>0.11%</w:t>
            </w:r>
          </w:p>
        </w:tc>
        <w:tc>
          <w:tcPr>
            <w:tcW w:w="1194" w:type="dxa"/>
            <w:vAlign w:val="center"/>
          </w:tcPr>
          <w:p w:rsidR="00333CB1" w:rsidRDefault="00A64BAA">
            <w:pPr>
              <w:jc w:val="center"/>
            </w:pPr>
            <w:r>
              <w:rPr>
                <w:color w:val="000000"/>
                <w:kern w:val="0"/>
                <w:sz w:val="24"/>
                <w:szCs w:val="24"/>
              </w:rPr>
              <w:t>-1.64%</w:t>
            </w:r>
          </w:p>
        </w:tc>
        <w:tc>
          <w:tcPr>
            <w:tcW w:w="1492" w:type="dxa"/>
            <w:vAlign w:val="center"/>
          </w:tcPr>
          <w:p w:rsidR="00333CB1" w:rsidRDefault="00A64BAA">
            <w:pPr>
              <w:jc w:val="center"/>
            </w:pPr>
            <w:r>
              <w:rPr>
                <w:color w:val="000000"/>
                <w:kern w:val="0"/>
                <w:sz w:val="24"/>
                <w:szCs w:val="24"/>
              </w:rPr>
              <w:t>0.34%</w:t>
            </w:r>
          </w:p>
        </w:tc>
        <w:tc>
          <w:tcPr>
            <w:tcW w:w="1194" w:type="dxa"/>
            <w:vAlign w:val="center"/>
          </w:tcPr>
          <w:p w:rsidR="00333CB1" w:rsidRDefault="00A64BAA">
            <w:pPr>
              <w:jc w:val="center"/>
            </w:pPr>
            <w:r>
              <w:rPr>
                <w:color w:val="000000"/>
                <w:kern w:val="0"/>
                <w:sz w:val="24"/>
                <w:szCs w:val="24"/>
              </w:rPr>
              <w:t>1.64%</w:t>
            </w:r>
          </w:p>
        </w:tc>
        <w:tc>
          <w:tcPr>
            <w:tcW w:w="898" w:type="dxa"/>
            <w:vAlign w:val="center"/>
          </w:tcPr>
          <w:p w:rsidR="00333CB1" w:rsidRDefault="00A64BAA">
            <w:pPr>
              <w:jc w:val="center"/>
            </w:pPr>
            <w:r>
              <w:rPr>
                <w:color w:val="000000"/>
                <w:kern w:val="0"/>
                <w:sz w:val="24"/>
                <w:szCs w:val="24"/>
              </w:rPr>
              <w:t>-0.23%</w:t>
            </w:r>
          </w:p>
        </w:tc>
      </w:tr>
    </w:tbl>
    <w:p w:rsidR="00333CB1" w:rsidRDefault="00333CB1">
      <w:pPr>
        <w:autoSpaceDE w:val="0"/>
        <w:autoSpaceDN w:val="0"/>
        <w:adjustRightInd w:val="0"/>
        <w:spacing w:before="29" w:line="288" w:lineRule="auto"/>
        <w:jc w:val="left"/>
        <w:rPr>
          <w:color w:val="000000"/>
          <w:kern w:val="0"/>
          <w:sz w:val="24"/>
          <w:szCs w:val="24"/>
        </w:rPr>
      </w:pPr>
    </w:p>
    <w:p w:rsidR="00333CB1" w:rsidRDefault="00A64BAA">
      <w:pPr>
        <w:autoSpaceDE w:val="0"/>
        <w:autoSpaceDN w:val="0"/>
        <w:adjustRightInd w:val="0"/>
        <w:spacing w:before="29" w:line="288" w:lineRule="auto"/>
        <w:jc w:val="left"/>
        <w:rPr>
          <w:b/>
          <w:bCs/>
          <w:color w:val="000000"/>
          <w:kern w:val="0"/>
          <w:sz w:val="24"/>
          <w:szCs w:val="24"/>
        </w:rPr>
      </w:pPr>
      <w:r>
        <w:rPr>
          <w:b/>
          <w:bCs/>
          <w:color w:val="000000"/>
          <w:kern w:val="0"/>
          <w:sz w:val="24"/>
          <w:szCs w:val="24"/>
        </w:rPr>
        <w:t>3.2.2</w:t>
      </w:r>
      <w:r>
        <w:rPr>
          <w:rFonts w:hint="eastAsia"/>
          <w:b/>
          <w:bCs/>
          <w:color w:val="000000"/>
          <w:kern w:val="0"/>
          <w:sz w:val="24"/>
          <w:szCs w:val="24"/>
        </w:rPr>
        <w:t xml:space="preserve">  </w:t>
      </w:r>
      <w:r>
        <w:rPr>
          <w:rFonts w:hint="eastAsia"/>
          <w:b/>
          <w:bCs/>
          <w:color w:val="000000"/>
          <w:kern w:val="0"/>
          <w:sz w:val="24"/>
          <w:szCs w:val="24"/>
        </w:rPr>
        <w:t>自基金合同生效以来</w:t>
      </w:r>
      <w:r>
        <w:rPr>
          <w:b/>
          <w:bCs/>
          <w:color w:val="000000"/>
          <w:sz w:val="24"/>
        </w:rPr>
        <w:t>基金份额累计净值增长率变动及其与同期业绩比较基准收益率变动的比较</w:t>
      </w:r>
    </w:p>
    <w:p w:rsidR="00333CB1" w:rsidRDefault="00A64BAA">
      <w:pPr>
        <w:spacing w:before="29" w:line="288" w:lineRule="auto"/>
        <w:jc w:val="center"/>
        <w:rPr>
          <w:color w:val="000000"/>
          <w:sz w:val="24"/>
          <w:szCs w:val="24"/>
        </w:rPr>
      </w:pPr>
      <w:proofErr w:type="gramStart"/>
      <w:r>
        <w:rPr>
          <w:color w:val="000000"/>
          <w:sz w:val="24"/>
          <w:szCs w:val="24"/>
        </w:rPr>
        <w:t>海富通瑞益债券</w:t>
      </w:r>
      <w:proofErr w:type="gramEnd"/>
      <w:r>
        <w:rPr>
          <w:color w:val="000000"/>
          <w:sz w:val="24"/>
          <w:szCs w:val="24"/>
        </w:rPr>
        <w:t>型证券投资基金</w:t>
      </w:r>
    </w:p>
    <w:p w:rsidR="00333CB1" w:rsidRDefault="00A64BAA">
      <w:pPr>
        <w:pStyle w:val="a9"/>
        <w:snapToGrid w:val="0"/>
        <w:spacing w:before="29" w:line="288"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份额累计净值增长率与业绩比较基准收益率历史走势对比图</w:t>
      </w:r>
    </w:p>
    <w:p w:rsidR="00333CB1" w:rsidRDefault="00A64BAA">
      <w:pPr>
        <w:snapToGrid w:val="0"/>
        <w:spacing w:before="29" w:line="288" w:lineRule="auto"/>
        <w:jc w:val="center"/>
        <w:rPr>
          <w:color w:val="000000"/>
          <w:sz w:val="24"/>
        </w:rPr>
      </w:pPr>
      <w:r>
        <w:rPr>
          <w:rFonts w:hint="eastAsia"/>
          <w:color w:val="000000"/>
          <w:sz w:val="24"/>
        </w:rPr>
        <w:t>(2016</w:t>
      </w:r>
      <w:r>
        <w:rPr>
          <w:rFonts w:hint="eastAsia"/>
          <w:color w:val="000000"/>
          <w:sz w:val="24"/>
        </w:rPr>
        <w:t>年</w:t>
      </w:r>
      <w:r>
        <w:rPr>
          <w:rFonts w:hint="eastAsia"/>
          <w:color w:val="000000"/>
          <w:sz w:val="24"/>
        </w:rPr>
        <w:t>8</w:t>
      </w:r>
      <w:r>
        <w:rPr>
          <w:rFonts w:hint="eastAsia"/>
          <w:color w:val="000000"/>
          <w:sz w:val="24"/>
        </w:rPr>
        <w:t>月</w:t>
      </w:r>
      <w:r>
        <w:rPr>
          <w:rFonts w:hint="eastAsia"/>
          <w:color w:val="000000"/>
          <w:sz w:val="24"/>
        </w:rPr>
        <w:t>3</w:t>
      </w:r>
      <w:r>
        <w:rPr>
          <w:rFonts w:hint="eastAsia"/>
          <w:color w:val="000000"/>
          <w:sz w:val="24"/>
        </w:rPr>
        <w:t>日至</w:t>
      </w:r>
      <w:r>
        <w:rPr>
          <w:color w:val="000000"/>
          <w:sz w:val="24"/>
        </w:rPr>
        <w:t>2017</w:t>
      </w:r>
      <w:r>
        <w:rPr>
          <w:color w:val="000000"/>
          <w:sz w:val="24"/>
        </w:rPr>
        <w:t>年</w:t>
      </w:r>
      <w:r>
        <w:rPr>
          <w:color w:val="000000"/>
          <w:sz w:val="24"/>
        </w:rPr>
        <w:t>8</w:t>
      </w:r>
      <w:r>
        <w:rPr>
          <w:color w:val="000000"/>
          <w:sz w:val="24"/>
        </w:rPr>
        <w:t>月</w:t>
      </w:r>
      <w:r>
        <w:rPr>
          <w:color w:val="000000"/>
          <w:sz w:val="24"/>
        </w:rPr>
        <w:t>31</w:t>
      </w:r>
      <w:r>
        <w:rPr>
          <w:color w:val="000000"/>
          <w:sz w:val="24"/>
        </w:rPr>
        <w:t>日</w:t>
      </w:r>
      <w:r>
        <w:rPr>
          <w:rFonts w:hint="eastAsia"/>
          <w:color w:val="000000"/>
          <w:sz w:val="24"/>
        </w:rPr>
        <w:t>)</w:t>
      </w:r>
    </w:p>
    <w:p w:rsidR="00333CB1" w:rsidRDefault="00A64BAA">
      <w:pPr>
        <w:pStyle w:val="a9"/>
        <w:snapToGrid w:val="0"/>
        <w:spacing w:before="29" w:line="288"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走势图1.jpg"/>
                    <pic:cNvPicPr>
                      <a:picLocks noChangeAspect="1"/>
                    </pic:cNvPicPr>
                  </pic:nvPicPr>
                  <pic:blipFill>
                    <a:blip r:embed="rId11" cstate="print"/>
                    <a:stretch>
                      <a:fillRect/>
                    </a:stretch>
                  </pic:blipFill>
                  <pic:spPr>
                    <a:xfrm>
                      <a:off x="0" y="0"/>
                      <a:ext cx="5731510" cy="3356610"/>
                    </a:xfrm>
                    <a:prstGeom prst="rect">
                      <a:avLst/>
                    </a:prstGeom>
                  </pic:spPr>
                </pic:pic>
              </a:graphicData>
            </a:graphic>
          </wp:inline>
        </w:drawing>
      </w:r>
    </w:p>
    <w:p w:rsidR="00333CB1" w:rsidRDefault="00A64BAA">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、本基金合同于</w:t>
      </w:r>
      <w:r>
        <w:rPr>
          <w:color w:val="000000"/>
          <w:sz w:val="24"/>
          <w:szCs w:val="24"/>
        </w:rPr>
        <w:t>2016</w:t>
      </w:r>
      <w:r>
        <w:rPr>
          <w:color w:val="000000"/>
          <w:sz w:val="24"/>
          <w:szCs w:val="24"/>
        </w:rPr>
        <w:t>年</w:t>
      </w:r>
      <w:r>
        <w:rPr>
          <w:color w:val="000000"/>
          <w:sz w:val="24"/>
          <w:szCs w:val="24"/>
        </w:rPr>
        <w:t>8</w:t>
      </w:r>
      <w:r>
        <w:rPr>
          <w:color w:val="000000"/>
          <w:sz w:val="24"/>
          <w:szCs w:val="24"/>
        </w:rPr>
        <w:t>月</w:t>
      </w:r>
      <w:r>
        <w:rPr>
          <w:color w:val="000000"/>
          <w:sz w:val="24"/>
          <w:szCs w:val="24"/>
        </w:rPr>
        <w:t>3</w:t>
      </w:r>
      <w:r>
        <w:rPr>
          <w:color w:val="000000"/>
          <w:sz w:val="24"/>
          <w:szCs w:val="24"/>
        </w:rPr>
        <w:t>日生效，最后运作日为</w:t>
      </w:r>
      <w:r>
        <w:rPr>
          <w:color w:val="000000"/>
          <w:sz w:val="24"/>
          <w:szCs w:val="24"/>
        </w:rPr>
        <w:t>2017</w:t>
      </w:r>
      <w:r>
        <w:rPr>
          <w:color w:val="000000"/>
          <w:sz w:val="24"/>
          <w:szCs w:val="24"/>
        </w:rPr>
        <w:t>年</w:t>
      </w:r>
      <w:r>
        <w:rPr>
          <w:color w:val="000000"/>
          <w:sz w:val="24"/>
          <w:szCs w:val="24"/>
        </w:rPr>
        <w:t>8</w:t>
      </w:r>
      <w:r>
        <w:rPr>
          <w:color w:val="000000"/>
          <w:sz w:val="24"/>
          <w:szCs w:val="24"/>
        </w:rPr>
        <w:t>月</w:t>
      </w:r>
      <w:r>
        <w:rPr>
          <w:color w:val="000000"/>
          <w:sz w:val="24"/>
          <w:szCs w:val="24"/>
        </w:rPr>
        <w:t>31</w:t>
      </w:r>
      <w:r>
        <w:rPr>
          <w:color w:val="000000"/>
          <w:sz w:val="24"/>
          <w:szCs w:val="24"/>
        </w:rPr>
        <w:t>日。</w:t>
      </w:r>
    </w:p>
    <w:p w:rsidR="00333CB1" w:rsidRDefault="00A64BAA">
      <w:pPr>
        <w:autoSpaceDE w:val="0"/>
        <w:autoSpaceDN w:val="0"/>
        <w:adjustRightInd w:val="0"/>
        <w:spacing w:before="29" w:line="288" w:lineRule="auto"/>
        <w:jc w:val="left"/>
        <w:rPr>
          <w:color w:val="000000"/>
          <w:sz w:val="24"/>
          <w:szCs w:val="24"/>
        </w:rPr>
      </w:pPr>
      <w:r>
        <w:rPr>
          <w:color w:val="000000"/>
          <w:sz w:val="24"/>
          <w:szCs w:val="24"/>
        </w:rPr>
        <w:t>2</w:t>
      </w:r>
      <w:r>
        <w:rPr>
          <w:color w:val="000000"/>
          <w:sz w:val="24"/>
          <w:szCs w:val="24"/>
        </w:rPr>
        <w:t>、按基金合同规定，本基金自基金合同生效起</w:t>
      </w:r>
      <w:r>
        <w:rPr>
          <w:color w:val="000000"/>
          <w:sz w:val="24"/>
          <w:szCs w:val="24"/>
        </w:rPr>
        <w:t>6</w:t>
      </w:r>
      <w:r>
        <w:rPr>
          <w:color w:val="000000"/>
          <w:sz w:val="24"/>
          <w:szCs w:val="24"/>
        </w:rPr>
        <w:t>个月内为建仓期。建仓期结束时本基金的各项投资比例已达到基金合同第十二部分（二）投资范围、（四）投资限制中规定的各项比例。</w:t>
      </w:r>
    </w:p>
    <w:p w:rsidR="00333CB1" w:rsidRDefault="00333CB1">
      <w:pPr>
        <w:tabs>
          <w:tab w:val="left" w:pos="1800"/>
        </w:tabs>
        <w:spacing w:before="29" w:line="288" w:lineRule="auto"/>
        <w:rPr>
          <w:color w:val="000000"/>
          <w:sz w:val="24"/>
          <w:szCs w:val="24"/>
        </w:rPr>
      </w:pPr>
    </w:p>
    <w:p w:rsidR="00333CB1" w:rsidRDefault="00333CB1">
      <w:pPr>
        <w:tabs>
          <w:tab w:val="left" w:pos="1800"/>
        </w:tabs>
        <w:spacing w:before="29" w:line="288" w:lineRule="auto"/>
        <w:rPr>
          <w:color w:val="000000"/>
          <w:sz w:val="24"/>
          <w:szCs w:val="24"/>
        </w:rPr>
      </w:pPr>
    </w:p>
    <w:p w:rsidR="00333CB1" w:rsidRDefault="00A64BAA" w:rsidP="00B33365">
      <w:pPr>
        <w:pStyle w:val="1"/>
        <w:spacing w:beforeLines="100" w:before="312" w:afterLines="100" w:after="312" w:line="288" w:lineRule="auto"/>
        <w:jc w:val="center"/>
        <w:rPr>
          <w:color w:val="000000"/>
          <w:kern w:val="0"/>
          <w:sz w:val="24"/>
          <w:szCs w:val="24"/>
        </w:rPr>
      </w:pPr>
      <w:r>
        <w:rPr>
          <w:color w:val="000000"/>
          <w:kern w:val="0"/>
          <w:sz w:val="24"/>
          <w:szCs w:val="24"/>
        </w:rPr>
        <w:t xml:space="preserve">§4  </w:t>
      </w:r>
      <w:r>
        <w:rPr>
          <w:color w:val="000000"/>
          <w:kern w:val="0"/>
          <w:sz w:val="24"/>
          <w:szCs w:val="24"/>
        </w:rPr>
        <w:t>管理人报告</w:t>
      </w:r>
    </w:p>
    <w:p w:rsidR="00333CB1" w:rsidRDefault="00A64BAA">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4.1 </w:t>
      </w:r>
      <w:r>
        <w:rPr>
          <w:b/>
          <w:bCs/>
          <w:color w:val="000000"/>
          <w:kern w:val="0"/>
          <w:sz w:val="24"/>
          <w:szCs w:val="24"/>
        </w:rPr>
        <w:t>基金经理</w:t>
      </w:r>
      <w:r>
        <w:rPr>
          <w:b/>
          <w:color w:val="000000"/>
          <w:kern w:val="0"/>
          <w:sz w:val="24"/>
        </w:rPr>
        <w:t>（</w:t>
      </w:r>
      <w:r>
        <w:rPr>
          <w:b/>
          <w:bCs/>
          <w:color w:val="000000"/>
          <w:kern w:val="0"/>
          <w:sz w:val="24"/>
          <w:szCs w:val="24"/>
        </w:rPr>
        <w:t>或基金经理小组</w:t>
      </w:r>
      <w:r>
        <w:rPr>
          <w:b/>
          <w:color w:val="000000"/>
          <w:kern w:val="0"/>
          <w:sz w:val="24"/>
        </w:rPr>
        <w:t>）</w:t>
      </w:r>
      <w:r>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45"/>
        <w:gridCol w:w="1549"/>
        <w:gridCol w:w="1548"/>
        <w:gridCol w:w="1407"/>
        <w:gridCol w:w="2673"/>
      </w:tblGrid>
      <w:tr w:rsidR="00333CB1">
        <w:trPr>
          <w:trHeight w:val="292"/>
          <w:jc w:val="center"/>
        </w:trPr>
        <w:tc>
          <w:tcPr>
            <w:tcW w:w="846" w:type="dxa"/>
            <w:vMerge w:val="restart"/>
            <w:vAlign w:val="center"/>
          </w:tcPr>
          <w:p w:rsidR="00333CB1" w:rsidRDefault="00A64BAA">
            <w:pPr>
              <w:widowControl/>
              <w:spacing w:before="29" w:line="288" w:lineRule="auto"/>
              <w:ind w:left="17"/>
              <w:jc w:val="center"/>
              <w:rPr>
                <w:color w:val="000000"/>
                <w:kern w:val="0"/>
                <w:sz w:val="24"/>
                <w:szCs w:val="24"/>
              </w:rPr>
            </w:pPr>
            <w:r>
              <w:rPr>
                <w:color w:val="000000"/>
                <w:kern w:val="0"/>
                <w:sz w:val="24"/>
                <w:szCs w:val="24"/>
              </w:rPr>
              <w:t>姓名</w:t>
            </w:r>
          </w:p>
        </w:tc>
        <w:tc>
          <w:tcPr>
            <w:tcW w:w="845" w:type="dxa"/>
            <w:vMerge w:val="restart"/>
            <w:vAlign w:val="center"/>
          </w:tcPr>
          <w:p w:rsidR="00333CB1" w:rsidRDefault="00A64BAA">
            <w:pPr>
              <w:widowControl/>
              <w:spacing w:before="29" w:line="288" w:lineRule="auto"/>
              <w:ind w:left="17"/>
              <w:jc w:val="center"/>
              <w:rPr>
                <w:color w:val="000000"/>
                <w:kern w:val="0"/>
                <w:sz w:val="24"/>
                <w:szCs w:val="24"/>
              </w:rPr>
            </w:pPr>
            <w:r>
              <w:rPr>
                <w:color w:val="000000"/>
                <w:kern w:val="0"/>
                <w:sz w:val="24"/>
                <w:szCs w:val="24"/>
              </w:rPr>
              <w:t>职务</w:t>
            </w:r>
          </w:p>
        </w:tc>
        <w:tc>
          <w:tcPr>
            <w:tcW w:w="3097" w:type="dxa"/>
            <w:gridSpan w:val="2"/>
            <w:vAlign w:val="center"/>
          </w:tcPr>
          <w:p w:rsidR="00333CB1" w:rsidRDefault="00A64BAA">
            <w:pPr>
              <w:autoSpaceDE w:val="0"/>
              <w:autoSpaceDN w:val="0"/>
              <w:adjustRightInd w:val="0"/>
              <w:spacing w:before="29" w:line="288" w:lineRule="auto"/>
              <w:ind w:left="17"/>
              <w:jc w:val="center"/>
              <w:rPr>
                <w:color w:val="000000"/>
                <w:kern w:val="0"/>
                <w:sz w:val="24"/>
                <w:szCs w:val="24"/>
              </w:rPr>
            </w:pPr>
            <w:proofErr w:type="gramStart"/>
            <w:r>
              <w:rPr>
                <w:color w:val="000000"/>
                <w:kern w:val="0"/>
                <w:sz w:val="24"/>
                <w:szCs w:val="24"/>
              </w:rPr>
              <w:t>任本基金</w:t>
            </w:r>
            <w:proofErr w:type="gramEnd"/>
            <w:r>
              <w:rPr>
                <w:color w:val="000000"/>
                <w:kern w:val="0"/>
                <w:sz w:val="24"/>
                <w:szCs w:val="24"/>
              </w:rPr>
              <w:t>的基金经理期限</w:t>
            </w:r>
          </w:p>
        </w:tc>
        <w:tc>
          <w:tcPr>
            <w:tcW w:w="1407" w:type="dxa"/>
            <w:vMerge w:val="restart"/>
            <w:vAlign w:val="center"/>
          </w:tcPr>
          <w:p w:rsidR="00333CB1" w:rsidRDefault="00A64BAA">
            <w:pPr>
              <w:autoSpaceDE w:val="0"/>
              <w:autoSpaceDN w:val="0"/>
              <w:adjustRightInd w:val="0"/>
              <w:spacing w:before="29" w:line="288" w:lineRule="auto"/>
              <w:ind w:left="17"/>
              <w:jc w:val="center"/>
              <w:rPr>
                <w:color w:val="000000"/>
                <w:kern w:val="0"/>
                <w:sz w:val="24"/>
                <w:szCs w:val="24"/>
              </w:rPr>
            </w:pPr>
            <w:r>
              <w:rPr>
                <w:color w:val="000000"/>
                <w:kern w:val="0"/>
                <w:sz w:val="24"/>
                <w:szCs w:val="24"/>
              </w:rPr>
              <w:t>证券从业年限</w:t>
            </w:r>
          </w:p>
        </w:tc>
        <w:tc>
          <w:tcPr>
            <w:tcW w:w="2673" w:type="dxa"/>
            <w:vMerge w:val="restart"/>
            <w:vAlign w:val="center"/>
          </w:tcPr>
          <w:p w:rsidR="00333CB1" w:rsidRDefault="00A64BAA">
            <w:pPr>
              <w:widowControl/>
              <w:spacing w:before="29" w:line="288" w:lineRule="auto"/>
              <w:ind w:left="17"/>
              <w:jc w:val="center"/>
              <w:rPr>
                <w:color w:val="000000"/>
                <w:kern w:val="0"/>
                <w:sz w:val="24"/>
                <w:szCs w:val="24"/>
              </w:rPr>
            </w:pPr>
            <w:r>
              <w:rPr>
                <w:color w:val="000000"/>
                <w:kern w:val="0"/>
                <w:sz w:val="24"/>
                <w:szCs w:val="24"/>
              </w:rPr>
              <w:t>说明</w:t>
            </w:r>
          </w:p>
        </w:tc>
      </w:tr>
      <w:tr w:rsidR="00333CB1">
        <w:trPr>
          <w:jc w:val="center"/>
        </w:trPr>
        <w:tc>
          <w:tcPr>
            <w:tcW w:w="846" w:type="dxa"/>
            <w:vMerge/>
            <w:vAlign w:val="center"/>
          </w:tcPr>
          <w:p w:rsidR="00333CB1" w:rsidRDefault="00333CB1">
            <w:pPr>
              <w:widowControl/>
              <w:spacing w:before="29" w:line="288" w:lineRule="auto"/>
              <w:jc w:val="left"/>
              <w:rPr>
                <w:color w:val="000000"/>
                <w:kern w:val="0"/>
                <w:sz w:val="24"/>
                <w:szCs w:val="24"/>
              </w:rPr>
            </w:pPr>
          </w:p>
        </w:tc>
        <w:tc>
          <w:tcPr>
            <w:tcW w:w="845" w:type="dxa"/>
            <w:vMerge/>
            <w:vAlign w:val="center"/>
          </w:tcPr>
          <w:p w:rsidR="00333CB1" w:rsidRDefault="00333CB1">
            <w:pPr>
              <w:widowControl/>
              <w:spacing w:before="29" w:line="288" w:lineRule="auto"/>
              <w:jc w:val="left"/>
              <w:rPr>
                <w:color w:val="000000"/>
                <w:kern w:val="0"/>
                <w:sz w:val="24"/>
                <w:szCs w:val="24"/>
              </w:rPr>
            </w:pPr>
          </w:p>
        </w:tc>
        <w:tc>
          <w:tcPr>
            <w:tcW w:w="1549" w:type="dxa"/>
            <w:vAlign w:val="center"/>
          </w:tcPr>
          <w:p w:rsidR="00333CB1" w:rsidRDefault="00A64BAA">
            <w:pPr>
              <w:autoSpaceDE w:val="0"/>
              <w:autoSpaceDN w:val="0"/>
              <w:adjustRightInd w:val="0"/>
              <w:spacing w:before="29" w:line="288" w:lineRule="auto"/>
              <w:ind w:left="17"/>
              <w:jc w:val="center"/>
              <w:rPr>
                <w:color w:val="000000"/>
                <w:kern w:val="0"/>
                <w:sz w:val="24"/>
                <w:szCs w:val="24"/>
              </w:rPr>
            </w:pPr>
            <w:r>
              <w:rPr>
                <w:color w:val="000000"/>
                <w:kern w:val="0"/>
                <w:sz w:val="24"/>
                <w:szCs w:val="24"/>
              </w:rPr>
              <w:t>任职日期</w:t>
            </w:r>
          </w:p>
        </w:tc>
        <w:tc>
          <w:tcPr>
            <w:tcW w:w="1548" w:type="dxa"/>
            <w:vAlign w:val="center"/>
          </w:tcPr>
          <w:p w:rsidR="00333CB1" w:rsidRDefault="00A64BAA">
            <w:pPr>
              <w:autoSpaceDE w:val="0"/>
              <w:autoSpaceDN w:val="0"/>
              <w:adjustRightInd w:val="0"/>
              <w:spacing w:before="29" w:line="288" w:lineRule="auto"/>
              <w:ind w:left="17"/>
              <w:jc w:val="center"/>
              <w:rPr>
                <w:color w:val="000000"/>
                <w:kern w:val="0"/>
                <w:sz w:val="24"/>
                <w:szCs w:val="24"/>
              </w:rPr>
            </w:pPr>
            <w:r>
              <w:rPr>
                <w:color w:val="000000"/>
                <w:kern w:val="0"/>
                <w:sz w:val="24"/>
                <w:szCs w:val="24"/>
              </w:rPr>
              <w:t>离任日期</w:t>
            </w:r>
          </w:p>
        </w:tc>
        <w:tc>
          <w:tcPr>
            <w:tcW w:w="1407" w:type="dxa"/>
            <w:vMerge/>
            <w:vAlign w:val="center"/>
          </w:tcPr>
          <w:p w:rsidR="00333CB1" w:rsidRDefault="00333CB1">
            <w:pPr>
              <w:widowControl/>
              <w:spacing w:before="29" w:line="288" w:lineRule="auto"/>
              <w:jc w:val="left"/>
              <w:rPr>
                <w:color w:val="000000"/>
                <w:kern w:val="0"/>
                <w:sz w:val="24"/>
                <w:szCs w:val="24"/>
              </w:rPr>
            </w:pPr>
          </w:p>
        </w:tc>
        <w:tc>
          <w:tcPr>
            <w:tcW w:w="2673" w:type="dxa"/>
            <w:vMerge/>
            <w:vAlign w:val="center"/>
          </w:tcPr>
          <w:p w:rsidR="00333CB1" w:rsidRDefault="00333CB1">
            <w:pPr>
              <w:widowControl/>
              <w:spacing w:before="29" w:line="288" w:lineRule="auto"/>
              <w:jc w:val="left"/>
              <w:rPr>
                <w:color w:val="000000"/>
                <w:kern w:val="0"/>
                <w:sz w:val="24"/>
                <w:szCs w:val="24"/>
              </w:rPr>
            </w:pPr>
          </w:p>
        </w:tc>
      </w:tr>
      <w:tr w:rsidR="00333CB1">
        <w:trPr>
          <w:jc w:val="center"/>
        </w:trPr>
        <w:tc>
          <w:tcPr>
            <w:tcW w:w="846" w:type="dxa"/>
            <w:vAlign w:val="center"/>
          </w:tcPr>
          <w:p w:rsidR="00333CB1" w:rsidRDefault="00A64BAA">
            <w:pPr>
              <w:jc w:val="center"/>
            </w:pPr>
            <w:r>
              <w:rPr>
                <w:color w:val="000000"/>
                <w:sz w:val="24"/>
                <w:szCs w:val="24"/>
              </w:rPr>
              <w:t>陈轶平</w:t>
            </w:r>
          </w:p>
        </w:tc>
        <w:tc>
          <w:tcPr>
            <w:tcW w:w="845" w:type="dxa"/>
            <w:vAlign w:val="center"/>
          </w:tcPr>
          <w:p w:rsidR="00333CB1" w:rsidRDefault="00A64BAA">
            <w:pPr>
              <w:jc w:val="center"/>
            </w:pPr>
            <w:r>
              <w:rPr>
                <w:color w:val="000000"/>
                <w:sz w:val="24"/>
                <w:szCs w:val="24"/>
              </w:rPr>
              <w:t>本基金的基金经理；海富通货币基金经理；海富通季季增利</w:t>
            </w:r>
            <w:r>
              <w:rPr>
                <w:color w:val="000000"/>
                <w:sz w:val="24"/>
                <w:szCs w:val="24"/>
              </w:rPr>
              <w:lastRenderedPageBreak/>
              <w:t>理财债券基金经理；海富通稳进增利债券基金（</w:t>
            </w:r>
            <w:r>
              <w:rPr>
                <w:color w:val="000000"/>
                <w:sz w:val="24"/>
                <w:szCs w:val="24"/>
              </w:rPr>
              <w:t>LOF</w:t>
            </w:r>
            <w:r>
              <w:rPr>
                <w:color w:val="000000"/>
                <w:sz w:val="24"/>
                <w:szCs w:val="24"/>
              </w:rPr>
              <w:t>）经理；海富通稳固收益债券基金经理；海富通一年定开债券基金经理；海富通上证可质押</w:t>
            </w:r>
            <w:proofErr w:type="gramStart"/>
            <w:r>
              <w:rPr>
                <w:color w:val="000000"/>
                <w:sz w:val="24"/>
                <w:szCs w:val="24"/>
              </w:rPr>
              <w:t>城投债</w:t>
            </w:r>
            <w:proofErr w:type="gramEnd"/>
            <w:r>
              <w:rPr>
                <w:color w:val="000000"/>
                <w:sz w:val="24"/>
                <w:szCs w:val="24"/>
              </w:rPr>
              <w:t>ETF</w:t>
            </w:r>
            <w:r>
              <w:rPr>
                <w:color w:val="000000"/>
                <w:sz w:val="24"/>
                <w:szCs w:val="24"/>
              </w:rPr>
              <w:t>基金经理；海富通瑞丰一年定开债券基金经理；海富通美元</w:t>
            </w:r>
            <w:r>
              <w:rPr>
                <w:color w:val="000000"/>
                <w:sz w:val="24"/>
                <w:szCs w:val="24"/>
              </w:rPr>
              <w:lastRenderedPageBreak/>
              <w:t>债（</w:t>
            </w:r>
            <w:r>
              <w:rPr>
                <w:color w:val="000000"/>
                <w:sz w:val="24"/>
                <w:szCs w:val="24"/>
              </w:rPr>
              <w:t>QDII</w:t>
            </w:r>
            <w:r>
              <w:rPr>
                <w:color w:val="000000"/>
                <w:sz w:val="24"/>
                <w:szCs w:val="24"/>
              </w:rPr>
              <w:t>）基金经理；海富通富祥混合基金经理；海富通上证周期产业债</w:t>
            </w:r>
            <w:r>
              <w:rPr>
                <w:color w:val="000000"/>
                <w:sz w:val="24"/>
                <w:szCs w:val="24"/>
              </w:rPr>
              <w:t>ETF</w:t>
            </w:r>
            <w:r>
              <w:rPr>
                <w:color w:val="000000"/>
                <w:sz w:val="24"/>
                <w:szCs w:val="24"/>
              </w:rPr>
              <w:t>基金经理；海富通瑞利债券基金经理；海富通富源债券基金经理；海富通瑞</w:t>
            </w:r>
            <w:proofErr w:type="gramStart"/>
            <w:r>
              <w:rPr>
                <w:color w:val="000000"/>
                <w:sz w:val="24"/>
                <w:szCs w:val="24"/>
              </w:rPr>
              <w:t>合纯债基金</w:t>
            </w:r>
            <w:proofErr w:type="gramEnd"/>
            <w:r>
              <w:rPr>
                <w:color w:val="000000"/>
                <w:sz w:val="24"/>
                <w:szCs w:val="24"/>
              </w:rPr>
              <w:t>经理；海富通富睿混合基金经理；海富通欣悦混合基</w:t>
            </w:r>
            <w:r>
              <w:rPr>
                <w:color w:val="000000"/>
                <w:sz w:val="24"/>
                <w:szCs w:val="24"/>
              </w:rPr>
              <w:lastRenderedPageBreak/>
              <w:t>金经理；海富通瑞福一年定开债券基金经理；海富通瑞</w:t>
            </w:r>
            <w:proofErr w:type="gramStart"/>
            <w:r>
              <w:rPr>
                <w:color w:val="000000"/>
                <w:sz w:val="24"/>
                <w:szCs w:val="24"/>
              </w:rPr>
              <w:t>祥</w:t>
            </w:r>
            <w:proofErr w:type="gramEnd"/>
            <w:r>
              <w:rPr>
                <w:color w:val="000000"/>
                <w:sz w:val="24"/>
                <w:szCs w:val="24"/>
              </w:rPr>
              <w:t>一年定开债券基金经理。</w:t>
            </w:r>
            <w:r>
              <w:rPr>
                <w:color w:val="000000"/>
                <w:sz w:val="24"/>
                <w:szCs w:val="24"/>
              </w:rPr>
              <w:t>固定收益投资部副总监。</w:t>
            </w:r>
          </w:p>
        </w:tc>
        <w:tc>
          <w:tcPr>
            <w:tcW w:w="1549" w:type="dxa"/>
            <w:vAlign w:val="center"/>
          </w:tcPr>
          <w:p w:rsidR="00333CB1" w:rsidRDefault="00A64BAA">
            <w:pPr>
              <w:jc w:val="center"/>
            </w:pPr>
            <w:r>
              <w:rPr>
                <w:color w:val="000000"/>
                <w:sz w:val="24"/>
                <w:szCs w:val="24"/>
              </w:rPr>
              <w:lastRenderedPageBreak/>
              <w:t>2016-08-03</w:t>
            </w:r>
          </w:p>
        </w:tc>
        <w:tc>
          <w:tcPr>
            <w:tcW w:w="1548" w:type="dxa"/>
            <w:vAlign w:val="center"/>
          </w:tcPr>
          <w:p w:rsidR="00333CB1" w:rsidRDefault="00A64BAA">
            <w:pPr>
              <w:jc w:val="center"/>
            </w:pPr>
            <w:r>
              <w:rPr>
                <w:color w:val="000000"/>
                <w:sz w:val="24"/>
                <w:szCs w:val="24"/>
              </w:rPr>
              <w:t>-</w:t>
            </w:r>
          </w:p>
        </w:tc>
        <w:tc>
          <w:tcPr>
            <w:tcW w:w="1407" w:type="dxa"/>
            <w:vAlign w:val="center"/>
          </w:tcPr>
          <w:p w:rsidR="00333CB1" w:rsidRDefault="00A64BAA">
            <w:pPr>
              <w:jc w:val="center"/>
            </w:pPr>
            <w:r>
              <w:rPr>
                <w:color w:val="000000"/>
                <w:sz w:val="24"/>
                <w:szCs w:val="24"/>
              </w:rPr>
              <w:t>8</w:t>
            </w:r>
            <w:r>
              <w:rPr>
                <w:color w:val="000000"/>
                <w:sz w:val="24"/>
                <w:szCs w:val="24"/>
              </w:rPr>
              <w:t>年</w:t>
            </w:r>
          </w:p>
        </w:tc>
        <w:tc>
          <w:tcPr>
            <w:tcW w:w="2673" w:type="dxa"/>
            <w:vAlign w:val="center"/>
          </w:tcPr>
          <w:p w:rsidR="00333CB1" w:rsidRDefault="00A64BAA">
            <w:r>
              <w:rPr>
                <w:color w:val="000000"/>
                <w:sz w:val="24"/>
                <w:szCs w:val="24"/>
              </w:rPr>
              <w:t>博士，</w:t>
            </w:r>
            <w:r>
              <w:rPr>
                <w:color w:val="000000"/>
                <w:sz w:val="24"/>
                <w:szCs w:val="24"/>
              </w:rPr>
              <w:t>CFA</w:t>
            </w:r>
            <w:r>
              <w:rPr>
                <w:color w:val="000000"/>
                <w:sz w:val="24"/>
                <w:szCs w:val="24"/>
              </w:rPr>
              <w:t>。持有基金从业人员资格证书。历任</w:t>
            </w:r>
            <w:r>
              <w:rPr>
                <w:color w:val="000000"/>
                <w:sz w:val="24"/>
                <w:szCs w:val="24"/>
              </w:rPr>
              <w:t xml:space="preserve">Mariner Investment Group LLC </w:t>
            </w:r>
            <w:r>
              <w:rPr>
                <w:color w:val="000000"/>
                <w:sz w:val="24"/>
                <w:szCs w:val="24"/>
              </w:rPr>
              <w:t>数量金融分析师、瑞银企业管理（上海）有限公司固定收益交易组合研究支持部副董事，</w:t>
            </w:r>
            <w:r>
              <w:rPr>
                <w:color w:val="000000"/>
                <w:sz w:val="24"/>
                <w:szCs w:val="24"/>
              </w:rPr>
              <w:t>2011</w:t>
            </w:r>
            <w:r>
              <w:rPr>
                <w:color w:val="000000"/>
                <w:sz w:val="24"/>
                <w:szCs w:val="24"/>
              </w:rPr>
              <w:t>年</w:t>
            </w:r>
            <w:r>
              <w:rPr>
                <w:color w:val="000000"/>
                <w:sz w:val="24"/>
                <w:szCs w:val="24"/>
              </w:rPr>
              <w:t>10</w:t>
            </w:r>
            <w:r>
              <w:rPr>
                <w:color w:val="000000"/>
                <w:sz w:val="24"/>
                <w:szCs w:val="24"/>
              </w:rPr>
              <w:t>月加入海富通基金管理有限公司，历任债券投资经理，基金经理、现金管理部副总监、债券基金部总</w:t>
            </w:r>
            <w:r>
              <w:rPr>
                <w:color w:val="000000"/>
                <w:sz w:val="24"/>
                <w:szCs w:val="24"/>
              </w:rPr>
              <w:lastRenderedPageBreak/>
              <w:t>监，现任固定收益投资部副总监兼债券基金部总监。</w:t>
            </w:r>
            <w:r>
              <w:rPr>
                <w:color w:val="000000"/>
                <w:sz w:val="24"/>
                <w:szCs w:val="24"/>
              </w:rPr>
              <w:t>2013</w:t>
            </w:r>
            <w:r>
              <w:rPr>
                <w:color w:val="000000"/>
                <w:sz w:val="24"/>
                <w:szCs w:val="24"/>
              </w:rPr>
              <w:t>年</w:t>
            </w:r>
            <w:r>
              <w:rPr>
                <w:color w:val="000000"/>
                <w:sz w:val="24"/>
                <w:szCs w:val="24"/>
              </w:rPr>
              <w:t>8</w:t>
            </w:r>
            <w:r>
              <w:rPr>
                <w:color w:val="000000"/>
                <w:sz w:val="24"/>
                <w:szCs w:val="24"/>
              </w:rPr>
              <w:t>月起任海富通货币基金经理。</w:t>
            </w:r>
            <w:r>
              <w:rPr>
                <w:color w:val="000000"/>
                <w:sz w:val="24"/>
                <w:szCs w:val="24"/>
              </w:rPr>
              <w:t>2014</w:t>
            </w:r>
            <w:r>
              <w:rPr>
                <w:color w:val="000000"/>
                <w:sz w:val="24"/>
                <w:szCs w:val="24"/>
              </w:rPr>
              <w:t>年</w:t>
            </w:r>
            <w:r>
              <w:rPr>
                <w:color w:val="000000"/>
                <w:sz w:val="24"/>
                <w:szCs w:val="24"/>
              </w:rPr>
              <w:t>8</w:t>
            </w:r>
            <w:r>
              <w:rPr>
                <w:color w:val="000000"/>
                <w:sz w:val="24"/>
                <w:szCs w:val="24"/>
              </w:rPr>
              <w:t>月起兼任海富通季季增利理财债券基金经理。</w:t>
            </w:r>
            <w:r>
              <w:rPr>
                <w:color w:val="000000"/>
                <w:sz w:val="24"/>
                <w:szCs w:val="24"/>
              </w:rPr>
              <w:t>2014</w:t>
            </w:r>
            <w:r>
              <w:rPr>
                <w:color w:val="000000"/>
                <w:sz w:val="24"/>
                <w:szCs w:val="24"/>
              </w:rPr>
              <w:t>年</w:t>
            </w:r>
            <w:r>
              <w:rPr>
                <w:color w:val="000000"/>
                <w:sz w:val="24"/>
                <w:szCs w:val="24"/>
              </w:rPr>
              <w:t>11</w:t>
            </w:r>
            <w:r>
              <w:rPr>
                <w:color w:val="000000"/>
                <w:sz w:val="24"/>
                <w:szCs w:val="24"/>
              </w:rPr>
              <w:t>月起兼任海富通上证可质押</w:t>
            </w:r>
            <w:proofErr w:type="gramStart"/>
            <w:r>
              <w:rPr>
                <w:color w:val="000000"/>
                <w:sz w:val="24"/>
                <w:szCs w:val="24"/>
              </w:rPr>
              <w:t>城投债</w:t>
            </w:r>
            <w:proofErr w:type="gramEnd"/>
            <w:r>
              <w:rPr>
                <w:color w:val="000000"/>
                <w:sz w:val="24"/>
                <w:szCs w:val="24"/>
              </w:rPr>
              <w:t>ETF</w:t>
            </w:r>
            <w:r>
              <w:rPr>
                <w:color w:val="000000"/>
                <w:sz w:val="24"/>
                <w:szCs w:val="24"/>
              </w:rPr>
              <w:t>基金经理。</w:t>
            </w:r>
            <w:r>
              <w:rPr>
                <w:color w:val="000000"/>
                <w:sz w:val="24"/>
                <w:szCs w:val="24"/>
              </w:rPr>
              <w:t>2015</w:t>
            </w:r>
            <w:r>
              <w:rPr>
                <w:color w:val="000000"/>
                <w:sz w:val="24"/>
                <w:szCs w:val="24"/>
              </w:rPr>
              <w:t>年</w:t>
            </w:r>
            <w:r>
              <w:rPr>
                <w:color w:val="000000"/>
                <w:sz w:val="24"/>
                <w:szCs w:val="24"/>
              </w:rPr>
              <w:t>12</w:t>
            </w:r>
            <w:r>
              <w:rPr>
                <w:color w:val="000000"/>
                <w:sz w:val="24"/>
                <w:szCs w:val="24"/>
              </w:rPr>
              <w:t>月起兼任海富通稳固收益债券基金经理。</w:t>
            </w:r>
            <w:r>
              <w:rPr>
                <w:color w:val="000000"/>
                <w:sz w:val="24"/>
                <w:szCs w:val="24"/>
              </w:rPr>
              <w:t>2015</w:t>
            </w:r>
            <w:r>
              <w:rPr>
                <w:color w:val="000000"/>
                <w:sz w:val="24"/>
                <w:szCs w:val="24"/>
              </w:rPr>
              <w:t>年</w:t>
            </w:r>
            <w:r>
              <w:rPr>
                <w:color w:val="000000"/>
                <w:sz w:val="24"/>
                <w:szCs w:val="24"/>
              </w:rPr>
              <w:t>12</w:t>
            </w:r>
            <w:r>
              <w:rPr>
                <w:color w:val="000000"/>
                <w:sz w:val="24"/>
                <w:szCs w:val="24"/>
              </w:rPr>
              <w:t>月至</w:t>
            </w:r>
            <w:r>
              <w:rPr>
                <w:color w:val="000000"/>
                <w:sz w:val="24"/>
                <w:szCs w:val="24"/>
              </w:rPr>
              <w:t>2017</w:t>
            </w:r>
            <w:r>
              <w:rPr>
                <w:color w:val="000000"/>
                <w:sz w:val="24"/>
                <w:szCs w:val="24"/>
              </w:rPr>
              <w:t>年</w:t>
            </w:r>
            <w:r>
              <w:rPr>
                <w:color w:val="000000"/>
                <w:sz w:val="24"/>
                <w:szCs w:val="24"/>
              </w:rPr>
              <w:t>9</w:t>
            </w:r>
            <w:r>
              <w:rPr>
                <w:color w:val="000000"/>
                <w:sz w:val="24"/>
                <w:szCs w:val="24"/>
              </w:rPr>
              <w:t>月兼任海富通稳进增利债券（</w:t>
            </w:r>
            <w:r>
              <w:rPr>
                <w:color w:val="000000"/>
                <w:sz w:val="24"/>
                <w:szCs w:val="24"/>
              </w:rPr>
              <w:t>LOF</w:t>
            </w:r>
            <w:r>
              <w:rPr>
                <w:color w:val="000000"/>
                <w:sz w:val="24"/>
                <w:szCs w:val="24"/>
              </w:rPr>
              <w:t>）基金经理。</w:t>
            </w:r>
            <w:r>
              <w:rPr>
                <w:color w:val="000000"/>
                <w:sz w:val="24"/>
                <w:szCs w:val="24"/>
              </w:rPr>
              <w:t>2016</w:t>
            </w:r>
            <w:r>
              <w:rPr>
                <w:color w:val="000000"/>
                <w:sz w:val="24"/>
                <w:szCs w:val="24"/>
              </w:rPr>
              <w:t>年</w:t>
            </w:r>
            <w:r>
              <w:rPr>
                <w:color w:val="000000"/>
                <w:sz w:val="24"/>
                <w:szCs w:val="24"/>
              </w:rPr>
              <w:t>4</w:t>
            </w:r>
            <w:r>
              <w:rPr>
                <w:color w:val="000000"/>
                <w:sz w:val="24"/>
                <w:szCs w:val="24"/>
              </w:rPr>
              <w:t>月起兼任海富通一年定开债券基金经理。</w:t>
            </w:r>
            <w:r>
              <w:rPr>
                <w:color w:val="000000"/>
                <w:sz w:val="24"/>
                <w:szCs w:val="24"/>
              </w:rPr>
              <w:t>2016</w:t>
            </w:r>
            <w:r>
              <w:rPr>
                <w:color w:val="000000"/>
                <w:sz w:val="24"/>
                <w:szCs w:val="24"/>
              </w:rPr>
              <w:t>年</w:t>
            </w:r>
            <w:r>
              <w:rPr>
                <w:color w:val="000000"/>
                <w:sz w:val="24"/>
                <w:szCs w:val="24"/>
              </w:rPr>
              <w:t>7</w:t>
            </w:r>
            <w:r>
              <w:rPr>
                <w:color w:val="000000"/>
                <w:sz w:val="24"/>
                <w:szCs w:val="24"/>
              </w:rPr>
              <w:t>月起兼任海富通富祥混合基金经理。</w:t>
            </w:r>
            <w:r>
              <w:rPr>
                <w:color w:val="000000"/>
                <w:sz w:val="24"/>
                <w:szCs w:val="24"/>
              </w:rPr>
              <w:t>2016</w:t>
            </w:r>
            <w:r>
              <w:rPr>
                <w:color w:val="000000"/>
                <w:sz w:val="24"/>
                <w:szCs w:val="24"/>
              </w:rPr>
              <w:t>年</w:t>
            </w:r>
            <w:r>
              <w:rPr>
                <w:color w:val="000000"/>
                <w:sz w:val="24"/>
                <w:szCs w:val="24"/>
              </w:rPr>
              <w:t>8</w:t>
            </w:r>
            <w:r>
              <w:rPr>
                <w:color w:val="000000"/>
                <w:sz w:val="24"/>
                <w:szCs w:val="24"/>
              </w:rPr>
              <w:t>月起兼任</w:t>
            </w:r>
            <w:proofErr w:type="gramStart"/>
            <w:r>
              <w:rPr>
                <w:color w:val="000000"/>
                <w:sz w:val="24"/>
                <w:szCs w:val="24"/>
              </w:rPr>
              <w:t>海富通瑞益债券</w:t>
            </w:r>
            <w:proofErr w:type="gramEnd"/>
            <w:r>
              <w:rPr>
                <w:color w:val="000000"/>
                <w:sz w:val="24"/>
                <w:szCs w:val="24"/>
              </w:rPr>
              <w:t>和海富通瑞丰一年定开债券基金经理。</w:t>
            </w:r>
            <w:r>
              <w:rPr>
                <w:color w:val="000000"/>
                <w:sz w:val="24"/>
                <w:szCs w:val="24"/>
              </w:rPr>
              <w:t>2016</w:t>
            </w:r>
            <w:r>
              <w:rPr>
                <w:color w:val="000000"/>
                <w:sz w:val="24"/>
                <w:szCs w:val="24"/>
              </w:rPr>
              <w:t>年</w:t>
            </w:r>
            <w:r>
              <w:rPr>
                <w:color w:val="000000"/>
                <w:sz w:val="24"/>
                <w:szCs w:val="24"/>
              </w:rPr>
              <w:t>11</w:t>
            </w:r>
            <w:r>
              <w:rPr>
                <w:color w:val="000000"/>
                <w:sz w:val="24"/>
                <w:szCs w:val="24"/>
              </w:rPr>
              <w:t>月起兼任海富通美元债（</w:t>
            </w:r>
            <w:r>
              <w:rPr>
                <w:color w:val="000000"/>
                <w:sz w:val="24"/>
                <w:szCs w:val="24"/>
              </w:rPr>
              <w:t>QDII</w:t>
            </w:r>
            <w:r>
              <w:rPr>
                <w:color w:val="000000"/>
                <w:sz w:val="24"/>
                <w:szCs w:val="24"/>
              </w:rPr>
              <w:t>）基金经理。</w:t>
            </w:r>
            <w:r>
              <w:rPr>
                <w:color w:val="000000"/>
                <w:sz w:val="24"/>
                <w:szCs w:val="24"/>
              </w:rPr>
              <w:t>2017</w:t>
            </w:r>
            <w:r>
              <w:rPr>
                <w:color w:val="000000"/>
                <w:sz w:val="24"/>
                <w:szCs w:val="24"/>
              </w:rPr>
              <w:t>年</w:t>
            </w:r>
            <w:r>
              <w:rPr>
                <w:color w:val="000000"/>
                <w:sz w:val="24"/>
                <w:szCs w:val="24"/>
              </w:rPr>
              <w:t>1</w:t>
            </w:r>
            <w:r>
              <w:rPr>
                <w:color w:val="000000"/>
                <w:sz w:val="24"/>
                <w:szCs w:val="24"/>
              </w:rPr>
              <w:t>月起兼任海富通上证周期产业债</w:t>
            </w:r>
            <w:r>
              <w:rPr>
                <w:color w:val="000000"/>
                <w:sz w:val="24"/>
                <w:szCs w:val="24"/>
              </w:rPr>
              <w:t>ETF</w:t>
            </w:r>
            <w:r>
              <w:rPr>
                <w:color w:val="000000"/>
                <w:sz w:val="24"/>
                <w:szCs w:val="24"/>
              </w:rPr>
              <w:t>基金经理。</w:t>
            </w:r>
            <w:r>
              <w:rPr>
                <w:color w:val="000000"/>
                <w:sz w:val="24"/>
                <w:szCs w:val="24"/>
              </w:rPr>
              <w:t>2017</w:t>
            </w:r>
            <w:r>
              <w:rPr>
                <w:color w:val="000000"/>
                <w:sz w:val="24"/>
                <w:szCs w:val="24"/>
              </w:rPr>
              <w:t>年</w:t>
            </w:r>
            <w:r>
              <w:rPr>
                <w:color w:val="000000"/>
                <w:sz w:val="24"/>
                <w:szCs w:val="24"/>
              </w:rPr>
              <w:t>2</w:t>
            </w:r>
            <w:r>
              <w:rPr>
                <w:color w:val="000000"/>
                <w:sz w:val="24"/>
                <w:szCs w:val="24"/>
              </w:rPr>
              <w:t>月起兼任海富通瑞利债券基金经理。</w:t>
            </w:r>
            <w:r>
              <w:rPr>
                <w:color w:val="000000"/>
                <w:sz w:val="24"/>
                <w:szCs w:val="24"/>
              </w:rPr>
              <w:t>2017</w:t>
            </w:r>
            <w:r>
              <w:rPr>
                <w:color w:val="000000"/>
                <w:sz w:val="24"/>
                <w:szCs w:val="24"/>
              </w:rPr>
              <w:t>年</w:t>
            </w:r>
            <w:r>
              <w:rPr>
                <w:color w:val="000000"/>
                <w:sz w:val="24"/>
                <w:szCs w:val="24"/>
              </w:rPr>
              <w:t>3</w:t>
            </w:r>
            <w:r>
              <w:rPr>
                <w:color w:val="000000"/>
                <w:sz w:val="24"/>
                <w:szCs w:val="24"/>
              </w:rPr>
              <w:t>月起兼任海富通富源债券和海富通瑞</w:t>
            </w:r>
            <w:proofErr w:type="gramStart"/>
            <w:r>
              <w:rPr>
                <w:color w:val="000000"/>
                <w:sz w:val="24"/>
                <w:szCs w:val="24"/>
              </w:rPr>
              <w:t>合纯债</w:t>
            </w:r>
            <w:r>
              <w:rPr>
                <w:color w:val="000000"/>
                <w:sz w:val="24"/>
                <w:szCs w:val="24"/>
              </w:rPr>
              <w:t>基金</w:t>
            </w:r>
            <w:proofErr w:type="gramEnd"/>
            <w:r>
              <w:rPr>
                <w:color w:val="000000"/>
                <w:sz w:val="24"/>
                <w:szCs w:val="24"/>
              </w:rPr>
              <w:t>经理。</w:t>
            </w:r>
            <w:r>
              <w:rPr>
                <w:color w:val="000000"/>
                <w:sz w:val="24"/>
                <w:szCs w:val="24"/>
              </w:rPr>
              <w:t>2017</w:t>
            </w:r>
            <w:r>
              <w:rPr>
                <w:color w:val="000000"/>
                <w:sz w:val="24"/>
                <w:szCs w:val="24"/>
              </w:rPr>
              <w:t>年</w:t>
            </w:r>
            <w:r>
              <w:rPr>
                <w:color w:val="000000"/>
                <w:sz w:val="24"/>
                <w:szCs w:val="24"/>
              </w:rPr>
              <w:t>5</w:t>
            </w:r>
            <w:r>
              <w:rPr>
                <w:color w:val="000000"/>
                <w:sz w:val="24"/>
                <w:szCs w:val="24"/>
              </w:rPr>
              <w:t>月起兼任海富通富睿混合基金经理。</w:t>
            </w:r>
            <w:r>
              <w:rPr>
                <w:color w:val="000000"/>
                <w:sz w:val="24"/>
                <w:szCs w:val="24"/>
              </w:rPr>
              <w:t>2017</w:t>
            </w:r>
            <w:r>
              <w:rPr>
                <w:color w:val="000000"/>
                <w:sz w:val="24"/>
                <w:szCs w:val="24"/>
              </w:rPr>
              <w:t>年</w:t>
            </w:r>
            <w:r>
              <w:rPr>
                <w:color w:val="000000"/>
                <w:sz w:val="24"/>
                <w:szCs w:val="24"/>
              </w:rPr>
              <w:t>7</w:t>
            </w:r>
            <w:r>
              <w:rPr>
                <w:color w:val="000000"/>
                <w:sz w:val="24"/>
                <w:szCs w:val="24"/>
              </w:rPr>
              <w:t>月起兼任海富通欣悦混合、海富通瑞福一年定开债券、海富通瑞</w:t>
            </w:r>
            <w:proofErr w:type="gramStart"/>
            <w:r>
              <w:rPr>
                <w:color w:val="000000"/>
                <w:sz w:val="24"/>
                <w:szCs w:val="24"/>
              </w:rPr>
              <w:t>祥</w:t>
            </w:r>
            <w:proofErr w:type="gramEnd"/>
            <w:r>
              <w:rPr>
                <w:color w:val="000000"/>
                <w:sz w:val="24"/>
                <w:szCs w:val="24"/>
              </w:rPr>
              <w:t>一年定开债券基金经理。</w:t>
            </w:r>
          </w:p>
        </w:tc>
      </w:tr>
    </w:tbl>
    <w:p w:rsidR="00333CB1" w:rsidRDefault="00A64BAA">
      <w:pPr>
        <w:autoSpaceDE w:val="0"/>
        <w:autoSpaceDN w:val="0"/>
        <w:adjustRightInd w:val="0"/>
        <w:spacing w:before="29" w:line="288" w:lineRule="auto"/>
        <w:jc w:val="left"/>
        <w:rPr>
          <w:color w:val="000000"/>
          <w:sz w:val="24"/>
          <w:szCs w:val="24"/>
        </w:rPr>
      </w:pPr>
      <w:r>
        <w:rPr>
          <w:color w:val="000000"/>
          <w:sz w:val="24"/>
          <w:szCs w:val="24"/>
        </w:rPr>
        <w:lastRenderedPageBreak/>
        <w:t>注：</w:t>
      </w:r>
      <w:r>
        <w:rPr>
          <w:color w:val="000000"/>
          <w:sz w:val="24"/>
          <w:szCs w:val="24"/>
        </w:rPr>
        <w:t>1</w:t>
      </w:r>
      <w:r>
        <w:rPr>
          <w:color w:val="000000"/>
          <w:sz w:val="24"/>
          <w:szCs w:val="24"/>
        </w:rPr>
        <w:t>、对基金的</w:t>
      </w:r>
      <w:proofErr w:type="gramStart"/>
      <w:r>
        <w:rPr>
          <w:color w:val="000000"/>
          <w:sz w:val="24"/>
          <w:szCs w:val="24"/>
        </w:rPr>
        <w:t>首任基金</w:t>
      </w:r>
      <w:proofErr w:type="gramEnd"/>
      <w:r>
        <w:rPr>
          <w:color w:val="000000"/>
          <w:sz w:val="24"/>
          <w:szCs w:val="24"/>
        </w:rPr>
        <w:t>经理，其任职日期指基金合同生效日，离任日期指公司做出决定之日；非</w:t>
      </w:r>
      <w:proofErr w:type="gramStart"/>
      <w:r>
        <w:rPr>
          <w:color w:val="000000"/>
          <w:sz w:val="24"/>
          <w:szCs w:val="24"/>
        </w:rPr>
        <w:t>首任基金</w:t>
      </w:r>
      <w:proofErr w:type="gramEnd"/>
      <w:r>
        <w:rPr>
          <w:color w:val="000000"/>
          <w:sz w:val="24"/>
          <w:szCs w:val="24"/>
        </w:rPr>
        <w:t>经理，其任职日期和离任日期均指公司做出决定之日。</w:t>
      </w:r>
      <w:r>
        <w:rPr>
          <w:color w:val="000000"/>
          <w:sz w:val="24"/>
          <w:szCs w:val="24"/>
        </w:rPr>
        <w:t xml:space="preserve"> </w:t>
      </w:r>
    </w:p>
    <w:p w:rsidR="00333CB1" w:rsidRDefault="00A64BAA">
      <w:pPr>
        <w:autoSpaceDE w:val="0"/>
        <w:autoSpaceDN w:val="0"/>
        <w:adjustRightInd w:val="0"/>
        <w:spacing w:before="29" w:line="288" w:lineRule="auto"/>
        <w:jc w:val="left"/>
        <w:rPr>
          <w:color w:val="000000"/>
          <w:sz w:val="24"/>
          <w:szCs w:val="24"/>
        </w:rPr>
      </w:pPr>
      <w:r>
        <w:rPr>
          <w:color w:val="000000"/>
          <w:sz w:val="24"/>
          <w:szCs w:val="24"/>
        </w:rPr>
        <w:t>2</w:t>
      </w:r>
      <w:r>
        <w:rPr>
          <w:color w:val="000000"/>
          <w:sz w:val="24"/>
          <w:szCs w:val="24"/>
        </w:rPr>
        <w:t>、证券从业年限的计算标准为：自参加证券行业的相关工作开始计算。</w:t>
      </w:r>
    </w:p>
    <w:p w:rsidR="00333CB1" w:rsidRDefault="00333CB1">
      <w:pPr>
        <w:autoSpaceDE w:val="0"/>
        <w:autoSpaceDN w:val="0"/>
        <w:adjustRightInd w:val="0"/>
        <w:spacing w:before="29" w:line="288" w:lineRule="auto"/>
        <w:jc w:val="left"/>
        <w:rPr>
          <w:color w:val="000000"/>
          <w:kern w:val="0"/>
          <w:sz w:val="24"/>
          <w:szCs w:val="24"/>
        </w:rPr>
      </w:pPr>
    </w:p>
    <w:p w:rsidR="00333CB1" w:rsidRDefault="00A64BAA">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4.2 </w:t>
      </w:r>
      <w:r>
        <w:rPr>
          <w:b/>
          <w:bCs/>
          <w:color w:val="000000"/>
          <w:kern w:val="0"/>
          <w:sz w:val="24"/>
          <w:szCs w:val="24"/>
        </w:rPr>
        <w:t>管理人对报告期内本基金运作遵规守信情况的说明</w:t>
      </w:r>
    </w:p>
    <w:p w:rsidR="00333CB1" w:rsidRDefault="00A64BAA">
      <w:pPr>
        <w:spacing w:before="29" w:line="288" w:lineRule="auto"/>
        <w:ind w:firstLineChars="200" w:firstLine="480"/>
        <w:rPr>
          <w:color w:val="000000"/>
          <w:sz w:val="24"/>
          <w:szCs w:val="24"/>
        </w:rPr>
      </w:pPr>
      <w:r>
        <w:rPr>
          <w:color w:val="000000"/>
          <w:sz w:val="24"/>
          <w:szCs w:val="24"/>
        </w:rPr>
        <w:t>本报告期内，本基金管理人认真遵循《中华人民共和国证券投资基金法》及其他有关法律法规、基金合同的规定，本着诚实信用、勤勉尽职的原则管理和运用基金资产，没有发生损害基金份额持有人利益的行为。</w:t>
      </w:r>
    </w:p>
    <w:p w:rsidR="00333CB1" w:rsidRDefault="00333CB1">
      <w:pPr>
        <w:autoSpaceDE w:val="0"/>
        <w:autoSpaceDN w:val="0"/>
        <w:adjustRightInd w:val="0"/>
        <w:spacing w:before="29" w:line="288" w:lineRule="auto"/>
        <w:jc w:val="left"/>
        <w:rPr>
          <w:color w:val="000000"/>
          <w:kern w:val="0"/>
          <w:sz w:val="24"/>
          <w:szCs w:val="24"/>
        </w:rPr>
      </w:pPr>
    </w:p>
    <w:p w:rsidR="00333CB1" w:rsidRDefault="00A64BAA">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4.3 </w:t>
      </w:r>
      <w:r>
        <w:rPr>
          <w:b/>
          <w:bCs/>
          <w:color w:val="000000"/>
          <w:kern w:val="0"/>
          <w:sz w:val="24"/>
          <w:szCs w:val="24"/>
        </w:rPr>
        <w:t>公平交易专项说明</w:t>
      </w:r>
    </w:p>
    <w:p w:rsidR="00333CB1" w:rsidRDefault="00A64BAA">
      <w:pPr>
        <w:spacing w:before="29" w:line="288" w:lineRule="auto"/>
        <w:rPr>
          <w:color w:val="000000"/>
          <w:sz w:val="24"/>
          <w:szCs w:val="24"/>
        </w:rPr>
      </w:pPr>
      <w:r>
        <w:rPr>
          <w:color w:val="000000"/>
          <w:sz w:val="24"/>
          <w:szCs w:val="24"/>
        </w:rPr>
        <w:t xml:space="preserve">4.3.1 </w:t>
      </w:r>
      <w:r>
        <w:rPr>
          <w:color w:val="000000"/>
          <w:sz w:val="24"/>
          <w:szCs w:val="24"/>
        </w:rPr>
        <w:t>公平交易制度的执行情况</w:t>
      </w:r>
    </w:p>
    <w:p w:rsidR="00333CB1" w:rsidRDefault="00A64BAA">
      <w:pPr>
        <w:spacing w:before="29" w:line="288" w:lineRule="auto"/>
        <w:ind w:firstLineChars="200" w:firstLine="480"/>
        <w:rPr>
          <w:color w:val="000000"/>
          <w:sz w:val="24"/>
          <w:szCs w:val="24"/>
        </w:rPr>
      </w:pPr>
      <w:r>
        <w:rPr>
          <w:color w:val="000000"/>
          <w:sz w:val="24"/>
          <w:szCs w:val="24"/>
        </w:rPr>
        <w:t>公司根据证监会</w:t>
      </w:r>
      <w:r>
        <w:rPr>
          <w:color w:val="000000"/>
          <w:sz w:val="24"/>
          <w:szCs w:val="24"/>
        </w:rPr>
        <w:t>2011</w:t>
      </w:r>
      <w:r>
        <w:rPr>
          <w:color w:val="000000"/>
          <w:sz w:val="24"/>
          <w:szCs w:val="24"/>
        </w:rPr>
        <w:t>年发布的《证券投资基金管理公司公平交易制度指导意见》的具体要求，持续完善了公司投资交易业务流程和公平交易制度。制度和流程覆盖了境内上市股票、债券的一级市场申购、二级市场交易等投资管理活动，涵盖了授权、研究分析、投资决策、交易执行、业绩评估</w:t>
      </w:r>
      <w:r>
        <w:rPr>
          <w:color w:val="000000"/>
          <w:sz w:val="24"/>
          <w:szCs w:val="24"/>
        </w:rPr>
        <w:t>等投资管理活动相关的各个环节。同时，公司投资交易业务组织架构保证了各投资组合投资决策相对独立，确保其在获得投资信息、投资建议和实施投资决策方面享有公平的机会。</w:t>
      </w:r>
    </w:p>
    <w:p w:rsidR="00333CB1" w:rsidRDefault="00A64BAA">
      <w:pPr>
        <w:spacing w:before="29" w:line="288" w:lineRule="auto"/>
        <w:ind w:firstLineChars="200" w:firstLine="480"/>
        <w:rPr>
          <w:color w:val="000000"/>
          <w:sz w:val="24"/>
          <w:szCs w:val="24"/>
        </w:rPr>
      </w:pPr>
      <w:r>
        <w:rPr>
          <w:color w:val="000000"/>
          <w:sz w:val="24"/>
          <w:szCs w:val="24"/>
        </w:rPr>
        <w:t>公司建立了严格的投资交易行为监控制度，公司投资交易行为监控体系由交易室、</w:t>
      </w:r>
      <w:r>
        <w:rPr>
          <w:color w:val="000000"/>
          <w:sz w:val="24"/>
          <w:szCs w:val="24"/>
        </w:rPr>
        <w:lastRenderedPageBreak/>
        <w:t>投资部、监察稽核部和风险管理部组成，各部门各司其职，对投资交易行为进行事前、事中和事后的全程监控，保证公平交易制度的执行和实现。</w:t>
      </w:r>
    </w:p>
    <w:p w:rsidR="00333CB1" w:rsidRDefault="00A64BAA">
      <w:pPr>
        <w:spacing w:before="29" w:line="288" w:lineRule="auto"/>
        <w:ind w:firstLineChars="200" w:firstLine="480"/>
        <w:rPr>
          <w:color w:val="000000"/>
          <w:sz w:val="24"/>
          <w:szCs w:val="24"/>
        </w:rPr>
      </w:pPr>
      <w:r>
        <w:rPr>
          <w:color w:val="000000"/>
          <w:sz w:val="24"/>
          <w:szCs w:val="24"/>
        </w:rPr>
        <w:t>报告期内，公司对本基金与公司旗下所有其他投资组合之间的整体收益率差异、分投资类别（股票、债券）的收益率差异进行了分析，并采集了连续四个季度期间内、不同</w:t>
      </w:r>
      <w:r>
        <w:rPr>
          <w:color w:val="000000"/>
          <w:sz w:val="24"/>
          <w:szCs w:val="24"/>
        </w:rPr>
        <w:t>时间窗下（如日内、</w:t>
      </w:r>
      <w:r>
        <w:rPr>
          <w:color w:val="000000"/>
          <w:sz w:val="24"/>
          <w:szCs w:val="24"/>
        </w:rPr>
        <w:t>3</w:t>
      </w:r>
      <w:r>
        <w:rPr>
          <w:color w:val="000000"/>
          <w:sz w:val="24"/>
          <w:szCs w:val="24"/>
        </w:rPr>
        <w:t>日内、</w:t>
      </w:r>
      <w:r>
        <w:rPr>
          <w:color w:val="000000"/>
          <w:sz w:val="24"/>
          <w:szCs w:val="24"/>
        </w:rPr>
        <w:t>5</w:t>
      </w:r>
      <w:r>
        <w:rPr>
          <w:color w:val="000000"/>
          <w:sz w:val="24"/>
          <w:szCs w:val="24"/>
        </w:rPr>
        <w:t>日内）同向交易的样本，对其进行了</w:t>
      </w:r>
      <w:r>
        <w:rPr>
          <w:color w:val="000000"/>
          <w:sz w:val="24"/>
          <w:szCs w:val="24"/>
        </w:rPr>
        <w:t>95%</w:t>
      </w:r>
      <w:r>
        <w:rPr>
          <w:color w:val="000000"/>
          <w:sz w:val="24"/>
          <w:szCs w:val="24"/>
        </w:rPr>
        <w:t>置信区间，假设溢价率为</w:t>
      </w:r>
      <w:r>
        <w:rPr>
          <w:color w:val="000000"/>
          <w:sz w:val="24"/>
          <w:szCs w:val="24"/>
        </w:rPr>
        <w:t>0</w:t>
      </w:r>
      <w:r>
        <w:rPr>
          <w:color w:val="000000"/>
          <w:sz w:val="24"/>
          <w:szCs w:val="24"/>
        </w:rPr>
        <w:t>的</w:t>
      </w:r>
      <w:r>
        <w:rPr>
          <w:color w:val="000000"/>
          <w:sz w:val="24"/>
          <w:szCs w:val="24"/>
        </w:rPr>
        <w:t>T</w:t>
      </w:r>
      <w:r>
        <w:rPr>
          <w:color w:val="000000"/>
          <w:sz w:val="24"/>
          <w:szCs w:val="24"/>
        </w:rPr>
        <w:t>分布检验，检验结果表明，在</w:t>
      </w:r>
      <w:r>
        <w:rPr>
          <w:color w:val="000000"/>
          <w:sz w:val="24"/>
          <w:szCs w:val="24"/>
        </w:rPr>
        <w:t>T</w:t>
      </w:r>
      <w:r>
        <w:rPr>
          <w:color w:val="000000"/>
          <w:sz w:val="24"/>
          <w:szCs w:val="24"/>
        </w:rPr>
        <w:t>日、</w:t>
      </w:r>
      <w:r>
        <w:rPr>
          <w:color w:val="000000"/>
          <w:sz w:val="24"/>
          <w:szCs w:val="24"/>
        </w:rPr>
        <w:t>T+3</w:t>
      </w:r>
      <w:r>
        <w:rPr>
          <w:color w:val="000000"/>
          <w:sz w:val="24"/>
          <w:szCs w:val="24"/>
        </w:rPr>
        <w:t>日和</w:t>
      </w:r>
      <w:r>
        <w:rPr>
          <w:color w:val="000000"/>
          <w:sz w:val="24"/>
          <w:szCs w:val="24"/>
        </w:rPr>
        <w:t>T+5</w:t>
      </w:r>
      <w:r>
        <w:rPr>
          <w:color w:val="000000"/>
          <w:sz w:val="24"/>
          <w:szCs w:val="24"/>
        </w:rPr>
        <w:t>日不同循环期内，不管是买入或是卖出，公司各</w:t>
      </w:r>
      <w:proofErr w:type="gramStart"/>
      <w:r>
        <w:rPr>
          <w:color w:val="000000"/>
          <w:sz w:val="24"/>
          <w:szCs w:val="24"/>
        </w:rPr>
        <w:t>组合间买卖价</w:t>
      </w:r>
      <w:proofErr w:type="gramEnd"/>
      <w:r>
        <w:rPr>
          <w:color w:val="000000"/>
          <w:sz w:val="24"/>
          <w:szCs w:val="24"/>
        </w:rPr>
        <w:t>差不显著，表明报告期内公司对旗下各基金进行了公平对待，不存在各投资组合之间进行利益输送的行为。</w:t>
      </w:r>
    </w:p>
    <w:p w:rsidR="00333CB1" w:rsidRDefault="00A64BAA">
      <w:pPr>
        <w:spacing w:before="29" w:line="288" w:lineRule="auto"/>
        <w:rPr>
          <w:color w:val="000000"/>
          <w:sz w:val="24"/>
          <w:szCs w:val="24"/>
        </w:rPr>
      </w:pPr>
      <w:r>
        <w:rPr>
          <w:color w:val="000000"/>
          <w:sz w:val="24"/>
          <w:szCs w:val="24"/>
        </w:rPr>
        <w:t xml:space="preserve">4.3.2 </w:t>
      </w:r>
      <w:r>
        <w:rPr>
          <w:color w:val="000000"/>
          <w:sz w:val="24"/>
          <w:szCs w:val="24"/>
        </w:rPr>
        <w:t>异常交易行为的专项说明</w:t>
      </w:r>
    </w:p>
    <w:p w:rsidR="00333CB1" w:rsidRDefault="00A64BAA">
      <w:pPr>
        <w:spacing w:before="29" w:line="288" w:lineRule="auto"/>
        <w:ind w:firstLineChars="200" w:firstLine="480"/>
        <w:rPr>
          <w:color w:val="000000"/>
          <w:sz w:val="24"/>
          <w:szCs w:val="24"/>
        </w:rPr>
      </w:pPr>
      <w:r>
        <w:rPr>
          <w:color w:val="000000"/>
          <w:sz w:val="24"/>
          <w:szCs w:val="24"/>
        </w:rPr>
        <w:t>本报告期内，未发现本基金进行可能导致不公平交易和利益输送的异常交易。</w:t>
      </w:r>
    </w:p>
    <w:p w:rsidR="00333CB1" w:rsidRDefault="00333CB1">
      <w:pPr>
        <w:spacing w:before="29" w:line="288" w:lineRule="auto"/>
        <w:ind w:firstLineChars="200" w:firstLine="480"/>
        <w:rPr>
          <w:color w:val="000000"/>
          <w:sz w:val="24"/>
          <w:szCs w:val="24"/>
        </w:rPr>
      </w:pPr>
    </w:p>
    <w:p w:rsidR="00333CB1" w:rsidRDefault="00A64BAA">
      <w:pPr>
        <w:spacing w:before="29" w:line="288" w:lineRule="auto"/>
        <w:rPr>
          <w:sz w:val="24"/>
          <w:szCs w:val="24"/>
        </w:rPr>
      </w:pPr>
      <w:r>
        <w:rPr>
          <w:b/>
          <w:color w:val="000000"/>
          <w:kern w:val="0"/>
          <w:sz w:val="24"/>
        </w:rPr>
        <w:t xml:space="preserve">4.4 </w:t>
      </w:r>
      <w:r>
        <w:rPr>
          <w:rFonts w:hAnsi="宋体"/>
          <w:b/>
          <w:bCs/>
          <w:color w:val="000000"/>
          <w:sz w:val="24"/>
        </w:rPr>
        <w:t>报告期内基金的投资策略和运作分析</w:t>
      </w:r>
    </w:p>
    <w:p w:rsidR="00333CB1" w:rsidRDefault="00A64BAA">
      <w:pPr>
        <w:spacing w:before="29" w:line="288" w:lineRule="auto"/>
        <w:ind w:firstLineChars="200" w:firstLine="480"/>
        <w:rPr>
          <w:color w:val="000000"/>
          <w:sz w:val="24"/>
          <w:szCs w:val="24"/>
        </w:rPr>
      </w:pPr>
      <w:r>
        <w:rPr>
          <w:color w:val="000000"/>
          <w:sz w:val="24"/>
          <w:szCs w:val="24"/>
        </w:rPr>
        <w:t>三季度经济基本面呈现温和放缓的态势</w:t>
      </w:r>
      <w:r>
        <w:rPr>
          <w:color w:val="000000"/>
          <w:sz w:val="24"/>
          <w:szCs w:val="24"/>
        </w:rPr>
        <w:t>,</w:t>
      </w:r>
      <w:r>
        <w:rPr>
          <w:color w:val="000000"/>
          <w:sz w:val="24"/>
          <w:szCs w:val="24"/>
        </w:rPr>
        <w:t>工业增加值</w:t>
      </w:r>
      <w:r>
        <w:rPr>
          <w:color w:val="000000"/>
          <w:sz w:val="24"/>
          <w:szCs w:val="24"/>
        </w:rPr>
        <w:t>6</w:t>
      </w:r>
      <w:r>
        <w:rPr>
          <w:color w:val="000000"/>
          <w:sz w:val="24"/>
          <w:szCs w:val="24"/>
        </w:rPr>
        <w:t>、</w:t>
      </w:r>
      <w:r>
        <w:rPr>
          <w:color w:val="000000"/>
          <w:sz w:val="24"/>
          <w:szCs w:val="24"/>
        </w:rPr>
        <w:t>7</w:t>
      </w:r>
      <w:r>
        <w:rPr>
          <w:color w:val="000000"/>
          <w:sz w:val="24"/>
          <w:szCs w:val="24"/>
        </w:rPr>
        <w:t>、</w:t>
      </w:r>
      <w:r>
        <w:rPr>
          <w:color w:val="000000"/>
          <w:sz w:val="24"/>
          <w:szCs w:val="24"/>
        </w:rPr>
        <w:t>8</w:t>
      </w:r>
      <w:r>
        <w:rPr>
          <w:color w:val="000000"/>
          <w:sz w:val="24"/>
          <w:szCs w:val="24"/>
        </w:rPr>
        <w:t>月逐月下滑。同时，房地产投资依然较为稳定，信贷需求稳中向好，经济仍显示出较强的韧性。</w:t>
      </w:r>
    </w:p>
    <w:p w:rsidR="00333CB1" w:rsidRDefault="00A64BAA">
      <w:pPr>
        <w:spacing w:before="29" w:line="288" w:lineRule="auto"/>
        <w:ind w:firstLineChars="200" w:firstLine="480"/>
        <w:rPr>
          <w:color w:val="000000"/>
          <w:sz w:val="24"/>
          <w:szCs w:val="24"/>
        </w:rPr>
      </w:pPr>
      <w:r>
        <w:rPr>
          <w:color w:val="000000"/>
          <w:sz w:val="24"/>
          <w:szCs w:val="24"/>
        </w:rPr>
        <w:t>货币政策方面，三季度货币政策继续保持中性稳健，</w:t>
      </w:r>
      <w:r>
        <w:rPr>
          <w:color w:val="000000"/>
          <w:sz w:val="24"/>
          <w:szCs w:val="24"/>
        </w:rPr>
        <w:t>9</w:t>
      </w:r>
      <w:r>
        <w:rPr>
          <w:color w:val="000000"/>
          <w:sz w:val="24"/>
          <w:szCs w:val="24"/>
        </w:rPr>
        <w:t>月</w:t>
      </w:r>
      <w:r>
        <w:rPr>
          <w:color w:val="000000"/>
          <w:sz w:val="24"/>
          <w:szCs w:val="24"/>
        </w:rPr>
        <w:t>30</w:t>
      </w:r>
      <w:r>
        <w:rPr>
          <w:color w:val="000000"/>
          <w:sz w:val="24"/>
          <w:szCs w:val="24"/>
        </w:rPr>
        <w:t>日央行宣布明年初针对满足普惠金融标准的银行实施定向降准，对原有定向</w:t>
      </w:r>
      <w:proofErr w:type="gramStart"/>
      <w:r>
        <w:rPr>
          <w:color w:val="000000"/>
          <w:sz w:val="24"/>
          <w:szCs w:val="24"/>
        </w:rPr>
        <w:t>降准政策</w:t>
      </w:r>
      <w:proofErr w:type="gramEnd"/>
      <w:r>
        <w:rPr>
          <w:color w:val="000000"/>
          <w:sz w:val="24"/>
          <w:szCs w:val="24"/>
        </w:rPr>
        <w:t>进行拓展和优化，依然保持中性态度。整个三季度央行主要通过公开市场</w:t>
      </w:r>
      <w:r>
        <w:rPr>
          <w:color w:val="000000"/>
          <w:sz w:val="24"/>
          <w:szCs w:val="24"/>
        </w:rPr>
        <w:t>“</w:t>
      </w:r>
      <w:r>
        <w:rPr>
          <w:color w:val="000000"/>
          <w:sz w:val="24"/>
          <w:szCs w:val="24"/>
        </w:rPr>
        <w:t>削峰填谷</w:t>
      </w:r>
      <w:r>
        <w:rPr>
          <w:color w:val="000000"/>
          <w:sz w:val="24"/>
          <w:szCs w:val="24"/>
        </w:rPr>
        <w:t>”</w:t>
      </w:r>
      <w:r>
        <w:rPr>
          <w:color w:val="000000"/>
          <w:sz w:val="24"/>
          <w:szCs w:val="24"/>
        </w:rPr>
        <w:t>式的操作来维持银行体系资金面的总体平稳，虽然非银体系仍时而出现结构性紧张，但资金利率的波动区间较上半年有所收敛。</w:t>
      </w:r>
    </w:p>
    <w:p w:rsidR="00333CB1" w:rsidRDefault="00A64BAA">
      <w:pPr>
        <w:spacing w:before="29" w:line="288" w:lineRule="auto"/>
        <w:ind w:firstLineChars="200" w:firstLine="480"/>
        <w:rPr>
          <w:color w:val="000000"/>
          <w:sz w:val="24"/>
          <w:szCs w:val="24"/>
        </w:rPr>
      </w:pPr>
      <w:r>
        <w:rPr>
          <w:color w:val="000000"/>
          <w:sz w:val="24"/>
          <w:szCs w:val="24"/>
        </w:rPr>
        <w:t>金融监管方面，《同业存单管理暂行办法》、《公开募集开</w:t>
      </w:r>
      <w:r>
        <w:rPr>
          <w:color w:val="000000"/>
          <w:sz w:val="24"/>
          <w:szCs w:val="24"/>
        </w:rPr>
        <w:t>放式证券投资基金流动性风险管理规定》等政策陆续出台，继续加强对同业资金链条的管控，监管协调性越来越强。</w:t>
      </w:r>
    </w:p>
    <w:p w:rsidR="00333CB1" w:rsidRDefault="00A64BAA">
      <w:pPr>
        <w:spacing w:before="29" w:line="288" w:lineRule="auto"/>
        <w:ind w:firstLineChars="200" w:firstLine="480"/>
        <w:rPr>
          <w:color w:val="000000"/>
          <w:sz w:val="24"/>
          <w:szCs w:val="24"/>
        </w:rPr>
      </w:pPr>
      <w:r>
        <w:rPr>
          <w:color w:val="000000"/>
          <w:sz w:val="24"/>
          <w:szCs w:val="24"/>
        </w:rPr>
        <w:t>总体看三季度经济</w:t>
      </w:r>
      <w:r>
        <w:rPr>
          <w:color w:val="000000"/>
          <w:sz w:val="24"/>
          <w:szCs w:val="24"/>
        </w:rPr>
        <w:t>“</w:t>
      </w:r>
      <w:r>
        <w:rPr>
          <w:color w:val="000000"/>
          <w:sz w:val="24"/>
          <w:szCs w:val="24"/>
        </w:rPr>
        <w:t>不好不坏</w:t>
      </w:r>
      <w:r>
        <w:rPr>
          <w:color w:val="000000"/>
          <w:sz w:val="24"/>
          <w:szCs w:val="24"/>
        </w:rPr>
        <w:t>”</w:t>
      </w:r>
      <w:r>
        <w:rPr>
          <w:color w:val="000000"/>
          <w:sz w:val="24"/>
          <w:szCs w:val="24"/>
        </w:rPr>
        <w:t>，政策</w:t>
      </w:r>
      <w:r>
        <w:rPr>
          <w:color w:val="000000"/>
          <w:sz w:val="24"/>
          <w:szCs w:val="24"/>
        </w:rPr>
        <w:t>“</w:t>
      </w:r>
      <w:r>
        <w:rPr>
          <w:color w:val="000000"/>
          <w:sz w:val="24"/>
          <w:szCs w:val="24"/>
        </w:rPr>
        <w:t>不紧不松</w:t>
      </w:r>
      <w:r>
        <w:rPr>
          <w:color w:val="000000"/>
          <w:sz w:val="24"/>
          <w:szCs w:val="24"/>
        </w:rPr>
        <w:t>”</w:t>
      </w:r>
      <w:r>
        <w:rPr>
          <w:color w:val="000000"/>
          <w:sz w:val="24"/>
          <w:szCs w:val="24"/>
        </w:rPr>
        <w:t>，十年期国债收益率在（</w:t>
      </w:r>
      <w:r>
        <w:rPr>
          <w:color w:val="000000"/>
          <w:sz w:val="24"/>
          <w:szCs w:val="24"/>
        </w:rPr>
        <w:t>3.55%,3.7%</w:t>
      </w:r>
      <w:r>
        <w:rPr>
          <w:color w:val="000000"/>
          <w:sz w:val="24"/>
          <w:szCs w:val="24"/>
        </w:rPr>
        <w:t>）的区间窄幅波动，短</w:t>
      </w:r>
      <w:proofErr w:type="gramStart"/>
      <w:r>
        <w:rPr>
          <w:color w:val="000000"/>
          <w:sz w:val="24"/>
          <w:szCs w:val="24"/>
        </w:rPr>
        <w:t>端利率</w:t>
      </w:r>
      <w:proofErr w:type="gramEnd"/>
      <w:r>
        <w:rPr>
          <w:color w:val="000000"/>
          <w:sz w:val="24"/>
          <w:szCs w:val="24"/>
        </w:rPr>
        <w:t>先下后上，收益率曲线趋于平坦化。信用债方面，</w:t>
      </w:r>
      <w:proofErr w:type="gramStart"/>
      <w:r>
        <w:rPr>
          <w:color w:val="000000"/>
          <w:sz w:val="24"/>
          <w:szCs w:val="24"/>
        </w:rPr>
        <w:t>短久期</w:t>
      </w:r>
      <w:proofErr w:type="gramEnd"/>
      <w:r>
        <w:rPr>
          <w:color w:val="000000"/>
          <w:sz w:val="24"/>
          <w:szCs w:val="24"/>
        </w:rPr>
        <w:t>品种收益率上行、期限利差收缩、信用利差走扩，中长久期品种收益率下行、信用利差压缩，体现出市场对中等期限的</w:t>
      </w:r>
      <w:proofErr w:type="gramStart"/>
      <w:r>
        <w:rPr>
          <w:color w:val="000000"/>
          <w:sz w:val="24"/>
          <w:szCs w:val="24"/>
        </w:rPr>
        <w:t>信用债仍有</w:t>
      </w:r>
      <w:proofErr w:type="gramEnd"/>
      <w:r>
        <w:rPr>
          <w:color w:val="000000"/>
          <w:sz w:val="24"/>
          <w:szCs w:val="24"/>
        </w:rPr>
        <w:t>一定的配置需求。可转债方面，三季度中</w:t>
      </w:r>
      <w:proofErr w:type="gramStart"/>
      <w:r>
        <w:rPr>
          <w:color w:val="000000"/>
          <w:sz w:val="24"/>
          <w:szCs w:val="24"/>
        </w:rPr>
        <w:t>证转债指数</w:t>
      </w:r>
      <w:proofErr w:type="gramEnd"/>
      <w:r>
        <w:rPr>
          <w:color w:val="000000"/>
          <w:sz w:val="24"/>
          <w:szCs w:val="24"/>
        </w:rPr>
        <w:t>涨</w:t>
      </w:r>
      <w:r>
        <w:rPr>
          <w:color w:val="000000"/>
          <w:sz w:val="24"/>
          <w:szCs w:val="24"/>
        </w:rPr>
        <w:t>4.26%</w:t>
      </w:r>
      <w:r>
        <w:rPr>
          <w:color w:val="000000"/>
          <w:sz w:val="24"/>
          <w:szCs w:val="24"/>
        </w:rPr>
        <w:t>，主要得益于七、八月股市上涨推动。</w:t>
      </w:r>
    </w:p>
    <w:p w:rsidR="00333CB1" w:rsidRDefault="00A64BAA">
      <w:pPr>
        <w:spacing w:before="29" w:line="288" w:lineRule="auto"/>
        <w:ind w:firstLineChars="200" w:firstLine="480"/>
        <w:rPr>
          <w:color w:val="000000"/>
          <w:sz w:val="24"/>
          <w:szCs w:val="24"/>
        </w:rPr>
      </w:pPr>
      <w:r>
        <w:rPr>
          <w:color w:val="000000"/>
          <w:sz w:val="24"/>
          <w:szCs w:val="24"/>
        </w:rPr>
        <w:t>本基金三季度严格控制信用风险，持仓主</w:t>
      </w:r>
      <w:r>
        <w:rPr>
          <w:color w:val="000000"/>
          <w:sz w:val="24"/>
          <w:szCs w:val="24"/>
        </w:rPr>
        <w:t>要为高等级债券和利率债。转债方面，本基金维持较低</w:t>
      </w:r>
      <w:proofErr w:type="gramStart"/>
      <w:r>
        <w:rPr>
          <w:color w:val="000000"/>
          <w:sz w:val="24"/>
          <w:szCs w:val="24"/>
        </w:rPr>
        <w:t>仓位</w:t>
      </w:r>
      <w:proofErr w:type="gramEnd"/>
      <w:r>
        <w:rPr>
          <w:color w:val="000000"/>
          <w:sz w:val="24"/>
          <w:szCs w:val="24"/>
        </w:rPr>
        <w:t>以应对可能的供给放量。</w:t>
      </w:r>
      <w:r>
        <w:rPr>
          <w:color w:val="000000"/>
          <w:sz w:val="24"/>
          <w:szCs w:val="24"/>
        </w:rPr>
        <w:t xml:space="preserve"> </w:t>
      </w:r>
    </w:p>
    <w:p w:rsidR="00333CB1" w:rsidRDefault="00333CB1">
      <w:pPr>
        <w:spacing w:before="29" w:line="288" w:lineRule="auto"/>
        <w:ind w:firstLineChars="200" w:firstLine="480"/>
        <w:rPr>
          <w:color w:val="000000"/>
          <w:sz w:val="24"/>
          <w:szCs w:val="24"/>
        </w:rPr>
      </w:pPr>
    </w:p>
    <w:p w:rsidR="00333CB1" w:rsidRDefault="00A64BAA">
      <w:pPr>
        <w:spacing w:before="29" w:line="288" w:lineRule="auto"/>
        <w:rPr>
          <w:sz w:val="24"/>
          <w:szCs w:val="24"/>
        </w:rPr>
      </w:pPr>
      <w:r>
        <w:rPr>
          <w:b/>
          <w:color w:val="000000"/>
          <w:kern w:val="0"/>
          <w:sz w:val="24"/>
        </w:rPr>
        <w:t>4.5</w:t>
      </w:r>
      <w:r>
        <w:rPr>
          <w:b/>
          <w:color w:val="000000"/>
          <w:kern w:val="0"/>
          <w:sz w:val="24"/>
        </w:rPr>
        <w:t>报告期内基金的业绩表现</w:t>
      </w:r>
    </w:p>
    <w:p w:rsidR="00333CB1" w:rsidRDefault="00A64BAA">
      <w:pPr>
        <w:spacing w:before="29" w:line="288" w:lineRule="auto"/>
        <w:ind w:firstLineChars="200" w:firstLine="480"/>
        <w:rPr>
          <w:color w:val="000000"/>
          <w:sz w:val="24"/>
          <w:szCs w:val="24"/>
        </w:rPr>
      </w:pPr>
      <w:r>
        <w:rPr>
          <w:color w:val="000000"/>
          <w:sz w:val="24"/>
          <w:szCs w:val="24"/>
        </w:rPr>
        <w:t>报告期内，本基金净值增长率为</w:t>
      </w:r>
      <w:r>
        <w:rPr>
          <w:color w:val="000000"/>
          <w:sz w:val="24"/>
          <w:szCs w:val="24"/>
        </w:rPr>
        <w:t>0.00%</w:t>
      </w:r>
      <w:r>
        <w:rPr>
          <w:color w:val="000000"/>
          <w:sz w:val="24"/>
          <w:szCs w:val="24"/>
        </w:rPr>
        <w:t>，同期业绩比较基准收益率为</w:t>
      </w:r>
      <w:r>
        <w:rPr>
          <w:color w:val="000000"/>
          <w:sz w:val="24"/>
          <w:szCs w:val="24"/>
        </w:rPr>
        <w:t>-1.64%</w:t>
      </w:r>
      <w:r>
        <w:rPr>
          <w:color w:val="000000"/>
          <w:sz w:val="24"/>
          <w:szCs w:val="24"/>
        </w:rPr>
        <w:t>。</w:t>
      </w:r>
    </w:p>
    <w:p w:rsidR="00333CB1" w:rsidRDefault="00333CB1">
      <w:pPr>
        <w:spacing w:before="29" w:line="288" w:lineRule="auto"/>
        <w:ind w:firstLineChars="200" w:firstLine="480"/>
        <w:rPr>
          <w:color w:val="000000"/>
          <w:sz w:val="24"/>
          <w:szCs w:val="24"/>
        </w:rPr>
      </w:pPr>
    </w:p>
    <w:p w:rsidR="00333CB1" w:rsidRDefault="00A64BAA">
      <w:pPr>
        <w:autoSpaceDE w:val="0"/>
        <w:autoSpaceDN w:val="0"/>
        <w:adjustRightInd w:val="0"/>
        <w:spacing w:before="29" w:line="288" w:lineRule="auto"/>
        <w:jc w:val="left"/>
        <w:rPr>
          <w:b/>
          <w:bCs/>
          <w:color w:val="000000"/>
          <w:kern w:val="0"/>
          <w:sz w:val="24"/>
          <w:szCs w:val="24"/>
        </w:rPr>
      </w:pPr>
      <w:bookmarkStart w:id="1" w:name="_Toc245193825"/>
      <w:bookmarkStart w:id="2" w:name="_Toc255486598"/>
      <w:r>
        <w:rPr>
          <w:rFonts w:asciiTheme="minorEastAsia" w:eastAsiaTheme="minorEastAsia" w:hAnsiTheme="minorEastAsia"/>
          <w:b/>
          <w:color w:val="000000"/>
          <w:kern w:val="0"/>
          <w:sz w:val="24"/>
          <w:szCs w:val="24"/>
        </w:rPr>
        <w:t>4</w:t>
      </w:r>
      <w:r>
        <w:rPr>
          <w:rFonts w:asciiTheme="minorEastAsia" w:eastAsiaTheme="minorEastAsia" w:hAnsiTheme="minorEastAsia" w:hint="eastAsia"/>
          <w:b/>
          <w:color w:val="000000"/>
          <w:kern w:val="0"/>
          <w:sz w:val="24"/>
          <w:szCs w:val="24"/>
        </w:rPr>
        <w:t>.6</w:t>
      </w:r>
      <w:r>
        <w:rPr>
          <w:b/>
          <w:bCs/>
          <w:color w:val="000000"/>
          <w:kern w:val="0"/>
          <w:sz w:val="24"/>
          <w:szCs w:val="24"/>
        </w:rPr>
        <w:t>管理人对宏观经济、证券市场及行业走势的简要展望</w:t>
      </w:r>
      <w:bookmarkEnd w:id="1"/>
      <w:bookmarkEnd w:id="2"/>
    </w:p>
    <w:p w:rsidR="00333CB1" w:rsidRDefault="00A64BAA">
      <w:pPr>
        <w:tabs>
          <w:tab w:val="left" w:pos="3765"/>
        </w:tabs>
        <w:spacing w:before="29" w:line="288" w:lineRule="auto"/>
        <w:ind w:firstLine="420"/>
        <w:rPr>
          <w:color w:val="000000"/>
          <w:sz w:val="24"/>
          <w:szCs w:val="24"/>
        </w:rPr>
      </w:pPr>
      <w:r>
        <w:rPr>
          <w:color w:val="000000"/>
          <w:sz w:val="24"/>
          <w:szCs w:val="24"/>
        </w:rPr>
        <w:t>四季度经济仍有一定的回落压力，供给</w:t>
      </w:r>
      <w:proofErr w:type="gramStart"/>
      <w:r>
        <w:rPr>
          <w:color w:val="000000"/>
          <w:sz w:val="24"/>
          <w:szCs w:val="24"/>
        </w:rPr>
        <w:t>侧改革</w:t>
      </w:r>
      <w:proofErr w:type="gramEnd"/>
      <w:r>
        <w:rPr>
          <w:color w:val="000000"/>
          <w:sz w:val="24"/>
          <w:szCs w:val="24"/>
        </w:rPr>
        <w:t>和环保限产对于中上游行业的产出有所影响，而需求层面也呈现边际回落迹象。棚改高峰褪去后房地产销售特别是三四线地</w:t>
      </w:r>
      <w:r>
        <w:rPr>
          <w:color w:val="000000"/>
          <w:sz w:val="24"/>
          <w:szCs w:val="24"/>
        </w:rPr>
        <w:lastRenderedPageBreak/>
        <w:t>产销售或迎来拐点，地产企业融资受限、销售回款率下降制约新开工和拿地，地产投资或边际下滑，但考虑库存较低预计下滑的幅度不会过快。基建受制于财政赤字，资金来源不足，四季度仍有持续的下行压力。而人民币升值带来的出口下滑以及房地产后周期消费的回落，都可能在四季度延续。总体看经济小周期回落已基本确定。通胀方面，四季度工业品价格上涨幅度或不及三季度，甚至有下跌可能，</w:t>
      </w:r>
      <w:r>
        <w:rPr>
          <w:color w:val="000000"/>
          <w:sz w:val="24"/>
          <w:szCs w:val="24"/>
        </w:rPr>
        <w:t>PPI</w:t>
      </w:r>
      <w:r>
        <w:rPr>
          <w:color w:val="000000"/>
          <w:sz w:val="24"/>
          <w:szCs w:val="24"/>
        </w:rPr>
        <w:t>较</w:t>
      </w:r>
      <w:r>
        <w:rPr>
          <w:color w:val="000000"/>
          <w:sz w:val="24"/>
          <w:szCs w:val="24"/>
        </w:rPr>
        <w:t>难维持高增速，而</w:t>
      </w:r>
      <w:r>
        <w:rPr>
          <w:color w:val="000000"/>
          <w:sz w:val="24"/>
          <w:szCs w:val="24"/>
        </w:rPr>
        <w:t xml:space="preserve"> CPI</w:t>
      </w:r>
      <w:r>
        <w:rPr>
          <w:color w:val="000000"/>
          <w:sz w:val="24"/>
          <w:szCs w:val="24"/>
        </w:rPr>
        <w:t>的波动仍主要</w:t>
      </w:r>
      <w:proofErr w:type="gramStart"/>
      <w:r>
        <w:rPr>
          <w:color w:val="000000"/>
          <w:sz w:val="24"/>
          <w:szCs w:val="24"/>
        </w:rPr>
        <w:t>受食品</w:t>
      </w:r>
      <w:proofErr w:type="gramEnd"/>
      <w:r>
        <w:rPr>
          <w:color w:val="000000"/>
          <w:sz w:val="24"/>
          <w:szCs w:val="24"/>
        </w:rPr>
        <w:t>价格的影响，可能有所</w:t>
      </w:r>
      <w:proofErr w:type="gramStart"/>
      <w:r>
        <w:rPr>
          <w:color w:val="000000"/>
          <w:sz w:val="24"/>
          <w:szCs w:val="24"/>
        </w:rPr>
        <w:t>抬升但</w:t>
      </w:r>
      <w:proofErr w:type="gramEnd"/>
      <w:r>
        <w:rPr>
          <w:color w:val="000000"/>
          <w:sz w:val="24"/>
          <w:szCs w:val="24"/>
        </w:rPr>
        <w:t>年内压力可控。因此从经济基本面的角度看四季度对债券市场相对有利，不过监管和货币政策并未转向，仍对债市形成制约。十九大后各项监管政策有落地的可能，金融去杠杆的进程仍在继续。同时九月美联储如期缩表，十二月加息概率增大，九月加拿大</w:t>
      </w:r>
      <w:proofErr w:type="gramStart"/>
      <w:r>
        <w:rPr>
          <w:color w:val="000000"/>
          <w:sz w:val="24"/>
          <w:szCs w:val="24"/>
        </w:rPr>
        <w:t>央行超</w:t>
      </w:r>
      <w:proofErr w:type="gramEnd"/>
      <w:r>
        <w:rPr>
          <w:color w:val="000000"/>
          <w:sz w:val="24"/>
          <w:szCs w:val="24"/>
        </w:rPr>
        <w:t>预期加息，四季度外围货币政策有同时收紧的可能。好在今年以来人民币累计升值较多、中美利差高位，我国货币政策不一定跟随外围收紧但也难以明显放松。因此总体看四季度利率可能依旧维持震荡，利率债操作空间有限，关注经济和政策的</w:t>
      </w:r>
      <w:r>
        <w:rPr>
          <w:color w:val="000000"/>
          <w:sz w:val="24"/>
          <w:szCs w:val="24"/>
        </w:rPr>
        <w:t>预期差，把握风险释放后产生的交易性机会。信用债四季度有一些供给压力，信用利差仍处历史低位，交易机会不大，仍以获取票息收益为主。在当前曲线极其平坦的情况下，短</w:t>
      </w:r>
      <w:proofErr w:type="gramStart"/>
      <w:r>
        <w:rPr>
          <w:color w:val="000000"/>
          <w:sz w:val="24"/>
          <w:szCs w:val="24"/>
        </w:rPr>
        <w:t>端收益</w:t>
      </w:r>
      <w:proofErr w:type="gramEnd"/>
      <w:r>
        <w:rPr>
          <w:color w:val="000000"/>
          <w:sz w:val="24"/>
          <w:szCs w:val="24"/>
        </w:rPr>
        <w:t>的确定性更强，但中长</w:t>
      </w:r>
      <w:proofErr w:type="gramStart"/>
      <w:r>
        <w:rPr>
          <w:color w:val="000000"/>
          <w:sz w:val="24"/>
          <w:szCs w:val="24"/>
        </w:rPr>
        <w:t>端如果</w:t>
      </w:r>
      <w:proofErr w:type="gramEnd"/>
      <w:r>
        <w:rPr>
          <w:color w:val="000000"/>
          <w:sz w:val="24"/>
          <w:szCs w:val="24"/>
        </w:rPr>
        <w:t>出现大幅调整，则存在配置机会。可转债四季度在正股和估值方面都有一些压力，整体机会或许不如三季度。随着新券标的增多，未来</w:t>
      </w:r>
      <w:proofErr w:type="gramStart"/>
      <w:r>
        <w:rPr>
          <w:color w:val="000000"/>
          <w:sz w:val="24"/>
          <w:szCs w:val="24"/>
        </w:rPr>
        <w:t>个券</w:t>
      </w:r>
      <w:proofErr w:type="gramEnd"/>
      <w:r>
        <w:rPr>
          <w:color w:val="000000"/>
          <w:sz w:val="24"/>
          <w:szCs w:val="24"/>
        </w:rPr>
        <w:t>表现分化，可积极挖掘新发行的优质</w:t>
      </w:r>
      <w:proofErr w:type="gramStart"/>
      <w:r>
        <w:rPr>
          <w:color w:val="000000"/>
          <w:sz w:val="24"/>
          <w:szCs w:val="24"/>
        </w:rPr>
        <w:t>个券</w:t>
      </w:r>
      <w:proofErr w:type="gramEnd"/>
      <w:r>
        <w:rPr>
          <w:color w:val="000000"/>
          <w:sz w:val="24"/>
          <w:szCs w:val="24"/>
        </w:rPr>
        <w:t>。</w:t>
      </w:r>
      <w:r>
        <w:rPr>
          <w:color w:val="000000"/>
          <w:sz w:val="24"/>
          <w:szCs w:val="24"/>
        </w:rPr>
        <w:tab/>
      </w:r>
    </w:p>
    <w:p w:rsidR="00333CB1" w:rsidRDefault="00333CB1">
      <w:pPr>
        <w:tabs>
          <w:tab w:val="left" w:pos="3765"/>
        </w:tabs>
        <w:spacing w:before="29" w:line="288" w:lineRule="auto"/>
        <w:ind w:firstLine="420"/>
        <w:rPr>
          <w:color w:val="000000"/>
          <w:sz w:val="24"/>
          <w:szCs w:val="24"/>
        </w:rPr>
      </w:pPr>
    </w:p>
    <w:p w:rsidR="00333CB1" w:rsidRDefault="00A64BAA">
      <w:pPr>
        <w:autoSpaceDE w:val="0"/>
        <w:autoSpaceDN w:val="0"/>
        <w:adjustRightInd w:val="0"/>
        <w:spacing w:before="29" w:line="288" w:lineRule="auto"/>
        <w:jc w:val="left"/>
        <w:rPr>
          <w:rFonts w:asciiTheme="minorEastAsia" w:eastAsiaTheme="minorEastAsia" w:hAnsiTheme="minorEastAsia"/>
          <w:color w:val="000000"/>
          <w:sz w:val="24"/>
          <w:szCs w:val="24"/>
        </w:rPr>
      </w:pPr>
      <w:r>
        <w:rPr>
          <w:b/>
          <w:bCs/>
          <w:color w:val="000000"/>
          <w:kern w:val="0"/>
          <w:sz w:val="24"/>
          <w:szCs w:val="24"/>
        </w:rPr>
        <w:t>4</w:t>
      </w:r>
      <w:r>
        <w:rPr>
          <w:rFonts w:hint="eastAsia"/>
          <w:b/>
          <w:bCs/>
          <w:color w:val="000000"/>
          <w:kern w:val="0"/>
          <w:sz w:val="24"/>
          <w:szCs w:val="24"/>
        </w:rPr>
        <w:t>.7</w:t>
      </w:r>
      <w:r>
        <w:rPr>
          <w:rFonts w:hint="eastAsia"/>
          <w:b/>
          <w:bCs/>
          <w:color w:val="000000"/>
          <w:kern w:val="0"/>
          <w:sz w:val="24"/>
          <w:szCs w:val="24"/>
        </w:rPr>
        <w:t>报告期内基金持有人数或基金资产净值预警说明</w:t>
      </w:r>
    </w:p>
    <w:p w:rsidR="00333CB1" w:rsidRDefault="00A64BAA">
      <w:pPr>
        <w:tabs>
          <w:tab w:val="left" w:pos="3765"/>
        </w:tabs>
        <w:spacing w:before="29" w:line="288" w:lineRule="auto"/>
        <w:ind w:firstLine="420"/>
        <w:rPr>
          <w:color w:val="000000"/>
          <w:sz w:val="24"/>
          <w:szCs w:val="24"/>
        </w:rPr>
      </w:pPr>
      <w:r>
        <w:rPr>
          <w:color w:val="000000"/>
          <w:sz w:val="24"/>
          <w:szCs w:val="24"/>
        </w:rPr>
        <w:t>本基金自</w:t>
      </w:r>
      <w:r>
        <w:rPr>
          <w:color w:val="000000"/>
          <w:sz w:val="24"/>
          <w:szCs w:val="24"/>
        </w:rPr>
        <w:t>2017</w:t>
      </w:r>
      <w:r>
        <w:rPr>
          <w:color w:val="000000"/>
          <w:sz w:val="24"/>
          <w:szCs w:val="24"/>
        </w:rPr>
        <w:t>年</w:t>
      </w:r>
      <w:r>
        <w:rPr>
          <w:color w:val="000000"/>
          <w:sz w:val="24"/>
          <w:szCs w:val="24"/>
        </w:rPr>
        <w:t>3</w:t>
      </w:r>
      <w:r>
        <w:rPr>
          <w:color w:val="000000"/>
          <w:sz w:val="24"/>
          <w:szCs w:val="24"/>
        </w:rPr>
        <w:t>月</w:t>
      </w:r>
      <w:r>
        <w:rPr>
          <w:color w:val="000000"/>
          <w:sz w:val="24"/>
          <w:szCs w:val="24"/>
        </w:rPr>
        <w:t>16</w:t>
      </w:r>
      <w:r>
        <w:rPr>
          <w:color w:val="000000"/>
          <w:sz w:val="24"/>
          <w:szCs w:val="24"/>
        </w:rPr>
        <w:t>日至</w:t>
      </w:r>
      <w:r>
        <w:rPr>
          <w:color w:val="000000"/>
          <w:sz w:val="24"/>
          <w:szCs w:val="24"/>
        </w:rPr>
        <w:t>2017</w:t>
      </w:r>
      <w:r>
        <w:rPr>
          <w:color w:val="000000"/>
          <w:sz w:val="24"/>
          <w:szCs w:val="24"/>
        </w:rPr>
        <w:t>年</w:t>
      </w:r>
      <w:r>
        <w:rPr>
          <w:color w:val="000000"/>
          <w:sz w:val="24"/>
          <w:szCs w:val="24"/>
        </w:rPr>
        <w:t>8</w:t>
      </w:r>
      <w:r>
        <w:rPr>
          <w:color w:val="000000"/>
          <w:sz w:val="24"/>
          <w:szCs w:val="24"/>
        </w:rPr>
        <w:t>月</w:t>
      </w:r>
      <w:r>
        <w:rPr>
          <w:color w:val="000000"/>
          <w:sz w:val="24"/>
          <w:szCs w:val="24"/>
        </w:rPr>
        <w:t>31</w:t>
      </w:r>
      <w:r>
        <w:rPr>
          <w:color w:val="000000"/>
          <w:sz w:val="24"/>
          <w:szCs w:val="24"/>
        </w:rPr>
        <w:t>日（最后运作日），已连续超过六十个工作日出现基金资产净值低于</w:t>
      </w:r>
      <w:r>
        <w:rPr>
          <w:color w:val="000000"/>
          <w:sz w:val="24"/>
          <w:szCs w:val="24"/>
        </w:rPr>
        <w:t>五千万元的情形。本基金于</w:t>
      </w:r>
      <w:r>
        <w:rPr>
          <w:color w:val="000000"/>
          <w:sz w:val="24"/>
          <w:szCs w:val="24"/>
        </w:rPr>
        <w:t>2017</w:t>
      </w:r>
      <w:r>
        <w:rPr>
          <w:color w:val="000000"/>
          <w:sz w:val="24"/>
          <w:szCs w:val="24"/>
        </w:rPr>
        <w:t>年</w:t>
      </w:r>
      <w:r>
        <w:rPr>
          <w:color w:val="000000"/>
          <w:sz w:val="24"/>
          <w:szCs w:val="24"/>
        </w:rPr>
        <w:t>8</w:t>
      </w:r>
      <w:r>
        <w:rPr>
          <w:color w:val="000000"/>
          <w:sz w:val="24"/>
          <w:szCs w:val="24"/>
        </w:rPr>
        <w:t>月</w:t>
      </w:r>
      <w:r>
        <w:rPr>
          <w:color w:val="000000"/>
          <w:sz w:val="24"/>
          <w:szCs w:val="24"/>
        </w:rPr>
        <w:t>4</w:t>
      </w:r>
      <w:r>
        <w:rPr>
          <w:color w:val="000000"/>
          <w:sz w:val="24"/>
          <w:szCs w:val="24"/>
        </w:rPr>
        <w:t>日至</w:t>
      </w:r>
      <w:r>
        <w:rPr>
          <w:color w:val="000000"/>
          <w:sz w:val="24"/>
          <w:szCs w:val="24"/>
        </w:rPr>
        <w:t>2017</w:t>
      </w:r>
      <w:r>
        <w:rPr>
          <w:color w:val="000000"/>
          <w:sz w:val="24"/>
          <w:szCs w:val="24"/>
        </w:rPr>
        <w:t>年</w:t>
      </w:r>
      <w:r>
        <w:rPr>
          <w:color w:val="000000"/>
          <w:sz w:val="24"/>
          <w:szCs w:val="24"/>
        </w:rPr>
        <w:t>8</w:t>
      </w:r>
      <w:r>
        <w:rPr>
          <w:color w:val="000000"/>
          <w:sz w:val="24"/>
          <w:szCs w:val="24"/>
        </w:rPr>
        <w:t>月</w:t>
      </w:r>
      <w:r>
        <w:rPr>
          <w:color w:val="000000"/>
          <w:sz w:val="24"/>
          <w:szCs w:val="24"/>
        </w:rPr>
        <w:t>28</w:t>
      </w:r>
      <w:r>
        <w:rPr>
          <w:color w:val="000000"/>
          <w:sz w:val="24"/>
          <w:szCs w:val="24"/>
        </w:rPr>
        <w:t>日期间以通讯方式召开了基金份额持有人大会，审议并通过了《关于终止海富通瑞益债券型证券投资基金基金合同有关事项的议案》。根据持有人大会通过的议案及方案说明，本基金从</w:t>
      </w:r>
      <w:r>
        <w:rPr>
          <w:color w:val="000000"/>
          <w:sz w:val="24"/>
          <w:szCs w:val="24"/>
        </w:rPr>
        <w:t>2017</w:t>
      </w:r>
      <w:r>
        <w:rPr>
          <w:color w:val="000000"/>
          <w:sz w:val="24"/>
          <w:szCs w:val="24"/>
        </w:rPr>
        <w:t>年</w:t>
      </w:r>
      <w:r>
        <w:rPr>
          <w:color w:val="000000"/>
          <w:sz w:val="24"/>
          <w:szCs w:val="24"/>
        </w:rPr>
        <w:t>9</w:t>
      </w:r>
      <w:r>
        <w:rPr>
          <w:color w:val="000000"/>
          <w:sz w:val="24"/>
          <w:szCs w:val="24"/>
        </w:rPr>
        <w:t>月</w:t>
      </w:r>
      <w:r>
        <w:rPr>
          <w:color w:val="000000"/>
          <w:sz w:val="24"/>
          <w:szCs w:val="24"/>
        </w:rPr>
        <w:t>1</w:t>
      </w:r>
      <w:r>
        <w:rPr>
          <w:color w:val="000000"/>
          <w:sz w:val="24"/>
          <w:szCs w:val="24"/>
        </w:rPr>
        <w:t>日起进入清算期。</w:t>
      </w:r>
    </w:p>
    <w:p w:rsidR="00333CB1" w:rsidRDefault="00333CB1">
      <w:pPr>
        <w:tabs>
          <w:tab w:val="left" w:pos="3765"/>
        </w:tabs>
        <w:spacing w:before="29" w:line="288" w:lineRule="auto"/>
        <w:ind w:firstLine="420"/>
        <w:rPr>
          <w:color w:val="000000"/>
          <w:sz w:val="24"/>
          <w:szCs w:val="24"/>
        </w:rPr>
      </w:pPr>
    </w:p>
    <w:p w:rsidR="00333CB1" w:rsidRDefault="00A64BAA" w:rsidP="00B33365">
      <w:pPr>
        <w:pStyle w:val="1"/>
        <w:spacing w:beforeLines="100" w:before="312" w:afterLines="100" w:after="312" w:line="288" w:lineRule="auto"/>
        <w:jc w:val="center"/>
        <w:rPr>
          <w:color w:val="000000"/>
          <w:kern w:val="0"/>
          <w:sz w:val="24"/>
          <w:szCs w:val="24"/>
        </w:rPr>
      </w:pPr>
      <w:r>
        <w:rPr>
          <w:color w:val="000000"/>
          <w:kern w:val="0"/>
          <w:sz w:val="24"/>
          <w:szCs w:val="24"/>
        </w:rPr>
        <w:t>§5</w:t>
      </w:r>
      <w:r>
        <w:rPr>
          <w:color w:val="000000"/>
          <w:kern w:val="0"/>
          <w:sz w:val="24"/>
          <w:szCs w:val="24"/>
        </w:rPr>
        <w:t>投资组合报告</w:t>
      </w:r>
    </w:p>
    <w:p w:rsidR="00333CB1" w:rsidRDefault="00A64BAA">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5.1 </w:t>
      </w:r>
      <w:r>
        <w:rPr>
          <w:b/>
          <w:bCs/>
          <w:color w:val="000000"/>
          <w:kern w:val="0"/>
          <w:sz w:val="24"/>
          <w:szCs w:val="24"/>
        </w:rPr>
        <w:t>报告期末基金资产组合情况</w:t>
      </w:r>
    </w:p>
    <w:tbl>
      <w:tblPr>
        <w:tblStyle w:val="af8"/>
        <w:tblW w:w="8868" w:type="dxa"/>
        <w:jc w:val="center"/>
        <w:tblLayout w:type="fixed"/>
        <w:tblLook w:val="04A0" w:firstRow="1" w:lastRow="0" w:firstColumn="1" w:lastColumn="0" w:noHBand="0" w:noVBand="1"/>
      </w:tblPr>
      <w:tblGrid>
        <w:gridCol w:w="718"/>
        <w:gridCol w:w="3346"/>
        <w:gridCol w:w="2967"/>
        <w:gridCol w:w="1837"/>
      </w:tblGrid>
      <w:tr w:rsidR="00333CB1">
        <w:trPr>
          <w:jc w:val="center"/>
        </w:trPr>
        <w:tc>
          <w:tcPr>
            <w:tcW w:w="718" w:type="dxa"/>
            <w:vAlign w:val="center"/>
          </w:tcPr>
          <w:p w:rsidR="00333CB1" w:rsidRDefault="00A64BAA">
            <w:pPr>
              <w:spacing w:before="29" w:line="288" w:lineRule="auto"/>
              <w:ind w:left="17"/>
              <w:jc w:val="center"/>
              <w:rPr>
                <w:color w:val="000000"/>
                <w:kern w:val="0"/>
                <w:sz w:val="24"/>
                <w:szCs w:val="24"/>
              </w:rPr>
            </w:pPr>
            <w:r>
              <w:rPr>
                <w:color w:val="000000"/>
                <w:kern w:val="0"/>
                <w:sz w:val="24"/>
                <w:szCs w:val="24"/>
              </w:rPr>
              <w:t>序号</w:t>
            </w:r>
          </w:p>
        </w:tc>
        <w:tc>
          <w:tcPr>
            <w:tcW w:w="3346" w:type="dxa"/>
            <w:vAlign w:val="center"/>
          </w:tcPr>
          <w:p w:rsidR="00333CB1" w:rsidRDefault="00A64BAA">
            <w:pPr>
              <w:spacing w:before="29" w:line="288" w:lineRule="auto"/>
              <w:ind w:left="17"/>
              <w:jc w:val="center"/>
              <w:rPr>
                <w:color w:val="000000"/>
                <w:kern w:val="0"/>
                <w:sz w:val="24"/>
                <w:szCs w:val="24"/>
              </w:rPr>
            </w:pPr>
            <w:r>
              <w:rPr>
                <w:color w:val="000000"/>
                <w:kern w:val="0"/>
                <w:sz w:val="24"/>
                <w:szCs w:val="24"/>
              </w:rPr>
              <w:t>项目</w:t>
            </w:r>
          </w:p>
        </w:tc>
        <w:tc>
          <w:tcPr>
            <w:tcW w:w="2967" w:type="dxa"/>
            <w:vAlign w:val="center"/>
          </w:tcPr>
          <w:p w:rsidR="00333CB1" w:rsidRDefault="00A64BAA">
            <w:pPr>
              <w:spacing w:before="29" w:line="288" w:lineRule="auto"/>
              <w:ind w:left="17"/>
              <w:jc w:val="center"/>
              <w:rPr>
                <w:color w:val="000000"/>
                <w:kern w:val="0"/>
                <w:sz w:val="24"/>
                <w:szCs w:val="24"/>
              </w:rPr>
            </w:pPr>
            <w:r>
              <w:rPr>
                <w:color w:val="000000"/>
                <w:kern w:val="0"/>
                <w:sz w:val="24"/>
                <w:szCs w:val="24"/>
              </w:rPr>
              <w:t>金额</w:t>
            </w:r>
            <w:r>
              <w:rPr>
                <w:color w:val="000000"/>
                <w:kern w:val="0"/>
                <w:sz w:val="24"/>
              </w:rPr>
              <w:t>（元）</w:t>
            </w:r>
          </w:p>
        </w:tc>
        <w:tc>
          <w:tcPr>
            <w:tcW w:w="1837" w:type="dxa"/>
            <w:vAlign w:val="center"/>
          </w:tcPr>
          <w:p w:rsidR="00333CB1" w:rsidRDefault="00A64BAA">
            <w:pPr>
              <w:spacing w:before="29" w:line="288" w:lineRule="auto"/>
              <w:ind w:left="17"/>
              <w:jc w:val="center"/>
              <w:rPr>
                <w:color w:val="000000"/>
                <w:kern w:val="0"/>
                <w:sz w:val="24"/>
                <w:szCs w:val="24"/>
              </w:rPr>
            </w:pPr>
            <w:r>
              <w:rPr>
                <w:color w:val="000000"/>
                <w:kern w:val="0"/>
                <w:sz w:val="24"/>
                <w:szCs w:val="24"/>
              </w:rPr>
              <w:t>占基金总资产的比例</w:t>
            </w:r>
            <w:r>
              <w:rPr>
                <w:color w:val="000000"/>
                <w:kern w:val="0"/>
                <w:sz w:val="24"/>
              </w:rPr>
              <w:t>（％）</w:t>
            </w:r>
          </w:p>
        </w:tc>
      </w:tr>
      <w:tr w:rsidR="00333CB1">
        <w:trPr>
          <w:jc w:val="center"/>
        </w:trPr>
        <w:tc>
          <w:tcPr>
            <w:tcW w:w="718" w:type="dxa"/>
            <w:vAlign w:val="center"/>
          </w:tcPr>
          <w:p w:rsidR="00333CB1" w:rsidRDefault="00A64BAA">
            <w:pPr>
              <w:spacing w:before="29" w:line="288" w:lineRule="auto"/>
              <w:ind w:left="17"/>
              <w:jc w:val="center"/>
              <w:rPr>
                <w:color w:val="000000"/>
                <w:kern w:val="0"/>
                <w:sz w:val="24"/>
                <w:szCs w:val="24"/>
              </w:rPr>
            </w:pPr>
            <w:r>
              <w:rPr>
                <w:color w:val="000000"/>
                <w:kern w:val="0"/>
                <w:sz w:val="24"/>
                <w:szCs w:val="24"/>
              </w:rPr>
              <w:t>1</w:t>
            </w:r>
          </w:p>
        </w:tc>
        <w:tc>
          <w:tcPr>
            <w:tcW w:w="3346" w:type="dxa"/>
            <w:vAlign w:val="center"/>
          </w:tcPr>
          <w:p w:rsidR="00333CB1" w:rsidRDefault="00A64BAA">
            <w:pPr>
              <w:spacing w:before="29" w:line="288" w:lineRule="auto"/>
              <w:ind w:left="17"/>
              <w:jc w:val="left"/>
              <w:rPr>
                <w:kern w:val="0"/>
                <w:sz w:val="24"/>
                <w:szCs w:val="24"/>
              </w:rPr>
            </w:pPr>
            <w:r>
              <w:rPr>
                <w:color w:val="000000"/>
                <w:kern w:val="0"/>
                <w:sz w:val="24"/>
                <w:szCs w:val="24"/>
              </w:rPr>
              <w:t>权益投资</w:t>
            </w:r>
          </w:p>
        </w:tc>
        <w:tc>
          <w:tcPr>
            <w:tcW w:w="2967" w:type="dxa"/>
            <w:vAlign w:val="center"/>
          </w:tcPr>
          <w:p w:rsidR="00333CB1" w:rsidRDefault="00A64BAA">
            <w:pPr>
              <w:spacing w:before="29" w:line="288" w:lineRule="auto"/>
              <w:ind w:left="17"/>
              <w:jc w:val="right"/>
              <w:rPr>
                <w:color w:val="000000"/>
                <w:kern w:val="0"/>
                <w:sz w:val="24"/>
                <w:szCs w:val="24"/>
              </w:rPr>
            </w:pPr>
            <w:r>
              <w:rPr>
                <w:color w:val="000000"/>
                <w:kern w:val="0"/>
                <w:sz w:val="24"/>
                <w:szCs w:val="24"/>
              </w:rPr>
              <w:t>-</w:t>
            </w:r>
          </w:p>
        </w:tc>
        <w:tc>
          <w:tcPr>
            <w:tcW w:w="1837" w:type="dxa"/>
            <w:vAlign w:val="center"/>
          </w:tcPr>
          <w:p w:rsidR="00333CB1" w:rsidRDefault="00A64BAA">
            <w:pPr>
              <w:spacing w:before="29" w:line="288" w:lineRule="auto"/>
              <w:ind w:left="17"/>
              <w:jc w:val="right"/>
              <w:rPr>
                <w:color w:val="000000"/>
                <w:kern w:val="0"/>
                <w:sz w:val="24"/>
                <w:szCs w:val="24"/>
              </w:rPr>
            </w:pPr>
            <w:r>
              <w:rPr>
                <w:color w:val="000000"/>
                <w:kern w:val="0"/>
                <w:sz w:val="24"/>
                <w:szCs w:val="24"/>
              </w:rPr>
              <w:t>-</w:t>
            </w:r>
          </w:p>
        </w:tc>
      </w:tr>
      <w:tr w:rsidR="00333CB1">
        <w:trPr>
          <w:jc w:val="center"/>
        </w:trPr>
        <w:tc>
          <w:tcPr>
            <w:tcW w:w="718" w:type="dxa"/>
            <w:vAlign w:val="center"/>
          </w:tcPr>
          <w:p w:rsidR="00333CB1" w:rsidRDefault="00333CB1">
            <w:pPr>
              <w:spacing w:before="29" w:line="288" w:lineRule="auto"/>
              <w:ind w:left="17"/>
              <w:jc w:val="center"/>
              <w:rPr>
                <w:color w:val="000000"/>
                <w:kern w:val="0"/>
                <w:sz w:val="24"/>
                <w:szCs w:val="24"/>
              </w:rPr>
            </w:pPr>
          </w:p>
        </w:tc>
        <w:tc>
          <w:tcPr>
            <w:tcW w:w="3346" w:type="dxa"/>
            <w:vAlign w:val="center"/>
          </w:tcPr>
          <w:p w:rsidR="00333CB1" w:rsidRDefault="00A64BAA">
            <w:pPr>
              <w:spacing w:before="29" w:line="288" w:lineRule="auto"/>
              <w:ind w:left="17"/>
              <w:jc w:val="left"/>
              <w:rPr>
                <w:kern w:val="0"/>
                <w:sz w:val="24"/>
                <w:szCs w:val="24"/>
              </w:rPr>
            </w:pPr>
            <w:r>
              <w:rPr>
                <w:color w:val="000000"/>
                <w:kern w:val="0"/>
                <w:sz w:val="24"/>
                <w:szCs w:val="24"/>
              </w:rPr>
              <w:t>其中：股票</w:t>
            </w:r>
          </w:p>
        </w:tc>
        <w:tc>
          <w:tcPr>
            <w:tcW w:w="2967" w:type="dxa"/>
            <w:vAlign w:val="center"/>
          </w:tcPr>
          <w:p w:rsidR="00333CB1" w:rsidRDefault="00A64BAA">
            <w:pPr>
              <w:spacing w:before="29" w:line="288" w:lineRule="auto"/>
              <w:ind w:left="17"/>
              <w:jc w:val="right"/>
              <w:rPr>
                <w:color w:val="000000"/>
                <w:kern w:val="0"/>
                <w:sz w:val="24"/>
                <w:szCs w:val="24"/>
              </w:rPr>
            </w:pPr>
            <w:r>
              <w:rPr>
                <w:color w:val="000000"/>
                <w:kern w:val="0"/>
                <w:sz w:val="24"/>
                <w:szCs w:val="24"/>
              </w:rPr>
              <w:t>-</w:t>
            </w:r>
          </w:p>
        </w:tc>
        <w:tc>
          <w:tcPr>
            <w:tcW w:w="1837" w:type="dxa"/>
            <w:vAlign w:val="center"/>
          </w:tcPr>
          <w:p w:rsidR="00333CB1" w:rsidRDefault="00A64BAA">
            <w:pPr>
              <w:spacing w:before="29" w:line="288" w:lineRule="auto"/>
              <w:ind w:left="17"/>
              <w:jc w:val="right"/>
              <w:rPr>
                <w:color w:val="000000"/>
                <w:kern w:val="0"/>
                <w:sz w:val="24"/>
                <w:szCs w:val="24"/>
              </w:rPr>
            </w:pPr>
            <w:r>
              <w:rPr>
                <w:color w:val="000000"/>
                <w:kern w:val="0"/>
                <w:sz w:val="24"/>
                <w:szCs w:val="24"/>
              </w:rPr>
              <w:t>-</w:t>
            </w:r>
          </w:p>
        </w:tc>
      </w:tr>
      <w:tr w:rsidR="00333CB1">
        <w:trPr>
          <w:jc w:val="center"/>
        </w:trPr>
        <w:tc>
          <w:tcPr>
            <w:tcW w:w="718" w:type="dxa"/>
            <w:vAlign w:val="center"/>
          </w:tcPr>
          <w:p w:rsidR="00333CB1" w:rsidRDefault="00A64BAA">
            <w:pPr>
              <w:spacing w:before="29" w:line="288" w:lineRule="auto"/>
              <w:ind w:left="17"/>
              <w:jc w:val="center"/>
              <w:rPr>
                <w:color w:val="000000"/>
                <w:kern w:val="0"/>
                <w:sz w:val="24"/>
                <w:szCs w:val="24"/>
              </w:rPr>
            </w:pPr>
            <w:r>
              <w:rPr>
                <w:color w:val="000000"/>
                <w:kern w:val="0"/>
                <w:sz w:val="24"/>
                <w:szCs w:val="24"/>
              </w:rPr>
              <w:t>2</w:t>
            </w:r>
          </w:p>
        </w:tc>
        <w:tc>
          <w:tcPr>
            <w:tcW w:w="3346" w:type="dxa"/>
            <w:vAlign w:val="center"/>
          </w:tcPr>
          <w:p w:rsidR="00333CB1" w:rsidRDefault="00A64BAA">
            <w:pPr>
              <w:spacing w:before="29" w:line="288" w:lineRule="auto"/>
              <w:ind w:left="17"/>
              <w:jc w:val="left"/>
              <w:rPr>
                <w:kern w:val="0"/>
                <w:sz w:val="24"/>
                <w:szCs w:val="24"/>
              </w:rPr>
            </w:pPr>
            <w:r>
              <w:rPr>
                <w:color w:val="000000"/>
                <w:kern w:val="0"/>
                <w:sz w:val="24"/>
                <w:szCs w:val="24"/>
              </w:rPr>
              <w:t>固定收益投资</w:t>
            </w:r>
          </w:p>
        </w:tc>
        <w:tc>
          <w:tcPr>
            <w:tcW w:w="2967" w:type="dxa"/>
            <w:vAlign w:val="center"/>
          </w:tcPr>
          <w:p w:rsidR="00333CB1" w:rsidRDefault="00A64BAA">
            <w:pPr>
              <w:spacing w:before="29" w:line="288" w:lineRule="auto"/>
              <w:ind w:left="17"/>
              <w:jc w:val="right"/>
              <w:rPr>
                <w:color w:val="000000"/>
                <w:kern w:val="0"/>
                <w:sz w:val="24"/>
                <w:szCs w:val="24"/>
              </w:rPr>
            </w:pPr>
            <w:r>
              <w:rPr>
                <w:color w:val="000000"/>
                <w:kern w:val="0"/>
                <w:sz w:val="24"/>
                <w:szCs w:val="24"/>
              </w:rPr>
              <w:t>-</w:t>
            </w:r>
          </w:p>
        </w:tc>
        <w:tc>
          <w:tcPr>
            <w:tcW w:w="1837" w:type="dxa"/>
            <w:vAlign w:val="center"/>
          </w:tcPr>
          <w:p w:rsidR="00333CB1" w:rsidRDefault="00A64BAA">
            <w:pPr>
              <w:spacing w:before="29" w:line="288" w:lineRule="auto"/>
              <w:ind w:left="17"/>
              <w:jc w:val="right"/>
              <w:rPr>
                <w:color w:val="000000"/>
                <w:kern w:val="0"/>
                <w:sz w:val="24"/>
                <w:szCs w:val="24"/>
              </w:rPr>
            </w:pPr>
            <w:r>
              <w:rPr>
                <w:color w:val="000000"/>
                <w:kern w:val="0"/>
                <w:sz w:val="24"/>
                <w:szCs w:val="24"/>
              </w:rPr>
              <w:t>-</w:t>
            </w:r>
          </w:p>
        </w:tc>
      </w:tr>
      <w:tr w:rsidR="00333CB1">
        <w:trPr>
          <w:jc w:val="center"/>
        </w:trPr>
        <w:tc>
          <w:tcPr>
            <w:tcW w:w="718" w:type="dxa"/>
            <w:vAlign w:val="center"/>
          </w:tcPr>
          <w:p w:rsidR="00333CB1" w:rsidRDefault="00333CB1">
            <w:pPr>
              <w:spacing w:before="29" w:line="288" w:lineRule="auto"/>
              <w:ind w:left="17"/>
              <w:jc w:val="center"/>
              <w:rPr>
                <w:color w:val="000000"/>
                <w:kern w:val="0"/>
                <w:sz w:val="24"/>
                <w:szCs w:val="24"/>
              </w:rPr>
            </w:pPr>
          </w:p>
        </w:tc>
        <w:tc>
          <w:tcPr>
            <w:tcW w:w="3346" w:type="dxa"/>
            <w:vAlign w:val="center"/>
          </w:tcPr>
          <w:p w:rsidR="00333CB1" w:rsidRDefault="00A64BAA">
            <w:pPr>
              <w:spacing w:before="29" w:line="288" w:lineRule="auto"/>
              <w:ind w:left="17"/>
              <w:jc w:val="left"/>
              <w:rPr>
                <w:kern w:val="0"/>
                <w:sz w:val="24"/>
                <w:szCs w:val="24"/>
              </w:rPr>
            </w:pPr>
            <w:r>
              <w:rPr>
                <w:color w:val="000000"/>
                <w:kern w:val="0"/>
                <w:sz w:val="24"/>
                <w:szCs w:val="24"/>
              </w:rPr>
              <w:t>其中：债券</w:t>
            </w:r>
          </w:p>
        </w:tc>
        <w:tc>
          <w:tcPr>
            <w:tcW w:w="2967" w:type="dxa"/>
            <w:vAlign w:val="center"/>
          </w:tcPr>
          <w:p w:rsidR="00333CB1" w:rsidRDefault="00A64BAA">
            <w:pPr>
              <w:spacing w:before="29" w:line="288" w:lineRule="auto"/>
              <w:ind w:left="17"/>
              <w:jc w:val="right"/>
              <w:rPr>
                <w:color w:val="000000"/>
                <w:kern w:val="0"/>
                <w:sz w:val="24"/>
                <w:szCs w:val="24"/>
              </w:rPr>
            </w:pPr>
            <w:r>
              <w:rPr>
                <w:color w:val="000000"/>
                <w:kern w:val="0"/>
                <w:sz w:val="24"/>
                <w:szCs w:val="24"/>
              </w:rPr>
              <w:t>-</w:t>
            </w:r>
          </w:p>
        </w:tc>
        <w:tc>
          <w:tcPr>
            <w:tcW w:w="1837" w:type="dxa"/>
            <w:vAlign w:val="center"/>
          </w:tcPr>
          <w:p w:rsidR="00333CB1" w:rsidRDefault="00A64BAA">
            <w:pPr>
              <w:spacing w:before="29" w:line="288" w:lineRule="auto"/>
              <w:ind w:left="17"/>
              <w:jc w:val="right"/>
              <w:rPr>
                <w:color w:val="000000"/>
                <w:kern w:val="0"/>
                <w:sz w:val="24"/>
                <w:szCs w:val="24"/>
              </w:rPr>
            </w:pPr>
            <w:r>
              <w:rPr>
                <w:color w:val="000000"/>
                <w:kern w:val="0"/>
                <w:sz w:val="24"/>
                <w:szCs w:val="24"/>
              </w:rPr>
              <w:t>-</w:t>
            </w:r>
          </w:p>
        </w:tc>
      </w:tr>
      <w:tr w:rsidR="00333CB1">
        <w:trPr>
          <w:jc w:val="center"/>
        </w:trPr>
        <w:tc>
          <w:tcPr>
            <w:tcW w:w="718" w:type="dxa"/>
            <w:vAlign w:val="center"/>
          </w:tcPr>
          <w:p w:rsidR="00333CB1" w:rsidRDefault="00333CB1">
            <w:pPr>
              <w:spacing w:before="29" w:line="288" w:lineRule="auto"/>
              <w:ind w:left="17"/>
              <w:jc w:val="center"/>
              <w:rPr>
                <w:color w:val="000000"/>
                <w:kern w:val="0"/>
                <w:sz w:val="24"/>
                <w:szCs w:val="24"/>
              </w:rPr>
            </w:pPr>
          </w:p>
        </w:tc>
        <w:tc>
          <w:tcPr>
            <w:tcW w:w="3346" w:type="dxa"/>
            <w:vAlign w:val="center"/>
          </w:tcPr>
          <w:p w:rsidR="00333CB1" w:rsidRDefault="00A64BAA">
            <w:pPr>
              <w:autoSpaceDE w:val="0"/>
              <w:autoSpaceDN w:val="0"/>
              <w:adjustRightInd w:val="0"/>
              <w:spacing w:before="29" w:line="288" w:lineRule="auto"/>
              <w:ind w:leftChars="8" w:left="17" w:firstLineChars="300" w:firstLine="720"/>
              <w:jc w:val="left"/>
              <w:rPr>
                <w:color w:val="000000"/>
                <w:kern w:val="0"/>
                <w:sz w:val="24"/>
                <w:szCs w:val="24"/>
              </w:rPr>
            </w:pPr>
            <w:r>
              <w:rPr>
                <w:color w:val="000000"/>
                <w:kern w:val="0"/>
                <w:sz w:val="24"/>
                <w:szCs w:val="24"/>
              </w:rPr>
              <w:t>资产支持证券</w:t>
            </w:r>
          </w:p>
        </w:tc>
        <w:tc>
          <w:tcPr>
            <w:tcW w:w="2967" w:type="dxa"/>
            <w:vAlign w:val="center"/>
          </w:tcPr>
          <w:p w:rsidR="00333CB1" w:rsidRDefault="00A64BAA">
            <w:pPr>
              <w:spacing w:before="29" w:line="288" w:lineRule="auto"/>
              <w:ind w:left="17"/>
              <w:jc w:val="right"/>
              <w:rPr>
                <w:color w:val="000000"/>
                <w:kern w:val="0"/>
                <w:sz w:val="24"/>
                <w:szCs w:val="24"/>
              </w:rPr>
            </w:pPr>
            <w:r>
              <w:rPr>
                <w:color w:val="000000"/>
                <w:kern w:val="0"/>
                <w:sz w:val="24"/>
                <w:szCs w:val="24"/>
              </w:rPr>
              <w:t>-</w:t>
            </w:r>
          </w:p>
        </w:tc>
        <w:tc>
          <w:tcPr>
            <w:tcW w:w="1837" w:type="dxa"/>
            <w:vAlign w:val="center"/>
          </w:tcPr>
          <w:p w:rsidR="00333CB1" w:rsidRDefault="00A64BAA">
            <w:pPr>
              <w:spacing w:before="29" w:line="288" w:lineRule="auto"/>
              <w:ind w:left="17"/>
              <w:jc w:val="right"/>
              <w:rPr>
                <w:color w:val="000000"/>
                <w:kern w:val="0"/>
                <w:sz w:val="24"/>
                <w:szCs w:val="24"/>
              </w:rPr>
            </w:pPr>
            <w:r>
              <w:rPr>
                <w:color w:val="000000"/>
                <w:kern w:val="0"/>
                <w:sz w:val="24"/>
                <w:szCs w:val="24"/>
              </w:rPr>
              <w:t>-</w:t>
            </w:r>
          </w:p>
        </w:tc>
      </w:tr>
      <w:tr w:rsidR="00333CB1">
        <w:trPr>
          <w:jc w:val="center"/>
        </w:trPr>
        <w:tc>
          <w:tcPr>
            <w:tcW w:w="718" w:type="dxa"/>
            <w:vAlign w:val="center"/>
          </w:tcPr>
          <w:p w:rsidR="00333CB1" w:rsidRDefault="00A64BAA">
            <w:pPr>
              <w:spacing w:before="29" w:line="288" w:lineRule="auto"/>
              <w:ind w:left="17"/>
              <w:jc w:val="center"/>
              <w:rPr>
                <w:color w:val="000000"/>
                <w:kern w:val="0"/>
                <w:sz w:val="24"/>
                <w:szCs w:val="24"/>
              </w:rPr>
            </w:pPr>
            <w:r>
              <w:rPr>
                <w:color w:val="000000"/>
                <w:kern w:val="0"/>
                <w:sz w:val="24"/>
                <w:szCs w:val="24"/>
              </w:rPr>
              <w:lastRenderedPageBreak/>
              <w:t>3</w:t>
            </w:r>
          </w:p>
        </w:tc>
        <w:tc>
          <w:tcPr>
            <w:tcW w:w="3346" w:type="dxa"/>
            <w:vAlign w:val="center"/>
          </w:tcPr>
          <w:p w:rsidR="00333CB1" w:rsidRDefault="00A64BAA">
            <w:pPr>
              <w:spacing w:before="29" w:line="288" w:lineRule="auto"/>
              <w:ind w:left="17"/>
              <w:jc w:val="left"/>
              <w:rPr>
                <w:color w:val="000000"/>
                <w:kern w:val="0"/>
                <w:sz w:val="24"/>
                <w:szCs w:val="24"/>
              </w:rPr>
            </w:pPr>
            <w:r>
              <w:rPr>
                <w:rFonts w:hAnsi="宋体"/>
                <w:color w:val="000000"/>
                <w:kern w:val="0"/>
                <w:sz w:val="24"/>
                <w:szCs w:val="24"/>
              </w:rPr>
              <w:t>贵金属投资</w:t>
            </w:r>
          </w:p>
        </w:tc>
        <w:tc>
          <w:tcPr>
            <w:tcW w:w="2967" w:type="dxa"/>
            <w:vAlign w:val="center"/>
          </w:tcPr>
          <w:p w:rsidR="00333CB1" w:rsidRDefault="00A64BAA">
            <w:pPr>
              <w:spacing w:before="29" w:line="288" w:lineRule="auto"/>
              <w:ind w:left="17"/>
              <w:jc w:val="right"/>
              <w:rPr>
                <w:color w:val="000000"/>
                <w:kern w:val="0"/>
                <w:sz w:val="24"/>
                <w:szCs w:val="24"/>
              </w:rPr>
            </w:pPr>
            <w:r>
              <w:rPr>
                <w:rFonts w:eastAsiaTheme="minorEastAsia"/>
                <w:color w:val="000000"/>
                <w:kern w:val="0"/>
                <w:sz w:val="24"/>
                <w:szCs w:val="24"/>
              </w:rPr>
              <w:t>-</w:t>
            </w:r>
          </w:p>
        </w:tc>
        <w:tc>
          <w:tcPr>
            <w:tcW w:w="1837" w:type="dxa"/>
            <w:vAlign w:val="center"/>
          </w:tcPr>
          <w:p w:rsidR="00333CB1" w:rsidRDefault="00A64BAA">
            <w:pPr>
              <w:spacing w:before="29" w:line="288" w:lineRule="auto"/>
              <w:ind w:left="17"/>
              <w:jc w:val="right"/>
              <w:rPr>
                <w:rFonts w:eastAsiaTheme="minorEastAsia"/>
                <w:color w:val="000000"/>
                <w:kern w:val="0"/>
                <w:sz w:val="24"/>
                <w:szCs w:val="24"/>
              </w:rPr>
            </w:pPr>
            <w:r>
              <w:rPr>
                <w:rFonts w:eastAsiaTheme="minorEastAsia"/>
                <w:color w:val="000000"/>
                <w:kern w:val="0"/>
                <w:sz w:val="24"/>
                <w:szCs w:val="24"/>
              </w:rPr>
              <w:t>-</w:t>
            </w:r>
          </w:p>
        </w:tc>
      </w:tr>
      <w:tr w:rsidR="00333CB1">
        <w:trPr>
          <w:jc w:val="center"/>
        </w:trPr>
        <w:tc>
          <w:tcPr>
            <w:tcW w:w="718" w:type="dxa"/>
            <w:vAlign w:val="center"/>
          </w:tcPr>
          <w:p w:rsidR="00333CB1" w:rsidRDefault="00A64BAA">
            <w:pPr>
              <w:spacing w:before="29" w:line="288" w:lineRule="auto"/>
              <w:ind w:left="17"/>
              <w:jc w:val="center"/>
              <w:rPr>
                <w:color w:val="000000"/>
                <w:kern w:val="0"/>
                <w:sz w:val="24"/>
                <w:szCs w:val="24"/>
              </w:rPr>
            </w:pPr>
            <w:r>
              <w:rPr>
                <w:color w:val="000000"/>
                <w:kern w:val="0"/>
                <w:sz w:val="24"/>
                <w:szCs w:val="24"/>
              </w:rPr>
              <w:t>4</w:t>
            </w:r>
          </w:p>
        </w:tc>
        <w:tc>
          <w:tcPr>
            <w:tcW w:w="3346" w:type="dxa"/>
            <w:vAlign w:val="center"/>
          </w:tcPr>
          <w:p w:rsidR="00333CB1" w:rsidRDefault="00A64BAA">
            <w:pPr>
              <w:spacing w:before="29" w:line="288" w:lineRule="auto"/>
              <w:ind w:left="17"/>
              <w:jc w:val="left"/>
              <w:rPr>
                <w:kern w:val="0"/>
                <w:sz w:val="24"/>
                <w:szCs w:val="24"/>
              </w:rPr>
            </w:pPr>
            <w:r>
              <w:rPr>
                <w:color w:val="000000"/>
                <w:kern w:val="0"/>
                <w:sz w:val="24"/>
                <w:szCs w:val="24"/>
              </w:rPr>
              <w:t>金融衍生</w:t>
            </w:r>
            <w:proofErr w:type="gramStart"/>
            <w:r>
              <w:rPr>
                <w:color w:val="000000"/>
                <w:kern w:val="0"/>
                <w:sz w:val="24"/>
                <w:szCs w:val="24"/>
              </w:rPr>
              <w:t>品投资</w:t>
            </w:r>
            <w:proofErr w:type="gramEnd"/>
          </w:p>
        </w:tc>
        <w:tc>
          <w:tcPr>
            <w:tcW w:w="2967" w:type="dxa"/>
            <w:vAlign w:val="center"/>
          </w:tcPr>
          <w:p w:rsidR="00333CB1" w:rsidRDefault="00A64BAA">
            <w:pPr>
              <w:spacing w:before="29" w:line="288" w:lineRule="auto"/>
              <w:ind w:left="17"/>
              <w:jc w:val="right"/>
              <w:rPr>
                <w:color w:val="000000"/>
                <w:kern w:val="0"/>
                <w:sz w:val="24"/>
                <w:szCs w:val="24"/>
              </w:rPr>
            </w:pPr>
            <w:r>
              <w:rPr>
                <w:color w:val="000000"/>
                <w:kern w:val="0"/>
                <w:sz w:val="24"/>
                <w:szCs w:val="24"/>
              </w:rPr>
              <w:t>-</w:t>
            </w:r>
          </w:p>
        </w:tc>
        <w:tc>
          <w:tcPr>
            <w:tcW w:w="1837" w:type="dxa"/>
            <w:vAlign w:val="center"/>
          </w:tcPr>
          <w:p w:rsidR="00333CB1" w:rsidRDefault="00A64BAA">
            <w:pPr>
              <w:spacing w:before="29" w:line="288" w:lineRule="auto"/>
              <w:ind w:left="17"/>
              <w:jc w:val="right"/>
              <w:rPr>
                <w:color w:val="000000"/>
                <w:kern w:val="0"/>
                <w:sz w:val="24"/>
                <w:szCs w:val="24"/>
              </w:rPr>
            </w:pPr>
            <w:r>
              <w:rPr>
                <w:color w:val="000000"/>
                <w:kern w:val="0"/>
                <w:sz w:val="24"/>
                <w:szCs w:val="24"/>
              </w:rPr>
              <w:t>-</w:t>
            </w:r>
          </w:p>
        </w:tc>
      </w:tr>
      <w:tr w:rsidR="00333CB1">
        <w:trPr>
          <w:jc w:val="center"/>
        </w:trPr>
        <w:tc>
          <w:tcPr>
            <w:tcW w:w="718" w:type="dxa"/>
            <w:vAlign w:val="center"/>
          </w:tcPr>
          <w:p w:rsidR="00333CB1" w:rsidRDefault="00A64BAA">
            <w:pPr>
              <w:spacing w:before="29" w:line="288" w:lineRule="auto"/>
              <w:ind w:left="17"/>
              <w:jc w:val="center"/>
              <w:rPr>
                <w:color w:val="000000"/>
                <w:kern w:val="0"/>
                <w:sz w:val="24"/>
                <w:szCs w:val="24"/>
              </w:rPr>
            </w:pPr>
            <w:r>
              <w:rPr>
                <w:color w:val="000000"/>
                <w:kern w:val="0"/>
                <w:sz w:val="24"/>
                <w:szCs w:val="24"/>
              </w:rPr>
              <w:t>5</w:t>
            </w:r>
          </w:p>
        </w:tc>
        <w:tc>
          <w:tcPr>
            <w:tcW w:w="3346" w:type="dxa"/>
            <w:vAlign w:val="center"/>
          </w:tcPr>
          <w:p w:rsidR="00333CB1" w:rsidRDefault="00A64BAA">
            <w:pPr>
              <w:spacing w:before="29" w:line="288" w:lineRule="auto"/>
              <w:ind w:left="17"/>
              <w:jc w:val="left"/>
              <w:rPr>
                <w:kern w:val="0"/>
                <w:sz w:val="24"/>
                <w:szCs w:val="24"/>
              </w:rPr>
            </w:pPr>
            <w:r>
              <w:rPr>
                <w:color w:val="000000"/>
                <w:kern w:val="0"/>
                <w:sz w:val="24"/>
                <w:szCs w:val="24"/>
              </w:rPr>
              <w:t>买入返售金融资产</w:t>
            </w:r>
          </w:p>
        </w:tc>
        <w:tc>
          <w:tcPr>
            <w:tcW w:w="2967" w:type="dxa"/>
            <w:vAlign w:val="center"/>
          </w:tcPr>
          <w:p w:rsidR="00333CB1" w:rsidRDefault="00A64BAA">
            <w:pPr>
              <w:spacing w:before="29" w:line="288" w:lineRule="auto"/>
              <w:ind w:left="17"/>
              <w:jc w:val="right"/>
              <w:rPr>
                <w:color w:val="000000"/>
                <w:kern w:val="0"/>
                <w:sz w:val="24"/>
                <w:szCs w:val="24"/>
              </w:rPr>
            </w:pPr>
            <w:r>
              <w:rPr>
                <w:color w:val="000000"/>
                <w:kern w:val="0"/>
                <w:sz w:val="24"/>
                <w:szCs w:val="24"/>
              </w:rPr>
              <w:t>-</w:t>
            </w:r>
          </w:p>
        </w:tc>
        <w:tc>
          <w:tcPr>
            <w:tcW w:w="1837" w:type="dxa"/>
            <w:vAlign w:val="center"/>
          </w:tcPr>
          <w:p w:rsidR="00333CB1" w:rsidRDefault="00A64BAA">
            <w:pPr>
              <w:spacing w:before="29" w:line="288" w:lineRule="auto"/>
              <w:ind w:left="17"/>
              <w:jc w:val="right"/>
              <w:rPr>
                <w:color w:val="000000"/>
                <w:kern w:val="0"/>
                <w:sz w:val="24"/>
                <w:szCs w:val="24"/>
              </w:rPr>
            </w:pPr>
            <w:r>
              <w:rPr>
                <w:color w:val="000000"/>
                <w:kern w:val="0"/>
                <w:sz w:val="24"/>
                <w:szCs w:val="24"/>
              </w:rPr>
              <w:t>-</w:t>
            </w:r>
          </w:p>
        </w:tc>
      </w:tr>
      <w:tr w:rsidR="00333CB1">
        <w:trPr>
          <w:jc w:val="center"/>
        </w:trPr>
        <w:tc>
          <w:tcPr>
            <w:tcW w:w="718" w:type="dxa"/>
            <w:vAlign w:val="center"/>
          </w:tcPr>
          <w:p w:rsidR="00333CB1" w:rsidRDefault="00333CB1">
            <w:pPr>
              <w:spacing w:before="29" w:line="288" w:lineRule="auto"/>
              <w:ind w:left="17"/>
              <w:jc w:val="center"/>
              <w:rPr>
                <w:color w:val="000000"/>
                <w:kern w:val="0"/>
                <w:sz w:val="24"/>
                <w:szCs w:val="24"/>
              </w:rPr>
            </w:pPr>
          </w:p>
        </w:tc>
        <w:tc>
          <w:tcPr>
            <w:tcW w:w="3346" w:type="dxa"/>
            <w:vAlign w:val="center"/>
          </w:tcPr>
          <w:p w:rsidR="00333CB1" w:rsidRDefault="00A64BAA">
            <w:pPr>
              <w:spacing w:before="29" w:line="288" w:lineRule="auto"/>
              <w:ind w:left="17"/>
              <w:jc w:val="left"/>
              <w:rPr>
                <w:kern w:val="0"/>
                <w:sz w:val="24"/>
                <w:szCs w:val="24"/>
              </w:rPr>
            </w:pPr>
            <w:r>
              <w:rPr>
                <w:color w:val="000000"/>
                <w:kern w:val="0"/>
                <w:sz w:val="24"/>
                <w:szCs w:val="24"/>
              </w:rPr>
              <w:t>其中：买断式回购的买入返售金融资产</w:t>
            </w:r>
          </w:p>
        </w:tc>
        <w:tc>
          <w:tcPr>
            <w:tcW w:w="2967" w:type="dxa"/>
            <w:vAlign w:val="center"/>
          </w:tcPr>
          <w:p w:rsidR="00333CB1" w:rsidRDefault="00A64BAA">
            <w:pPr>
              <w:spacing w:before="29" w:line="288" w:lineRule="auto"/>
              <w:ind w:left="17"/>
              <w:jc w:val="right"/>
              <w:rPr>
                <w:color w:val="000000"/>
                <w:kern w:val="0"/>
                <w:sz w:val="24"/>
                <w:szCs w:val="24"/>
              </w:rPr>
            </w:pPr>
            <w:r>
              <w:rPr>
                <w:color w:val="000000"/>
                <w:kern w:val="0"/>
                <w:sz w:val="24"/>
                <w:szCs w:val="24"/>
              </w:rPr>
              <w:t>-</w:t>
            </w:r>
          </w:p>
        </w:tc>
        <w:tc>
          <w:tcPr>
            <w:tcW w:w="1837" w:type="dxa"/>
            <w:vAlign w:val="center"/>
          </w:tcPr>
          <w:p w:rsidR="00333CB1" w:rsidRDefault="00A64BAA">
            <w:pPr>
              <w:spacing w:before="29" w:line="288" w:lineRule="auto"/>
              <w:ind w:left="17"/>
              <w:jc w:val="right"/>
              <w:rPr>
                <w:color w:val="000000"/>
                <w:kern w:val="0"/>
                <w:sz w:val="24"/>
                <w:szCs w:val="24"/>
              </w:rPr>
            </w:pPr>
            <w:r>
              <w:rPr>
                <w:color w:val="000000"/>
                <w:kern w:val="0"/>
                <w:sz w:val="24"/>
                <w:szCs w:val="24"/>
              </w:rPr>
              <w:t>-</w:t>
            </w:r>
          </w:p>
        </w:tc>
      </w:tr>
      <w:tr w:rsidR="00333CB1">
        <w:trPr>
          <w:jc w:val="center"/>
        </w:trPr>
        <w:tc>
          <w:tcPr>
            <w:tcW w:w="718" w:type="dxa"/>
            <w:vAlign w:val="center"/>
          </w:tcPr>
          <w:p w:rsidR="00333CB1" w:rsidRDefault="00A64BAA">
            <w:pPr>
              <w:spacing w:before="29" w:line="288" w:lineRule="auto"/>
              <w:ind w:left="17"/>
              <w:jc w:val="center"/>
              <w:rPr>
                <w:color w:val="000000"/>
                <w:kern w:val="0"/>
                <w:sz w:val="24"/>
                <w:szCs w:val="24"/>
              </w:rPr>
            </w:pPr>
            <w:r>
              <w:rPr>
                <w:color w:val="000000"/>
                <w:kern w:val="0"/>
                <w:sz w:val="24"/>
                <w:szCs w:val="24"/>
              </w:rPr>
              <w:t>6</w:t>
            </w:r>
          </w:p>
        </w:tc>
        <w:tc>
          <w:tcPr>
            <w:tcW w:w="3346" w:type="dxa"/>
            <w:vAlign w:val="center"/>
          </w:tcPr>
          <w:p w:rsidR="00333CB1" w:rsidRDefault="00A64BAA">
            <w:pPr>
              <w:spacing w:before="29" w:line="288" w:lineRule="auto"/>
              <w:ind w:left="17"/>
              <w:jc w:val="left"/>
              <w:rPr>
                <w:kern w:val="0"/>
                <w:sz w:val="24"/>
                <w:szCs w:val="24"/>
              </w:rPr>
            </w:pPr>
            <w:r>
              <w:rPr>
                <w:color w:val="000000"/>
                <w:kern w:val="0"/>
                <w:sz w:val="24"/>
                <w:szCs w:val="24"/>
              </w:rPr>
              <w:t>银行存款和结算备付金合计</w:t>
            </w:r>
          </w:p>
        </w:tc>
        <w:tc>
          <w:tcPr>
            <w:tcW w:w="2967" w:type="dxa"/>
            <w:vAlign w:val="center"/>
          </w:tcPr>
          <w:p w:rsidR="00333CB1" w:rsidRDefault="00A64BAA">
            <w:pPr>
              <w:spacing w:before="29" w:line="288" w:lineRule="auto"/>
              <w:ind w:left="17"/>
              <w:jc w:val="right"/>
              <w:rPr>
                <w:color w:val="000000"/>
                <w:kern w:val="0"/>
                <w:sz w:val="24"/>
                <w:szCs w:val="24"/>
              </w:rPr>
            </w:pPr>
            <w:r>
              <w:rPr>
                <w:color w:val="000000"/>
                <w:kern w:val="0"/>
                <w:sz w:val="24"/>
                <w:szCs w:val="24"/>
              </w:rPr>
              <w:t>179,992.19</w:t>
            </w:r>
          </w:p>
        </w:tc>
        <w:tc>
          <w:tcPr>
            <w:tcW w:w="1837" w:type="dxa"/>
            <w:vAlign w:val="center"/>
          </w:tcPr>
          <w:p w:rsidR="00333CB1" w:rsidRDefault="00A64BAA">
            <w:pPr>
              <w:spacing w:before="29" w:line="288" w:lineRule="auto"/>
              <w:ind w:left="17"/>
              <w:jc w:val="right"/>
              <w:rPr>
                <w:color w:val="000000"/>
                <w:kern w:val="0"/>
                <w:sz w:val="24"/>
                <w:szCs w:val="24"/>
              </w:rPr>
            </w:pPr>
            <w:r>
              <w:rPr>
                <w:color w:val="000000"/>
                <w:kern w:val="0"/>
                <w:sz w:val="24"/>
                <w:szCs w:val="24"/>
              </w:rPr>
              <w:t>27.32</w:t>
            </w:r>
          </w:p>
        </w:tc>
      </w:tr>
      <w:tr w:rsidR="00333CB1">
        <w:trPr>
          <w:jc w:val="center"/>
        </w:trPr>
        <w:tc>
          <w:tcPr>
            <w:tcW w:w="718" w:type="dxa"/>
            <w:vAlign w:val="center"/>
          </w:tcPr>
          <w:p w:rsidR="00333CB1" w:rsidRDefault="00A64BAA">
            <w:pPr>
              <w:spacing w:before="29" w:line="288" w:lineRule="auto"/>
              <w:ind w:left="17"/>
              <w:jc w:val="center"/>
              <w:rPr>
                <w:color w:val="000000"/>
                <w:kern w:val="0"/>
                <w:sz w:val="24"/>
                <w:szCs w:val="24"/>
              </w:rPr>
            </w:pPr>
            <w:r>
              <w:rPr>
                <w:color w:val="000000"/>
                <w:kern w:val="0"/>
                <w:sz w:val="24"/>
                <w:szCs w:val="24"/>
              </w:rPr>
              <w:t>7</w:t>
            </w:r>
          </w:p>
        </w:tc>
        <w:tc>
          <w:tcPr>
            <w:tcW w:w="3346" w:type="dxa"/>
            <w:vAlign w:val="center"/>
          </w:tcPr>
          <w:p w:rsidR="00333CB1" w:rsidRDefault="00A64BAA">
            <w:pPr>
              <w:spacing w:before="29" w:line="288" w:lineRule="auto"/>
              <w:jc w:val="left"/>
              <w:rPr>
                <w:kern w:val="0"/>
                <w:sz w:val="24"/>
                <w:szCs w:val="24"/>
              </w:rPr>
            </w:pPr>
            <w:r>
              <w:rPr>
                <w:color w:val="000000"/>
                <w:kern w:val="0"/>
                <w:sz w:val="24"/>
                <w:szCs w:val="24"/>
              </w:rPr>
              <w:t>其他资产</w:t>
            </w:r>
          </w:p>
        </w:tc>
        <w:tc>
          <w:tcPr>
            <w:tcW w:w="2967" w:type="dxa"/>
            <w:vAlign w:val="center"/>
          </w:tcPr>
          <w:p w:rsidR="00333CB1" w:rsidRDefault="00A64BAA">
            <w:pPr>
              <w:spacing w:before="29" w:line="288" w:lineRule="auto"/>
              <w:jc w:val="right"/>
              <w:rPr>
                <w:color w:val="000000"/>
                <w:kern w:val="0"/>
                <w:sz w:val="24"/>
                <w:szCs w:val="24"/>
              </w:rPr>
            </w:pPr>
            <w:r>
              <w:rPr>
                <w:color w:val="000000"/>
                <w:kern w:val="0"/>
                <w:sz w:val="24"/>
                <w:szCs w:val="24"/>
              </w:rPr>
              <w:t>478,952.76</w:t>
            </w:r>
          </w:p>
        </w:tc>
        <w:tc>
          <w:tcPr>
            <w:tcW w:w="1837" w:type="dxa"/>
            <w:vAlign w:val="center"/>
          </w:tcPr>
          <w:p w:rsidR="00333CB1" w:rsidRDefault="00A64BAA">
            <w:pPr>
              <w:spacing w:before="29" w:line="288" w:lineRule="auto"/>
              <w:jc w:val="right"/>
              <w:rPr>
                <w:color w:val="000000"/>
                <w:kern w:val="0"/>
                <w:sz w:val="24"/>
                <w:szCs w:val="24"/>
              </w:rPr>
            </w:pPr>
            <w:r>
              <w:rPr>
                <w:color w:val="000000"/>
                <w:kern w:val="0"/>
                <w:sz w:val="24"/>
                <w:szCs w:val="24"/>
              </w:rPr>
              <w:t>72.68</w:t>
            </w:r>
          </w:p>
        </w:tc>
      </w:tr>
      <w:tr w:rsidR="00333CB1">
        <w:trPr>
          <w:jc w:val="center"/>
        </w:trPr>
        <w:tc>
          <w:tcPr>
            <w:tcW w:w="718" w:type="dxa"/>
            <w:vAlign w:val="center"/>
          </w:tcPr>
          <w:p w:rsidR="00333CB1" w:rsidRDefault="00A64BAA">
            <w:pPr>
              <w:spacing w:before="29" w:line="288" w:lineRule="auto"/>
              <w:ind w:left="17"/>
              <w:jc w:val="center"/>
              <w:rPr>
                <w:color w:val="000000"/>
                <w:kern w:val="0"/>
                <w:sz w:val="24"/>
                <w:szCs w:val="24"/>
              </w:rPr>
            </w:pPr>
            <w:r>
              <w:rPr>
                <w:color w:val="000000"/>
                <w:kern w:val="0"/>
                <w:sz w:val="24"/>
                <w:szCs w:val="24"/>
              </w:rPr>
              <w:t>8</w:t>
            </w:r>
          </w:p>
        </w:tc>
        <w:tc>
          <w:tcPr>
            <w:tcW w:w="3346" w:type="dxa"/>
            <w:vAlign w:val="center"/>
          </w:tcPr>
          <w:p w:rsidR="00333CB1" w:rsidRDefault="00A64BAA">
            <w:pPr>
              <w:spacing w:before="29" w:line="288" w:lineRule="auto"/>
              <w:jc w:val="left"/>
              <w:rPr>
                <w:kern w:val="0"/>
                <w:sz w:val="24"/>
                <w:szCs w:val="24"/>
              </w:rPr>
            </w:pPr>
            <w:r>
              <w:rPr>
                <w:color w:val="000000"/>
                <w:kern w:val="0"/>
                <w:sz w:val="24"/>
                <w:szCs w:val="24"/>
              </w:rPr>
              <w:t>合计</w:t>
            </w:r>
          </w:p>
        </w:tc>
        <w:tc>
          <w:tcPr>
            <w:tcW w:w="2967" w:type="dxa"/>
            <w:vAlign w:val="center"/>
          </w:tcPr>
          <w:p w:rsidR="00333CB1" w:rsidRDefault="00A64BAA">
            <w:pPr>
              <w:spacing w:before="29" w:line="288" w:lineRule="auto"/>
              <w:jc w:val="right"/>
              <w:rPr>
                <w:color w:val="000000"/>
                <w:kern w:val="0"/>
                <w:sz w:val="24"/>
                <w:szCs w:val="24"/>
              </w:rPr>
            </w:pPr>
            <w:r>
              <w:rPr>
                <w:color w:val="000000"/>
                <w:kern w:val="0"/>
                <w:sz w:val="24"/>
                <w:szCs w:val="24"/>
              </w:rPr>
              <w:t>658,944.95</w:t>
            </w:r>
          </w:p>
        </w:tc>
        <w:tc>
          <w:tcPr>
            <w:tcW w:w="1837" w:type="dxa"/>
            <w:vAlign w:val="center"/>
          </w:tcPr>
          <w:p w:rsidR="00333CB1" w:rsidRDefault="00A64BAA">
            <w:pPr>
              <w:spacing w:before="29" w:line="288" w:lineRule="auto"/>
              <w:jc w:val="right"/>
              <w:rPr>
                <w:color w:val="000000"/>
                <w:kern w:val="0"/>
                <w:sz w:val="24"/>
                <w:szCs w:val="24"/>
              </w:rPr>
            </w:pPr>
            <w:r>
              <w:rPr>
                <w:color w:val="000000"/>
                <w:kern w:val="0"/>
                <w:sz w:val="24"/>
                <w:szCs w:val="24"/>
              </w:rPr>
              <w:t>100.00</w:t>
            </w:r>
          </w:p>
        </w:tc>
      </w:tr>
    </w:tbl>
    <w:p w:rsidR="00333CB1" w:rsidRDefault="00333CB1">
      <w:pPr>
        <w:autoSpaceDE w:val="0"/>
        <w:autoSpaceDN w:val="0"/>
        <w:adjustRightInd w:val="0"/>
        <w:spacing w:before="29" w:line="288" w:lineRule="auto"/>
        <w:jc w:val="left"/>
        <w:rPr>
          <w:color w:val="000000"/>
          <w:sz w:val="24"/>
          <w:szCs w:val="24"/>
        </w:rPr>
      </w:pPr>
    </w:p>
    <w:p w:rsidR="00333CB1" w:rsidRDefault="00A64BAA">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5.2 </w:t>
      </w:r>
      <w:r>
        <w:rPr>
          <w:b/>
          <w:bCs/>
          <w:color w:val="000000"/>
          <w:kern w:val="0"/>
          <w:sz w:val="24"/>
          <w:szCs w:val="24"/>
        </w:rPr>
        <w:t>报告期末按行业分类的股票投资组合</w:t>
      </w:r>
    </w:p>
    <w:p w:rsidR="00333CB1" w:rsidRDefault="00A64BAA">
      <w:pPr>
        <w:autoSpaceDE w:val="0"/>
        <w:autoSpaceDN w:val="0"/>
        <w:adjustRightInd w:val="0"/>
        <w:spacing w:before="29" w:line="288" w:lineRule="auto"/>
        <w:jc w:val="left"/>
        <w:rPr>
          <w:b/>
          <w:bCs/>
          <w:color w:val="000000"/>
          <w:kern w:val="0"/>
          <w:sz w:val="24"/>
          <w:szCs w:val="24"/>
        </w:rPr>
      </w:pPr>
      <w:r>
        <w:rPr>
          <w:rFonts w:eastAsiaTheme="minorEastAsia" w:hint="eastAsia"/>
          <w:b/>
          <w:color w:val="000000" w:themeColor="text1"/>
          <w:kern w:val="0"/>
        </w:rPr>
        <w:t>5.2.1</w:t>
      </w:r>
      <w:r>
        <w:rPr>
          <w:rFonts w:eastAsiaTheme="minorEastAsia" w:hint="eastAsia"/>
          <w:b/>
          <w:color w:val="000000" w:themeColor="text1"/>
          <w:kern w:val="0"/>
        </w:rPr>
        <w:t>报告期末按行业分类的境内股票投资组合</w:t>
      </w:r>
    </w:p>
    <w:p w:rsidR="00333CB1" w:rsidRDefault="00A64BAA">
      <w:pPr>
        <w:autoSpaceDE w:val="0"/>
        <w:autoSpaceDN w:val="0"/>
        <w:adjustRightInd w:val="0"/>
        <w:spacing w:before="29" w:line="288" w:lineRule="auto"/>
        <w:jc w:val="left"/>
        <w:rPr>
          <w:color w:val="000000"/>
          <w:sz w:val="24"/>
          <w:szCs w:val="24"/>
        </w:rPr>
      </w:pPr>
      <w:r>
        <w:rPr>
          <w:color w:val="000000"/>
          <w:sz w:val="24"/>
          <w:szCs w:val="24"/>
        </w:rPr>
        <w:t>本基金本报告期末未持有股票。</w:t>
      </w:r>
    </w:p>
    <w:p w:rsidR="00333CB1" w:rsidRDefault="00A64BAA">
      <w:pPr>
        <w:jc w:val="left"/>
        <w:rPr>
          <w:b/>
        </w:rPr>
      </w:pPr>
      <w:r>
        <w:rPr>
          <w:rFonts w:ascii="宋体" w:hAnsi="宋体" w:hint="eastAsia"/>
          <w:b/>
          <w:kern w:val="0"/>
          <w:sz w:val="18"/>
        </w:rPr>
        <w:t>5.2.2</w:t>
      </w:r>
      <w:r>
        <w:rPr>
          <w:rFonts w:hint="eastAsia"/>
          <w:b/>
        </w:rPr>
        <w:t>报告期末按行业分类的</w:t>
      </w:r>
      <w:r>
        <w:rPr>
          <w:rFonts w:hint="eastAsia"/>
          <w:b/>
        </w:rPr>
        <w:t>港股通</w:t>
      </w:r>
      <w:r>
        <w:rPr>
          <w:rFonts w:hint="eastAsia"/>
          <w:b/>
        </w:rPr>
        <w:t>投资股票投资组合</w:t>
      </w:r>
    </w:p>
    <w:p w:rsidR="00333CB1" w:rsidRDefault="00A64BAA">
      <w:pPr>
        <w:autoSpaceDE w:val="0"/>
        <w:autoSpaceDN w:val="0"/>
        <w:adjustRightInd w:val="0"/>
        <w:spacing w:before="29" w:line="288" w:lineRule="auto"/>
        <w:ind w:firstLineChars="100" w:firstLine="240"/>
        <w:jc w:val="left"/>
        <w:rPr>
          <w:sz w:val="24"/>
          <w:szCs w:val="24"/>
        </w:rPr>
      </w:pPr>
      <w:r>
        <w:rPr>
          <w:sz w:val="24"/>
          <w:szCs w:val="24"/>
        </w:rPr>
        <w:t>本基金本报告期末未持有港股通股票。</w:t>
      </w:r>
    </w:p>
    <w:p w:rsidR="00333CB1" w:rsidRDefault="00333CB1">
      <w:pPr>
        <w:autoSpaceDE w:val="0"/>
        <w:autoSpaceDN w:val="0"/>
        <w:adjustRightInd w:val="0"/>
        <w:spacing w:before="29" w:line="288" w:lineRule="auto"/>
        <w:jc w:val="left"/>
        <w:rPr>
          <w:color w:val="000000"/>
          <w:kern w:val="0"/>
          <w:sz w:val="24"/>
          <w:szCs w:val="24"/>
        </w:rPr>
      </w:pPr>
    </w:p>
    <w:p w:rsidR="00333CB1" w:rsidRDefault="00A64BAA">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5.3 </w:t>
      </w:r>
      <w:r>
        <w:rPr>
          <w:b/>
          <w:bCs/>
          <w:color w:val="000000"/>
          <w:kern w:val="0"/>
          <w:sz w:val="24"/>
          <w:szCs w:val="24"/>
        </w:rPr>
        <w:t>报告期末按公允价值占基金资产净值比例大小排序的前十名股票投资明细</w:t>
      </w:r>
    </w:p>
    <w:p w:rsidR="00333CB1" w:rsidRDefault="00A64BAA">
      <w:pPr>
        <w:autoSpaceDE w:val="0"/>
        <w:autoSpaceDN w:val="0"/>
        <w:adjustRightInd w:val="0"/>
        <w:spacing w:before="29" w:line="288" w:lineRule="auto"/>
        <w:jc w:val="left"/>
        <w:rPr>
          <w:color w:val="000000"/>
          <w:sz w:val="24"/>
          <w:szCs w:val="24"/>
        </w:rPr>
      </w:pPr>
      <w:r>
        <w:rPr>
          <w:color w:val="000000"/>
          <w:sz w:val="24"/>
          <w:szCs w:val="24"/>
        </w:rPr>
        <w:t>本基金本报告期末未持有股票。</w:t>
      </w:r>
    </w:p>
    <w:p w:rsidR="00333CB1" w:rsidRDefault="00333CB1">
      <w:pPr>
        <w:autoSpaceDE w:val="0"/>
        <w:autoSpaceDN w:val="0"/>
        <w:adjustRightInd w:val="0"/>
        <w:spacing w:before="29" w:line="288" w:lineRule="auto"/>
        <w:jc w:val="left"/>
        <w:rPr>
          <w:b/>
          <w:bCs/>
          <w:color w:val="000000"/>
          <w:kern w:val="0"/>
          <w:sz w:val="24"/>
          <w:szCs w:val="24"/>
        </w:rPr>
      </w:pPr>
    </w:p>
    <w:p w:rsidR="00333CB1" w:rsidRDefault="00A64BAA">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5.4 </w:t>
      </w:r>
      <w:r>
        <w:rPr>
          <w:b/>
          <w:bCs/>
          <w:color w:val="000000"/>
          <w:kern w:val="0"/>
          <w:sz w:val="24"/>
          <w:szCs w:val="24"/>
        </w:rPr>
        <w:t>报告期末按债券品种分类的债券投资组合</w:t>
      </w:r>
    </w:p>
    <w:p w:rsidR="00333CB1" w:rsidRDefault="00A64BAA">
      <w:pPr>
        <w:autoSpaceDE w:val="0"/>
        <w:autoSpaceDN w:val="0"/>
        <w:adjustRightInd w:val="0"/>
        <w:spacing w:before="29" w:line="288" w:lineRule="auto"/>
        <w:jc w:val="left"/>
        <w:rPr>
          <w:color w:val="000000"/>
          <w:sz w:val="24"/>
          <w:szCs w:val="24"/>
        </w:rPr>
      </w:pPr>
      <w:r>
        <w:rPr>
          <w:color w:val="000000"/>
          <w:sz w:val="24"/>
          <w:szCs w:val="24"/>
        </w:rPr>
        <w:t>本基金本报告期末未持有债券。</w:t>
      </w:r>
    </w:p>
    <w:p w:rsidR="00333CB1" w:rsidRDefault="00333CB1">
      <w:pPr>
        <w:autoSpaceDE w:val="0"/>
        <w:autoSpaceDN w:val="0"/>
        <w:adjustRightInd w:val="0"/>
        <w:spacing w:before="29" w:line="288" w:lineRule="auto"/>
        <w:jc w:val="left"/>
        <w:rPr>
          <w:color w:val="000000"/>
          <w:kern w:val="0"/>
          <w:sz w:val="24"/>
          <w:szCs w:val="24"/>
        </w:rPr>
      </w:pPr>
    </w:p>
    <w:p w:rsidR="00333CB1" w:rsidRDefault="00A64BAA">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5.5 </w:t>
      </w:r>
      <w:r>
        <w:rPr>
          <w:b/>
          <w:bCs/>
          <w:color w:val="000000"/>
          <w:kern w:val="0"/>
          <w:sz w:val="24"/>
          <w:szCs w:val="24"/>
        </w:rPr>
        <w:t>报告期末按公允价值占基金资产净值比例大小排序的前五名债券投资明细</w:t>
      </w:r>
    </w:p>
    <w:p w:rsidR="00333CB1" w:rsidRDefault="00A64BAA">
      <w:pPr>
        <w:autoSpaceDE w:val="0"/>
        <w:autoSpaceDN w:val="0"/>
        <w:adjustRightInd w:val="0"/>
        <w:spacing w:before="29" w:line="288" w:lineRule="auto"/>
        <w:jc w:val="left"/>
        <w:rPr>
          <w:color w:val="000000"/>
          <w:sz w:val="24"/>
          <w:szCs w:val="24"/>
        </w:rPr>
      </w:pPr>
      <w:r>
        <w:rPr>
          <w:color w:val="000000"/>
          <w:sz w:val="24"/>
          <w:szCs w:val="24"/>
        </w:rPr>
        <w:t>本基金本报告期末未持有债券。</w:t>
      </w:r>
    </w:p>
    <w:p w:rsidR="00333CB1" w:rsidRDefault="00333CB1">
      <w:pPr>
        <w:autoSpaceDE w:val="0"/>
        <w:autoSpaceDN w:val="0"/>
        <w:adjustRightInd w:val="0"/>
        <w:spacing w:before="29" w:line="288" w:lineRule="auto"/>
        <w:jc w:val="left"/>
        <w:rPr>
          <w:b/>
          <w:bCs/>
          <w:color w:val="000000"/>
          <w:kern w:val="0"/>
          <w:sz w:val="24"/>
          <w:szCs w:val="24"/>
        </w:rPr>
      </w:pPr>
    </w:p>
    <w:p w:rsidR="00333CB1" w:rsidRDefault="00A64BAA">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5.6 </w:t>
      </w:r>
      <w:r>
        <w:rPr>
          <w:b/>
          <w:bCs/>
          <w:color w:val="000000"/>
          <w:kern w:val="0"/>
          <w:sz w:val="24"/>
          <w:szCs w:val="24"/>
        </w:rPr>
        <w:t>报告期末按公允价值占基金资产净值比例大小排序的前十名资产支持证券投资明细</w:t>
      </w:r>
    </w:p>
    <w:p w:rsidR="00333CB1" w:rsidRDefault="00A64BAA">
      <w:pPr>
        <w:autoSpaceDE w:val="0"/>
        <w:autoSpaceDN w:val="0"/>
        <w:adjustRightInd w:val="0"/>
        <w:spacing w:before="29" w:line="288" w:lineRule="auto"/>
        <w:jc w:val="left"/>
        <w:rPr>
          <w:color w:val="000000"/>
          <w:sz w:val="24"/>
          <w:szCs w:val="24"/>
        </w:rPr>
      </w:pPr>
      <w:r>
        <w:rPr>
          <w:color w:val="000000"/>
          <w:sz w:val="24"/>
          <w:szCs w:val="24"/>
        </w:rPr>
        <w:t>本基金本报告期末未持有资产支持证券。</w:t>
      </w:r>
    </w:p>
    <w:p w:rsidR="00333CB1" w:rsidRDefault="00333CB1">
      <w:pPr>
        <w:autoSpaceDE w:val="0"/>
        <w:autoSpaceDN w:val="0"/>
        <w:adjustRightInd w:val="0"/>
        <w:spacing w:before="29" w:line="288" w:lineRule="auto"/>
        <w:jc w:val="left"/>
        <w:rPr>
          <w:color w:val="000000"/>
          <w:sz w:val="24"/>
          <w:szCs w:val="24"/>
        </w:rPr>
      </w:pPr>
    </w:p>
    <w:p w:rsidR="00333CB1" w:rsidRDefault="00A64BAA">
      <w:pPr>
        <w:autoSpaceDE w:val="0"/>
        <w:autoSpaceDN w:val="0"/>
        <w:adjustRightInd w:val="0"/>
        <w:spacing w:before="29" w:line="288" w:lineRule="auto"/>
        <w:jc w:val="left"/>
        <w:rPr>
          <w:color w:val="000000"/>
          <w:kern w:val="0"/>
          <w:sz w:val="24"/>
          <w:szCs w:val="24"/>
        </w:rPr>
      </w:pPr>
      <w:r>
        <w:rPr>
          <w:b/>
          <w:bCs/>
          <w:color w:val="000000"/>
          <w:kern w:val="0"/>
          <w:sz w:val="24"/>
          <w:szCs w:val="24"/>
        </w:rPr>
        <w:t>5.7</w:t>
      </w:r>
      <w:r>
        <w:rPr>
          <w:rFonts w:eastAsiaTheme="minorEastAsia"/>
          <w:b/>
          <w:bCs/>
          <w:color w:val="000000"/>
          <w:kern w:val="0"/>
          <w:sz w:val="24"/>
          <w:szCs w:val="24"/>
        </w:rPr>
        <w:t xml:space="preserve"> </w:t>
      </w:r>
      <w:r>
        <w:rPr>
          <w:rFonts w:hAnsi="宋体"/>
          <w:b/>
          <w:bCs/>
          <w:color w:val="000000"/>
          <w:kern w:val="0"/>
          <w:sz w:val="24"/>
          <w:szCs w:val="24"/>
        </w:rPr>
        <w:t>报告期末按公允价值占基金资产净值比例大小排序的前五名贵金属投资明细</w:t>
      </w:r>
    </w:p>
    <w:p w:rsidR="00333CB1" w:rsidRDefault="00A64BAA">
      <w:pPr>
        <w:widowControl/>
        <w:spacing w:line="288" w:lineRule="auto"/>
        <w:jc w:val="left"/>
        <w:rPr>
          <w:sz w:val="24"/>
          <w:szCs w:val="24"/>
        </w:rPr>
      </w:pPr>
      <w:r>
        <w:rPr>
          <w:sz w:val="24"/>
          <w:szCs w:val="24"/>
        </w:rPr>
        <w:t>本基金本报告期末未持有贵金属。</w:t>
      </w:r>
    </w:p>
    <w:p w:rsidR="00333CB1" w:rsidRDefault="00333CB1">
      <w:pPr>
        <w:autoSpaceDE w:val="0"/>
        <w:autoSpaceDN w:val="0"/>
        <w:adjustRightInd w:val="0"/>
        <w:spacing w:before="29" w:line="288" w:lineRule="auto"/>
        <w:jc w:val="left"/>
        <w:rPr>
          <w:color w:val="000000"/>
          <w:kern w:val="0"/>
          <w:sz w:val="24"/>
          <w:szCs w:val="24"/>
        </w:rPr>
      </w:pPr>
    </w:p>
    <w:p w:rsidR="00333CB1" w:rsidRDefault="00A64BAA">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5.8 </w:t>
      </w:r>
      <w:r>
        <w:rPr>
          <w:b/>
          <w:bCs/>
          <w:color w:val="000000"/>
          <w:kern w:val="0"/>
          <w:sz w:val="24"/>
          <w:szCs w:val="24"/>
        </w:rPr>
        <w:t>报告期末按公允价值占基金资产净值比例大小排序的前五名权证投资明细</w:t>
      </w:r>
    </w:p>
    <w:p w:rsidR="00333CB1" w:rsidRDefault="00A64BAA">
      <w:pPr>
        <w:autoSpaceDE w:val="0"/>
        <w:autoSpaceDN w:val="0"/>
        <w:adjustRightInd w:val="0"/>
        <w:spacing w:before="29" w:line="288" w:lineRule="auto"/>
        <w:jc w:val="left"/>
        <w:rPr>
          <w:color w:val="000000"/>
          <w:sz w:val="24"/>
          <w:szCs w:val="24"/>
        </w:rPr>
      </w:pPr>
      <w:r>
        <w:rPr>
          <w:color w:val="000000"/>
          <w:sz w:val="24"/>
          <w:szCs w:val="24"/>
        </w:rPr>
        <w:t>本基金本报告期末未持有权证。</w:t>
      </w:r>
    </w:p>
    <w:p w:rsidR="00333CB1" w:rsidRDefault="00333CB1">
      <w:pPr>
        <w:autoSpaceDE w:val="0"/>
        <w:autoSpaceDN w:val="0"/>
        <w:adjustRightInd w:val="0"/>
        <w:spacing w:before="29" w:line="288" w:lineRule="auto"/>
        <w:jc w:val="left"/>
        <w:rPr>
          <w:color w:val="000000"/>
          <w:kern w:val="0"/>
          <w:sz w:val="24"/>
          <w:szCs w:val="24"/>
        </w:rPr>
      </w:pPr>
    </w:p>
    <w:p w:rsidR="00333CB1" w:rsidRDefault="00A64BAA">
      <w:pPr>
        <w:autoSpaceDE w:val="0"/>
        <w:autoSpaceDN w:val="0"/>
        <w:adjustRightInd w:val="0"/>
        <w:spacing w:before="29" w:line="288" w:lineRule="auto"/>
        <w:jc w:val="left"/>
        <w:rPr>
          <w:b/>
          <w:bCs/>
          <w:color w:val="000000"/>
          <w:kern w:val="0"/>
          <w:sz w:val="24"/>
          <w:szCs w:val="24"/>
        </w:rPr>
      </w:pPr>
      <w:r>
        <w:rPr>
          <w:b/>
          <w:bCs/>
          <w:color w:val="000000"/>
          <w:kern w:val="0"/>
          <w:sz w:val="24"/>
          <w:szCs w:val="24"/>
        </w:rPr>
        <w:lastRenderedPageBreak/>
        <w:t xml:space="preserve">5.9 </w:t>
      </w:r>
      <w:r>
        <w:rPr>
          <w:b/>
          <w:bCs/>
          <w:color w:val="000000"/>
          <w:kern w:val="0"/>
          <w:sz w:val="24"/>
          <w:szCs w:val="24"/>
        </w:rPr>
        <w:t>报告期末本基金投资的股指期货交易情况说明</w:t>
      </w:r>
    </w:p>
    <w:p w:rsidR="00333CB1" w:rsidRDefault="00A64BAA">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5.9.1 </w:t>
      </w:r>
      <w:r>
        <w:rPr>
          <w:b/>
          <w:bCs/>
          <w:color w:val="000000"/>
          <w:kern w:val="0"/>
          <w:sz w:val="24"/>
          <w:szCs w:val="24"/>
        </w:rPr>
        <w:t>报告期末本基金投资的股指期货持仓和损益明细</w:t>
      </w:r>
    </w:p>
    <w:p w:rsidR="00333CB1" w:rsidRDefault="00A64BAA">
      <w:pPr>
        <w:autoSpaceDE w:val="0"/>
        <w:autoSpaceDN w:val="0"/>
        <w:adjustRightInd w:val="0"/>
        <w:spacing w:before="29" w:line="288" w:lineRule="auto"/>
        <w:jc w:val="left"/>
        <w:rPr>
          <w:color w:val="000000"/>
          <w:sz w:val="24"/>
          <w:szCs w:val="24"/>
        </w:rPr>
      </w:pPr>
      <w:r>
        <w:rPr>
          <w:color w:val="000000"/>
          <w:sz w:val="24"/>
          <w:szCs w:val="24"/>
        </w:rPr>
        <w:t>本基金本报告期末未持有股指期货。</w:t>
      </w:r>
    </w:p>
    <w:p w:rsidR="00333CB1" w:rsidRDefault="00333CB1">
      <w:pPr>
        <w:adjustRightInd w:val="0"/>
        <w:snapToGrid w:val="0"/>
        <w:spacing w:before="29" w:line="288" w:lineRule="auto"/>
        <w:rPr>
          <w:sz w:val="24"/>
          <w:szCs w:val="24"/>
        </w:rPr>
      </w:pPr>
    </w:p>
    <w:p w:rsidR="00333CB1" w:rsidRDefault="00A64BAA">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5.9.2 </w:t>
      </w:r>
      <w:r>
        <w:rPr>
          <w:b/>
          <w:bCs/>
          <w:color w:val="000000"/>
          <w:kern w:val="0"/>
          <w:sz w:val="24"/>
          <w:szCs w:val="24"/>
        </w:rPr>
        <w:t>本基金投资股指期货的投资政策</w:t>
      </w:r>
    </w:p>
    <w:p w:rsidR="00333CB1" w:rsidRDefault="00A64BAA">
      <w:pPr>
        <w:autoSpaceDE w:val="0"/>
        <w:autoSpaceDN w:val="0"/>
        <w:adjustRightInd w:val="0"/>
        <w:spacing w:before="29" w:line="288" w:lineRule="auto"/>
        <w:jc w:val="left"/>
        <w:rPr>
          <w:color w:val="000000"/>
          <w:sz w:val="24"/>
          <w:szCs w:val="24"/>
        </w:rPr>
      </w:pPr>
      <w:r>
        <w:rPr>
          <w:color w:val="000000"/>
          <w:sz w:val="24"/>
          <w:szCs w:val="24"/>
        </w:rPr>
        <w:t>根据本基金合同，本基金不参与股指期货交易。</w:t>
      </w:r>
    </w:p>
    <w:p w:rsidR="00333CB1" w:rsidRDefault="00333CB1">
      <w:pPr>
        <w:autoSpaceDE w:val="0"/>
        <w:autoSpaceDN w:val="0"/>
        <w:adjustRightInd w:val="0"/>
        <w:spacing w:before="29" w:line="288" w:lineRule="auto"/>
        <w:jc w:val="left"/>
        <w:rPr>
          <w:color w:val="000000"/>
          <w:kern w:val="0"/>
          <w:sz w:val="24"/>
          <w:szCs w:val="24"/>
        </w:rPr>
      </w:pPr>
    </w:p>
    <w:p w:rsidR="00333CB1" w:rsidRDefault="00A64BAA">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5.10 </w:t>
      </w:r>
      <w:r>
        <w:rPr>
          <w:b/>
          <w:bCs/>
          <w:color w:val="000000"/>
          <w:kern w:val="0"/>
          <w:sz w:val="24"/>
          <w:szCs w:val="24"/>
        </w:rPr>
        <w:t>报告期末本基金投资的国债期货交易情况说明</w:t>
      </w:r>
    </w:p>
    <w:p w:rsidR="00333CB1" w:rsidRDefault="00A64BAA">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5.10.1 </w:t>
      </w:r>
      <w:r>
        <w:rPr>
          <w:b/>
          <w:bCs/>
          <w:color w:val="000000"/>
          <w:kern w:val="0"/>
          <w:sz w:val="24"/>
          <w:szCs w:val="24"/>
        </w:rPr>
        <w:t>本期国债期货投资政策</w:t>
      </w:r>
    </w:p>
    <w:p w:rsidR="00333CB1" w:rsidRDefault="00A64BAA">
      <w:pPr>
        <w:autoSpaceDE w:val="0"/>
        <w:autoSpaceDN w:val="0"/>
        <w:adjustRightInd w:val="0"/>
        <w:spacing w:before="29" w:line="288" w:lineRule="auto"/>
        <w:jc w:val="left"/>
        <w:rPr>
          <w:color w:val="000000"/>
          <w:sz w:val="24"/>
          <w:szCs w:val="24"/>
        </w:rPr>
      </w:pPr>
      <w:r>
        <w:rPr>
          <w:color w:val="000000"/>
          <w:sz w:val="24"/>
          <w:szCs w:val="24"/>
        </w:rPr>
        <w:t>本基金的国债期货投资以风险管理为原则，以套期保值为目的。管理人按照相关法律法规的规定，结合国债现货市场和期货市场的波动性、流动性等情况，通过多头或空头套期保值等策略进行操作，获取超额收益。</w:t>
      </w:r>
    </w:p>
    <w:p w:rsidR="00333CB1" w:rsidRDefault="00333CB1">
      <w:pPr>
        <w:spacing w:before="29" w:line="288" w:lineRule="auto"/>
        <w:rPr>
          <w:color w:val="000000"/>
          <w:sz w:val="24"/>
          <w:szCs w:val="24"/>
        </w:rPr>
      </w:pPr>
    </w:p>
    <w:p w:rsidR="00333CB1" w:rsidRDefault="00A64BAA">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5.10.2 </w:t>
      </w:r>
      <w:r>
        <w:rPr>
          <w:b/>
          <w:bCs/>
          <w:color w:val="000000"/>
          <w:kern w:val="0"/>
          <w:sz w:val="24"/>
          <w:szCs w:val="24"/>
        </w:rPr>
        <w:t>报告期末本基金投资的国债期货持仓和损益明细</w:t>
      </w:r>
    </w:p>
    <w:p w:rsidR="00333CB1" w:rsidRDefault="00A64BAA">
      <w:pPr>
        <w:autoSpaceDE w:val="0"/>
        <w:autoSpaceDN w:val="0"/>
        <w:adjustRightInd w:val="0"/>
        <w:spacing w:before="29" w:line="288" w:lineRule="auto"/>
        <w:jc w:val="left"/>
        <w:rPr>
          <w:color w:val="000000"/>
          <w:sz w:val="24"/>
          <w:szCs w:val="24"/>
        </w:rPr>
      </w:pPr>
      <w:r>
        <w:rPr>
          <w:color w:val="000000"/>
          <w:sz w:val="24"/>
          <w:szCs w:val="24"/>
        </w:rPr>
        <w:t>本基金本报告期末未持有国债期货。</w:t>
      </w:r>
    </w:p>
    <w:p w:rsidR="00333CB1" w:rsidRDefault="00333CB1">
      <w:pPr>
        <w:autoSpaceDE w:val="0"/>
        <w:autoSpaceDN w:val="0"/>
        <w:adjustRightInd w:val="0"/>
        <w:spacing w:before="29" w:line="288" w:lineRule="auto"/>
        <w:jc w:val="left"/>
        <w:rPr>
          <w:color w:val="000000"/>
          <w:sz w:val="24"/>
          <w:szCs w:val="24"/>
        </w:rPr>
      </w:pPr>
    </w:p>
    <w:p w:rsidR="00333CB1" w:rsidRDefault="00A64BAA">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5.10.3 </w:t>
      </w:r>
      <w:r>
        <w:rPr>
          <w:b/>
          <w:bCs/>
          <w:color w:val="000000"/>
          <w:kern w:val="0"/>
          <w:sz w:val="24"/>
          <w:szCs w:val="24"/>
        </w:rPr>
        <w:t>本期国债期货投资评价</w:t>
      </w:r>
    </w:p>
    <w:p w:rsidR="00333CB1" w:rsidRDefault="00A64BAA">
      <w:pPr>
        <w:autoSpaceDE w:val="0"/>
        <w:autoSpaceDN w:val="0"/>
        <w:adjustRightInd w:val="0"/>
        <w:spacing w:before="29" w:line="288" w:lineRule="auto"/>
        <w:jc w:val="left"/>
        <w:rPr>
          <w:color w:val="000000"/>
          <w:sz w:val="24"/>
          <w:szCs w:val="24"/>
        </w:rPr>
      </w:pPr>
      <w:r>
        <w:rPr>
          <w:color w:val="000000"/>
          <w:sz w:val="24"/>
          <w:szCs w:val="24"/>
        </w:rPr>
        <w:t>本基金本报告期未投资国债期货。</w:t>
      </w:r>
    </w:p>
    <w:p w:rsidR="00333CB1" w:rsidRDefault="00333CB1">
      <w:pPr>
        <w:autoSpaceDE w:val="0"/>
        <w:autoSpaceDN w:val="0"/>
        <w:adjustRightInd w:val="0"/>
        <w:spacing w:before="29" w:line="288" w:lineRule="auto"/>
        <w:jc w:val="left"/>
        <w:rPr>
          <w:color w:val="000000"/>
          <w:kern w:val="0"/>
          <w:sz w:val="24"/>
          <w:szCs w:val="24"/>
        </w:rPr>
      </w:pPr>
    </w:p>
    <w:p w:rsidR="00333CB1" w:rsidRDefault="00A64BAA">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5.11 </w:t>
      </w:r>
      <w:r>
        <w:rPr>
          <w:b/>
          <w:bCs/>
          <w:color w:val="000000"/>
          <w:kern w:val="0"/>
          <w:sz w:val="24"/>
          <w:szCs w:val="24"/>
        </w:rPr>
        <w:t>投资组合报告附注</w:t>
      </w:r>
    </w:p>
    <w:p w:rsidR="00333CB1" w:rsidRDefault="00A64BAA">
      <w:pPr>
        <w:autoSpaceDE w:val="0"/>
        <w:autoSpaceDN w:val="0"/>
        <w:adjustRightInd w:val="0"/>
        <w:spacing w:before="29" w:line="288" w:lineRule="auto"/>
        <w:jc w:val="left"/>
        <w:rPr>
          <w:bCs/>
          <w:color w:val="000000"/>
          <w:kern w:val="0"/>
          <w:sz w:val="24"/>
          <w:szCs w:val="24"/>
        </w:rPr>
      </w:pPr>
      <w:r>
        <w:rPr>
          <w:bCs/>
          <w:color w:val="000000"/>
          <w:kern w:val="0"/>
          <w:sz w:val="24"/>
          <w:szCs w:val="24"/>
        </w:rPr>
        <w:t>5.11.1</w:t>
      </w:r>
      <w:r>
        <w:rPr>
          <w:bCs/>
          <w:color w:val="000000"/>
          <w:kern w:val="0"/>
          <w:sz w:val="24"/>
          <w:szCs w:val="24"/>
        </w:rPr>
        <w:t>报告期内，本基金投资的前十名证券的发行主体没有出现被监管部门立案调查</w:t>
      </w:r>
      <w:r>
        <w:rPr>
          <w:bCs/>
          <w:color w:val="000000"/>
          <w:kern w:val="0"/>
          <w:sz w:val="24"/>
          <w:szCs w:val="24"/>
        </w:rPr>
        <w:t>,</w:t>
      </w:r>
      <w:r>
        <w:rPr>
          <w:bCs/>
          <w:color w:val="000000"/>
          <w:kern w:val="0"/>
          <w:sz w:val="24"/>
          <w:szCs w:val="24"/>
        </w:rPr>
        <w:t>或在报告编制日前一年内受到公开谴责、处罚的情形。</w:t>
      </w:r>
    </w:p>
    <w:p w:rsidR="00333CB1" w:rsidRDefault="00A64BAA">
      <w:pPr>
        <w:autoSpaceDE w:val="0"/>
        <w:autoSpaceDN w:val="0"/>
        <w:adjustRightInd w:val="0"/>
        <w:spacing w:before="29" w:line="288" w:lineRule="auto"/>
        <w:jc w:val="left"/>
        <w:rPr>
          <w:bCs/>
          <w:color w:val="000000"/>
          <w:kern w:val="0"/>
          <w:sz w:val="24"/>
          <w:szCs w:val="24"/>
        </w:rPr>
      </w:pPr>
      <w:r>
        <w:rPr>
          <w:bCs/>
          <w:color w:val="000000"/>
          <w:kern w:val="0"/>
          <w:sz w:val="24"/>
          <w:szCs w:val="24"/>
        </w:rPr>
        <w:t>5.11.2</w:t>
      </w:r>
      <w:r>
        <w:rPr>
          <w:bCs/>
          <w:color w:val="000000"/>
          <w:kern w:val="0"/>
          <w:sz w:val="24"/>
          <w:szCs w:val="24"/>
        </w:rPr>
        <w:t>基金投资的前十名股票中，没有投资于超出基金合同规定备选股票库之外的股票。</w:t>
      </w:r>
    </w:p>
    <w:p w:rsidR="00333CB1" w:rsidRDefault="00A64BAA">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5.11.3 </w:t>
      </w:r>
      <w:r>
        <w:rPr>
          <w:b/>
          <w:bCs/>
          <w:color w:val="000000"/>
          <w:kern w:val="0"/>
          <w:sz w:val="24"/>
          <w:szCs w:val="24"/>
        </w:rPr>
        <w:t>其他资产构成</w:t>
      </w:r>
    </w:p>
    <w:tbl>
      <w:tblPr>
        <w:tblStyle w:val="af8"/>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333CB1">
        <w:trPr>
          <w:jc w:val="center"/>
        </w:trPr>
        <w:tc>
          <w:tcPr>
            <w:tcW w:w="1287" w:type="dxa"/>
            <w:vAlign w:val="center"/>
          </w:tcPr>
          <w:p w:rsidR="00333CB1" w:rsidRDefault="00A64BAA">
            <w:pPr>
              <w:autoSpaceDE w:val="0"/>
              <w:autoSpaceDN w:val="0"/>
              <w:adjustRightInd w:val="0"/>
              <w:spacing w:before="29" w:line="288" w:lineRule="auto"/>
              <w:ind w:left="17"/>
              <w:jc w:val="center"/>
              <w:rPr>
                <w:color w:val="000000"/>
                <w:kern w:val="0"/>
                <w:sz w:val="24"/>
                <w:szCs w:val="24"/>
              </w:rPr>
            </w:pPr>
            <w:r>
              <w:rPr>
                <w:color w:val="000000"/>
                <w:kern w:val="0"/>
                <w:sz w:val="24"/>
                <w:szCs w:val="24"/>
              </w:rPr>
              <w:t>序号</w:t>
            </w:r>
          </w:p>
        </w:tc>
        <w:tc>
          <w:tcPr>
            <w:tcW w:w="2573" w:type="dxa"/>
            <w:vAlign w:val="center"/>
          </w:tcPr>
          <w:p w:rsidR="00333CB1" w:rsidRDefault="00A64BAA">
            <w:pPr>
              <w:autoSpaceDE w:val="0"/>
              <w:autoSpaceDN w:val="0"/>
              <w:adjustRightInd w:val="0"/>
              <w:spacing w:before="29" w:line="288" w:lineRule="auto"/>
              <w:ind w:left="17"/>
              <w:jc w:val="center"/>
              <w:rPr>
                <w:color w:val="000000"/>
                <w:kern w:val="0"/>
                <w:sz w:val="24"/>
                <w:szCs w:val="24"/>
              </w:rPr>
            </w:pPr>
            <w:r>
              <w:rPr>
                <w:color w:val="000000"/>
                <w:kern w:val="0"/>
                <w:sz w:val="24"/>
                <w:szCs w:val="24"/>
              </w:rPr>
              <w:t>名称</w:t>
            </w:r>
          </w:p>
        </w:tc>
        <w:tc>
          <w:tcPr>
            <w:tcW w:w="5008" w:type="dxa"/>
            <w:vAlign w:val="center"/>
          </w:tcPr>
          <w:p w:rsidR="00333CB1" w:rsidRDefault="00A64BAA">
            <w:pPr>
              <w:autoSpaceDE w:val="0"/>
              <w:autoSpaceDN w:val="0"/>
              <w:adjustRightInd w:val="0"/>
              <w:spacing w:before="29" w:line="288" w:lineRule="auto"/>
              <w:ind w:left="17"/>
              <w:jc w:val="center"/>
              <w:rPr>
                <w:color w:val="000000"/>
                <w:kern w:val="0"/>
                <w:sz w:val="24"/>
                <w:szCs w:val="24"/>
              </w:rPr>
            </w:pPr>
            <w:r>
              <w:rPr>
                <w:color w:val="000000"/>
                <w:kern w:val="0"/>
                <w:sz w:val="24"/>
                <w:szCs w:val="24"/>
              </w:rPr>
              <w:t>金额</w:t>
            </w:r>
            <w:r>
              <w:rPr>
                <w:color w:val="000000"/>
                <w:kern w:val="0"/>
                <w:sz w:val="24"/>
              </w:rPr>
              <w:t>（元）</w:t>
            </w:r>
          </w:p>
        </w:tc>
      </w:tr>
      <w:tr w:rsidR="00333CB1">
        <w:trPr>
          <w:jc w:val="center"/>
        </w:trPr>
        <w:tc>
          <w:tcPr>
            <w:tcW w:w="1287" w:type="dxa"/>
            <w:vAlign w:val="center"/>
          </w:tcPr>
          <w:p w:rsidR="00333CB1" w:rsidRDefault="00A64BAA">
            <w:pPr>
              <w:autoSpaceDE w:val="0"/>
              <w:autoSpaceDN w:val="0"/>
              <w:adjustRightInd w:val="0"/>
              <w:spacing w:before="29" w:line="288" w:lineRule="auto"/>
              <w:ind w:left="15"/>
              <w:jc w:val="center"/>
              <w:rPr>
                <w:color w:val="000000"/>
                <w:kern w:val="0"/>
                <w:sz w:val="24"/>
                <w:szCs w:val="24"/>
              </w:rPr>
            </w:pPr>
            <w:r>
              <w:rPr>
                <w:color w:val="000000"/>
                <w:kern w:val="0"/>
                <w:sz w:val="24"/>
                <w:szCs w:val="24"/>
              </w:rPr>
              <w:t>1</w:t>
            </w:r>
          </w:p>
        </w:tc>
        <w:tc>
          <w:tcPr>
            <w:tcW w:w="2573" w:type="dxa"/>
            <w:vAlign w:val="center"/>
          </w:tcPr>
          <w:p w:rsidR="00333CB1" w:rsidRDefault="00A64BAA">
            <w:pPr>
              <w:autoSpaceDE w:val="0"/>
              <w:autoSpaceDN w:val="0"/>
              <w:adjustRightInd w:val="0"/>
              <w:spacing w:before="29" w:line="288" w:lineRule="auto"/>
              <w:ind w:left="15"/>
              <w:jc w:val="left"/>
              <w:rPr>
                <w:color w:val="000000"/>
                <w:kern w:val="0"/>
                <w:sz w:val="24"/>
                <w:szCs w:val="24"/>
              </w:rPr>
            </w:pPr>
            <w:r>
              <w:rPr>
                <w:color w:val="000000"/>
                <w:kern w:val="0"/>
                <w:sz w:val="24"/>
                <w:szCs w:val="24"/>
              </w:rPr>
              <w:t>存出保证金</w:t>
            </w:r>
          </w:p>
        </w:tc>
        <w:tc>
          <w:tcPr>
            <w:tcW w:w="5008" w:type="dxa"/>
            <w:vAlign w:val="center"/>
          </w:tcPr>
          <w:p w:rsidR="00333CB1" w:rsidRDefault="00A64BAA">
            <w:pPr>
              <w:autoSpaceDE w:val="0"/>
              <w:autoSpaceDN w:val="0"/>
              <w:adjustRightInd w:val="0"/>
              <w:spacing w:before="29" w:line="288" w:lineRule="auto"/>
              <w:ind w:left="15"/>
              <w:jc w:val="right"/>
              <w:rPr>
                <w:color w:val="000000"/>
                <w:kern w:val="0"/>
                <w:sz w:val="24"/>
                <w:szCs w:val="24"/>
              </w:rPr>
            </w:pPr>
            <w:r>
              <w:rPr>
                <w:color w:val="000000"/>
                <w:kern w:val="0"/>
                <w:sz w:val="24"/>
                <w:szCs w:val="24"/>
              </w:rPr>
              <w:t>14,569.70</w:t>
            </w:r>
          </w:p>
        </w:tc>
      </w:tr>
      <w:tr w:rsidR="00333CB1">
        <w:trPr>
          <w:jc w:val="center"/>
        </w:trPr>
        <w:tc>
          <w:tcPr>
            <w:tcW w:w="1287" w:type="dxa"/>
            <w:vAlign w:val="center"/>
          </w:tcPr>
          <w:p w:rsidR="00333CB1" w:rsidRDefault="00A64BAA">
            <w:pPr>
              <w:autoSpaceDE w:val="0"/>
              <w:autoSpaceDN w:val="0"/>
              <w:adjustRightInd w:val="0"/>
              <w:spacing w:before="29" w:line="288" w:lineRule="auto"/>
              <w:ind w:left="15"/>
              <w:jc w:val="center"/>
              <w:rPr>
                <w:color w:val="000000"/>
                <w:kern w:val="0"/>
                <w:sz w:val="24"/>
                <w:szCs w:val="24"/>
              </w:rPr>
            </w:pPr>
            <w:r>
              <w:rPr>
                <w:color w:val="000000"/>
                <w:kern w:val="0"/>
                <w:sz w:val="24"/>
                <w:szCs w:val="24"/>
              </w:rPr>
              <w:t>2</w:t>
            </w:r>
          </w:p>
        </w:tc>
        <w:tc>
          <w:tcPr>
            <w:tcW w:w="2573" w:type="dxa"/>
            <w:vAlign w:val="center"/>
          </w:tcPr>
          <w:p w:rsidR="00333CB1" w:rsidRDefault="00A64BAA">
            <w:pPr>
              <w:autoSpaceDE w:val="0"/>
              <w:autoSpaceDN w:val="0"/>
              <w:adjustRightInd w:val="0"/>
              <w:spacing w:before="29" w:line="288" w:lineRule="auto"/>
              <w:ind w:left="15"/>
              <w:jc w:val="left"/>
              <w:rPr>
                <w:color w:val="000000"/>
                <w:kern w:val="0"/>
                <w:sz w:val="24"/>
                <w:szCs w:val="24"/>
              </w:rPr>
            </w:pPr>
            <w:r>
              <w:rPr>
                <w:color w:val="000000"/>
                <w:kern w:val="0"/>
                <w:sz w:val="24"/>
                <w:szCs w:val="24"/>
              </w:rPr>
              <w:t>应收证券清算款</w:t>
            </w:r>
          </w:p>
        </w:tc>
        <w:tc>
          <w:tcPr>
            <w:tcW w:w="5008" w:type="dxa"/>
            <w:vAlign w:val="center"/>
          </w:tcPr>
          <w:p w:rsidR="00333CB1" w:rsidRDefault="00A64BAA">
            <w:pPr>
              <w:autoSpaceDE w:val="0"/>
              <w:autoSpaceDN w:val="0"/>
              <w:adjustRightInd w:val="0"/>
              <w:spacing w:before="29" w:line="288" w:lineRule="auto"/>
              <w:ind w:left="15"/>
              <w:jc w:val="right"/>
              <w:rPr>
                <w:color w:val="000000"/>
                <w:kern w:val="0"/>
                <w:sz w:val="24"/>
                <w:szCs w:val="24"/>
              </w:rPr>
            </w:pPr>
            <w:r>
              <w:rPr>
                <w:color w:val="000000"/>
                <w:kern w:val="0"/>
                <w:sz w:val="24"/>
                <w:szCs w:val="24"/>
              </w:rPr>
              <w:t>456,876.16</w:t>
            </w:r>
          </w:p>
        </w:tc>
      </w:tr>
      <w:tr w:rsidR="00333CB1">
        <w:trPr>
          <w:jc w:val="center"/>
        </w:trPr>
        <w:tc>
          <w:tcPr>
            <w:tcW w:w="1287" w:type="dxa"/>
            <w:vAlign w:val="center"/>
          </w:tcPr>
          <w:p w:rsidR="00333CB1" w:rsidRDefault="00A64BAA">
            <w:pPr>
              <w:autoSpaceDE w:val="0"/>
              <w:autoSpaceDN w:val="0"/>
              <w:adjustRightInd w:val="0"/>
              <w:spacing w:before="29" w:line="288" w:lineRule="auto"/>
              <w:ind w:left="15"/>
              <w:jc w:val="center"/>
              <w:rPr>
                <w:color w:val="000000"/>
                <w:kern w:val="0"/>
                <w:sz w:val="24"/>
                <w:szCs w:val="24"/>
              </w:rPr>
            </w:pPr>
            <w:r>
              <w:rPr>
                <w:color w:val="000000"/>
                <w:kern w:val="0"/>
                <w:sz w:val="24"/>
                <w:szCs w:val="24"/>
              </w:rPr>
              <w:t>3</w:t>
            </w:r>
          </w:p>
        </w:tc>
        <w:tc>
          <w:tcPr>
            <w:tcW w:w="2573" w:type="dxa"/>
            <w:vAlign w:val="center"/>
          </w:tcPr>
          <w:p w:rsidR="00333CB1" w:rsidRDefault="00A64BAA">
            <w:pPr>
              <w:autoSpaceDE w:val="0"/>
              <w:autoSpaceDN w:val="0"/>
              <w:adjustRightInd w:val="0"/>
              <w:spacing w:before="29" w:line="288" w:lineRule="auto"/>
              <w:ind w:left="15"/>
              <w:jc w:val="left"/>
              <w:rPr>
                <w:color w:val="000000"/>
                <w:kern w:val="0"/>
                <w:sz w:val="24"/>
                <w:szCs w:val="24"/>
              </w:rPr>
            </w:pPr>
            <w:r>
              <w:rPr>
                <w:color w:val="000000"/>
                <w:kern w:val="0"/>
                <w:sz w:val="24"/>
                <w:szCs w:val="24"/>
              </w:rPr>
              <w:t>应收股利</w:t>
            </w:r>
          </w:p>
        </w:tc>
        <w:tc>
          <w:tcPr>
            <w:tcW w:w="5008" w:type="dxa"/>
            <w:vAlign w:val="center"/>
          </w:tcPr>
          <w:p w:rsidR="00333CB1" w:rsidRDefault="00A64BAA">
            <w:pPr>
              <w:autoSpaceDE w:val="0"/>
              <w:autoSpaceDN w:val="0"/>
              <w:adjustRightInd w:val="0"/>
              <w:spacing w:before="29" w:line="288" w:lineRule="auto"/>
              <w:ind w:left="15"/>
              <w:jc w:val="right"/>
              <w:rPr>
                <w:color w:val="000000"/>
                <w:kern w:val="0"/>
                <w:sz w:val="24"/>
                <w:szCs w:val="24"/>
              </w:rPr>
            </w:pPr>
            <w:r>
              <w:rPr>
                <w:color w:val="000000"/>
                <w:kern w:val="0"/>
                <w:sz w:val="24"/>
                <w:szCs w:val="24"/>
              </w:rPr>
              <w:t>-</w:t>
            </w:r>
          </w:p>
        </w:tc>
      </w:tr>
      <w:tr w:rsidR="00333CB1">
        <w:trPr>
          <w:jc w:val="center"/>
        </w:trPr>
        <w:tc>
          <w:tcPr>
            <w:tcW w:w="1287" w:type="dxa"/>
            <w:vAlign w:val="center"/>
          </w:tcPr>
          <w:p w:rsidR="00333CB1" w:rsidRDefault="00A64BAA">
            <w:pPr>
              <w:autoSpaceDE w:val="0"/>
              <w:autoSpaceDN w:val="0"/>
              <w:adjustRightInd w:val="0"/>
              <w:spacing w:before="29" w:line="288" w:lineRule="auto"/>
              <w:ind w:left="15"/>
              <w:jc w:val="center"/>
              <w:rPr>
                <w:color w:val="000000"/>
                <w:kern w:val="0"/>
                <w:sz w:val="24"/>
                <w:szCs w:val="24"/>
              </w:rPr>
            </w:pPr>
            <w:r>
              <w:rPr>
                <w:color w:val="000000"/>
                <w:kern w:val="0"/>
                <w:sz w:val="24"/>
                <w:szCs w:val="24"/>
              </w:rPr>
              <w:t>4</w:t>
            </w:r>
          </w:p>
        </w:tc>
        <w:tc>
          <w:tcPr>
            <w:tcW w:w="2573" w:type="dxa"/>
            <w:vAlign w:val="center"/>
          </w:tcPr>
          <w:p w:rsidR="00333CB1" w:rsidRDefault="00A64BAA">
            <w:pPr>
              <w:autoSpaceDE w:val="0"/>
              <w:autoSpaceDN w:val="0"/>
              <w:adjustRightInd w:val="0"/>
              <w:spacing w:before="29" w:line="288" w:lineRule="auto"/>
              <w:ind w:left="15"/>
              <w:jc w:val="left"/>
              <w:rPr>
                <w:color w:val="000000"/>
                <w:kern w:val="0"/>
                <w:sz w:val="24"/>
                <w:szCs w:val="24"/>
              </w:rPr>
            </w:pPr>
            <w:r>
              <w:rPr>
                <w:color w:val="000000"/>
                <w:kern w:val="0"/>
                <w:sz w:val="24"/>
                <w:szCs w:val="24"/>
              </w:rPr>
              <w:t>应收利息</w:t>
            </w:r>
          </w:p>
        </w:tc>
        <w:tc>
          <w:tcPr>
            <w:tcW w:w="5008" w:type="dxa"/>
            <w:vAlign w:val="center"/>
          </w:tcPr>
          <w:p w:rsidR="00333CB1" w:rsidRDefault="00A64BAA">
            <w:pPr>
              <w:autoSpaceDE w:val="0"/>
              <w:autoSpaceDN w:val="0"/>
              <w:adjustRightInd w:val="0"/>
              <w:spacing w:before="29" w:line="288" w:lineRule="auto"/>
              <w:ind w:left="15"/>
              <w:jc w:val="right"/>
              <w:rPr>
                <w:color w:val="000000"/>
                <w:kern w:val="0"/>
                <w:sz w:val="24"/>
                <w:szCs w:val="24"/>
              </w:rPr>
            </w:pPr>
            <w:r>
              <w:rPr>
                <w:color w:val="000000"/>
                <w:kern w:val="0"/>
                <w:sz w:val="24"/>
                <w:szCs w:val="24"/>
              </w:rPr>
              <w:t>684.48</w:t>
            </w:r>
          </w:p>
        </w:tc>
      </w:tr>
      <w:tr w:rsidR="00333CB1">
        <w:trPr>
          <w:jc w:val="center"/>
        </w:trPr>
        <w:tc>
          <w:tcPr>
            <w:tcW w:w="1287" w:type="dxa"/>
            <w:vAlign w:val="center"/>
          </w:tcPr>
          <w:p w:rsidR="00333CB1" w:rsidRDefault="00A64BAA">
            <w:pPr>
              <w:autoSpaceDE w:val="0"/>
              <w:autoSpaceDN w:val="0"/>
              <w:adjustRightInd w:val="0"/>
              <w:spacing w:before="29" w:line="288" w:lineRule="auto"/>
              <w:ind w:left="15"/>
              <w:jc w:val="center"/>
              <w:rPr>
                <w:color w:val="000000"/>
                <w:kern w:val="0"/>
                <w:sz w:val="24"/>
                <w:szCs w:val="24"/>
              </w:rPr>
            </w:pPr>
            <w:r>
              <w:rPr>
                <w:color w:val="000000"/>
                <w:kern w:val="0"/>
                <w:sz w:val="24"/>
                <w:szCs w:val="24"/>
              </w:rPr>
              <w:t>5</w:t>
            </w:r>
          </w:p>
        </w:tc>
        <w:tc>
          <w:tcPr>
            <w:tcW w:w="2573" w:type="dxa"/>
            <w:vAlign w:val="center"/>
          </w:tcPr>
          <w:p w:rsidR="00333CB1" w:rsidRDefault="00A64BAA">
            <w:pPr>
              <w:autoSpaceDE w:val="0"/>
              <w:autoSpaceDN w:val="0"/>
              <w:adjustRightInd w:val="0"/>
              <w:spacing w:before="29" w:line="288" w:lineRule="auto"/>
              <w:ind w:left="15"/>
              <w:jc w:val="left"/>
              <w:rPr>
                <w:color w:val="000000"/>
                <w:kern w:val="0"/>
                <w:sz w:val="24"/>
                <w:szCs w:val="24"/>
              </w:rPr>
            </w:pPr>
            <w:r>
              <w:rPr>
                <w:color w:val="000000"/>
                <w:kern w:val="0"/>
                <w:sz w:val="24"/>
                <w:szCs w:val="24"/>
              </w:rPr>
              <w:t>应收申购款</w:t>
            </w:r>
          </w:p>
        </w:tc>
        <w:tc>
          <w:tcPr>
            <w:tcW w:w="5008" w:type="dxa"/>
            <w:vAlign w:val="center"/>
          </w:tcPr>
          <w:p w:rsidR="00333CB1" w:rsidRDefault="00A64BAA">
            <w:pPr>
              <w:autoSpaceDE w:val="0"/>
              <w:autoSpaceDN w:val="0"/>
              <w:adjustRightInd w:val="0"/>
              <w:spacing w:before="29" w:line="288" w:lineRule="auto"/>
              <w:ind w:left="15"/>
              <w:jc w:val="right"/>
              <w:rPr>
                <w:color w:val="000000"/>
                <w:kern w:val="0"/>
                <w:sz w:val="24"/>
                <w:szCs w:val="24"/>
              </w:rPr>
            </w:pPr>
            <w:r>
              <w:rPr>
                <w:color w:val="000000"/>
                <w:kern w:val="0"/>
                <w:sz w:val="24"/>
                <w:szCs w:val="24"/>
              </w:rPr>
              <w:t>-</w:t>
            </w:r>
          </w:p>
        </w:tc>
      </w:tr>
      <w:tr w:rsidR="00333CB1">
        <w:trPr>
          <w:jc w:val="center"/>
        </w:trPr>
        <w:tc>
          <w:tcPr>
            <w:tcW w:w="1287" w:type="dxa"/>
            <w:vAlign w:val="center"/>
          </w:tcPr>
          <w:p w:rsidR="00333CB1" w:rsidRDefault="00A64BAA">
            <w:pPr>
              <w:autoSpaceDE w:val="0"/>
              <w:autoSpaceDN w:val="0"/>
              <w:adjustRightInd w:val="0"/>
              <w:spacing w:before="29" w:line="288" w:lineRule="auto"/>
              <w:ind w:left="15"/>
              <w:jc w:val="center"/>
              <w:rPr>
                <w:color w:val="000000"/>
                <w:kern w:val="0"/>
                <w:sz w:val="24"/>
                <w:szCs w:val="24"/>
              </w:rPr>
            </w:pPr>
            <w:r>
              <w:rPr>
                <w:color w:val="000000"/>
                <w:kern w:val="0"/>
                <w:sz w:val="24"/>
                <w:szCs w:val="24"/>
              </w:rPr>
              <w:t>6</w:t>
            </w:r>
          </w:p>
        </w:tc>
        <w:tc>
          <w:tcPr>
            <w:tcW w:w="2573" w:type="dxa"/>
            <w:vAlign w:val="center"/>
          </w:tcPr>
          <w:p w:rsidR="00333CB1" w:rsidRDefault="00A64BAA">
            <w:pPr>
              <w:autoSpaceDE w:val="0"/>
              <w:autoSpaceDN w:val="0"/>
              <w:adjustRightInd w:val="0"/>
              <w:spacing w:before="29" w:line="288" w:lineRule="auto"/>
              <w:ind w:left="15"/>
              <w:jc w:val="left"/>
              <w:rPr>
                <w:color w:val="000000"/>
                <w:kern w:val="0"/>
                <w:sz w:val="24"/>
                <w:szCs w:val="24"/>
              </w:rPr>
            </w:pPr>
            <w:r>
              <w:rPr>
                <w:color w:val="000000"/>
                <w:kern w:val="0"/>
                <w:sz w:val="24"/>
                <w:szCs w:val="24"/>
              </w:rPr>
              <w:t>其他应收款</w:t>
            </w:r>
          </w:p>
        </w:tc>
        <w:tc>
          <w:tcPr>
            <w:tcW w:w="5008" w:type="dxa"/>
            <w:vAlign w:val="center"/>
          </w:tcPr>
          <w:p w:rsidR="00333CB1" w:rsidRDefault="00A64BAA">
            <w:pPr>
              <w:autoSpaceDE w:val="0"/>
              <w:autoSpaceDN w:val="0"/>
              <w:adjustRightInd w:val="0"/>
              <w:spacing w:before="29" w:line="288" w:lineRule="auto"/>
              <w:ind w:left="15"/>
              <w:jc w:val="right"/>
              <w:rPr>
                <w:color w:val="000000"/>
                <w:kern w:val="0"/>
                <w:sz w:val="24"/>
                <w:szCs w:val="24"/>
              </w:rPr>
            </w:pPr>
            <w:r>
              <w:rPr>
                <w:color w:val="000000"/>
                <w:kern w:val="0"/>
                <w:sz w:val="24"/>
                <w:szCs w:val="24"/>
              </w:rPr>
              <w:t>6,822.42</w:t>
            </w:r>
          </w:p>
        </w:tc>
      </w:tr>
      <w:tr w:rsidR="00333CB1">
        <w:trPr>
          <w:jc w:val="center"/>
        </w:trPr>
        <w:tc>
          <w:tcPr>
            <w:tcW w:w="1287" w:type="dxa"/>
            <w:vAlign w:val="center"/>
          </w:tcPr>
          <w:p w:rsidR="00333CB1" w:rsidRDefault="00A64BAA">
            <w:pPr>
              <w:autoSpaceDE w:val="0"/>
              <w:autoSpaceDN w:val="0"/>
              <w:adjustRightInd w:val="0"/>
              <w:spacing w:before="29" w:line="288" w:lineRule="auto"/>
              <w:ind w:left="15"/>
              <w:jc w:val="center"/>
              <w:rPr>
                <w:color w:val="000000"/>
                <w:kern w:val="0"/>
                <w:sz w:val="24"/>
                <w:szCs w:val="24"/>
              </w:rPr>
            </w:pPr>
            <w:r>
              <w:rPr>
                <w:color w:val="000000"/>
                <w:kern w:val="0"/>
                <w:sz w:val="24"/>
                <w:szCs w:val="24"/>
              </w:rPr>
              <w:t>7</w:t>
            </w:r>
          </w:p>
        </w:tc>
        <w:tc>
          <w:tcPr>
            <w:tcW w:w="2573" w:type="dxa"/>
            <w:vAlign w:val="center"/>
          </w:tcPr>
          <w:p w:rsidR="00333CB1" w:rsidRDefault="00A64BAA">
            <w:pPr>
              <w:autoSpaceDE w:val="0"/>
              <w:autoSpaceDN w:val="0"/>
              <w:adjustRightInd w:val="0"/>
              <w:spacing w:before="29" w:line="288" w:lineRule="auto"/>
              <w:ind w:left="15"/>
              <w:jc w:val="left"/>
              <w:rPr>
                <w:color w:val="000000"/>
                <w:kern w:val="0"/>
                <w:sz w:val="24"/>
                <w:szCs w:val="24"/>
              </w:rPr>
            </w:pPr>
            <w:r>
              <w:rPr>
                <w:color w:val="000000"/>
                <w:kern w:val="0"/>
                <w:sz w:val="24"/>
                <w:szCs w:val="24"/>
              </w:rPr>
              <w:t>待摊费用</w:t>
            </w:r>
          </w:p>
        </w:tc>
        <w:tc>
          <w:tcPr>
            <w:tcW w:w="5008" w:type="dxa"/>
            <w:vAlign w:val="center"/>
          </w:tcPr>
          <w:p w:rsidR="00333CB1" w:rsidRDefault="00A64BAA">
            <w:pPr>
              <w:autoSpaceDE w:val="0"/>
              <w:autoSpaceDN w:val="0"/>
              <w:adjustRightInd w:val="0"/>
              <w:spacing w:before="29" w:line="288" w:lineRule="auto"/>
              <w:ind w:left="15"/>
              <w:jc w:val="right"/>
              <w:rPr>
                <w:color w:val="000000"/>
                <w:kern w:val="0"/>
                <w:sz w:val="24"/>
                <w:szCs w:val="24"/>
              </w:rPr>
            </w:pPr>
            <w:r>
              <w:rPr>
                <w:color w:val="000000"/>
                <w:kern w:val="0"/>
                <w:sz w:val="24"/>
                <w:szCs w:val="24"/>
              </w:rPr>
              <w:t>-</w:t>
            </w:r>
          </w:p>
        </w:tc>
      </w:tr>
      <w:tr w:rsidR="00333CB1">
        <w:trPr>
          <w:jc w:val="center"/>
        </w:trPr>
        <w:tc>
          <w:tcPr>
            <w:tcW w:w="1287" w:type="dxa"/>
            <w:vAlign w:val="center"/>
          </w:tcPr>
          <w:p w:rsidR="00333CB1" w:rsidRDefault="00A64BAA">
            <w:pPr>
              <w:autoSpaceDE w:val="0"/>
              <w:autoSpaceDN w:val="0"/>
              <w:adjustRightInd w:val="0"/>
              <w:spacing w:before="29" w:line="288" w:lineRule="auto"/>
              <w:ind w:left="15"/>
              <w:jc w:val="center"/>
              <w:rPr>
                <w:color w:val="000000"/>
                <w:kern w:val="0"/>
                <w:sz w:val="24"/>
                <w:szCs w:val="24"/>
              </w:rPr>
            </w:pPr>
            <w:r>
              <w:rPr>
                <w:color w:val="000000"/>
                <w:kern w:val="0"/>
                <w:sz w:val="24"/>
                <w:szCs w:val="24"/>
              </w:rPr>
              <w:t>8</w:t>
            </w:r>
          </w:p>
        </w:tc>
        <w:tc>
          <w:tcPr>
            <w:tcW w:w="2573" w:type="dxa"/>
            <w:vAlign w:val="center"/>
          </w:tcPr>
          <w:p w:rsidR="00333CB1" w:rsidRDefault="00A64BAA">
            <w:pPr>
              <w:autoSpaceDE w:val="0"/>
              <w:autoSpaceDN w:val="0"/>
              <w:adjustRightInd w:val="0"/>
              <w:spacing w:before="29" w:line="288" w:lineRule="auto"/>
              <w:ind w:left="15"/>
              <w:jc w:val="left"/>
              <w:rPr>
                <w:color w:val="000000"/>
                <w:kern w:val="0"/>
                <w:sz w:val="24"/>
                <w:szCs w:val="24"/>
              </w:rPr>
            </w:pPr>
            <w:r>
              <w:rPr>
                <w:color w:val="000000"/>
                <w:kern w:val="0"/>
                <w:sz w:val="24"/>
                <w:szCs w:val="24"/>
              </w:rPr>
              <w:t>其他</w:t>
            </w:r>
          </w:p>
        </w:tc>
        <w:tc>
          <w:tcPr>
            <w:tcW w:w="5008" w:type="dxa"/>
            <w:vAlign w:val="center"/>
          </w:tcPr>
          <w:p w:rsidR="00333CB1" w:rsidRDefault="00A64BAA">
            <w:pPr>
              <w:autoSpaceDE w:val="0"/>
              <w:autoSpaceDN w:val="0"/>
              <w:adjustRightInd w:val="0"/>
              <w:spacing w:before="29" w:line="288" w:lineRule="auto"/>
              <w:ind w:left="15"/>
              <w:jc w:val="right"/>
              <w:rPr>
                <w:color w:val="000000"/>
                <w:kern w:val="0"/>
                <w:sz w:val="24"/>
                <w:szCs w:val="24"/>
              </w:rPr>
            </w:pPr>
            <w:r>
              <w:rPr>
                <w:color w:val="000000"/>
                <w:kern w:val="0"/>
                <w:sz w:val="24"/>
                <w:szCs w:val="24"/>
              </w:rPr>
              <w:t>-</w:t>
            </w:r>
          </w:p>
        </w:tc>
      </w:tr>
      <w:tr w:rsidR="00333CB1">
        <w:trPr>
          <w:jc w:val="center"/>
        </w:trPr>
        <w:tc>
          <w:tcPr>
            <w:tcW w:w="1287" w:type="dxa"/>
            <w:vAlign w:val="center"/>
          </w:tcPr>
          <w:p w:rsidR="00333CB1" w:rsidRDefault="00A64BAA">
            <w:pPr>
              <w:autoSpaceDE w:val="0"/>
              <w:autoSpaceDN w:val="0"/>
              <w:adjustRightInd w:val="0"/>
              <w:spacing w:before="29" w:line="288" w:lineRule="auto"/>
              <w:ind w:left="15"/>
              <w:jc w:val="center"/>
              <w:rPr>
                <w:color w:val="000000"/>
                <w:kern w:val="0"/>
                <w:sz w:val="24"/>
                <w:szCs w:val="24"/>
              </w:rPr>
            </w:pPr>
            <w:r>
              <w:rPr>
                <w:color w:val="000000"/>
                <w:kern w:val="0"/>
                <w:sz w:val="24"/>
                <w:szCs w:val="24"/>
              </w:rPr>
              <w:t>9</w:t>
            </w:r>
          </w:p>
        </w:tc>
        <w:tc>
          <w:tcPr>
            <w:tcW w:w="2573" w:type="dxa"/>
            <w:vAlign w:val="center"/>
          </w:tcPr>
          <w:p w:rsidR="00333CB1" w:rsidRDefault="00A64BAA">
            <w:pPr>
              <w:autoSpaceDE w:val="0"/>
              <w:autoSpaceDN w:val="0"/>
              <w:adjustRightInd w:val="0"/>
              <w:spacing w:before="29" w:line="288" w:lineRule="auto"/>
              <w:ind w:left="15"/>
              <w:jc w:val="left"/>
              <w:rPr>
                <w:color w:val="000000"/>
                <w:kern w:val="0"/>
                <w:sz w:val="24"/>
                <w:szCs w:val="24"/>
              </w:rPr>
            </w:pPr>
            <w:r>
              <w:rPr>
                <w:color w:val="000000"/>
                <w:kern w:val="0"/>
                <w:sz w:val="24"/>
                <w:szCs w:val="24"/>
              </w:rPr>
              <w:t>合计</w:t>
            </w:r>
          </w:p>
        </w:tc>
        <w:tc>
          <w:tcPr>
            <w:tcW w:w="5008" w:type="dxa"/>
            <w:vAlign w:val="center"/>
          </w:tcPr>
          <w:p w:rsidR="00333CB1" w:rsidRDefault="00A64BAA">
            <w:pPr>
              <w:autoSpaceDE w:val="0"/>
              <w:autoSpaceDN w:val="0"/>
              <w:adjustRightInd w:val="0"/>
              <w:spacing w:before="29" w:line="288" w:lineRule="auto"/>
              <w:ind w:left="15"/>
              <w:jc w:val="right"/>
              <w:rPr>
                <w:color w:val="000000"/>
                <w:kern w:val="0"/>
                <w:sz w:val="24"/>
                <w:szCs w:val="24"/>
              </w:rPr>
            </w:pPr>
            <w:r>
              <w:rPr>
                <w:color w:val="000000"/>
                <w:kern w:val="0"/>
                <w:sz w:val="24"/>
                <w:szCs w:val="24"/>
              </w:rPr>
              <w:t>478,952.76</w:t>
            </w:r>
          </w:p>
        </w:tc>
      </w:tr>
    </w:tbl>
    <w:p w:rsidR="00333CB1" w:rsidRDefault="00333CB1">
      <w:pPr>
        <w:autoSpaceDE w:val="0"/>
        <w:autoSpaceDN w:val="0"/>
        <w:adjustRightInd w:val="0"/>
        <w:spacing w:before="29" w:line="288" w:lineRule="auto"/>
        <w:rPr>
          <w:color w:val="000000"/>
          <w:sz w:val="24"/>
          <w:szCs w:val="24"/>
        </w:rPr>
      </w:pPr>
    </w:p>
    <w:p w:rsidR="00333CB1" w:rsidRDefault="00A64BAA">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5.11.4 </w:t>
      </w:r>
      <w:r>
        <w:rPr>
          <w:b/>
          <w:bCs/>
          <w:color w:val="000000"/>
          <w:kern w:val="0"/>
          <w:sz w:val="24"/>
          <w:szCs w:val="24"/>
        </w:rPr>
        <w:t>报告期末持有的处于转股期的可转换债券明细</w:t>
      </w:r>
    </w:p>
    <w:p w:rsidR="00333CB1" w:rsidRDefault="00A64BAA">
      <w:pPr>
        <w:autoSpaceDE w:val="0"/>
        <w:autoSpaceDN w:val="0"/>
        <w:adjustRightInd w:val="0"/>
        <w:spacing w:before="29" w:line="288" w:lineRule="auto"/>
        <w:jc w:val="left"/>
        <w:rPr>
          <w:color w:val="000000"/>
          <w:sz w:val="24"/>
          <w:szCs w:val="24"/>
        </w:rPr>
      </w:pPr>
      <w:r>
        <w:rPr>
          <w:color w:val="000000"/>
          <w:sz w:val="24"/>
          <w:szCs w:val="24"/>
        </w:rPr>
        <w:t>本基金本报告期末未持有处于转股期的可转换债券。</w:t>
      </w:r>
    </w:p>
    <w:p w:rsidR="00333CB1" w:rsidRDefault="00333CB1">
      <w:pPr>
        <w:autoSpaceDE w:val="0"/>
        <w:autoSpaceDN w:val="0"/>
        <w:adjustRightInd w:val="0"/>
        <w:spacing w:before="29" w:line="288" w:lineRule="auto"/>
        <w:rPr>
          <w:color w:val="000000"/>
          <w:sz w:val="24"/>
          <w:szCs w:val="24"/>
        </w:rPr>
      </w:pPr>
    </w:p>
    <w:p w:rsidR="00333CB1" w:rsidRDefault="00A64BAA">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5.11.5 </w:t>
      </w:r>
      <w:r>
        <w:rPr>
          <w:b/>
          <w:bCs/>
          <w:color w:val="000000"/>
          <w:kern w:val="0"/>
          <w:sz w:val="24"/>
          <w:szCs w:val="24"/>
        </w:rPr>
        <w:t>报告</w:t>
      </w:r>
      <w:proofErr w:type="gramStart"/>
      <w:r>
        <w:rPr>
          <w:b/>
          <w:bCs/>
          <w:color w:val="000000"/>
          <w:kern w:val="0"/>
          <w:sz w:val="24"/>
          <w:szCs w:val="24"/>
        </w:rPr>
        <w:t>期末前</w:t>
      </w:r>
      <w:proofErr w:type="gramEnd"/>
      <w:r>
        <w:rPr>
          <w:b/>
          <w:bCs/>
          <w:color w:val="000000"/>
          <w:kern w:val="0"/>
          <w:sz w:val="24"/>
          <w:szCs w:val="24"/>
        </w:rPr>
        <w:t>十名股票中存在流通受限情况的说明</w:t>
      </w:r>
    </w:p>
    <w:p w:rsidR="00333CB1" w:rsidRDefault="00A64BAA">
      <w:pPr>
        <w:autoSpaceDE w:val="0"/>
        <w:autoSpaceDN w:val="0"/>
        <w:adjustRightInd w:val="0"/>
        <w:spacing w:before="29" w:line="288" w:lineRule="auto"/>
        <w:jc w:val="left"/>
        <w:rPr>
          <w:color w:val="000000"/>
          <w:sz w:val="24"/>
          <w:szCs w:val="24"/>
        </w:rPr>
      </w:pPr>
      <w:r>
        <w:rPr>
          <w:color w:val="000000"/>
          <w:sz w:val="24"/>
          <w:szCs w:val="24"/>
        </w:rPr>
        <w:t>本基金本报告期末未持有股票。</w:t>
      </w:r>
    </w:p>
    <w:p w:rsidR="00333CB1" w:rsidRDefault="00333CB1">
      <w:pPr>
        <w:autoSpaceDE w:val="0"/>
        <w:autoSpaceDN w:val="0"/>
        <w:adjustRightInd w:val="0"/>
        <w:spacing w:before="29" w:line="288" w:lineRule="auto"/>
        <w:rPr>
          <w:color w:val="000000"/>
          <w:sz w:val="24"/>
          <w:szCs w:val="24"/>
        </w:rPr>
      </w:pPr>
    </w:p>
    <w:p w:rsidR="00333CB1" w:rsidRDefault="00A64BAA">
      <w:pPr>
        <w:spacing w:before="29" w:line="288" w:lineRule="auto"/>
        <w:ind w:firstLineChars="200" w:firstLine="482"/>
        <w:jc w:val="center"/>
        <w:rPr>
          <w:b/>
          <w:color w:val="000000"/>
          <w:sz w:val="24"/>
          <w:szCs w:val="24"/>
        </w:rPr>
      </w:pPr>
      <w:r>
        <w:rPr>
          <w:b/>
          <w:color w:val="000000"/>
          <w:kern w:val="0"/>
          <w:sz w:val="24"/>
          <w:szCs w:val="24"/>
        </w:rPr>
        <w:t xml:space="preserve">§6  </w:t>
      </w:r>
      <w:r>
        <w:rPr>
          <w:b/>
          <w:color w:val="000000"/>
          <w:kern w:val="0"/>
          <w:sz w:val="24"/>
          <w:szCs w:val="24"/>
        </w:rPr>
        <w:t>开放式基金份额变动</w:t>
      </w:r>
    </w:p>
    <w:p w:rsidR="00333CB1" w:rsidRDefault="00A64BAA">
      <w:pPr>
        <w:autoSpaceDE w:val="0"/>
        <w:autoSpaceDN w:val="0"/>
        <w:adjustRightInd w:val="0"/>
        <w:spacing w:before="29" w:line="288" w:lineRule="auto"/>
        <w:ind w:left="15"/>
        <w:jc w:val="right"/>
        <w:rPr>
          <w:color w:val="000000"/>
          <w:kern w:val="0"/>
          <w:sz w:val="24"/>
          <w:szCs w:val="24"/>
        </w:rPr>
      </w:pPr>
      <w:r>
        <w:rPr>
          <w:color w:val="000000"/>
          <w:kern w:val="0"/>
          <w:sz w:val="24"/>
          <w:szCs w:val="24"/>
        </w:rPr>
        <w:t>单位：份</w:t>
      </w:r>
    </w:p>
    <w:tbl>
      <w:tblPr>
        <w:tblW w:w="8868" w:type="dxa"/>
        <w:jc w:val="center"/>
        <w:tblLayout w:type="fixed"/>
        <w:tblCellMar>
          <w:top w:w="-1" w:type="dxa"/>
          <w:bottom w:w="-1" w:type="dxa"/>
        </w:tblCellMar>
        <w:tblLook w:val="04A0" w:firstRow="1" w:lastRow="0" w:firstColumn="1" w:lastColumn="0" w:noHBand="0" w:noVBand="1"/>
      </w:tblPr>
      <w:tblGrid>
        <w:gridCol w:w="4734"/>
        <w:gridCol w:w="4134"/>
      </w:tblGrid>
      <w:tr w:rsidR="00333CB1">
        <w:trPr>
          <w:jc w:val="center"/>
        </w:trPr>
        <w:tc>
          <w:tcPr>
            <w:tcW w:w="4734" w:type="dxa"/>
            <w:tcBorders>
              <w:top w:val="single" w:sz="8" w:space="0" w:color="000000"/>
              <w:left w:val="single" w:sz="8" w:space="0" w:color="000000"/>
              <w:bottom w:val="single" w:sz="8" w:space="0" w:color="000000"/>
              <w:right w:val="single" w:sz="8" w:space="0" w:color="000000"/>
            </w:tcBorders>
            <w:vAlign w:val="center"/>
          </w:tcPr>
          <w:p w:rsidR="00333CB1" w:rsidRDefault="00A64BAA">
            <w:pPr>
              <w:autoSpaceDE w:val="0"/>
              <w:autoSpaceDN w:val="0"/>
              <w:adjustRightInd w:val="0"/>
              <w:spacing w:before="29" w:line="288" w:lineRule="auto"/>
              <w:ind w:left="17"/>
              <w:jc w:val="left"/>
              <w:rPr>
                <w:color w:val="000000"/>
                <w:kern w:val="0"/>
                <w:sz w:val="24"/>
                <w:szCs w:val="24"/>
              </w:rPr>
            </w:pPr>
            <w:r>
              <w:rPr>
                <w:color w:val="000000"/>
                <w:kern w:val="0"/>
                <w:sz w:val="24"/>
                <w:szCs w:val="24"/>
              </w:rPr>
              <w:t>本报告期期</w:t>
            </w:r>
            <w:proofErr w:type="gramStart"/>
            <w:r>
              <w:rPr>
                <w:color w:val="000000"/>
                <w:kern w:val="0"/>
                <w:sz w:val="24"/>
                <w:szCs w:val="24"/>
              </w:rPr>
              <w:t>初基金</w:t>
            </w:r>
            <w:proofErr w:type="gramEnd"/>
            <w:r>
              <w:rPr>
                <w:color w:val="000000"/>
                <w:kern w:val="0"/>
                <w:sz w:val="24"/>
                <w:szCs w:val="24"/>
              </w:rPr>
              <w:t>份额总额</w:t>
            </w:r>
          </w:p>
        </w:tc>
        <w:tc>
          <w:tcPr>
            <w:tcW w:w="4134" w:type="dxa"/>
            <w:tcBorders>
              <w:top w:val="single" w:sz="8" w:space="0" w:color="000000"/>
              <w:left w:val="single" w:sz="8" w:space="0" w:color="000000"/>
              <w:bottom w:val="single" w:sz="8" w:space="0" w:color="000000"/>
              <w:right w:val="single" w:sz="8" w:space="0" w:color="000000"/>
            </w:tcBorders>
            <w:vAlign w:val="center"/>
          </w:tcPr>
          <w:p w:rsidR="00333CB1" w:rsidRDefault="00A64BAA">
            <w:pPr>
              <w:autoSpaceDE w:val="0"/>
              <w:autoSpaceDN w:val="0"/>
              <w:adjustRightInd w:val="0"/>
              <w:spacing w:before="29" w:line="288" w:lineRule="auto"/>
              <w:ind w:left="17"/>
              <w:jc w:val="right"/>
              <w:rPr>
                <w:color w:val="000000"/>
                <w:sz w:val="24"/>
                <w:szCs w:val="24"/>
              </w:rPr>
            </w:pPr>
            <w:r>
              <w:rPr>
                <w:color w:val="000000"/>
                <w:sz w:val="24"/>
                <w:szCs w:val="24"/>
              </w:rPr>
              <w:t>1,078,854.74</w:t>
            </w:r>
          </w:p>
        </w:tc>
      </w:tr>
      <w:tr w:rsidR="00333CB1">
        <w:trPr>
          <w:jc w:val="center"/>
        </w:trPr>
        <w:tc>
          <w:tcPr>
            <w:tcW w:w="4734" w:type="dxa"/>
            <w:tcBorders>
              <w:top w:val="single" w:sz="8" w:space="0" w:color="000000"/>
              <w:left w:val="single" w:sz="8" w:space="0" w:color="000000"/>
              <w:bottom w:val="single" w:sz="8" w:space="0" w:color="000000"/>
              <w:right w:val="single" w:sz="8" w:space="0" w:color="000000"/>
            </w:tcBorders>
            <w:vAlign w:val="center"/>
          </w:tcPr>
          <w:p w:rsidR="00333CB1" w:rsidRDefault="00A64BAA">
            <w:pPr>
              <w:autoSpaceDE w:val="0"/>
              <w:autoSpaceDN w:val="0"/>
              <w:adjustRightInd w:val="0"/>
              <w:spacing w:before="29" w:line="288" w:lineRule="auto"/>
              <w:ind w:left="17"/>
              <w:jc w:val="left"/>
              <w:rPr>
                <w:color w:val="000000"/>
                <w:kern w:val="0"/>
                <w:sz w:val="24"/>
                <w:szCs w:val="24"/>
              </w:rPr>
            </w:pPr>
            <w:r>
              <w:rPr>
                <w:color w:val="000000"/>
                <w:kern w:val="0"/>
                <w:sz w:val="24"/>
                <w:szCs w:val="24"/>
              </w:rPr>
              <w:t>本报告</w:t>
            </w:r>
            <w:proofErr w:type="gramStart"/>
            <w:r>
              <w:rPr>
                <w:color w:val="000000"/>
                <w:kern w:val="0"/>
                <w:sz w:val="24"/>
                <w:szCs w:val="24"/>
              </w:rPr>
              <w:t>期基金</w:t>
            </w:r>
            <w:proofErr w:type="gramEnd"/>
            <w:r>
              <w:rPr>
                <w:color w:val="000000"/>
                <w:kern w:val="0"/>
                <w:sz w:val="24"/>
                <w:szCs w:val="24"/>
              </w:rPr>
              <w:t>总申购份额</w:t>
            </w:r>
          </w:p>
        </w:tc>
        <w:tc>
          <w:tcPr>
            <w:tcW w:w="4134" w:type="dxa"/>
            <w:tcBorders>
              <w:top w:val="single" w:sz="8" w:space="0" w:color="000000"/>
              <w:left w:val="single" w:sz="8" w:space="0" w:color="000000"/>
              <w:bottom w:val="single" w:sz="8" w:space="0" w:color="000000"/>
              <w:right w:val="single" w:sz="8" w:space="0" w:color="000000"/>
            </w:tcBorders>
            <w:vAlign w:val="center"/>
          </w:tcPr>
          <w:p w:rsidR="00333CB1" w:rsidRDefault="00A64BAA">
            <w:pPr>
              <w:autoSpaceDE w:val="0"/>
              <w:autoSpaceDN w:val="0"/>
              <w:adjustRightInd w:val="0"/>
              <w:spacing w:before="29" w:line="288" w:lineRule="auto"/>
              <w:ind w:left="17"/>
              <w:jc w:val="right"/>
              <w:rPr>
                <w:color w:val="000000"/>
                <w:sz w:val="24"/>
                <w:szCs w:val="24"/>
              </w:rPr>
            </w:pPr>
            <w:r>
              <w:rPr>
                <w:color w:val="000000"/>
                <w:sz w:val="24"/>
                <w:szCs w:val="24"/>
              </w:rPr>
              <w:t>1,066,350.73</w:t>
            </w:r>
          </w:p>
        </w:tc>
      </w:tr>
      <w:tr w:rsidR="00333CB1">
        <w:trPr>
          <w:jc w:val="center"/>
        </w:trPr>
        <w:tc>
          <w:tcPr>
            <w:tcW w:w="4734" w:type="dxa"/>
            <w:tcBorders>
              <w:top w:val="single" w:sz="8" w:space="0" w:color="000000"/>
              <w:left w:val="single" w:sz="8" w:space="0" w:color="000000"/>
              <w:bottom w:val="single" w:sz="8" w:space="0" w:color="000000"/>
              <w:right w:val="single" w:sz="8" w:space="0" w:color="000000"/>
            </w:tcBorders>
            <w:vAlign w:val="center"/>
          </w:tcPr>
          <w:p w:rsidR="00333CB1" w:rsidRDefault="00A64BAA">
            <w:pPr>
              <w:autoSpaceDE w:val="0"/>
              <w:autoSpaceDN w:val="0"/>
              <w:adjustRightInd w:val="0"/>
              <w:spacing w:before="29" w:line="288" w:lineRule="auto"/>
              <w:ind w:left="17"/>
              <w:jc w:val="left"/>
              <w:rPr>
                <w:color w:val="000000"/>
                <w:kern w:val="0"/>
                <w:sz w:val="24"/>
                <w:szCs w:val="24"/>
              </w:rPr>
            </w:pPr>
            <w:r>
              <w:rPr>
                <w:color w:val="000000"/>
                <w:kern w:val="0"/>
                <w:sz w:val="24"/>
                <w:szCs w:val="24"/>
              </w:rPr>
              <w:t>减：本报告</w:t>
            </w:r>
            <w:proofErr w:type="gramStart"/>
            <w:r>
              <w:rPr>
                <w:color w:val="000000"/>
                <w:kern w:val="0"/>
                <w:sz w:val="24"/>
                <w:szCs w:val="24"/>
              </w:rPr>
              <w:t>期基金</w:t>
            </w:r>
            <w:proofErr w:type="gramEnd"/>
            <w:r>
              <w:rPr>
                <w:color w:val="000000"/>
                <w:kern w:val="0"/>
                <w:sz w:val="24"/>
                <w:szCs w:val="24"/>
              </w:rPr>
              <w:t>总赎回份额</w:t>
            </w:r>
          </w:p>
        </w:tc>
        <w:tc>
          <w:tcPr>
            <w:tcW w:w="4134" w:type="dxa"/>
            <w:tcBorders>
              <w:top w:val="single" w:sz="8" w:space="0" w:color="000000"/>
              <w:left w:val="single" w:sz="8" w:space="0" w:color="000000"/>
              <w:bottom w:val="single" w:sz="8" w:space="0" w:color="000000"/>
              <w:right w:val="single" w:sz="8" w:space="0" w:color="000000"/>
            </w:tcBorders>
            <w:vAlign w:val="center"/>
          </w:tcPr>
          <w:p w:rsidR="00333CB1" w:rsidRDefault="00A64BAA">
            <w:pPr>
              <w:autoSpaceDE w:val="0"/>
              <w:autoSpaceDN w:val="0"/>
              <w:adjustRightInd w:val="0"/>
              <w:spacing w:before="29" w:line="288" w:lineRule="auto"/>
              <w:ind w:left="17"/>
              <w:jc w:val="right"/>
              <w:rPr>
                <w:color w:val="000000"/>
                <w:sz w:val="24"/>
                <w:szCs w:val="24"/>
              </w:rPr>
            </w:pPr>
            <w:r>
              <w:rPr>
                <w:color w:val="000000"/>
                <w:sz w:val="24"/>
                <w:szCs w:val="24"/>
              </w:rPr>
              <w:t>1,748,576.04</w:t>
            </w:r>
          </w:p>
        </w:tc>
      </w:tr>
      <w:tr w:rsidR="00333CB1">
        <w:trPr>
          <w:jc w:val="center"/>
        </w:trPr>
        <w:tc>
          <w:tcPr>
            <w:tcW w:w="4734" w:type="dxa"/>
            <w:tcBorders>
              <w:top w:val="single" w:sz="8" w:space="0" w:color="000000"/>
              <w:left w:val="single" w:sz="8" w:space="0" w:color="000000"/>
              <w:bottom w:val="single" w:sz="8" w:space="0" w:color="000000"/>
              <w:right w:val="single" w:sz="8" w:space="0" w:color="000000"/>
            </w:tcBorders>
            <w:vAlign w:val="center"/>
          </w:tcPr>
          <w:p w:rsidR="00333CB1" w:rsidRDefault="00A64BAA">
            <w:pPr>
              <w:autoSpaceDE w:val="0"/>
              <w:autoSpaceDN w:val="0"/>
              <w:adjustRightInd w:val="0"/>
              <w:spacing w:before="29" w:line="288" w:lineRule="auto"/>
              <w:ind w:left="17"/>
              <w:jc w:val="left"/>
              <w:rPr>
                <w:color w:val="000000"/>
                <w:kern w:val="0"/>
                <w:sz w:val="24"/>
                <w:szCs w:val="24"/>
              </w:rPr>
            </w:pPr>
            <w:r>
              <w:rPr>
                <w:color w:val="000000"/>
                <w:kern w:val="0"/>
                <w:sz w:val="24"/>
                <w:szCs w:val="24"/>
              </w:rPr>
              <w:t>本报告</w:t>
            </w:r>
            <w:proofErr w:type="gramStart"/>
            <w:r>
              <w:rPr>
                <w:color w:val="000000"/>
                <w:kern w:val="0"/>
                <w:sz w:val="24"/>
                <w:szCs w:val="24"/>
              </w:rPr>
              <w:t>期基金</w:t>
            </w:r>
            <w:proofErr w:type="gramEnd"/>
            <w:r>
              <w:rPr>
                <w:color w:val="000000"/>
                <w:kern w:val="0"/>
                <w:sz w:val="24"/>
                <w:szCs w:val="24"/>
              </w:rPr>
              <w:t>拆分变动份额</w:t>
            </w:r>
          </w:p>
        </w:tc>
        <w:tc>
          <w:tcPr>
            <w:tcW w:w="4134" w:type="dxa"/>
            <w:tcBorders>
              <w:top w:val="single" w:sz="8" w:space="0" w:color="000000"/>
              <w:left w:val="single" w:sz="8" w:space="0" w:color="000000"/>
              <w:bottom w:val="single" w:sz="8" w:space="0" w:color="000000"/>
              <w:right w:val="single" w:sz="8" w:space="0" w:color="000000"/>
            </w:tcBorders>
            <w:vAlign w:val="center"/>
          </w:tcPr>
          <w:p w:rsidR="00333CB1" w:rsidRDefault="00A64BAA">
            <w:pPr>
              <w:autoSpaceDE w:val="0"/>
              <w:autoSpaceDN w:val="0"/>
              <w:adjustRightInd w:val="0"/>
              <w:spacing w:before="29" w:line="288" w:lineRule="auto"/>
              <w:ind w:left="17"/>
              <w:jc w:val="right"/>
              <w:rPr>
                <w:color w:val="000000"/>
                <w:sz w:val="24"/>
                <w:szCs w:val="24"/>
              </w:rPr>
            </w:pPr>
            <w:r>
              <w:rPr>
                <w:color w:val="000000"/>
                <w:sz w:val="24"/>
                <w:szCs w:val="24"/>
              </w:rPr>
              <w:t>-</w:t>
            </w:r>
          </w:p>
        </w:tc>
      </w:tr>
      <w:tr w:rsidR="00333CB1">
        <w:trPr>
          <w:jc w:val="center"/>
        </w:trPr>
        <w:tc>
          <w:tcPr>
            <w:tcW w:w="4734" w:type="dxa"/>
            <w:tcBorders>
              <w:top w:val="single" w:sz="8" w:space="0" w:color="000000"/>
              <w:left w:val="single" w:sz="8" w:space="0" w:color="000000"/>
              <w:bottom w:val="single" w:sz="8" w:space="0" w:color="000000"/>
              <w:right w:val="single" w:sz="8" w:space="0" w:color="000000"/>
            </w:tcBorders>
            <w:vAlign w:val="center"/>
          </w:tcPr>
          <w:p w:rsidR="00333CB1" w:rsidRDefault="00A64BAA">
            <w:pPr>
              <w:autoSpaceDE w:val="0"/>
              <w:autoSpaceDN w:val="0"/>
              <w:adjustRightInd w:val="0"/>
              <w:spacing w:before="29" w:line="288" w:lineRule="auto"/>
              <w:ind w:left="17"/>
              <w:jc w:val="left"/>
              <w:rPr>
                <w:color w:val="000000"/>
                <w:kern w:val="0"/>
                <w:sz w:val="24"/>
                <w:szCs w:val="24"/>
              </w:rPr>
            </w:pPr>
            <w:r>
              <w:rPr>
                <w:color w:val="000000"/>
                <w:kern w:val="0"/>
                <w:sz w:val="24"/>
                <w:szCs w:val="24"/>
              </w:rPr>
              <w:t>本报告期期末基金份额总额</w:t>
            </w:r>
          </w:p>
        </w:tc>
        <w:tc>
          <w:tcPr>
            <w:tcW w:w="4134" w:type="dxa"/>
            <w:tcBorders>
              <w:top w:val="single" w:sz="8" w:space="0" w:color="000000"/>
              <w:left w:val="single" w:sz="8" w:space="0" w:color="000000"/>
              <w:bottom w:val="single" w:sz="8" w:space="0" w:color="000000"/>
              <w:right w:val="single" w:sz="8" w:space="0" w:color="000000"/>
            </w:tcBorders>
            <w:vAlign w:val="center"/>
          </w:tcPr>
          <w:p w:rsidR="00333CB1" w:rsidRDefault="00A64BAA">
            <w:pPr>
              <w:autoSpaceDE w:val="0"/>
              <w:autoSpaceDN w:val="0"/>
              <w:adjustRightInd w:val="0"/>
              <w:spacing w:before="29" w:line="288" w:lineRule="auto"/>
              <w:ind w:left="17"/>
              <w:jc w:val="right"/>
              <w:rPr>
                <w:color w:val="000000"/>
                <w:sz w:val="24"/>
                <w:szCs w:val="24"/>
              </w:rPr>
            </w:pPr>
            <w:r>
              <w:rPr>
                <w:color w:val="000000"/>
                <w:sz w:val="24"/>
                <w:szCs w:val="24"/>
              </w:rPr>
              <w:t>396,629.43</w:t>
            </w:r>
          </w:p>
        </w:tc>
      </w:tr>
    </w:tbl>
    <w:p w:rsidR="00333CB1" w:rsidRDefault="00A64BAA">
      <w:pPr>
        <w:autoSpaceDE w:val="0"/>
        <w:autoSpaceDN w:val="0"/>
        <w:adjustRightInd w:val="0"/>
        <w:spacing w:before="29" w:line="288" w:lineRule="auto"/>
        <w:jc w:val="left"/>
        <w:rPr>
          <w:color w:val="000000"/>
          <w:sz w:val="24"/>
          <w:szCs w:val="24"/>
        </w:rPr>
      </w:pPr>
      <w:r>
        <w:rPr>
          <w:color w:val="000000"/>
          <w:sz w:val="24"/>
          <w:szCs w:val="24"/>
        </w:rPr>
        <w:t>注：</w:t>
      </w:r>
      <w:proofErr w:type="gramStart"/>
      <w:r>
        <w:rPr>
          <w:color w:val="000000"/>
          <w:sz w:val="24"/>
          <w:szCs w:val="24"/>
        </w:rPr>
        <w:t>海富通瑞益债券</w:t>
      </w:r>
      <w:proofErr w:type="gramEnd"/>
      <w:r>
        <w:rPr>
          <w:color w:val="000000"/>
          <w:sz w:val="24"/>
          <w:szCs w:val="24"/>
        </w:rPr>
        <w:t>型证券投资基金报告期期间为</w:t>
      </w:r>
      <w:r>
        <w:rPr>
          <w:color w:val="000000"/>
          <w:sz w:val="24"/>
          <w:szCs w:val="24"/>
        </w:rPr>
        <w:t>2017</w:t>
      </w:r>
      <w:r>
        <w:rPr>
          <w:color w:val="000000"/>
          <w:sz w:val="24"/>
          <w:szCs w:val="24"/>
        </w:rPr>
        <w:t>年</w:t>
      </w:r>
      <w:r>
        <w:rPr>
          <w:color w:val="000000"/>
          <w:sz w:val="24"/>
          <w:szCs w:val="24"/>
        </w:rPr>
        <w:t>7</w:t>
      </w:r>
      <w:r>
        <w:rPr>
          <w:color w:val="000000"/>
          <w:sz w:val="24"/>
          <w:szCs w:val="24"/>
        </w:rPr>
        <w:t>月</w:t>
      </w:r>
      <w:r>
        <w:rPr>
          <w:color w:val="000000"/>
          <w:sz w:val="24"/>
          <w:szCs w:val="24"/>
        </w:rPr>
        <w:t>1</w:t>
      </w:r>
      <w:r>
        <w:rPr>
          <w:color w:val="000000"/>
          <w:sz w:val="24"/>
          <w:szCs w:val="24"/>
        </w:rPr>
        <w:t>日至</w:t>
      </w:r>
      <w:r>
        <w:rPr>
          <w:color w:val="000000"/>
          <w:sz w:val="24"/>
          <w:szCs w:val="24"/>
        </w:rPr>
        <w:t>2017</w:t>
      </w:r>
      <w:r>
        <w:rPr>
          <w:color w:val="000000"/>
          <w:sz w:val="24"/>
          <w:szCs w:val="24"/>
        </w:rPr>
        <w:t>年</w:t>
      </w:r>
      <w:r>
        <w:rPr>
          <w:color w:val="000000"/>
          <w:sz w:val="24"/>
          <w:szCs w:val="24"/>
        </w:rPr>
        <w:t>8</w:t>
      </w:r>
      <w:r>
        <w:rPr>
          <w:color w:val="000000"/>
          <w:sz w:val="24"/>
          <w:szCs w:val="24"/>
        </w:rPr>
        <w:t>月</w:t>
      </w:r>
      <w:r>
        <w:rPr>
          <w:color w:val="000000"/>
          <w:sz w:val="24"/>
          <w:szCs w:val="24"/>
        </w:rPr>
        <w:t>31</w:t>
      </w:r>
      <w:r>
        <w:rPr>
          <w:color w:val="000000"/>
          <w:sz w:val="24"/>
          <w:szCs w:val="24"/>
        </w:rPr>
        <w:t>日。</w:t>
      </w:r>
    </w:p>
    <w:p w:rsidR="00333CB1" w:rsidRDefault="00333CB1">
      <w:pPr>
        <w:autoSpaceDE w:val="0"/>
        <w:autoSpaceDN w:val="0"/>
        <w:adjustRightInd w:val="0"/>
        <w:spacing w:before="29" w:line="288" w:lineRule="auto"/>
        <w:jc w:val="left"/>
        <w:rPr>
          <w:color w:val="000000"/>
          <w:sz w:val="24"/>
          <w:szCs w:val="24"/>
        </w:rPr>
      </w:pPr>
    </w:p>
    <w:p w:rsidR="00333CB1" w:rsidRDefault="00A64BAA" w:rsidP="00B33365">
      <w:pPr>
        <w:pStyle w:val="1"/>
        <w:tabs>
          <w:tab w:val="center" w:pos="4156"/>
          <w:tab w:val="right" w:pos="8312"/>
        </w:tabs>
        <w:spacing w:beforeLines="100" w:before="312" w:afterLines="100" w:after="312" w:line="288" w:lineRule="auto"/>
        <w:jc w:val="center"/>
        <w:rPr>
          <w:sz w:val="24"/>
          <w:szCs w:val="24"/>
        </w:rPr>
      </w:pPr>
      <w:r>
        <w:rPr>
          <w:color w:val="000000"/>
          <w:kern w:val="0"/>
          <w:sz w:val="24"/>
          <w:szCs w:val="24"/>
        </w:rPr>
        <w:t>§</w:t>
      </w:r>
      <w:r>
        <w:rPr>
          <w:rFonts w:eastAsiaTheme="minorEastAsia"/>
          <w:color w:val="000000"/>
          <w:kern w:val="0"/>
          <w:sz w:val="24"/>
          <w:szCs w:val="24"/>
        </w:rPr>
        <w:t xml:space="preserve">7  </w:t>
      </w:r>
      <w:r>
        <w:rPr>
          <w:sz w:val="24"/>
          <w:szCs w:val="24"/>
        </w:rPr>
        <w:t>基金管理人运用</w:t>
      </w:r>
      <w:proofErr w:type="gramStart"/>
      <w:r>
        <w:rPr>
          <w:sz w:val="24"/>
          <w:szCs w:val="24"/>
        </w:rPr>
        <w:t>固有资金</w:t>
      </w:r>
      <w:proofErr w:type="gramEnd"/>
      <w:r>
        <w:rPr>
          <w:sz w:val="24"/>
          <w:szCs w:val="24"/>
        </w:rPr>
        <w:t>投资本基金情况</w:t>
      </w:r>
    </w:p>
    <w:p w:rsidR="00333CB1" w:rsidRDefault="00A64BAA">
      <w:pPr>
        <w:spacing w:line="288" w:lineRule="auto"/>
        <w:jc w:val="left"/>
        <w:rPr>
          <w:sz w:val="24"/>
          <w:szCs w:val="24"/>
        </w:rPr>
      </w:pPr>
      <w:r>
        <w:rPr>
          <w:b/>
          <w:sz w:val="24"/>
        </w:rPr>
        <w:t xml:space="preserve">7.1 </w:t>
      </w:r>
      <w:r>
        <w:rPr>
          <w:b/>
          <w:sz w:val="24"/>
        </w:rPr>
        <w:t>基金管理人持有本基金份额变动情况</w:t>
      </w:r>
    </w:p>
    <w:p w:rsidR="00333CB1" w:rsidRDefault="00A64BAA">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本基金本报告</w:t>
      </w:r>
      <w:proofErr w:type="gramStart"/>
      <w:r>
        <w:rPr>
          <w:rFonts w:eastAsiaTheme="minorEastAsia"/>
          <w:color w:val="000000"/>
          <w:sz w:val="24"/>
        </w:rPr>
        <w:t>期基金</w:t>
      </w:r>
      <w:proofErr w:type="gramEnd"/>
      <w:r>
        <w:rPr>
          <w:rFonts w:eastAsiaTheme="minorEastAsia"/>
          <w:color w:val="000000"/>
          <w:sz w:val="24"/>
        </w:rPr>
        <w:t>管理人未持有本基金。</w:t>
      </w:r>
    </w:p>
    <w:p w:rsidR="00333CB1" w:rsidRDefault="00333CB1">
      <w:pPr>
        <w:autoSpaceDE w:val="0"/>
        <w:autoSpaceDN w:val="0"/>
        <w:adjustRightInd w:val="0"/>
        <w:spacing w:before="29" w:line="288" w:lineRule="auto"/>
        <w:jc w:val="left"/>
        <w:rPr>
          <w:rFonts w:eastAsiaTheme="minorEastAsia"/>
          <w:color w:val="000000"/>
          <w:sz w:val="24"/>
        </w:rPr>
      </w:pPr>
    </w:p>
    <w:p w:rsidR="00333CB1" w:rsidRDefault="00A64BAA">
      <w:pPr>
        <w:spacing w:line="288" w:lineRule="auto"/>
        <w:jc w:val="left"/>
        <w:rPr>
          <w:b/>
          <w:sz w:val="24"/>
        </w:rPr>
      </w:pPr>
      <w:r>
        <w:rPr>
          <w:b/>
          <w:sz w:val="24"/>
        </w:rPr>
        <w:t>7.2</w:t>
      </w:r>
      <w:r>
        <w:rPr>
          <w:rFonts w:hint="eastAsia"/>
          <w:b/>
          <w:sz w:val="24"/>
        </w:rPr>
        <w:t xml:space="preserve"> </w:t>
      </w:r>
      <w:r>
        <w:rPr>
          <w:rFonts w:hint="eastAsia"/>
          <w:b/>
          <w:sz w:val="24"/>
        </w:rPr>
        <w:t>基金管理人运用</w:t>
      </w:r>
      <w:proofErr w:type="gramStart"/>
      <w:r>
        <w:rPr>
          <w:rFonts w:hint="eastAsia"/>
          <w:b/>
          <w:sz w:val="24"/>
        </w:rPr>
        <w:t>固有资金</w:t>
      </w:r>
      <w:proofErr w:type="gramEnd"/>
      <w:r>
        <w:rPr>
          <w:rFonts w:hint="eastAsia"/>
          <w:b/>
          <w:sz w:val="24"/>
        </w:rPr>
        <w:t>投资本基金交易明细</w:t>
      </w:r>
    </w:p>
    <w:p w:rsidR="00333CB1" w:rsidRDefault="00A64BAA">
      <w:pPr>
        <w:autoSpaceDE w:val="0"/>
        <w:autoSpaceDN w:val="0"/>
        <w:adjustRightInd w:val="0"/>
        <w:spacing w:before="29" w:line="288" w:lineRule="auto"/>
        <w:jc w:val="left"/>
        <w:rPr>
          <w:color w:val="000000"/>
          <w:sz w:val="24"/>
        </w:rPr>
      </w:pPr>
      <w:r>
        <w:rPr>
          <w:color w:val="000000"/>
          <w:sz w:val="24"/>
        </w:rPr>
        <w:t>本基金本报告</w:t>
      </w:r>
      <w:proofErr w:type="gramStart"/>
      <w:r>
        <w:rPr>
          <w:color w:val="000000"/>
          <w:sz w:val="24"/>
        </w:rPr>
        <w:t>期基金</w:t>
      </w:r>
      <w:proofErr w:type="gramEnd"/>
      <w:r>
        <w:rPr>
          <w:color w:val="000000"/>
          <w:sz w:val="24"/>
        </w:rPr>
        <w:t>管理人未运用</w:t>
      </w:r>
      <w:proofErr w:type="gramStart"/>
      <w:r>
        <w:rPr>
          <w:color w:val="000000"/>
          <w:sz w:val="24"/>
        </w:rPr>
        <w:t>固有资金</w:t>
      </w:r>
      <w:proofErr w:type="gramEnd"/>
      <w:r>
        <w:rPr>
          <w:color w:val="000000"/>
          <w:sz w:val="24"/>
        </w:rPr>
        <w:t>投资本基金。</w:t>
      </w:r>
    </w:p>
    <w:p w:rsidR="00333CB1" w:rsidRDefault="00333CB1">
      <w:pPr>
        <w:autoSpaceDE w:val="0"/>
        <w:autoSpaceDN w:val="0"/>
        <w:adjustRightInd w:val="0"/>
        <w:spacing w:before="29" w:line="288" w:lineRule="auto"/>
        <w:jc w:val="left"/>
        <w:rPr>
          <w:color w:val="000000"/>
          <w:sz w:val="24"/>
        </w:rPr>
      </w:pPr>
    </w:p>
    <w:p w:rsidR="00333CB1" w:rsidRDefault="00A64BAA" w:rsidP="00B33365">
      <w:pPr>
        <w:pStyle w:val="1"/>
        <w:spacing w:beforeLines="100" w:before="312" w:afterLines="100" w:after="312" w:line="288" w:lineRule="auto"/>
        <w:jc w:val="center"/>
        <w:rPr>
          <w:color w:val="000000"/>
          <w:kern w:val="0"/>
          <w:sz w:val="24"/>
          <w:szCs w:val="24"/>
        </w:rPr>
      </w:pPr>
      <w:r>
        <w:rPr>
          <w:color w:val="000000"/>
          <w:kern w:val="0"/>
          <w:sz w:val="24"/>
          <w:szCs w:val="24"/>
        </w:rPr>
        <w:t xml:space="preserve">§8 </w:t>
      </w:r>
      <w:r>
        <w:rPr>
          <w:color w:val="000000"/>
          <w:kern w:val="0"/>
          <w:sz w:val="24"/>
          <w:szCs w:val="24"/>
        </w:rPr>
        <w:t>影响投资者决策的其他重要信息</w:t>
      </w:r>
    </w:p>
    <w:p w:rsidR="00333CB1" w:rsidRDefault="00A64BAA">
      <w:pPr>
        <w:autoSpaceDE w:val="0"/>
        <w:autoSpaceDN w:val="0"/>
        <w:adjustRightInd w:val="0"/>
        <w:spacing w:line="360" w:lineRule="auto"/>
        <w:jc w:val="left"/>
        <w:rPr>
          <w:rFonts w:ascii="宋体" w:hAnsi="宋体"/>
          <w:b/>
          <w:bCs/>
          <w:color w:val="000000"/>
          <w:kern w:val="0"/>
          <w:sz w:val="24"/>
          <w:szCs w:val="24"/>
        </w:rPr>
      </w:pPr>
      <w:r>
        <w:rPr>
          <w:rFonts w:ascii="宋体" w:hAnsi="宋体"/>
          <w:b/>
          <w:bCs/>
          <w:color w:val="000000"/>
          <w:kern w:val="0"/>
          <w:sz w:val="24"/>
          <w:szCs w:val="24"/>
        </w:rPr>
        <w:t>8.</w:t>
      </w:r>
      <w:r>
        <w:rPr>
          <w:rFonts w:ascii="宋体" w:hAnsi="宋体" w:hint="eastAsia"/>
          <w:b/>
          <w:bCs/>
          <w:color w:val="000000"/>
          <w:kern w:val="0"/>
          <w:sz w:val="24"/>
          <w:szCs w:val="24"/>
        </w:rPr>
        <w:t xml:space="preserve">1 </w:t>
      </w:r>
      <w:r>
        <w:rPr>
          <w:rFonts w:ascii="宋体" w:hAnsi="宋体" w:hint="eastAsia"/>
          <w:b/>
          <w:bCs/>
          <w:color w:val="000000"/>
          <w:kern w:val="0"/>
          <w:sz w:val="24"/>
          <w:szCs w:val="24"/>
        </w:rPr>
        <w:t>报告期内单一投资者持有基金份额比例达到或超过</w:t>
      </w:r>
      <w:r>
        <w:rPr>
          <w:rFonts w:ascii="宋体" w:hAnsi="宋体" w:hint="eastAsia"/>
          <w:b/>
          <w:bCs/>
          <w:color w:val="000000"/>
          <w:kern w:val="0"/>
          <w:sz w:val="24"/>
          <w:szCs w:val="24"/>
        </w:rPr>
        <w:t>20%</w:t>
      </w:r>
      <w:r>
        <w:rPr>
          <w:rFonts w:ascii="宋体" w:hAnsi="宋体" w:hint="eastAsia"/>
          <w:b/>
          <w:bCs/>
          <w:color w:val="000000"/>
          <w:kern w:val="0"/>
          <w:sz w:val="24"/>
          <w:szCs w:val="24"/>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333CB1">
        <w:tc>
          <w:tcPr>
            <w:tcW w:w="993" w:type="dxa"/>
            <w:vMerge w:val="restart"/>
            <w:vAlign w:val="center"/>
          </w:tcPr>
          <w:p w:rsidR="00333CB1" w:rsidRDefault="00A64BAA">
            <w:pPr>
              <w:autoSpaceDE w:val="0"/>
              <w:autoSpaceDN w:val="0"/>
              <w:adjustRightInd w:val="0"/>
              <w:jc w:val="center"/>
              <w:rPr>
                <w:rFonts w:ascii="宋体" w:hAnsi="宋体"/>
                <w:b/>
                <w:bCs/>
                <w:color w:val="000000"/>
                <w:kern w:val="0"/>
                <w:sz w:val="24"/>
                <w:szCs w:val="24"/>
              </w:rPr>
            </w:pPr>
            <w:r>
              <w:rPr>
                <w:rFonts w:ascii="宋体" w:hAnsi="宋体" w:hint="eastAsia"/>
                <w:color w:val="000000"/>
                <w:kern w:val="0"/>
                <w:sz w:val="24"/>
                <w:szCs w:val="24"/>
              </w:rPr>
              <w:t>投资者类别</w:t>
            </w:r>
            <w:r>
              <w:rPr>
                <w:rFonts w:ascii="宋体" w:hAnsi="宋体"/>
                <w:color w:val="000000"/>
                <w:kern w:val="0"/>
                <w:sz w:val="24"/>
                <w:szCs w:val="24"/>
              </w:rPr>
              <w:t xml:space="preserve">  </w:t>
            </w:r>
          </w:p>
        </w:tc>
        <w:tc>
          <w:tcPr>
            <w:tcW w:w="5670" w:type="dxa"/>
            <w:gridSpan w:val="5"/>
            <w:vAlign w:val="center"/>
          </w:tcPr>
          <w:p w:rsidR="00333CB1" w:rsidRDefault="00A64BAA">
            <w:pPr>
              <w:autoSpaceDE w:val="0"/>
              <w:autoSpaceDN w:val="0"/>
              <w:adjustRightInd w:val="0"/>
              <w:jc w:val="center"/>
              <w:rPr>
                <w:rFonts w:ascii="宋体" w:hAnsi="宋体"/>
                <w:b/>
                <w:bCs/>
                <w:color w:val="000000"/>
                <w:kern w:val="0"/>
                <w:sz w:val="24"/>
                <w:szCs w:val="24"/>
              </w:rPr>
            </w:pPr>
            <w:r>
              <w:rPr>
                <w:rFonts w:ascii="宋体" w:hAnsi="宋体" w:hint="eastAsia"/>
                <w:color w:val="000000"/>
                <w:kern w:val="0"/>
                <w:sz w:val="24"/>
                <w:szCs w:val="24"/>
              </w:rPr>
              <w:t>报告期内持有基金份额变化情况</w:t>
            </w:r>
          </w:p>
        </w:tc>
        <w:tc>
          <w:tcPr>
            <w:tcW w:w="2549" w:type="dxa"/>
            <w:gridSpan w:val="2"/>
            <w:vAlign w:val="center"/>
          </w:tcPr>
          <w:p w:rsidR="00333CB1" w:rsidRDefault="00A64BAA">
            <w:pPr>
              <w:autoSpaceDE w:val="0"/>
              <w:autoSpaceDN w:val="0"/>
              <w:adjustRightInd w:val="0"/>
              <w:jc w:val="center"/>
              <w:rPr>
                <w:rFonts w:ascii="宋体" w:hAnsi="宋体"/>
                <w:b/>
                <w:bCs/>
                <w:color w:val="000000"/>
                <w:kern w:val="0"/>
                <w:sz w:val="24"/>
                <w:szCs w:val="24"/>
              </w:rPr>
            </w:pPr>
            <w:r>
              <w:rPr>
                <w:rFonts w:ascii="宋体" w:hAnsi="宋体" w:hint="eastAsia"/>
                <w:color w:val="000000"/>
                <w:kern w:val="0"/>
                <w:sz w:val="24"/>
                <w:szCs w:val="24"/>
              </w:rPr>
              <w:t>报告期末持有基金情况</w:t>
            </w:r>
          </w:p>
        </w:tc>
      </w:tr>
      <w:tr w:rsidR="00333CB1">
        <w:tc>
          <w:tcPr>
            <w:tcW w:w="993" w:type="dxa"/>
            <w:vMerge/>
            <w:vAlign w:val="center"/>
          </w:tcPr>
          <w:p w:rsidR="00333CB1" w:rsidRDefault="00333CB1">
            <w:pPr>
              <w:autoSpaceDE w:val="0"/>
              <w:autoSpaceDN w:val="0"/>
              <w:adjustRightInd w:val="0"/>
              <w:jc w:val="center"/>
              <w:rPr>
                <w:rFonts w:ascii="宋体" w:hAnsi="宋体"/>
                <w:b/>
                <w:bCs/>
                <w:color w:val="000000"/>
                <w:kern w:val="0"/>
                <w:sz w:val="24"/>
                <w:szCs w:val="24"/>
              </w:rPr>
            </w:pPr>
          </w:p>
        </w:tc>
        <w:tc>
          <w:tcPr>
            <w:tcW w:w="992" w:type="dxa"/>
            <w:vAlign w:val="center"/>
          </w:tcPr>
          <w:p w:rsidR="00333CB1" w:rsidRDefault="00A64BAA">
            <w:pPr>
              <w:autoSpaceDE w:val="0"/>
              <w:autoSpaceDN w:val="0"/>
              <w:adjustRightInd w:val="0"/>
              <w:jc w:val="center"/>
              <w:rPr>
                <w:rFonts w:ascii="宋体" w:hAnsi="宋体"/>
                <w:b/>
                <w:bCs/>
                <w:color w:val="000000"/>
                <w:kern w:val="0"/>
                <w:sz w:val="24"/>
                <w:szCs w:val="24"/>
              </w:rPr>
            </w:pPr>
            <w:r>
              <w:rPr>
                <w:rFonts w:ascii="宋体" w:hAnsi="宋体" w:hint="eastAsia"/>
                <w:color w:val="000000"/>
                <w:kern w:val="0"/>
                <w:sz w:val="24"/>
                <w:szCs w:val="24"/>
              </w:rPr>
              <w:t>序号</w:t>
            </w:r>
          </w:p>
        </w:tc>
        <w:tc>
          <w:tcPr>
            <w:tcW w:w="1843" w:type="dxa"/>
            <w:vAlign w:val="center"/>
          </w:tcPr>
          <w:p w:rsidR="00333CB1" w:rsidRDefault="00A64BAA">
            <w:pPr>
              <w:autoSpaceDE w:val="0"/>
              <w:autoSpaceDN w:val="0"/>
              <w:adjustRightInd w:val="0"/>
              <w:jc w:val="center"/>
              <w:rPr>
                <w:rFonts w:ascii="宋体" w:hAnsi="宋体"/>
                <w:b/>
                <w:bCs/>
                <w:color w:val="000000"/>
                <w:kern w:val="0"/>
                <w:sz w:val="24"/>
                <w:szCs w:val="24"/>
              </w:rPr>
            </w:pPr>
            <w:r>
              <w:rPr>
                <w:rFonts w:ascii="宋体" w:hAnsi="宋体" w:hint="eastAsia"/>
                <w:color w:val="000000"/>
                <w:kern w:val="0"/>
                <w:sz w:val="24"/>
                <w:szCs w:val="24"/>
              </w:rPr>
              <w:t>持有基金份额比例达到或者超过</w:t>
            </w:r>
            <w:r>
              <w:rPr>
                <w:rFonts w:ascii="宋体" w:hAnsi="宋体" w:hint="eastAsia"/>
                <w:color w:val="000000"/>
                <w:kern w:val="0"/>
                <w:sz w:val="24"/>
                <w:szCs w:val="24"/>
              </w:rPr>
              <w:t>20%</w:t>
            </w:r>
            <w:r>
              <w:rPr>
                <w:rFonts w:ascii="宋体" w:hAnsi="宋体" w:hint="eastAsia"/>
                <w:color w:val="000000"/>
                <w:kern w:val="0"/>
                <w:sz w:val="24"/>
                <w:szCs w:val="24"/>
              </w:rPr>
              <w:t>的时间区间</w:t>
            </w:r>
          </w:p>
        </w:tc>
        <w:tc>
          <w:tcPr>
            <w:tcW w:w="851" w:type="dxa"/>
            <w:vAlign w:val="center"/>
          </w:tcPr>
          <w:p w:rsidR="00333CB1" w:rsidRDefault="00A64BAA">
            <w:pPr>
              <w:widowControl/>
              <w:jc w:val="center"/>
              <w:rPr>
                <w:rFonts w:ascii="宋体" w:hAnsi="宋体"/>
                <w:b/>
                <w:bCs/>
                <w:color w:val="000000"/>
                <w:kern w:val="0"/>
                <w:sz w:val="24"/>
                <w:szCs w:val="24"/>
              </w:rPr>
            </w:pPr>
            <w:r>
              <w:rPr>
                <w:rFonts w:ascii="宋体" w:hAnsi="宋体" w:hint="eastAsia"/>
                <w:color w:val="000000"/>
                <w:kern w:val="0"/>
                <w:sz w:val="24"/>
                <w:szCs w:val="24"/>
              </w:rPr>
              <w:t>期初份额</w:t>
            </w:r>
          </w:p>
        </w:tc>
        <w:tc>
          <w:tcPr>
            <w:tcW w:w="850" w:type="dxa"/>
            <w:vAlign w:val="center"/>
          </w:tcPr>
          <w:p w:rsidR="00333CB1" w:rsidRDefault="00A64BAA">
            <w:pPr>
              <w:widowControl/>
              <w:jc w:val="center"/>
              <w:rPr>
                <w:rFonts w:ascii="宋体" w:hAnsi="宋体"/>
                <w:b/>
                <w:bCs/>
                <w:color w:val="000000"/>
                <w:kern w:val="0"/>
                <w:sz w:val="24"/>
                <w:szCs w:val="24"/>
              </w:rPr>
            </w:pPr>
            <w:r>
              <w:rPr>
                <w:rFonts w:ascii="宋体" w:hAnsi="宋体" w:hint="eastAsia"/>
                <w:color w:val="000000"/>
                <w:kern w:val="0"/>
                <w:sz w:val="24"/>
                <w:szCs w:val="24"/>
              </w:rPr>
              <w:t>申购份额</w:t>
            </w:r>
          </w:p>
        </w:tc>
        <w:tc>
          <w:tcPr>
            <w:tcW w:w="1134" w:type="dxa"/>
            <w:vAlign w:val="center"/>
          </w:tcPr>
          <w:p w:rsidR="00333CB1" w:rsidRDefault="00A64BAA">
            <w:pPr>
              <w:widowControl/>
              <w:jc w:val="center"/>
              <w:rPr>
                <w:rFonts w:ascii="宋体" w:hAnsi="宋体"/>
                <w:b/>
                <w:bCs/>
                <w:color w:val="000000"/>
                <w:kern w:val="0"/>
                <w:sz w:val="24"/>
                <w:szCs w:val="24"/>
              </w:rPr>
            </w:pPr>
            <w:r>
              <w:rPr>
                <w:rFonts w:ascii="宋体" w:hAnsi="宋体" w:hint="eastAsia"/>
                <w:color w:val="000000"/>
                <w:kern w:val="0"/>
                <w:sz w:val="24"/>
                <w:szCs w:val="24"/>
              </w:rPr>
              <w:t>赎回份额</w:t>
            </w:r>
          </w:p>
        </w:tc>
        <w:tc>
          <w:tcPr>
            <w:tcW w:w="1419" w:type="dxa"/>
            <w:vAlign w:val="center"/>
          </w:tcPr>
          <w:p w:rsidR="00333CB1" w:rsidRDefault="00A64BAA">
            <w:pPr>
              <w:autoSpaceDE w:val="0"/>
              <w:autoSpaceDN w:val="0"/>
              <w:adjustRightInd w:val="0"/>
              <w:jc w:val="center"/>
              <w:rPr>
                <w:rFonts w:ascii="宋体" w:hAnsi="宋体"/>
                <w:b/>
                <w:bCs/>
                <w:color w:val="000000"/>
                <w:kern w:val="0"/>
                <w:sz w:val="24"/>
                <w:szCs w:val="24"/>
              </w:rPr>
            </w:pPr>
            <w:r>
              <w:rPr>
                <w:rFonts w:ascii="宋体" w:hAnsi="宋体" w:hint="eastAsia"/>
                <w:color w:val="000000"/>
                <w:kern w:val="0"/>
                <w:sz w:val="24"/>
                <w:szCs w:val="24"/>
              </w:rPr>
              <w:t>持有份额</w:t>
            </w:r>
          </w:p>
        </w:tc>
        <w:tc>
          <w:tcPr>
            <w:tcW w:w="1130" w:type="dxa"/>
            <w:vAlign w:val="center"/>
          </w:tcPr>
          <w:p w:rsidR="00333CB1" w:rsidRDefault="00A64BAA">
            <w:pPr>
              <w:autoSpaceDE w:val="0"/>
              <w:autoSpaceDN w:val="0"/>
              <w:adjustRightInd w:val="0"/>
              <w:jc w:val="center"/>
              <w:rPr>
                <w:rFonts w:ascii="宋体" w:hAnsi="宋体"/>
                <w:b/>
                <w:bCs/>
                <w:color w:val="000000"/>
                <w:kern w:val="0"/>
                <w:sz w:val="24"/>
                <w:szCs w:val="24"/>
              </w:rPr>
            </w:pPr>
            <w:r>
              <w:rPr>
                <w:rFonts w:ascii="宋体" w:hAnsi="宋体" w:hint="eastAsia"/>
                <w:color w:val="000000"/>
                <w:kern w:val="0"/>
                <w:sz w:val="24"/>
                <w:szCs w:val="24"/>
              </w:rPr>
              <w:t>份额占比</w:t>
            </w:r>
          </w:p>
        </w:tc>
      </w:tr>
      <w:tr w:rsidR="00333CB1">
        <w:tc>
          <w:tcPr>
            <w:tcW w:w="993" w:type="dxa"/>
            <w:vMerge w:val="restart"/>
          </w:tcPr>
          <w:p w:rsidR="00333CB1" w:rsidRDefault="00333CB1"/>
          <w:p w:rsidR="00333CB1" w:rsidRDefault="00A64BAA">
            <w:r>
              <w:rPr>
                <w:rFonts w:ascii="宋体" w:hAnsi="宋体" w:hint="eastAsia"/>
                <w:bCs/>
                <w:color w:val="000000"/>
                <w:kern w:val="0"/>
                <w:sz w:val="24"/>
                <w:szCs w:val="24"/>
              </w:rPr>
              <w:t>机构</w:t>
            </w:r>
          </w:p>
        </w:tc>
        <w:tc>
          <w:tcPr>
            <w:tcW w:w="992" w:type="dxa"/>
            <w:vAlign w:val="center"/>
          </w:tcPr>
          <w:p w:rsidR="00333CB1" w:rsidRDefault="00A64BAA">
            <w:pPr>
              <w:jc w:val="center"/>
            </w:pPr>
            <w:r>
              <w:rPr>
                <w:rFonts w:ascii="宋体" w:hAnsi="宋体"/>
                <w:color w:val="000000"/>
                <w:kern w:val="0"/>
                <w:sz w:val="24"/>
                <w:szCs w:val="24"/>
              </w:rPr>
              <w:t>1</w:t>
            </w:r>
          </w:p>
        </w:tc>
        <w:tc>
          <w:tcPr>
            <w:tcW w:w="1843" w:type="dxa"/>
            <w:vAlign w:val="center"/>
          </w:tcPr>
          <w:p w:rsidR="00333CB1" w:rsidRDefault="00A64BAA">
            <w:pPr>
              <w:jc w:val="center"/>
            </w:pPr>
            <w:r>
              <w:rPr>
                <w:rFonts w:ascii="宋体" w:hAnsi="宋体"/>
                <w:color w:val="000000"/>
                <w:kern w:val="0"/>
                <w:sz w:val="24"/>
                <w:szCs w:val="24"/>
              </w:rPr>
              <w:t>2017/8/30-2017/8/31</w:t>
            </w:r>
          </w:p>
        </w:tc>
        <w:tc>
          <w:tcPr>
            <w:tcW w:w="851" w:type="dxa"/>
            <w:vAlign w:val="center"/>
          </w:tcPr>
          <w:p w:rsidR="00333CB1" w:rsidRDefault="00A64BAA">
            <w:pPr>
              <w:jc w:val="center"/>
            </w:pPr>
            <w:r>
              <w:rPr>
                <w:rFonts w:ascii="宋体" w:hAnsi="宋体"/>
                <w:color w:val="000000"/>
                <w:kern w:val="0"/>
                <w:sz w:val="24"/>
                <w:szCs w:val="24"/>
              </w:rPr>
              <w:t>32,180.40</w:t>
            </w:r>
          </w:p>
        </w:tc>
        <w:tc>
          <w:tcPr>
            <w:tcW w:w="850" w:type="dxa"/>
            <w:vAlign w:val="center"/>
          </w:tcPr>
          <w:p w:rsidR="00333CB1" w:rsidRDefault="00A64BAA">
            <w:pPr>
              <w:jc w:val="center"/>
            </w:pPr>
            <w:r>
              <w:rPr>
                <w:rFonts w:ascii="宋体" w:hAnsi="宋体"/>
                <w:color w:val="000000"/>
                <w:kern w:val="0"/>
                <w:sz w:val="24"/>
                <w:szCs w:val="24"/>
              </w:rPr>
              <w:t>48,257.70</w:t>
            </w:r>
          </w:p>
        </w:tc>
        <w:tc>
          <w:tcPr>
            <w:tcW w:w="1134" w:type="dxa"/>
            <w:vAlign w:val="center"/>
          </w:tcPr>
          <w:p w:rsidR="00333CB1" w:rsidRDefault="00A64BAA">
            <w:pPr>
              <w:jc w:val="center"/>
            </w:pPr>
            <w:r>
              <w:rPr>
                <w:rFonts w:ascii="宋体" w:hAnsi="宋体"/>
                <w:color w:val="000000"/>
                <w:kern w:val="0"/>
                <w:sz w:val="24"/>
                <w:szCs w:val="24"/>
              </w:rPr>
              <w:t>-</w:t>
            </w:r>
          </w:p>
        </w:tc>
        <w:tc>
          <w:tcPr>
            <w:tcW w:w="1419" w:type="dxa"/>
            <w:vAlign w:val="center"/>
          </w:tcPr>
          <w:p w:rsidR="00333CB1" w:rsidRDefault="00A64BAA">
            <w:pPr>
              <w:jc w:val="center"/>
            </w:pPr>
            <w:r>
              <w:rPr>
                <w:rFonts w:ascii="宋体" w:hAnsi="宋体"/>
                <w:color w:val="000000"/>
                <w:kern w:val="0"/>
                <w:sz w:val="24"/>
                <w:szCs w:val="24"/>
              </w:rPr>
              <w:t>80,438.10</w:t>
            </w:r>
          </w:p>
        </w:tc>
        <w:tc>
          <w:tcPr>
            <w:tcW w:w="1130" w:type="dxa"/>
            <w:vAlign w:val="center"/>
          </w:tcPr>
          <w:p w:rsidR="00333CB1" w:rsidRDefault="00A64BAA">
            <w:pPr>
              <w:jc w:val="center"/>
            </w:pPr>
            <w:r>
              <w:rPr>
                <w:rFonts w:ascii="宋体" w:hAnsi="宋体"/>
                <w:color w:val="000000"/>
                <w:kern w:val="0"/>
                <w:sz w:val="24"/>
                <w:szCs w:val="24"/>
              </w:rPr>
              <w:t>21.60%</w:t>
            </w:r>
          </w:p>
        </w:tc>
      </w:tr>
      <w:tr w:rsidR="00333CB1">
        <w:tc>
          <w:tcPr>
            <w:tcW w:w="9212" w:type="dxa"/>
            <w:gridSpan w:val="8"/>
            <w:vAlign w:val="center"/>
          </w:tcPr>
          <w:p w:rsidR="00333CB1" w:rsidRDefault="00A64BAA">
            <w:pPr>
              <w:autoSpaceDE w:val="0"/>
              <w:autoSpaceDN w:val="0"/>
              <w:adjustRightInd w:val="0"/>
              <w:jc w:val="center"/>
              <w:rPr>
                <w:rFonts w:ascii="宋体" w:hAnsi="宋体"/>
                <w:kern w:val="0"/>
                <w:sz w:val="24"/>
                <w:szCs w:val="24"/>
              </w:rPr>
            </w:pPr>
            <w:r>
              <w:rPr>
                <w:rFonts w:ascii="宋体" w:hAnsi="宋体"/>
                <w:color w:val="000000"/>
                <w:kern w:val="0"/>
                <w:sz w:val="24"/>
                <w:szCs w:val="24"/>
              </w:rPr>
              <w:lastRenderedPageBreak/>
              <w:t>产品特有风险</w:t>
            </w:r>
          </w:p>
        </w:tc>
      </w:tr>
      <w:tr w:rsidR="00333CB1">
        <w:tc>
          <w:tcPr>
            <w:tcW w:w="9212" w:type="dxa"/>
            <w:gridSpan w:val="8"/>
            <w:vAlign w:val="center"/>
          </w:tcPr>
          <w:p w:rsidR="00333CB1" w:rsidRDefault="00A64BAA">
            <w:pPr>
              <w:autoSpaceDE w:val="0"/>
              <w:autoSpaceDN w:val="0"/>
              <w:adjustRightInd w:val="0"/>
              <w:jc w:val="left"/>
              <w:rPr>
                <w:rFonts w:ascii="宋体" w:hAnsi="宋体"/>
                <w:kern w:val="0"/>
                <w:sz w:val="24"/>
                <w:szCs w:val="24"/>
              </w:rPr>
            </w:pPr>
            <w:r>
              <w:rPr>
                <w:rFonts w:ascii="宋体" w:hAnsi="宋体" w:hint="eastAsia"/>
                <w:kern w:val="0"/>
                <w:sz w:val="24"/>
                <w:szCs w:val="24"/>
              </w:rPr>
              <w:t>报告期内，本基金存在单一投资者持有份额比例达到或超过</w:t>
            </w:r>
            <w:r>
              <w:rPr>
                <w:rFonts w:ascii="宋体" w:hAnsi="宋体" w:hint="eastAsia"/>
                <w:kern w:val="0"/>
                <w:sz w:val="24"/>
                <w:szCs w:val="24"/>
              </w:rPr>
              <w:t>20%</w:t>
            </w:r>
            <w:r>
              <w:rPr>
                <w:rFonts w:ascii="宋体" w:hAnsi="宋体" w:hint="eastAsia"/>
                <w:kern w:val="0"/>
                <w:sz w:val="24"/>
                <w:szCs w:val="24"/>
              </w:rPr>
              <w:t>的情况，由此可能导致的特有风险主要包括：</w:t>
            </w:r>
          </w:p>
          <w:p w:rsidR="00333CB1" w:rsidRDefault="00A64BAA">
            <w:pPr>
              <w:autoSpaceDE w:val="0"/>
              <w:autoSpaceDN w:val="0"/>
              <w:adjustRightInd w:val="0"/>
              <w:jc w:val="left"/>
              <w:rPr>
                <w:rFonts w:ascii="宋体" w:hAnsi="宋体"/>
                <w:kern w:val="0"/>
                <w:sz w:val="24"/>
                <w:szCs w:val="24"/>
              </w:rPr>
            </w:pPr>
            <w:r>
              <w:rPr>
                <w:rFonts w:ascii="宋体" w:hAnsi="宋体" w:hint="eastAsia"/>
                <w:kern w:val="0"/>
                <w:sz w:val="24"/>
                <w:szCs w:val="24"/>
              </w:rPr>
              <w:t>1</w:t>
            </w:r>
            <w:r>
              <w:rPr>
                <w:rFonts w:ascii="宋体" w:hAnsi="宋体" w:hint="eastAsia"/>
                <w:kern w:val="0"/>
                <w:sz w:val="24"/>
                <w:szCs w:val="24"/>
              </w:rPr>
              <w:t>、当基金份额持有人占比过于集中时，可能会因某</w:t>
            </w:r>
            <w:proofErr w:type="gramStart"/>
            <w:r>
              <w:rPr>
                <w:rFonts w:ascii="宋体" w:hAnsi="宋体" w:hint="eastAsia"/>
                <w:kern w:val="0"/>
                <w:sz w:val="24"/>
                <w:szCs w:val="24"/>
              </w:rPr>
              <w:t>单一基金</w:t>
            </w:r>
            <w:proofErr w:type="gramEnd"/>
            <w:r>
              <w:rPr>
                <w:rFonts w:ascii="宋体" w:hAnsi="宋体" w:hint="eastAsia"/>
                <w:kern w:val="0"/>
                <w:sz w:val="24"/>
                <w:szCs w:val="24"/>
              </w:rPr>
              <w:t>份额持有人大额赎回而引发基金净值剧烈波动的风险；</w:t>
            </w:r>
          </w:p>
          <w:p w:rsidR="00333CB1" w:rsidRDefault="00A64BAA">
            <w:pPr>
              <w:autoSpaceDE w:val="0"/>
              <w:autoSpaceDN w:val="0"/>
              <w:adjustRightInd w:val="0"/>
              <w:jc w:val="left"/>
              <w:rPr>
                <w:rFonts w:ascii="宋体" w:hAnsi="宋体"/>
                <w:kern w:val="0"/>
                <w:sz w:val="24"/>
                <w:szCs w:val="24"/>
              </w:rPr>
            </w:pPr>
            <w:r>
              <w:rPr>
                <w:rFonts w:ascii="宋体" w:hAnsi="宋体" w:hint="eastAsia"/>
                <w:kern w:val="0"/>
                <w:sz w:val="24"/>
                <w:szCs w:val="24"/>
              </w:rPr>
              <w:t>2</w:t>
            </w:r>
            <w:r>
              <w:rPr>
                <w:rFonts w:ascii="宋体" w:hAnsi="宋体" w:hint="eastAsia"/>
                <w:kern w:val="0"/>
                <w:sz w:val="24"/>
                <w:szCs w:val="24"/>
              </w:rPr>
              <w:t>、若某</w:t>
            </w:r>
            <w:proofErr w:type="gramStart"/>
            <w:r>
              <w:rPr>
                <w:rFonts w:ascii="宋体" w:hAnsi="宋体" w:hint="eastAsia"/>
                <w:kern w:val="0"/>
                <w:sz w:val="24"/>
                <w:szCs w:val="24"/>
              </w:rPr>
              <w:t>单一基金</w:t>
            </w:r>
            <w:proofErr w:type="gramEnd"/>
            <w:r>
              <w:rPr>
                <w:rFonts w:ascii="宋体" w:hAnsi="宋体" w:hint="eastAsia"/>
                <w:kern w:val="0"/>
                <w:sz w:val="24"/>
                <w:szCs w:val="24"/>
              </w:rPr>
              <w:t>份额持有人巨额赎回有可能引发基金的流动性风险，基金管理人可能无法及时变</w:t>
            </w:r>
            <w:proofErr w:type="gramStart"/>
            <w:r>
              <w:rPr>
                <w:rFonts w:ascii="宋体" w:hAnsi="宋体" w:hint="eastAsia"/>
                <w:kern w:val="0"/>
                <w:sz w:val="24"/>
                <w:szCs w:val="24"/>
              </w:rPr>
              <w:t>现基金</w:t>
            </w:r>
            <w:proofErr w:type="gramEnd"/>
            <w:r>
              <w:rPr>
                <w:rFonts w:ascii="宋体" w:hAnsi="宋体" w:hint="eastAsia"/>
                <w:kern w:val="0"/>
                <w:sz w:val="24"/>
                <w:szCs w:val="24"/>
              </w:rPr>
              <w:t>资产以应对基金份额持有人的赎回申请，基金份额持有人可能无法及时赎回持有的全部基金份额。</w:t>
            </w:r>
          </w:p>
          <w:p w:rsidR="00333CB1" w:rsidRDefault="00A64BAA">
            <w:pPr>
              <w:autoSpaceDE w:val="0"/>
              <w:autoSpaceDN w:val="0"/>
              <w:adjustRightInd w:val="0"/>
              <w:jc w:val="left"/>
              <w:rPr>
                <w:rFonts w:ascii="宋体" w:hAnsi="宋体"/>
                <w:kern w:val="0"/>
                <w:sz w:val="24"/>
                <w:szCs w:val="24"/>
              </w:rPr>
            </w:pPr>
            <w:r>
              <w:rPr>
                <w:rFonts w:ascii="宋体" w:hAnsi="宋体" w:hint="eastAsia"/>
                <w:kern w:val="0"/>
                <w:sz w:val="24"/>
                <w:szCs w:val="24"/>
              </w:rPr>
              <w:t>3</w:t>
            </w:r>
            <w:r>
              <w:rPr>
                <w:rFonts w:ascii="宋体" w:hAnsi="宋体" w:hint="eastAsia"/>
                <w:kern w:val="0"/>
                <w:sz w:val="24"/>
                <w:szCs w:val="24"/>
              </w:rPr>
              <w:t>、若个别投资者大额赎回后，可能会导致基金资产净值连续出现六十个工作日低于</w:t>
            </w:r>
            <w:r>
              <w:rPr>
                <w:rFonts w:ascii="宋体" w:hAnsi="宋体" w:hint="eastAsia"/>
                <w:kern w:val="0"/>
                <w:sz w:val="24"/>
                <w:szCs w:val="24"/>
              </w:rPr>
              <w:t>5000</w:t>
            </w:r>
            <w:r>
              <w:rPr>
                <w:rFonts w:ascii="宋体" w:hAnsi="宋体" w:hint="eastAsia"/>
                <w:kern w:val="0"/>
                <w:sz w:val="24"/>
                <w:szCs w:val="24"/>
              </w:rPr>
              <w:t>万元的风险，基金可能会面临转换运作方式、与其他基金合并或者终止基金合同等情形。</w:t>
            </w:r>
          </w:p>
          <w:p w:rsidR="00333CB1" w:rsidRDefault="00A64BAA">
            <w:pPr>
              <w:autoSpaceDE w:val="0"/>
              <w:autoSpaceDN w:val="0"/>
              <w:adjustRightInd w:val="0"/>
              <w:jc w:val="left"/>
              <w:rPr>
                <w:rFonts w:ascii="宋体" w:hAnsi="宋体"/>
                <w:kern w:val="0"/>
                <w:sz w:val="24"/>
                <w:szCs w:val="24"/>
              </w:rPr>
            </w:pPr>
            <w:r>
              <w:rPr>
                <w:rFonts w:ascii="宋体" w:hAnsi="宋体" w:hint="eastAsia"/>
                <w:kern w:val="0"/>
                <w:sz w:val="24"/>
                <w:szCs w:val="24"/>
              </w:rPr>
              <w:t>4</w:t>
            </w:r>
            <w:r>
              <w:rPr>
                <w:rFonts w:ascii="宋体" w:hAnsi="宋体" w:hint="eastAsia"/>
                <w:kern w:val="0"/>
                <w:sz w:val="24"/>
                <w:szCs w:val="24"/>
              </w:rPr>
              <w:t>、其他可能的风险。</w:t>
            </w:r>
          </w:p>
          <w:p w:rsidR="00333CB1" w:rsidRDefault="00A64BAA">
            <w:pPr>
              <w:autoSpaceDE w:val="0"/>
              <w:autoSpaceDN w:val="0"/>
              <w:adjustRightInd w:val="0"/>
              <w:jc w:val="left"/>
              <w:rPr>
                <w:rFonts w:ascii="宋体" w:hAnsi="宋体"/>
                <w:kern w:val="0"/>
                <w:sz w:val="24"/>
                <w:szCs w:val="24"/>
              </w:rPr>
            </w:pPr>
            <w:r>
              <w:rPr>
                <w:rFonts w:ascii="宋体" w:hAnsi="宋体" w:hint="eastAsia"/>
                <w:kern w:val="0"/>
                <w:sz w:val="24"/>
                <w:szCs w:val="24"/>
              </w:rPr>
              <w:t xml:space="preserve">   </w:t>
            </w:r>
            <w:r>
              <w:rPr>
                <w:rFonts w:ascii="宋体" w:hAnsi="宋体" w:hint="eastAsia"/>
                <w:kern w:val="0"/>
                <w:sz w:val="24"/>
                <w:szCs w:val="24"/>
              </w:rPr>
              <w:t>另外，当某</w:t>
            </w:r>
            <w:proofErr w:type="gramStart"/>
            <w:r>
              <w:rPr>
                <w:rFonts w:ascii="宋体" w:hAnsi="宋体" w:hint="eastAsia"/>
                <w:kern w:val="0"/>
                <w:sz w:val="24"/>
                <w:szCs w:val="24"/>
              </w:rPr>
              <w:t>单一基金</w:t>
            </w:r>
            <w:proofErr w:type="gramEnd"/>
            <w:r>
              <w:rPr>
                <w:rFonts w:ascii="宋体" w:hAnsi="宋体" w:hint="eastAsia"/>
                <w:kern w:val="0"/>
                <w:sz w:val="24"/>
                <w:szCs w:val="24"/>
              </w:rPr>
              <w:t>份额持有人所持有的基金份额已经达到或超过本基金规模的</w:t>
            </w:r>
            <w:r>
              <w:rPr>
                <w:rFonts w:ascii="宋体" w:hAnsi="宋体" w:hint="eastAsia"/>
                <w:kern w:val="0"/>
                <w:sz w:val="24"/>
                <w:szCs w:val="24"/>
              </w:rPr>
              <w:t>50%</w:t>
            </w:r>
            <w:r>
              <w:rPr>
                <w:rFonts w:ascii="宋体" w:hAnsi="宋体" w:hint="eastAsia"/>
                <w:kern w:val="0"/>
                <w:sz w:val="24"/>
                <w:szCs w:val="24"/>
              </w:rPr>
              <w:t>或者接受某笔或者某些申购或转换转入申请有可能导致单一投资者持有基金份额的比例达到或者超过</w:t>
            </w:r>
            <w:r>
              <w:rPr>
                <w:rFonts w:ascii="宋体" w:hAnsi="宋体" w:hint="eastAsia"/>
                <w:kern w:val="0"/>
                <w:sz w:val="24"/>
                <w:szCs w:val="24"/>
              </w:rPr>
              <w:t>50%</w:t>
            </w:r>
            <w:r>
              <w:rPr>
                <w:rFonts w:ascii="宋体" w:hAnsi="宋体" w:hint="eastAsia"/>
                <w:kern w:val="0"/>
                <w:sz w:val="24"/>
                <w:szCs w:val="24"/>
              </w:rPr>
              <w:t>时，本基金管理人可拒绝该持有人对本</w:t>
            </w:r>
            <w:proofErr w:type="gramStart"/>
            <w:r>
              <w:rPr>
                <w:rFonts w:ascii="宋体" w:hAnsi="宋体" w:hint="eastAsia"/>
                <w:kern w:val="0"/>
                <w:sz w:val="24"/>
                <w:szCs w:val="24"/>
              </w:rPr>
              <w:t>基金基金</w:t>
            </w:r>
            <w:proofErr w:type="gramEnd"/>
            <w:r>
              <w:rPr>
                <w:rFonts w:ascii="宋体" w:hAnsi="宋体" w:hint="eastAsia"/>
                <w:kern w:val="0"/>
                <w:sz w:val="24"/>
                <w:szCs w:val="24"/>
              </w:rPr>
              <w:t>份额提出的申购及转换转入申请。</w:t>
            </w:r>
          </w:p>
        </w:tc>
      </w:tr>
    </w:tbl>
    <w:p w:rsidR="00333CB1" w:rsidRDefault="00A64BAA">
      <w:pPr>
        <w:autoSpaceDE w:val="0"/>
        <w:autoSpaceDN w:val="0"/>
        <w:adjustRightInd w:val="0"/>
        <w:spacing w:line="360" w:lineRule="auto"/>
        <w:jc w:val="left"/>
        <w:rPr>
          <w:rFonts w:ascii="宋体" w:hAnsi="宋体"/>
          <w:b/>
          <w:bCs/>
          <w:color w:val="000000"/>
          <w:kern w:val="0"/>
          <w:sz w:val="24"/>
          <w:szCs w:val="24"/>
        </w:rPr>
      </w:pPr>
      <w:r>
        <w:rPr>
          <w:rFonts w:ascii="宋体" w:hAnsi="宋体" w:hint="eastAsia"/>
          <w:b/>
          <w:bCs/>
          <w:color w:val="000000"/>
          <w:kern w:val="0"/>
          <w:sz w:val="24"/>
          <w:szCs w:val="24"/>
        </w:rPr>
        <w:t xml:space="preserve">8.2 </w:t>
      </w:r>
      <w:r>
        <w:rPr>
          <w:rFonts w:ascii="宋体" w:hAnsi="宋体" w:hint="eastAsia"/>
          <w:b/>
          <w:bCs/>
          <w:color w:val="000000"/>
          <w:kern w:val="0"/>
          <w:sz w:val="24"/>
          <w:szCs w:val="24"/>
        </w:rPr>
        <w:t>影响投资者决策的其他重要信息</w:t>
      </w:r>
    </w:p>
    <w:p w:rsidR="00333CB1" w:rsidRDefault="00A64BAA">
      <w:pPr>
        <w:spacing w:line="360" w:lineRule="auto"/>
        <w:ind w:firstLineChars="200" w:firstLine="480"/>
        <w:rPr>
          <w:rFonts w:ascii="宋体" w:hAnsi="宋体"/>
          <w:color w:val="000000"/>
          <w:sz w:val="24"/>
          <w:szCs w:val="24"/>
        </w:rPr>
      </w:pPr>
      <w:r>
        <w:rPr>
          <w:rFonts w:ascii="宋体" w:hAnsi="宋体"/>
          <w:color w:val="000000"/>
          <w:sz w:val="24"/>
          <w:szCs w:val="24"/>
        </w:rPr>
        <w:t>海富通基金管理有限公司成立于</w:t>
      </w:r>
      <w:r>
        <w:rPr>
          <w:rFonts w:ascii="宋体" w:hAnsi="宋体"/>
          <w:color w:val="000000"/>
          <w:sz w:val="24"/>
          <w:szCs w:val="24"/>
        </w:rPr>
        <w:t>2003</w:t>
      </w:r>
      <w:r>
        <w:rPr>
          <w:rFonts w:ascii="宋体" w:hAnsi="宋体"/>
          <w:color w:val="000000"/>
          <w:sz w:val="24"/>
          <w:szCs w:val="24"/>
        </w:rPr>
        <w:t>年</w:t>
      </w:r>
      <w:r>
        <w:rPr>
          <w:rFonts w:ascii="宋体" w:hAnsi="宋体"/>
          <w:color w:val="000000"/>
          <w:sz w:val="24"/>
          <w:szCs w:val="24"/>
        </w:rPr>
        <w:t>4</w:t>
      </w:r>
      <w:r>
        <w:rPr>
          <w:rFonts w:ascii="宋体" w:hAnsi="宋体"/>
          <w:color w:val="000000"/>
          <w:sz w:val="24"/>
          <w:szCs w:val="24"/>
        </w:rPr>
        <w:t>月，是中国首批获准成立的中外合资基金管理公司。</w:t>
      </w:r>
    </w:p>
    <w:p w:rsidR="00333CB1" w:rsidRDefault="00A64BAA">
      <w:pPr>
        <w:spacing w:line="360" w:lineRule="auto"/>
        <w:ind w:firstLineChars="200" w:firstLine="480"/>
        <w:rPr>
          <w:rFonts w:ascii="宋体" w:hAnsi="宋体"/>
          <w:color w:val="000000"/>
          <w:sz w:val="24"/>
          <w:szCs w:val="24"/>
        </w:rPr>
      </w:pPr>
      <w:r>
        <w:rPr>
          <w:rFonts w:ascii="宋体" w:hAnsi="宋体"/>
          <w:color w:val="000000"/>
          <w:sz w:val="24"/>
          <w:szCs w:val="24"/>
        </w:rPr>
        <w:t>从</w:t>
      </w:r>
      <w:r>
        <w:rPr>
          <w:rFonts w:ascii="宋体" w:hAnsi="宋体"/>
          <w:color w:val="000000"/>
          <w:sz w:val="24"/>
          <w:szCs w:val="24"/>
        </w:rPr>
        <w:t>2003</w:t>
      </w:r>
      <w:r>
        <w:rPr>
          <w:rFonts w:ascii="宋体" w:hAnsi="宋体"/>
          <w:color w:val="000000"/>
          <w:sz w:val="24"/>
          <w:szCs w:val="24"/>
        </w:rPr>
        <w:t>年</w:t>
      </w:r>
      <w:r>
        <w:rPr>
          <w:rFonts w:ascii="宋体" w:hAnsi="宋体"/>
          <w:color w:val="000000"/>
          <w:sz w:val="24"/>
          <w:szCs w:val="24"/>
        </w:rPr>
        <w:t>8</w:t>
      </w:r>
      <w:r>
        <w:rPr>
          <w:rFonts w:ascii="宋体" w:hAnsi="宋体"/>
          <w:color w:val="000000"/>
          <w:sz w:val="24"/>
          <w:szCs w:val="24"/>
        </w:rPr>
        <w:t>月开始，海富通先后募集成立了</w:t>
      </w:r>
      <w:r>
        <w:rPr>
          <w:rFonts w:ascii="宋体" w:hAnsi="宋体"/>
          <w:color w:val="000000"/>
          <w:sz w:val="24"/>
          <w:szCs w:val="24"/>
        </w:rPr>
        <w:t>55</w:t>
      </w:r>
      <w:r>
        <w:rPr>
          <w:rFonts w:ascii="宋体" w:hAnsi="宋体"/>
          <w:color w:val="000000"/>
          <w:sz w:val="24"/>
          <w:szCs w:val="24"/>
        </w:rPr>
        <w:t>只公募基金。截至</w:t>
      </w:r>
      <w:r>
        <w:rPr>
          <w:rFonts w:ascii="宋体" w:hAnsi="宋体"/>
          <w:color w:val="000000"/>
          <w:sz w:val="24"/>
          <w:szCs w:val="24"/>
        </w:rPr>
        <w:t>2017</w:t>
      </w:r>
      <w:r>
        <w:rPr>
          <w:rFonts w:ascii="宋体" w:hAnsi="宋体"/>
          <w:color w:val="000000"/>
          <w:sz w:val="24"/>
          <w:szCs w:val="24"/>
        </w:rPr>
        <w:t>年</w:t>
      </w:r>
      <w:r>
        <w:rPr>
          <w:rFonts w:ascii="宋体" w:hAnsi="宋体"/>
          <w:color w:val="000000"/>
          <w:sz w:val="24"/>
          <w:szCs w:val="24"/>
        </w:rPr>
        <w:t>9</w:t>
      </w:r>
      <w:r>
        <w:rPr>
          <w:rFonts w:ascii="宋体" w:hAnsi="宋体"/>
          <w:color w:val="000000"/>
          <w:sz w:val="24"/>
          <w:szCs w:val="24"/>
        </w:rPr>
        <w:t>月</w:t>
      </w:r>
      <w:r>
        <w:rPr>
          <w:rFonts w:ascii="宋体" w:hAnsi="宋体"/>
          <w:color w:val="000000"/>
          <w:sz w:val="24"/>
          <w:szCs w:val="24"/>
        </w:rPr>
        <w:t>30</w:t>
      </w:r>
      <w:r>
        <w:rPr>
          <w:rFonts w:ascii="宋体" w:hAnsi="宋体"/>
          <w:color w:val="000000"/>
          <w:sz w:val="24"/>
          <w:szCs w:val="24"/>
        </w:rPr>
        <w:t>日，海富通管理的公</w:t>
      </w:r>
      <w:proofErr w:type="gramStart"/>
      <w:r>
        <w:rPr>
          <w:rFonts w:ascii="宋体" w:hAnsi="宋体"/>
          <w:color w:val="000000"/>
          <w:sz w:val="24"/>
          <w:szCs w:val="24"/>
        </w:rPr>
        <w:t>募基金</w:t>
      </w:r>
      <w:proofErr w:type="gramEnd"/>
      <w:r>
        <w:rPr>
          <w:rFonts w:ascii="宋体" w:hAnsi="宋体"/>
          <w:color w:val="000000"/>
          <w:sz w:val="24"/>
          <w:szCs w:val="24"/>
        </w:rPr>
        <w:t>资产规模超过</w:t>
      </w:r>
      <w:r>
        <w:rPr>
          <w:rFonts w:ascii="宋体" w:hAnsi="宋体"/>
          <w:color w:val="000000"/>
          <w:sz w:val="24"/>
          <w:szCs w:val="24"/>
        </w:rPr>
        <w:t>500</w:t>
      </w:r>
      <w:r>
        <w:rPr>
          <w:rFonts w:ascii="宋体" w:hAnsi="宋体"/>
          <w:color w:val="000000"/>
          <w:sz w:val="24"/>
          <w:szCs w:val="24"/>
        </w:rPr>
        <w:t>亿元人民币。</w:t>
      </w:r>
    </w:p>
    <w:p w:rsidR="00333CB1" w:rsidRDefault="00A64BAA">
      <w:pPr>
        <w:spacing w:line="360" w:lineRule="auto"/>
        <w:ind w:firstLineChars="200" w:firstLine="480"/>
        <w:rPr>
          <w:rFonts w:ascii="宋体" w:hAnsi="宋体"/>
          <w:color w:val="000000"/>
          <w:sz w:val="24"/>
          <w:szCs w:val="24"/>
        </w:rPr>
      </w:pPr>
      <w:r>
        <w:rPr>
          <w:rFonts w:ascii="宋体" w:hAnsi="宋体"/>
          <w:color w:val="000000"/>
          <w:sz w:val="24"/>
          <w:szCs w:val="24"/>
        </w:rPr>
        <w:t>2004</w:t>
      </w:r>
      <w:r>
        <w:rPr>
          <w:rFonts w:ascii="宋体" w:hAnsi="宋体"/>
          <w:color w:val="000000"/>
          <w:sz w:val="24"/>
          <w:szCs w:val="24"/>
        </w:rPr>
        <w:t>年末开始，海富通及子公司为</w:t>
      </w:r>
      <w:r>
        <w:rPr>
          <w:rFonts w:ascii="宋体" w:hAnsi="宋体"/>
          <w:color w:val="000000"/>
          <w:sz w:val="24"/>
          <w:szCs w:val="24"/>
        </w:rPr>
        <w:t>QFII</w:t>
      </w:r>
      <w:r>
        <w:rPr>
          <w:rFonts w:ascii="宋体" w:hAnsi="宋体"/>
          <w:color w:val="000000"/>
          <w:sz w:val="24"/>
          <w:szCs w:val="24"/>
        </w:rPr>
        <w:t>（合格境外机构投资者）及其他多个海内外投资组合担任投资咨询顾问，截至</w:t>
      </w:r>
      <w:r>
        <w:rPr>
          <w:rFonts w:ascii="宋体" w:hAnsi="宋体"/>
          <w:color w:val="000000"/>
          <w:sz w:val="24"/>
          <w:szCs w:val="24"/>
        </w:rPr>
        <w:t>2017</w:t>
      </w:r>
      <w:r>
        <w:rPr>
          <w:rFonts w:ascii="宋体" w:hAnsi="宋体"/>
          <w:color w:val="000000"/>
          <w:sz w:val="24"/>
          <w:szCs w:val="24"/>
        </w:rPr>
        <w:t>年</w:t>
      </w:r>
      <w:r>
        <w:rPr>
          <w:rFonts w:ascii="宋体" w:hAnsi="宋体"/>
          <w:color w:val="000000"/>
          <w:sz w:val="24"/>
          <w:szCs w:val="24"/>
        </w:rPr>
        <w:t>9</w:t>
      </w:r>
      <w:r>
        <w:rPr>
          <w:rFonts w:ascii="宋体" w:hAnsi="宋体"/>
          <w:color w:val="000000"/>
          <w:sz w:val="24"/>
          <w:szCs w:val="24"/>
        </w:rPr>
        <w:t>月</w:t>
      </w:r>
      <w:r>
        <w:rPr>
          <w:rFonts w:ascii="宋体" w:hAnsi="宋体"/>
          <w:color w:val="000000"/>
          <w:sz w:val="24"/>
          <w:szCs w:val="24"/>
        </w:rPr>
        <w:t>30</w:t>
      </w:r>
      <w:r>
        <w:rPr>
          <w:rFonts w:ascii="宋体" w:hAnsi="宋体"/>
          <w:color w:val="000000"/>
          <w:sz w:val="24"/>
          <w:szCs w:val="24"/>
        </w:rPr>
        <w:t>日，投资咨询及海外业务规模超过</w:t>
      </w:r>
      <w:r>
        <w:rPr>
          <w:rFonts w:ascii="宋体" w:hAnsi="宋体"/>
          <w:color w:val="000000"/>
          <w:sz w:val="24"/>
          <w:szCs w:val="24"/>
        </w:rPr>
        <w:t>40</w:t>
      </w:r>
      <w:r>
        <w:rPr>
          <w:rFonts w:ascii="宋体" w:hAnsi="宋体"/>
          <w:color w:val="000000"/>
          <w:sz w:val="24"/>
          <w:szCs w:val="24"/>
        </w:rPr>
        <w:t>亿元人民币。</w:t>
      </w:r>
    </w:p>
    <w:p w:rsidR="00333CB1" w:rsidRDefault="00A64BAA">
      <w:pPr>
        <w:spacing w:line="360" w:lineRule="auto"/>
        <w:ind w:firstLineChars="200" w:firstLine="480"/>
        <w:rPr>
          <w:rFonts w:ascii="宋体" w:hAnsi="宋体"/>
          <w:color w:val="000000"/>
          <w:sz w:val="24"/>
          <w:szCs w:val="24"/>
        </w:rPr>
      </w:pPr>
      <w:r>
        <w:rPr>
          <w:rFonts w:ascii="宋体" w:hAnsi="宋体"/>
          <w:color w:val="000000"/>
          <w:sz w:val="24"/>
          <w:szCs w:val="24"/>
        </w:rPr>
        <w:t>作为国家人力资源和社会保障部首批企业年金基金投资管理人，截至</w:t>
      </w:r>
      <w:r>
        <w:rPr>
          <w:rFonts w:ascii="宋体" w:hAnsi="宋体"/>
          <w:color w:val="000000"/>
          <w:sz w:val="24"/>
          <w:szCs w:val="24"/>
        </w:rPr>
        <w:t>2017</w:t>
      </w:r>
      <w:r>
        <w:rPr>
          <w:rFonts w:ascii="宋体" w:hAnsi="宋体"/>
          <w:color w:val="000000"/>
          <w:sz w:val="24"/>
          <w:szCs w:val="24"/>
        </w:rPr>
        <w:t>年</w:t>
      </w:r>
      <w:r>
        <w:rPr>
          <w:rFonts w:ascii="宋体" w:hAnsi="宋体"/>
          <w:color w:val="000000"/>
          <w:sz w:val="24"/>
          <w:szCs w:val="24"/>
        </w:rPr>
        <w:t>9</w:t>
      </w:r>
      <w:r>
        <w:rPr>
          <w:rFonts w:ascii="宋体" w:hAnsi="宋体"/>
          <w:color w:val="000000"/>
          <w:sz w:val="24"/>
          <w:szCs w:val="24"/>
        </w:rPr>
        <w:t>月</w:t>
      </w:r>
      <w:r>
        <w:rPr>
          <w:rFonts w:ascii="宋体" w:hAnsi="宋体"/>
          <w:color w:val="000000"/>
          <w:sz w:val="24"/>
          <w:szCs w:val="24"/>
        </w:rPr>
        <w:t>30</w:t>
      </w:r>
      <w:r>
        <w:rPr>
          <w:rFonts w:ascii="宋体" w:hAnsi="宋体"/>
          <w:color w:val="000000"/>
          <w:sz w:val="24"/>
          <w:szCs w:val="24"/>
        </w:rPr>
        <w:t>日，海富通为近</w:t>
      </w:r>
      <w:r>
        <w:rPr>
          <w:rFonts w:ascii="宋体" w:hAnsi="宋体"/>
          <w:color w:val="000000"/>
          <w:sz w:val="24"/>
          <w:szCs w:val="24"/>
        </w:rPr>
        <w:t>80</w:t>
      </w:r>
      <w:r>
        <w:rPr>
          <w:rFonts w:ascii="宋体" w:hAnsi="宋体"/>
          <w:color w:val="000000"/>
          <w:sz w:val="24"/>
          <w:szCs w:val="24"/>
        </w:rPr>
        <w:t>家企业超过</w:t>
      </w:r>
      <w:r>
        <w:rPr>
          <w:rFonts w:ascii="宋体" w:hAnsi="宋体"/>
          <w:color w:val="000000"/>
          <w:sz w:val="24"/>
          <w:szCs w:val="24"/>
        </w:rPr>
        <w:t>368</w:t>
      </w:r>
      <w:r>
        <w:rPr>
          <w:rFonts w:ascii="宋体" w:hAnsi="宋体"/>
          <w:color w:val="000000"/>
          <w:sz w:val="24"/>
          <w:szCs w:val="24"/>
        </w:rPr>
        <w:t>亿元的企业年金基金担任了投资管理人。作为首批特定客户资产管理业务资格的基金管理公司，截至</w:t>
      </w:r>
      <w:r>
        <w:rPr>
          <w:rFonts w:ascii="宋体" w:hAnsi="宋体"/>
          <w:color w:val="000000"/>
          <w:sz w:val="24"/>
          <w:szCs w:val="24"/>
        </w:rPr>
        <w:t>2017</w:t>
      </w:r>
      <w:r>
        <w:rPr>
          <w:rFonts w:ascii="宋体" w:hAnsi="宋体"/>
          <w:color w:val="000000"/>
          <w:sz w:val="24"/>
          <w:szCs w:val="24"/>
        </w:rPr>
        <w:t>年</w:t>
      </w:r>
      <w:r>
        <w:rPr>
          <w:rFonts w:ascii="宋体" w:hAnsi="宋体"/>
          <w:color w:val="000000"/>
          <w:sz w:val="24"/>
          <w:szCs w:val="24"/>
        </w:rPr>
        <w:t>9</w:t>
      </w:r>
      <w:r>
        <w:rPr>
          <w:rFonts w:ascii="宋体" w:hAnsi="宋体"/>
          <w:color w:val="000000"/>
          <w:sz w:val="24"/>
          <w:szCs w:val="24"/>
        </w:rPr>
        <w:t>月</w:t>
      </w:r>
      <w:r>
        <w:rPr>
          <w:rFonts w:ascii="宋体" w:hAnsi="宋体"/>
          <w:color w:val="000000"/>
          <w:sz w:val="24"/>
          <w:szCs w:val="24"/>
        </w:rPr>
        <w:t>30</w:t>
      </w:r>
      <w:r>
        <w:rPr>
          <w:rFonts w:ascii="宋体" w:hAnsi="宋体"/>
          <w:color w:val="000000"/>
          <w:sz w:val="24"/>
          <w:szCs w:val="24"/>
        </w:rPr>
        <w:t>日，海富通管理的特定客户资产管理业务规模超过</w:t>
      </w:r>
      <w:r>
        <w:rPr>
          <w:rFonts w:ascii="宋体" w:hAnsi="宋体"/>
          <w:color w:val="000000"/>
          <w:sz w:val="24"/>
          <w:szCs w:val="24"/>
        </w:rPr>
        <w:t>403</w:t>
      </w:r>
      <w:r>
        <w:rPr>
          <w:rFonts w:ascii="宋体" w:hAnsi="宋体"/>
          <w:color w:val="000000"/>
          <w:sz w:val="24"/>
          <w:szCs w:val="24"/>
        </w:rPr>
        <w:t>亿元。</w:t>
      </w:r>
      <w:r>
        <w:rPr>
          <w:rFonts w:ascii="宋体" w:hAnsi="宋体"/>
          <w:color w:val="000000"/>
          <w:sz w:val="24"/>
          <w:szCs w:val="24"/>
        </w:rPr>
        <w:t>2010</w:t>
      </w:r>
      <w:r>
        <w:rPr>
          <w:rFonts w:ascii="宋体" w:hAnsi="宋体"/>
          <w:color w:val="000000"/>
          <w:sz w:val="24"/>
          <w:szCs w:val="24"/>
        </w:rPr>
        <w:t>年</w:t>
      </w:r>
      <w:r>
        <w:rPr>
          <w:rFonts w:ascii="宋体" w:hAnsi="宋体"/>
          <w:color w:val="000000"/>
          <w:sz w:val="24"/>
          <w:szCs w:val="24"/>
        </w:rPr>
        <w:t>12</w:t>
      </w:r>
      <w:r>
        <w:rPr>
          <w:rFonts w:ascii="宋体" w:hAnsi="宋体"/>
          <w:color w:val="000000"/>
          <w:sz w:val="24"/>
          <w:szCs w:val="24"/>
        </w:rPr>
        <w:t>月，海富通基金管理有限公司被全国社会保障基金理</w:t>
      </w:r>
      <w:r>
        <w:rPr>
          <w:rFonts w:ascii="宋体" w:hAnsi="宋体"/>
          <w:color w:val="000000"/>
          <w:sz w:val="24"/>
          <w:szCs w:val="24"/>
        </w:rPr>
        <w:t>事会选聘为境内委托投资管理人。</w:t>
      </w:r>
      <w:r>
        <w:rPr>
          <w:rFonts w:ascii="宋体" w:hAnsi="宋体"/>
          <w:color w:val="000000"/>
          <w:sz w:val="24"/>
          <w:szCs w:val="24"/>
        </w:rPr>
        <w:t>2011</w:t>
      </w:r>
      <w:r>
        <w:rPr>
          <w:rFonts w:ascii="宋体" w:hAnsi="宋体"/>
          <w:color w:val="000000"/>
          <w:sz w:val="24"/>
          <w:szCs w:val="24"/>
        </w:rPr>
        <w:t>年</w:t>
      </w:r>
      <w:r>
        <w:rPr>
          <w:rFonts w:ascii="宋体" w:hAnsi="宋体"/>
          <w:color w:val="000000"/>
          <w:sz w:val="24"/>
          <w:szCs w:val="24"/>
        </w:rPr>
        <w:t>12</w:t>
      </w:r>
      <w:r>
        <w:rPr>
          <w:rFonts w:ascii="宋体" w:hAnsi="宋体"/>
          <w:color w:val="000000"/>
          <w:sz w:val="24"/>
          <w:szCs w:val="24"/>
        </w:rPr>
        <w:t>月，海富通全资子公司</w:t>
      </w:r>
      <w:r>
        <w:rPr>
          <w:rFonts w:ascii="宋体" w:hAnsi="宋体"/>
          <w:color w:val="000000"/>
          <w:sz w:val="24"/>
          <w:szCs w:val="24"/>
        </w:rPr>
        <w:t>——</w:t>
      </w:r>
      <w:r>
        <w:rPr>
          <w:rFonts w:ascii="宋体" w:hAnsi="宋体"/>
          <w:color w:val="000000"/>
          <w:sz w:val="24"/>
          <w:szCs w:val="24"/>
        </w:rPr>
        <w:t>海富通资产管理（香港）有限公司获得证监会核准批复</w:t>
      </w:r>
      <w:r>
        <w:rPr>
          <w:rFonts w:ascii="宋体" w:hAnsi="宋体"/>
          <w:color w:val="000000"/>
          <w:sz w:val="24"/>
          <w:szCs w:val="24"/>
        </w:rPr>
        <w:t>RQFII</w:t>
      </w:r>
      <w:r>
        <w:rPr>
          <w:rFonts w:ascii="宋体" w:hAnsi="宋体"/>
          <w:color w:val="000000"/>
          <w:sz w:val="24"/>
          <w:szCs w:val="24"/>
        </w:rPr>
        <w:t>（人民币合格境外机构投资者）业务资格，能够在香港筹集人民币资金投资境内证券市场。</w:t>
      </w:r>
      <w:r>
        <w:rPr>
          <w:rFonts w:ascii="宋体" w:hAnsi="宋体"/>
          <w:color w:val="000000"/>
          <w:sz w:val="24"/>
          <w:szCs w:val="24"/>
        </w:rPr>
        <w:t>2012</w:t>
      </w:r>
      <w:r>
        <w:rPr>
          <w:rFonts w:ascii="宋体" w:hAnsi="宋体"/>
          <w:color w:val="000000"/>
          <w:sz w:val="24"/>
          <w:szCs w:val="24"/>
        </w:rPr>
        <w:t>年</w:t>
      </w:r>
      <w:r>
        <w:rPr>
          <w:rFonts w:ascii="宋体" w:hAnsi="宋体"/>
          <w:color w:val="000000"/>
          <w:sz w:val="24"/>
          <w:szCs w:val="24"/>
        </w:rPr>
        <w:t>2</w:t>
      </w:r>
      <w:r>
        <w:rPr>
          <w:rFonts w:ascii="宋体" w:hAnsi="宋体"/>
          <w:color w:val="000000"/>
          <w:sz w:val="24"/>
          <w:szCs w:val="24"/>
        </w:rPr>
        <w:t>月，海富通资产管理（香港）有限公司已募集发行了首只</w:t>
      </w:r>
      <w:r>
        <w:rPr>
          <w:rFonts w:ascii="宋体" w:hAnsi="宋体"/>
          <w:color w:val="000000"/>
          <w:sz w:val="24"/>
          <w:szCs w:val="24"/>
        </w:rPr>
        <w:t>RQFII</w:t>
      </w:r>
      <w:r>
        <w:rPr>
          <w:rFonts w:ascii="宋体" w:hAnsi="宋体"/>
          <w:color w:val="000000"/>
          <w:sz w:val="24"/>
          <w:szCs w:val="24"/>
        </w:rPr>
        <w:t>产品。</w:t>
      </w:r>
      <w:r>
        <w:rPr>
          <w:rFonts w:ascii="宋体" w:hAnsi="宋体"/>
          <w:color w:val="000000"/>
          <w:sz w:val="24"/>
          <w:szCs w:val="24"/>
        </w:rPr>
        <w:t>2012</w:t>
      </w:r>
      <w:r>
        <w:rPr>
          <w:rFonts w:ascii="宋体" w:hAnsi="宋体"/>
          <w:color w:val="000000"/>
          <w:sz w:val="24"/>
          <w:szCs w:val="24"/>
        </w:rPr>
        <w:t>年</w:t>
      </w:r>
      <w:r>
        <w:rPr>
          <w:rFonts w:ascii="宋体" w:hAnsi="宋体"/>
          <w:color w:val="000000"/>
          <w:sz w:val="24"/>
          <w:szCs w:val="24"/>
        </w:rPr>
        <w:t>9</w:t>
      </w:r>
      <w:r>
        <w:rPr>
          <w:rFonts w:ascii="宋体" w:hAnsi="宋体"/>
          <w:color w:val="000000"/>
          <w:sz w:val="24"/>
          <w:szCs w:val="24"/>
        </w:rPr>
        <w:t>月，中国保监会公告确认海富通基金为首批保险资金投资管理人之一。</w:t>
      </w:r>
      <w:r>
        <w:rPr>
          <w:rFonts w:ascii="宋体" w:hAnsi="宋体"/>
          <w:color w:val="000000"/>
          <w:sz w:val="24"/>
          <w:szCs w:val="24"/>
        </w:rPr>
        <w:t>2014</w:t>
      </w:r>
      <w:r>
        <w:rPr>
          <w:rFonts w:ascii="宋体" w:hAnsi="宋体"/>
          <w:color w:val="000000"/>
          <w:sz w:val="24"/>
          <w:szCs w:val="24"/>
        </w:rPr>
        <w:t>年</w:t>
      </w:r>
      <w:r>
        <w:rPr>
          <w:rFonts w:ascii="宋体" w:hAnsi="宋体"/>
          <w:color w:val="000000"/>
          <w:sz w:val="24"/>
          <w:szCs w:val="24"/>
        </w:rPr>
        <w:t>8</w:t>
      </w:r>
      <w:r>
        <w:rPr>
          <w:rFonts w:ascii="宋体" w:hAnsi="宋体"/>
          <w:color w:val="000000"/>
          <w:sz w:val="24"/>
          <w:szCs w:val="24"/>
        </w:rPr>
        <w:t>月，海富通全资子公司上海富诚海富通资产管理公司正式开业，获准开展特定客户资产管理服务。</w:t>
      </w:r>
      <w:r>
        <w:rPr>
          <w:rFonts w:ascii="宋体" w:hAnsi="宋体"/>
          <w:color w:val="000000"/>
          <w:sz w:val="24"/>
          <w:szCs w:val="24"/>
        </w:rPr>
        <w:t>2016</w:t>
      </w:r>
      <w:r>
        <w:rPr>
          <w:rFonts w:ascii="宋体" w:hAnsi="宋体"/>
          <w:color w:val="000000"/>
          <w:sz w:val="24"/>
          <w:szCs w:val="24"/>
        </w:rPr>
        <w:t>年</w:t>
      </w:r>
      <w:r>
        <w:rPr>
          <w:rFonts w:ascii="宋体" w:hAnsi="宋体"/>
          <w:color w:val="000000"/>
          <w:sz w:val="24"/>
          <w:szCs w:val="24"/>
        </w:rPr>
        <w:t>12</w:t>
      </w:r>
      <w:r>
        <w:rPr>
          <w:rFonts w:ascii="宋体" w:hAnsi="宋体"/>
          <w:color w:val="000000"/>
          <w:sz w:val="24"/>
          <w:szCs w:val="24"/>
        </w:rPr>
        <w:t>月，海富通基金管理有限公司被全国社会保障基</w:t>
      </w:r>
      <w:r>
        <w:rPr>
          <w:rFonts w:ascii="宋体" w:hAnsi="宋体"/>
          <w:color w:val="000000"/>
          <w:sz w:val="24"/>
          <w:szCs w:val="24"/>
        </w:rPr>
        <w:t>金理事会选聘为首批基本养</w:t>
      </w:r>
      <w:r>
        <w:rPr>
          <w:rFonts w:ascii="宋体" w:hAnsi="宋体"/>
          <w:color w:val="000000"/>
          <w:sz w:val="24"/>
          <w:szCs w:val="24"/>
        </w:rPr>
        <w:lastRenderedPageBreak/>
        <w:t>老保险基金投资管理人。</w:t>
      </w:r>
    </w:p>
    <w:p w:rsidR="00333CB1" w:rsidRDefault="00A64BAA">
      <w:pPr>
        <w:spacing w:line="360" w:lineRule="auto"/>
        <w:ind w:firstLineChars="200" w:firstLine="480"/>
        <w:rPr>
          <w:rFonts w:ascii="宋体" w:hAnsi="宋体"/>
          <w:color w:val="000000"/>
          <w:sz w:val="24"/>
          <w:szCs w:val="24"/>
        </w:rPr>
      </w:pPr>
      <w:r>
        <w:rPr>
          <w:rFonts w:ascii="宋体" w:hAnsi="宋体"/>
          <w:color w:val="000000"/>
          <w:sz w:val="24"/>
          <w:szCs w:val="24"/>
        </w:rPr>
        <w:t>2016</w:t>
      </w:r>
      <w:r>
        <w:rPr>
          <w:rFonts w:ascii="宋体" w:hAnsi="宋体"/>
          <w:color w:val="000000"/>
          <w:sz w:val="24"/>
          <w:szCs w:val="24"/>
        </w:rPr>
        <w:t>年</w:t>
      </w:r>
      <w:r>
        <w:rPr>
          <w:rFonts w:ascii="宋体" w:hAnsi="宋体"/>
          <w:color w:val="000000"/>
          <w:sz w:val="24"/>
          <w:szCs w:val="24"/>
        </w:rPr>
        <w:t>3</w:t>
      </w:r>
      <w:r>
        <w:rPr>
          <w:rFonts w:ascii="宋体" w:hAnsi="宋体"/>
          <w:color w:val="000000"/>
          <w:sz w:val="24"/>
          <w:szCs w:val="24"/>
        </w:rPr>
        <w:t>月，国内权威财经媒体《中国证券报》授予海富通基金管理有限公司</w:t>
      </w:r>
      <w:r>
        <w:rPr>
          <w:rFonts w:ascii="宋体" w:hAnsi="宋体"/>
          <w:color w:val="000000"/>
          <w:sz w:val="24"/>
          <w:szCs w:val="24"/>
        </w:rPr>
        <w:t>“</w:t>
      </w:r>
      <w:r>
        <w:rPr>
          <w:rFonts w:ascii="宋体" w:hAnsi="宋体"/>
          <w:color w:val="000000"/>
          <w:sz w:val="24"/>
          <w:szCs w:val="24"/>
        </w:rPr>
        <w:t>固定收益投资金牛基金公司</w:t>
      </w:r>
      <w:r>
        <w:rPr>
          <w:rFonts w:ascii="宋体" w:hAnsi="宋体"/>
          <w:color w:val="000000"/>
          <w:sz w:val="24"/>
          <w:szCs w:val="24"/>
        </w:rPr>
        <w:t>”</w:t>
      </w:r>
      <w:r>
        <w:rPr>
          <w:rFonts w:ascii="宋体" w:hAnsi="宋体"/>
          <w:color w:val="000000"/>
          <w:sz w:val="24"/>
          <w:szCs w:val="24"/>
        </w:rPr>
        <w:t>。</w:t>
      </w:r>
    </w:p>
    <w:p w:rsidR="00333CB1" w:rsidRDefault="00333CB1">
      <w:pPr>
        <w:spacing w:before="29" w:line="288" w:lineRule="auto"/>
        <w:ind w:firstLineChars="200" w:firstLine="480"/>
        <w:rPr>
          <w:color w:val="000000"/>
          <w:sz w:val="24"/>
          <w:szCs w:val="24"/>
        </w:rPr>
      </w:pPr>
    </w:p>
    <w:p w:rsidR="00333CB1" w:rsidRDefault="00A64BAA" w:rsidP="00B33365">
      <w:pPr>
        <w:pStyle w:val="1"/>
        <w:spacing w:beforeLines="100" w:before="312" w:afterLines="100" w:after="312" w:line="288" w:lineRule="auto"/>
        <w:jc w:val="center"/>
        <w:rPr>
          <w:color w:val="000000"/>
          <w:kern w:val="0"/>
          <w:sz w:val="24"/>
          <w:szCs w:val="24"/>
        </w:rPr>
      </w:pPr>
      <w:r>
        <w:rPr>
          <w:color w:val="000000"/>
          <w:kern w:val="0"/>
          <w:sz w:val="24"/>
          <w:szCs w:val="24"/>
        </w:rPr>
        <w:t xml:space="preserve">§9 </w:t>
      </w:r>
      <w:r>
        <w:rPr>
          <w:color w:val="000000"/>
          <w:kern w:val="0"/>
          <w:sz w:val="24"/>
          <w:szCs w:val="24"/>
        </w:rPr>
        <w:t>备查文件目录</w:t>
      </w:r>
    </w:p>
    <w:p w:rsidR="00333CB1" w:rsidRDefault="00A64BAA">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9.1 </w:t>
      </w:r>
      <w:r>
        <w:rPr>
          <w:b/>
          <w:bCs/>
          <w:color w:val="000000"/>
          <w:kern w:val="0"/>
          <w:sz w:val="24"/>
          <w:szCs w:val="24"/>
        </w:rPr>
        <w:t>备查文件目录</w:t>
      </w:r>
    </w:p>
    <w:p w:rsidR="00333CB1" w:rsidRDefault="00A64BAA">
      <w:pPr>
        <w:spacing w:before="29" w:line="288" w:lineRule="auto"/>
        <w:ind w:firstLineChars="200" w:firstLine="480"/>
        <w:rPr>
          <w:color w:val="000000"/>
          <w:sz w:val="24"/>
          <w:szCs w:val="24"/>
        </w:rPr>
      </w:pPr>
      <w:r>
        <w:rPr>
          <w:color w:val="000000"/>
          <w:sz w:val="24"/>
          <w:szCs w:val="24"/>
        </w:rPr>
        <w:t>（一）中国证监会批准设立</w:t>
      </w:r>
      <w:proofErr w:type="gramStart"/>
      <w:r>
        <w:rPr>
          <w:color w:val="000000"/>
          <w:sz w:val="24"/>
          <w:szCs w:val="24"/>
        </w:rPr>
        <w:t>海富通瑞益债券</w:t>
      </w:r>
      <w:proofErr w:type="gramEnd"/>
      <w:r>
        <w:rPr>
          <w:color w:val="000000"/>
          <w:sz w:val="24"/>
          <w:szCs w:val="24"/>
        </w:rPr>
        <w:t>型证券投资基金的文件</w:t>
      </w:r>
      <w:r>
        <w:rPr>
          <w:color w:val="000000"/>
          <w:sz w:val="24"/>
          <w:szCs w:val="24"/>
        </w:rPr>
        <w:t xml:space="preserve"> </w:t>
      </w:r>
    </w:p>
    <w:p w:rsidR="00333CB1" w:rsidRDefault="00A64BAA">
      <w:pPr>
        <w:spacing w:before="29" w:line="288" w:lineRule="auto"/>
        <w:ind w:firstLineChars="200" w:firstLine="480"/>
        <w:rPr>
          <w:color w:val="000000"/>
          <w:sz w:val="24"/>
          <w:szCs w:val="24"/>
        </w:rPr>
      </w:pPr>
      <w:r>
        <w:rPr>
          <w:color w:val="000000"/>
          <w:sz w:val="24"/>
          <w:szCs w:val="24"/>
        </w:rPr>
        <w:t>（二）</w:t>
      </w:r>
      <w:proofErr w:type="gramStart"/>
      <w:r>
        <w:rPr>
          <w:color w:val="000000"/>
          <w:sz w:val="24"/>
          <w:szCs w:val="24"/>
        </w:rPr>
        <w:t>海富通瑞益债券</w:t>
      </w:r>
      <w:proofErr w:type="gramEnd"/>
      <w:r>
        <w:rPr>
          <w:color w:val="000000"/>
          <w:sz w:val="24"/>
          <w:szCs w:val="24"/>
        </w:rPr>
        <w:t>型证券投资</w:t>
      </w:r>
      <w:proofErr w:type="gramStart"/>
      <w:r>
        <w:rPr>
          <w:color w:val="000000"/>
          <w:sz w:val="24"/>
          <w:szCs w:val="24"/>
        </w:rPr>
        <w:t>基金基金</w:t>
      </w:r>
      <w:proofErr w:type="gramEnd"/>
      <w:r>
        <w:rPr>
          <w:color w:val="000000"/>
          <w:sz w:val="24"/>
          <w:szCs w:val="24"/>
        </w:rPr>
        <w:t>合同</w:t>
      </w:r>
      <w:r>
        <w:rPr>
          <w:color w:val="000000"/>
          <w:sz w:val="24"/>
          <w:szCs w:val="24"/>
        </w:rPr>
        <w:t xml:space="preserve"> </w:t>
      </w:r>
    </w:p>
    <w:p w:rsidR="00333CB1" w:rsidRDefault="00A64BAA">
      <w:pPr>
        <w:spacing w:before="29" w:line="288" w:lineRule="auto"/>
        <w:ind w:firstLineChars="200" w:firstLine="480"/>
        <w:rPr>
          <w:color w:val="000000"/>
          <w:sz w:val="24"/>
          <w:szCs w:val="24"/>
        </w:rPr>
      </w:pPr>
      <w:r>
        <w:rPr>
          <w:color w:val="000000"/>
          <w:sz w:val="24"/>
          <w:szCs w:val="24"/>
        </w:rPr>
        <w:t>（三）</w:t>
      </w:r>
      <w:proofErr w:type="gramStart"/>
      <w:r>
        <w:rPr>
          <w:color w:val="000000"/>
          <w:sz w:val="24"/>
          <w:szCs w:val="24"/>
        </w:rPr>
        <w:t>海富通瑞益债券</w:t>
      </w:r>
      <w:proofErr w:type="gramEnd"/>
      <w:r>
        <w:rPr>
          <w:color w:val="000000"/>
          <w:sz w:val="24"/>
          <w:szCs w:val="24"/>
        </w:rPr>
        <w:t>型证券投资基金招募说明书</w:t>
      </w:r>
      <w:r>
        <w:rPr>
          <w:color w:val="000000"/>
          <w:sz w:val="24"/>
          <w:szCs w:val="24"/>
        </w:rPr>
        <w:t xml:space="preserve"> </w:t>
      </w:r>
    </w:p>
    <w:p w:rsidR="00333CB1" w:rsidRDefault="00A64BAA">
      <w:pPr>
        <w:spacing w:before="29" w:line="288" w:lineRule="auto"/>
        <w:ind w:firstLineChars="200" w:firstLine="480"/>
        <w:rPr>
          <w:color w:val="000000"/>
          <w:sz w:val="24"/>
          <w:szCs w:val="24"/>
        </w:rPr>
      </w:pPr>
      <w:r>
        <w:rPr>
          <w:color w:val="000000"/>
          <w:sz w:val="24"/>
          <w:szCs w:val="24"/>
        </w:rPr>
        <w:t>（四）</w:t>
      </w:r>
      <w:proofErr w:type="gramStart"/>
      <w:r>
        <w:rPr>
          <w:color w:val="000000"/>
          <w:sz w:val="24"/>
          <w:szCs w:val="24"/>
        </w:rPr>
        <w:t>海富通瑞益债券</w:t>
      </w:r>
      <w:proofErr w:type="gramEnd"/>
      <w:r>
        <w:rPr>
          <w:color w:val="000000"/>
          <w:sz w:val="24"/>
          <w:szCs w:val="24"/>
        </w:rPr>
        <w:t>型证券投资基金托管协议</w:t>
      </w:r>
      <w:r>
        <w:rPr>
          <w:color w:val="000000"/>
          <w:sz w:val="24"/>
          <w:szCs w:val="24"/>
        </w:rPr>
        <w:t xml:space="preserve"> </w:t>
      </w:r>
    </w:p>
    <w:p w:rsidR="00333CB1" w:rsidRDefault="00A64BAA">
      <w:pPr>
        <w:spacing w:before="29" w:line="288" w:lineRule="auto"/>
        <w:ind w:firstLineChars="200" w:firstLine="480"/>
        <w:rPr>
          <w:color w:val="000000"/>
          <w:sz w:val="24"/>
          <w:szCs w:val="24"/>
        </w:rPr>
      </w:pPr>
      <w:r>
        <w:rPr>
          <w:color w:val="000000"/>
          <w:sz w:val="24"/>
          <w:szCs w:val="24"/>
        </w:rPr>
        <w:t>（五）中国证监会批准设立海富通基金管理有限公司的文件</w:t>
      </w:r>
      <w:r>
        <w:rPr>
          <w:color w:val="000000"/>
          <w:sz w:val="24"/>
          <w:szCs w:val="24"/>
        </w:rPr>
        <w:t xml:space="preserve"> </w:t>
      </w:r>
    </w:p>
    <w:p w:rsidR="00333CB1" w:rsidRDefault="00A64BAA">
      <w:pPr>
        <w:spacing w:before="29" w:line="288" w:lineRule="auto"/>
        <w:ind w:firstLineChars="200" w:firstLine="480"/>
        <w:rPr>
          <w:color w:val="000000"/>
          <w:sz w:val="24"/>
          <w:szCs w:val="24"/>
        </w:rPr>
      </w:pPr>
      <w:r>
        <w:rPr>
          <w:color w:val="000000"/>
          <w:sz w:val="24"/>
          <w:szCs w:val="24"/>
        </w:rPr>
        <w:t>（六）报告期内海</w:t>
      </w:r>
      <w:proofErr w:type="gramStart"/>
      <w:r>
        <w:rPr>
          <w:color w:val="000000"/>
          <w:sz w:val="24"/>
          <w:szCs w:val="24"/>
        </w:rPr>
        <w:t>富通瑞益</w:t>
      </w:r>
      <w:proofErr w:type="gramEnd"/>
      <w:r>
        <w:rPr>
          <w:color w:val="000000"/>
          <w:sz w:val="24"/>
          <w:szCs w:val="24"/>
        </w:rPr>
        <w:t>债券型证券投资基金在指定报刊上披露的各项公告</w:t>
      </w:r>
    </w:p>
    <w:p w:rsidR="00333CB1" w:rsidRDefault="00333CB1">
      <w:pPr>
        <w:spacing w:before="29" w:line="288" w:lineRule="auto"/>
        <w:ind w:firstLineChars="200" w:firstLine="480"/>
        <w:rPr>
          <w:color w:val="000000"/>
          <w:sz w:val="24"/>
          <w:szCs w:val="24"/>
        </w:rPr>
      </w:pPr>
    </w:p>
    <w:p w:rsidR="00333CB1" w:rsidRDefault="00A64BAA">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9.2 </w:t>
      </w:r>
      <w:r>
        <w:rPr>
          <w:b/>
          <w:bCs/>
          <w:color w:val="000000"/>
          <w:kern w:val="0"/>
          <w:sz w:val="24"/>
          <w:szCs w:val="24"/>
        </w:rPr>
        <w:t>存放地点</w:t>
      </w:r>
    </w:p>
    <w:p w:rsidR="00333CB1" w:rsidRDefault="00A64BAA">
      <w:pPr>
        <w:spacing w:before="29" w:line="288" w:lineRule="auto"/>
        <w:ind w:firstLineChars="200" w:firstLine="480"/>
        <w:rPr>
          <w:color w:val="000000"/>
          <w:sz w:val="24"/>
          <w:szCs w:val="24"/>
        </w:rPr>
      </w:pPr>
      <w:r>
        <w:rPr>
          <w:color w:val="000000"/>
          <w:sz w:val="24"/>
          <w:szCs w:val="24"/>
        </w:rPr>
        <w:t>上海市浦东新区陆家嘴花园石桥路</w:t>
      </w:r>
      <w:r>
        <w:rPr>
          <w:color w:val="000000"/>
          <w:sz w:val="24"/>
          <w:szCs w:val="24"/>
        </w:rPr>
        <w:t>66</w:t>
      </w:r>
      <w:r>
        <w:rPr>
          <w:color w:val="000000"/>
          <w:sz w:val="24"/>
          <w:szCs w:val="24"/>
        </w:rPr>
        <w:t>号东亚银行金融大厦</w:t>
      </w:r>
      <w:r>
        <w:rPr>
          <w:color w:val="000000"/>
          <w:sz w:val="24"/>
          <w:szCs w:val="24"/>
        </w:rPr>
        <w:t>36</w:t>
      </w:r>
      <w:r>
        <w:rPr>
          <w:color w:val="000000"/>
          <w:sz w:val="24"/>
          <w:szCs w:val="24"/>
        </w:rPr>
        <w:t>－</w:t>
      </w:r>
      <w:r>
        <w:rPr>
          <w:color w:val="000000"/>
          <w:sz w:val="24"/>
          <w:szCs w:val="24"/>
        </w:rPr>
        <w:t>37</w:t>
      </w:r>
      <w:r>
        <w:rPr>
          <w:color w:val="000000"/>
          <w:sz w:val="24"/>
          <w:szCs w:val="24"/>
        </w:rPr>
        <w:t>层本基金管理人办公地址。</w:t>
      </w:r>
    </w:p>
    <w:p w:rsidR="00333CB1" w:rsidRDefault="00333CB1">
      <w:pPr>
        <w:spacing w:before="29" w:line="288" w:lineRule="auto"/>
        <w:ind w:firstLineChars="200" w:firstLine="480"/>
        <w:rPr>
          <w:color w:val="000000"/>
          <w:sz w:val="24"/>
          <w:szCs w:val="24"/>
        </w:rPr>
      </w:pPr>
    </w:p>
    <w:p w:rsidR="00333CB1" w:rsidRDefault="00A64BAA">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9.3 </w:t>
      </w:r>
      <w:r>
        <w:rPr>
          <w:b/>
          <w:bCs/>
          <w:color w:val="000000"/>
          <w:kern w:val="0"/>
          <w:sz w:val="24"/>
          <w:szCs w:val="24"/>
        </w:rPr>
        <w:t>查阅方式</w:t>
      </w:r>
    </w:p>
    <w:p w:rsidR="00333CB1" w:rsidRDefault="00A64BAA">
      <w:pPr>
        <w:spacing w:before="29" w:line="288" w:lineRule="auto"/>
        <w:ind w:firstLineChars="200" w:firstLine="480"/>
        <w:rPr>
          <w:color w:val="000000"/>
          <w:sz w:val="24"/>
          <w:szCs w:val="24"/>
        </w:rPr>
      </w:pPr>
      <w:r>
        <w:rPr>
          <w:color w:val="000000"/>
          <w:sz w:val="24"/>
          <w:szCs w:val="24"/>
        </w:rPr>
        <w:t>投资者可于本基金管理人办公时间预约查阅。</w:t>
      </w:r>
    </w:p>
    <w:p w:rsidR="00333CB1" w:rsidRDefault="00333CB1">
      <w:pPr>
        <w:spacing w:before="29" w:line="288" w:lineRule="auto"/>
        <w:ind w:firstLineChars="200" w:firstLine="480"/>
        <w:rPr>
          <w:color w:val="000000"/>
          <w:sz w:val="24"/>
          <w:szCs w:val="24"/>
        </w:rPr>
      </w:pPr>
    </w:p>
    <w:p w:rsidR="00333CB1" w:rsidRDefault="00333CB1">
      <w:pPr>
        <w:spacing w:before="29" w:line="288" w:lineRule="auto"/>
        <w:ind w:firstLineChars="200" w:firstLine="480"/>
        <w:rPr>
          <w:color w:val="000000"/>
          <w:sz w:val="24"/>
          <w:szCs w:val="24"/>
        </w:rPr>
      </w:pPr>
    </w:p>
    <w:p w:rsidR="00333CB1" w:rsidRDefault="00333CB1">
      <w:pPr>
        <w:spacing w:before="29" w:line="288" w:lineRule="auto"/>
        <w:ind w:firstLineChars="200" w:firstLine="480"/>
        <w:rPr>
          <w:color w:val="000000"/>
          <w:sz w:val="24"/>
          <w:szCs w:val="24"/>
        </w:rPr>
      </w:pPr>
    </w:p>
    <w:p w:rsidR="00333CB1" w:rsidRDefault="00333CB1">
      <w:pPr>
        <w:spacing w:before="29" w:line="288" w:lineRule="auto"/>
        <w:ind w:firstLineChars="200" w:firstLine="480"/>
        <w:rPr>
          <w:color w:val="000000"/>
          <w:sz w:val="24"/>
          <w:szCs w:val="24"/>
        </w:rPr>
      </w:pPr>
    </w:p>
    <w:p w:rsidR="00333CB1" w:rsidRDefault="00333CB1">
      <w:pPr>
        <w:spacing w:before="29" w:line="288" w:lineRule="auto"/>
        <w:ind w:firstLineChars="200" w:firstLine="480"/>
        <w:rPr>
          <w:color w:val="000000"/>
          <w:sz w:val="24"/>
          <w:szCs w:val="24"/>
        </w:rPr>
      </w:pPr>
    </w:p>
    <w:p w:rsidR="00333CB1" w:rsidRDefault="00333CB1">
      <w:pPr>
        <w:spacing w:before="29" w:line="288" w:lineRule="auto"/>
        <w:ind w:firstLineChars="200" w:firstLine="480"/>
        <w:rPr>
          <w:color w:val="000000"/>
          <w:sz w:val="24"/>
          <w:szCs w:val="24"/>
        </w:rPr>
      </w:pPr>
    </w:p>
    <w:p w:rsidR="00333CB1" w:rsidRDefault="00333CB1">
      <w:pPr>
        <w:spacing w:before="29" w:line="288" w:lineRule="auto"/>
        <w:ind w:firstLineChars="200" w:firstLine="480"/>
        <w:rPr>
          <w:color w:val="000000"/>
          <w:sz w:val="24"/>
          <w:szCs w:val="24"/>
        </w:rPr>
      </w:pPr>
    </w:p>
    <w:p w:rsidR="00333CB1" w:rsidRDefault="00333CB1">
      <w:pPr>
        <w:spacing w:before="29" w:line="288" w:lineRule="auto"/>
        <w:ind w:firstLineChars="200" w:firstLine="480"/>
        <w:rPr>
          <w:color w:val="000000"/>
          <w:sz w:val="24"/>
          <w:szCs w:val="24"/>
        </w:rPr>
      </w:pPr>
    </w:p>
    <w:p w:rsidR="00333CB1" w:rsidRDefault="00333CB1">
      <w:pPr>
        <w:tabs>
          <w:tab w:val="left" w:pos="5715"/>
        </w:tabs>
        <w:spacing w:before="29" w:line="288" w:lineRule="auto"/>
        <w:ind w:firstLineChars="200" w:firstLine="480"/>
        <w:rPr>
          <w:color w:val="000000"/>
          <w:sz w:val="24"/>
        </w:rPr>
      </w:pPr>
    </w:p>
    <w:p w:rsidR="00333CB1" w:rsidRDefault="00A64BAA">
      <w:pPr>
        <w:tabs>
          <w:tab w:val="left" w:pos="5715"/>
        </w:tabs>
        <w:spacing w:before="29" w:line="288" w:lineRule="auto"/>
        <w:ind w:firstLineChars="200" w:firstLine="482"/>
        <w:jc w:val="right"/>
        <w:rPr>
          <w:b/>
          <w:color w:val="000000"/>
          <w:sz w:val="24"/>
        </w:rPr>
      </w:pPr>
      <w:r>
        <w:rPr>
          <w:b/>
          <w:color w:val="000000"/>
          <w:sz w:val="24"/>
        </w:rPr>
        <w:t>海富通基金管理有限公司</w:t>
      </w:r>
    </w:p>
    <w:p w:rsidR="00333CB1" w:rsidRDefault="00A64BAA">
      <w:pPr>
        <w:tabs>
          <w:tab w:val="left" w:pos="5715"/>
        </w:tabs>
        <w:spacing w:before="29" w:line="288" w:lineRule="auto"/>
        <w:ind w:firstLineChars="200" w:firstLine="482"/>
        <w:jc w:val="right"/>
        <w:rPr>
          <w:b/>
          <w:color w:val="000000"/>
          <w:sz w:val="24"/>
        </w:rPr>
      </w:pPr>
      <w:r>
        <w:rPr>
          <w:b/>
          <w:color w:val="000000"/>
          <w:sz w:val="24"/>
        </w:rPr>
        <w:t>二〇一七年十月二十五日</w:t>
      </w:r>
    </w:p>
    <w:p w:rsidR="00333CB1" w:rsidRDefault="00333CB1">
      <w:pPr>
        <w:spacing w:before="29" w:line="288" w:lineRule="auto"/>
        <w:ind w:firstLineChars="200" w:firstLine="480"/>
        <w:rPr>
          <w:color w:val="000000"/>
          <w:sz w:val="24"/>
          <w:szCs w:val="24"/>
        </w:rPr>
      </w:pPr>
    </w:p>
    <w:sectPr w:rsidR="00333CB1">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BAA" w:rsidRDefault="00A64BAA">
      <w:r>
        <w:separator/>
      </w:r>
    </w:p>
  </w:endnote>
  <w:endnote w:type="continuationSeparator" w:id="0">
    <w:p w:rsidR="00A64BAA" w:rsidRDefault="00A6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B1" w:rsidRDefault="00A64BAA">
    <w:pPr>
      <w:pStyle w:val="ac"/>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B33365">
      <w:rPr>
        <w:noProof/>
        <w:kern w:val="0"/>
        <w:szCs w:val="21"/>
      </w:rPr>
      <w:t>12</w:t>
    </w:r>
    <w:r>
      <w:rPr>
        <w:kern w:val="0"/>
        <w:szCs w:val="21"/>
      </w:rPr>
      <w:fldChar w:fldCharType="end"/>
    </w:r>
    <w:proofErr w:type="gramStart"/>
    <w:r>
      <w:rPr>
        <w:rFonts w:hint="eastAsia"/>
        <w:kern w:val="0"/>
        <w:szCs w:val="21"/>
      </w:rPr>
      <w:t>页共</w:t>
    </w:r>
    <w:proofErr w:type="gramEnd"/>
    <w:r>
      <w:rPr>
        <w:kern w:val="0"/>
        <w:szCs w:val="21"/>
      </w:rPr>
      <w:fldChar w:fldCharType="begin"/>
    </w:r>
    <w:r>
      <w:rPr>
        <w:kern w:val="0"/>
        <w:szCs w:val="21"/>
      </w:rPr>
      <w:instrText xml:space="preserve"> NUMPAGES </w:instrText>
    </w:r>
    <w:r>
      <w:rPr>
        <w:kern w:val="0"/>
        <w:szCs w:val="21"/>
      </w:rPr>
      <w:fldChar w:fldCharType="separate"/>
    </w:r>
    <w:r w:rsidR="00B33365">
      <w:rPr>
        <w:noProof/>
        <w:kern w:val="0"/>
        <w:szCs w:val="21"/>
      </w:rPr>
      <w:t>14</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BAA" w:rsidRDefault="00A64BAA">
      <w:r>
        <w:separator/>
      </w:r>
    </w:p>
  </w:footnote>
  <w:footnote w:type="continuationSeparator" w:id="0">
    <w:p w:rsidR="00A64BAA" w:rsidRDefault="00A64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B1" w:rsidRDefault="00A64BAA">
    <w:pPr>
      <w:pStyle w:val="ad"/>
      <w:pBdr>
        <w:bottom w:val="single" w:sz="6" w:space="0" w:color="auto"/>
      </w:pBdr>
      <w:jc w:val="right"/>
    </w:pPr>
    <w:proofErr w:type="gramStart"/>
    <w:r>
      <w:t>海富通瑞益债券</w:t>
    </w:r>
    <w:proofErr w:type="gramEnd"/>
    <w:r>
      <w:t>型证券投资基金</w:t>
    </w:r>
    <w:r>
      <w:t>2017</w:t>
    </w:r>
    <w:r>
      <w:t>年第</w:t>
    </w:r>
    <w:r>
      <w:t>3</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12B4B"/>
    <w:rsid w:val="00014099"/>
    <w:rsid w:val="000160C5"/>
    <w:rsid w:val="000210E7"/>
    <w:rsid w:val="000243BD"/>
    <w:rsid w:val="00024F7F"/>
    <w:rsid w:val="00031EBB"/>
    <w:rsid w:val="00033B8D"/>
    <w:rsid w:val="0004308C"/>
    <w:rsid w:val="00043852"/>
    <w:rsid w:val="000450DD"/>
    <w:rsid w:val="000463DE"/>
    <w:rsid w:val="000625ED"/>
    <w:rsid w:val="00064D40"/>
    <w:rsid w:val="000669E3"/>
    <w:rsid w:val="000815C0"/>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357D"/>
    <w:rsid w:val="000E7E5E"/>
    <w:rsid w:val="000F6CC8"/>
    <w:rsid w:val="00111261"/>
    <w:rsid w:val="00121FC4"/>
    <w:rsid w:val="00133015"/>
    <w:rsid w:val="00137452"/>
    <w:rsid w:val="00137B31"/>
    <w:rsid w:val="00144F93"/>
    <w:rsid w:val="00147376"/>
    <w:rsid w:val="0015450B"/>
    <w:rsid w:val="00154BE1"/>
    <w:rsid w:val="001563BB"/>
    <w:rsid w:val="0015710B"/>
    <w:rsid w:val="00160EDC"/>
    <w:rsid w:val="00162D61"/>
    <w:rsid w:val="001675CD"/>
    <w:rsid w:val="001717D5"/>
    <w:rsid w:val="00171EF0"/>
    <w:rsid w:val="001761D2"/>
    <w:rsid w:val="00176C21"/>
    <w:rsid w:val="001830D7"/>
    <w:rsid w:val="00185A34"/>
    <w:rsid w:val="001934F6"/>
    <w:rsid w:val="00194301"/>
    <w:rsid w:val="00196E6C"/>
    <w:rsid w:val="001A73E8"/>
    <w:rsid w:val="001B02BC"/>
    <w:rsid w:val="001B0A62"/>
    <w:rsid w:val="001B2F35"/>
    <w:rsid w:val="001C0993"/>
    <w:rsid w:val="001C79F2"/>
    <w:rsid w:val="001D2DEE"/>
    <w:rsid w:val="001D6A4B"/>
    <w:rsid w:val="001E4630"/>
    <w:rsid w:val="001F0964"/>
    <w:rsid w:val="001F30D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65C9B"/>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6872"/>
    <w:rsid w:val="002D6FB6"/>
    <w:rsid w:val="002E3B09"/>
    <w:rsid w:val="002E52B3"/>
    <w:rsid w:val="002F6C96"/>
    <w:rsid w:val="00302816"/>
    <w:rsid w:val="003038AE"/>
    <w:rsid w:val="00304A12"/>
    <w:rsid w:val="00305636"/>
    <w:rsid w:val="00311662"/>
    <w:rsid w:val="00312A9F"/>
    <w:rsid w:val="00315D5D"/>
    <w:rsid w:val="00316484"/>
    <w:rsid w:val="00316E01"/>
    <w:rsid w:val="00320300"/>
    <w:rsid w:val="00320E90"/>
    <w:rsid w:val="00324508"/>
    <w:rsid w:val="003259C8"/>
    <w:rsid w:val="00327C0E"/>
    <w:rsid w:val="003307FE"/>
    <w:rsid w:val="00333AD0"/>
    <w:rsid w:val="00333CB1"/>
    <w:rsid w:val="00336EAF"/>
    <w:rsid w:val="003470E2"/>
    <w:rsid w:val="00352719"/>
    <w:rsid w:val="0035383E"/>
    <w:rsid w:val="00355364"/>
    <w:rsid w:val="0036152B"/>
    <w:rsid w:val="00364CCB"/>
    <w:rsid w:val="00365798"/>
    <w:rsid w:val="0039085F"/>
    <w:rsid w:val="00394069"/>
    <w:rsid w:val="00396809"/>
    <w:rsid w:val="003A6061"/>
    <w:rsid w:val="003B3494"/>
    <w:rsid w:val="003B6FBC"/>
    <w:rsid w:val="003D0AFF"/>
    <w:rsid w:val="003D2F6D"/>
    <w:rsid w:val="003D742E"/>
    <w:rsid w:val="003E62FB"/>
    <w:rsid w:val="003E6867"/>
    <w:rsid w:val="003F09B5"/>
    <w:rsid w:val="003F1ECB"/>
    <w:rsid w:val="003F39DF"/>
    <w:rsid w:val="003F63BE"/>
    <w:rsid w:val="004003F8"/>
    <w:rsid w:val="004033ED"/>
    <w:rsid w:val="004061AC"/>
    <w:rsid w:val="00410630"/>
    <w:rsid w:val="00414345"/>
    <w:rsid w:val="004149AC"/>
    <w:rsid w:val="0042009D"/>
    <w:rsid w:val="00421087"/>
    <w:rsid w:val="004216D2"/>
    <w:rsid w:val="00426096"/>
    <w:rsid w:val="00427F58"/>
    <w:rsid w:val="00433805"/>
    <w:rsid w:val="00443869"/>
    <w:rsid w:val="00460575"/>
    <w:rsid w:val="00463EC0"/>
    <w:rsid w:val="00471408"/>
    <w:rsid w:val="00480B35"/>
    <w:rsid w:val="004858E0"/>
    <w:rsid w:val="00491C81"/>
    <w:rsid w:val="004934E9"/>
    <w:rsid w:val="004943C2"/>
    <w:rsid w:val="004949F3"/>
    <w:rsid w:val="004A11A7"/>
    <w:rsid w:val="004A459C"/>
    <w:rsid w:val="004A7B1D"/>
    <w:rsid w:val="004B3695"/>
    <w:rsid w:val="004B6D83"/>
    <w:rsid w:val="004C0914"/>
    <w:rsid w:val="004C702F"/>
    <w:rsid w:val="004D340C"/>
    <w:rsid w:val="004D495A"/>
    <w:rsid w:val="004E1298"/>
    <w:rsid w:val="004E5975"/>
    <w:rsid w:val="004E790A"/>
    <w:rsid w:val="004E7AD3"/>
    <w:rsid w:val="004F1A4E"/>
    <w:rsid w:val="004F50FD"/>
    <w:rsid w:val="00500A03"/>
    <w:rsid w:val="00506EE6"/>
    <w:rsid w:val="00512200"/>
    <w:rsid w:val="005143CD"/>
    <w:rsid w:val="005144F2"/>
    <w:rsid w:val="00516618"/>
    <w:rsid w:val="00517989"/>
    <w:rsid w:val="005242A5"/>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61EE"/>
    <w:rsid w:val="00582D99"/>
    <w:rsid w:val="00585263"/>
    <w:rsid w:val="005866D3"/>
    <w:rsid w:val="0059076B"/>
    <w:rsid w:val="005910BF"/>
    <w:rsid w:val="005A0F1F"/>
    <w:rsid w:val="005A6675"/>
    <w:rsid w:val="005B09FA"/>
    <w:rsid w:val="005B2E9C"/>
    <w:rsid w:val="005B3CC0"/>
    <w:rsid w:val="005B4F93"/>
    <w:rsid w:val="005B73D2"/>
    <w:rsid w:val="005D2B36"/>
    <w:rsid w:val="005E475E"/>
    <w:rsid w:val="005E56E7"/>
    <w:rsid w:val="005F118D"/>
    <w:rsid w:val="005F2ABA"/>
    <w:rsid w:val="005F3996"/>
    <w:rsid w:val="005F6AF6"/>
    <w:rsid w:val="00604E50"/>
    <w:rsid w:val="006054CF"/>
    <w:rsid w:val="006066D2"/>
    <w:rsid w:val="006075E6"/>
    <w:rsid w:val="0061286A"/>
    <w:rsid w:val="00613BB8"/>
    <w:rsid w:val="00614CC4"/>
    <w:rsid w:val="0062025E"/>
    <w:rsid w:val="00625BFC"/>
    <w:rsid w:val="00626998"/>
    <w:rsid w:val="006269FB"/>
    <w:rsid w:val="00626EE5"/>
    <w:rsid w:val="00627E2D"/>
    <w:rsid w:val="00627EDE"/>
    <w:rsid w:val="00631ED8"/>
    <w:rsid w:val="00632B0F"/>
    <w:rsid w:val="00636DB7"/>
    <w:rsid w:val="0063783A"/>
    <w:rsid w:val="006423B9"/>
    <w:rsid w:val="00642FA0"/>
    <w:rsid w:val="00654B0D"/>
    <w:rsid w:val="0065599B"/>
    <w:rsid w:val="00655CD8"/>
    <w:rsid w:val="00655E1C"/>
    <w:rsid w:val="006571DC"/>
    <w:rsid w:val="00660D4B"/>
    <w:rsid w:val="00664ECC"/>
    <w:rsid w:val="00670547"/>
    <w:rsid w:val="00670989"/>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16F"/>
    <w:rsid w:val="006D39E9"/>
    <w:rsid w:val="006D3BE3"/>
    <w:rsid w:val="006D7004"/>
    <w:rsid w:val="006D789D"/>
    <w:rsid w:val="006D7FF8"/>
    <w:rsid w:val="006E042A"/>
    <w:rsid w:val="006F5E68"/>
    <w:rsid w:val="00706D60"/>
    <w:rsid w:val="007075E3"/>
    <w:rsid w:val="00707F66"/>
    <w:rsid w:val="00710AE0"/>
    <w:rsid w:val="00713A1A"/>
    <w:rsid w:val="00713B5F"/>
    <w:rsid w:val="00720D28"/>
    <w:rsid w:val="00722509"/>
    <w:rsid w:val="00723CB2"/>
    <w:rsid w:val="00727DD8"/>
    <w:rsid w:val="00727FCD"/>
    <w:rsid w:val="007311DB"/>
    <w:rsid w:val="00733DDD"/>
    <w:rsid w:val="00750CDF"/>
    <w:rsid w:val="00752BA5"/>
    <w:rsid w:val="00755D86"/>
    <w:rsid w:val="007570FE"/>
    <w:rsid w:val="00767C98"/>
    <w:rsid w:val="00770971"/>
    <w:rsid w:val="00772547"/>
    <w:rsid w:val="00775B61"/>
    <w:rsid w:val="007815D8"/>
    <w:rsid w:val="0078601C"/>
    <w:rsid w:val="0079369C"/>
    <w:rsid w:val="00794090"/>
    <w:rsid w:val="00796CA8"/>
    <w:rsid w:val="00797305"/>
    <w:rsid w:val="007B035B"/>
    <w:rsid w:val="007B4C04"/>
    <w:rsid w:val="007B4DDA"/>
    <w:rsid w:val="007B5AFB"/>
    <w:rsid w:val="007C395A"/>
    <w:rsid w:val="007C5862"/>
    <w:rsid w:val="007D0922"/>
    <w:rsid w:val="007D100C"/>
    <w:rsid w:val="007E2686"/>
    <w:rsid w:val="007E57C0"/>
    <w:rsid w:val="007F29B1"/>
    <w:rsid w:val="007F797B"/>
    <w:rsid w:val="008014F9"/>
    <w:rsid w:val="0080358B"/>
    <w:rsid w:val="008059BD"/>
    <w:rsid w:val="0081286B"/>
    <w:rsid w:val="00812D46"/>
    <w:rsid w:val="008148E0"/>
    <w:rsid w:val="00815A38"/>
    <w:rsid w:val="0082103F"/>
    <w:rsid w:val="00824239"/>
    <w:rsid w:val="008279FE"/>
    <w:rsid w:val="00831259"/>
    <w:rsid w:val="0083208A"/>
    <w:rsid w:val="0083218A"/>
    <w:rsid w:val="00832A00"/>
    <w:rsid w:val="00836618"/>
    <w:rsid w:val="00837635"/>
    <w:rsid w:val="00837845"/>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1261"/>
    <w:rsid w:val="008A1677"/>
    <w:rsid w:val="008A21B2"/>
    <w:rsid w:val="008A3DAA"/>
    <w:rsid w:val="008A5B20"/>
    <w:rsid w:val="008B2FDD"/>
    <w:rsid w:val="008B3C7E"/>
    <w:rsid w:val="008B4A75"/>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12803"/>
    <w:rsid w:val="00921AC7"/>
    <w:rsid w:val="00924582"/>
    <w:rsid w:val="00931291"/>
    <w:rsid w:val="0093367D"/>
    <w:rsid w:val="009431FA"/>
    <w:rsid w:val="00945AF6"/>
    <w:rsid w:val="009550BE"/>
    <w:rsid w:val="00955531"/>
    <w:rsid w:val="00955BE8"/>
    <w:rsid w:val="00957594"/>
    <w:rsid w:val="00963F40"/>
    <w:rsid w:val="00970613"/>
    <w:rsid w:val="009730B8"/>
    <w:rsid w:val="0097424F"/>
    <w:rsid w:val="0098122D"/>
    <w:rsid w:val="00986596"/>
    <w:rsid w:val="00990685"/>
    <w:rsid w:val="009A0ABE"/>
    <w:rsid w:val="009A4E5D"/>
    <w:rsid w:val="009B2D4B"/>
    <w:rsid w:val="009C379B"/>
    <w:rsid w:val="009C5186"/>
    <w:rsid w:val="009C60F7"/>
    <w:rsid w:val="009D0952"/>
    <w:rsid w:val="009E19A9"/>
    <w:rsid w:val="009E31DA"/>
    <w:rsid w:val="009E402C"/>
    <w:rsid w:val="009E7C6A"/>
    <w:rsid w:val="009F0367"/>
    <w:rsid w:val="009F3659"/>
    <w:rsid w:val="009F4271"/>
    <w:rsid w:val="009F4861"/>
    <w:rsid w:val="009F61BE"/>
    <w:rsid w:val="009F7ED4"/>
    <w:rsid w:val="00A03AAC"/>
    <w:rsid w:val="00A047D1"/>
    <w:rsid w:val="00A17EEE"/>
    <w:rsid w:val="00A21300"/>
    <w:rsid w:val="00A22AD0"/>
    <w:rsid w:val="00A22DA8"/>
    <w:rsid w:val="00A3030E"/>
    <w:rsid w:val="00A31574"/>
    <w:rsid w:val="00A31671"/>
    <w:rsid w:val="00A324F4"/>
    <w:rsid w:val="00A36930"/>
    <w:rsid w:val="00A42DBD"/>
    <w:rsid w:val="00A45320"/>
    <w:rsid w:val="00A504C9"/>
    <w:rsid w:val="00A54C7D"/>
    <w:rsid w:val="00A5612C"/>
    <w:rsid w:val="00A5689C"/>
    <w:rsid w:val="00A575FF"/>
    <w:rsid w:val="00A57AE4"/>
    <w:rsid w:val="00A63F19"/>
    <w:rsid w:val="00A64BAA"/>
    <w:rsid w:val="00A656BB"/>
    <w:rsid w:val="00A669FC"/>
    <w:rsid w:val="00A66F42"/>
    <w:rsid w:val="00A76625"/>
    <w:rsid w:val="00A81F53"/>
    <w:rsid w:val="00A83500"/>
    <w:rsid w:val="00A8721A"/>
    <w:rsid w:val="00A90049"/>
    <w:rsid w:val="00A90AED"/>
    <w:rsid w:val="00A917BF"/>
    <w:rsid w:val="00A96A94"/>
    <w:rsid w:val="00AA3A38"/>
    <w:rsid w:val="00AA4F94"/>
    <w:rsid w:val="00AA6513"/>
    <w:rsid w:val="00AB047E"/>
    <w:rsid w:val="00AB4DB6"/>
    <w:rsid w:val="00AC063D"/>
    <w:rsid w:val="00AC56B1"/>
    <w:rsid w:val="00AC592E"/>
    <w:rsid w:val="00AC6C10"/>
    <w:rsid w:val="00AC7BC6"/>
    <w:rsid w:val="00AD24AA"/>
    <w:rsid w:val="00AE7962"/>
    <w:rsid w:val="00AF0A7F"/>
    <w:rsid w:val="00AF3AB2"/>
    <w:rsid w:val="00B11BE5"/>
    <w:rsid w:val="00B12B7D"/>
    <w:rsid w:val="00B16985"/>
    <w:rsid w:val="00B22DEE"/>
    <w:rsid w:val="00B27479"/>
    <w:rsid w:val="00B32AA7"/>
    <w:rsid w:val="00B33365"/>
    <w:rsid w:val="00B34678"/>
    <w:rsid w:val="00B35024"/>
    <w:rsid w:val="00B364DD"/>
    <w:rsid w:val="00B371B4"/>
    <w:rsid w:val="00B40F64"/>
    <w:rsid w:val="00B42A76"/>
    <w:rsid w:val="00B47982"/>
    <w:rsid w:val="00B56F53"/>
    <w:rsid w:val="00B64723"/>
    <w:rsid w:val="00B7378D"/>
    <w:rsid w:val="00B7444D"/>
    <w:rsid w:val="00B816A7"/>
    <w:rsid w:val="00B82413"/>
    <w:rsid w:val="00B85352"/>
    <w:rsid w:val="00B86CD8"/>
    <w:rsid w:val="00B87214"/>
    <w:rsid w:val="00B92FF5"/>
    <w:rsid w:val="00B959E6"/>
    <w:rsid w:val="00B97BFC"/>
    <w:rsid w:val="00BA604D"/>
    <w:rsid w:val="00BB51A0"/>
    <w:rsid w:val="00BB5DA7"/>
    <w:rsid w:val="00BB5E0E"/>
    <w:rsid w:val="00BB7F37"/>
    <w:rsid w:val="00BC14B3"/>
    <w:rsid w:val="00BC216C"/>
    <w:rsid w:val="00BC4585"/>
    <w:rsid w:val="00BC50F1"/>
    <w:rsid w:val="00BC73E5"/>
    <w:rsid w:val="00BD0031"/>
    <w:rsid w:val="00BD7473"/>
    <w:rsid w:val="00BD7703"/>
    <w:rsid w:val="00BE420D"/>
    <w:rsid w:val="00BE5388"/>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6A75"/>
    <w:rsid w:val="00C678B0"/>
    <w:rsid w:val="00C7047C"/>
    <w:rsid w:val="00C71497"/>
    <w:rsid w:val="00C7221C"/>
    <w:rsid w:val="00C72F5B"/>
    <w:rsid w:val="00C73BCD"/>
    <w:rsid w:val="00C74E5E"/>
    <w:rsid w:val="00C77AEF"/>
    <w:rsid w:val="00C85A6E"/>
    <w:rsid w:val="00C87129"/>
    <w:rsid w:val="00C91E1B"/>
    <w:rsid w:val="00C9690F"/>
    <w:rsid w:val="00CA574C"/>
    <w:rsid w:val="00CA5FD5"/>
    <w:rsid w:val="00CA7703"/>
    <w:rsid w:val="00CB0F92"/>
    <w:rsid w:val="00CD4E6D"/>
    <w:rsid w:val="00CD4F19"/>
    <w:rsid w:val="00CD5707"/>
    <w:rsid w:val="00CD7702"/>
    <w:rsid w:val="00CE29EA"/>
    <w:rsid w:val="00CF04CF"/>
    <w:rsid w:val="00CF2D3E"/>
    <w:rsid w:val="00CF6572"/>
    <w:rsid w:val="00D01FE6"/>
    <w:rsid w:val="00D02347"/>
    <w:rsid w:val="00D046DB"/>
    <w:rsid w:val="00D04755"/>
    <w:rsid w:val="00D13737"/>
    <w:rsid w:val="00D1638E"/>
    <w:rsid w:val="00D2061C"/>
    <w:rsid w:val="00D21FFF"/>
    <w:rsid w:val="00D272A5"/>
    <w:rsid w:val="00D346D9"/>
    <w:rsid w:val="00D417A6"/>
    <w:rsid w:val="00D43AFB"/>
    <w:rsid w:val="00D44EE8"/>
    <w:rsid w:val="00D503FE"/>
    <w:rsid w:val="00D57B7C"/>
    <w:rsid w:val="00D6166F"/>
    <w:rsid w:val="00D65994"/>
    <w:rsid w:val="00D65B44"/>
    <w:rsid w:val="00D75E69"/>
    <w:rsid w:val="00D8099B"/>
    <w:rsid w:val="00D866A8"/>
    <w:rsid w:val="00D9082B"/>
    <w:rsid w:val="00D94B8D"/>
    <w:rsid w:val="00D96C8D"/>
    <w:rsid w:val="00D974EF"/>
    <w:rsid w:val="00DA0C61"/>
    <w:rsid w:val="00DA14B0"/>
    <w:rsid w:val="00DA2876"/>
    <w:rsid w:val="00DC0B51"/>
    <w:rsid w:val="00DC6B55"/>
    <w:rsid w:val="00DE08A7"/>
    <w:rsid w:val="00DE27F7"/>
    <w:rsid w:val="00DE39DD"/>
    <w:rsid w:val="00DE4B43"/>
    <w:rsid w:val="00DE4CFB"/>
    <w:rsid w:val="00E02660"/>
    <w:rsid w:val="00E02D1C"/>
    <w:rsid w:val="00E215BA"/>
    <w:rsid w:val="00E36549"/>
    <w:rsid w:val="00E40D31"/>
    <w:rsid w:val="00E41260"/>
    <w:rsid w:val="00E44E18"/>
    <w:rsid w:val="00E52DBC"/>
    <w:rsid w:val="00E54301"/>
    <w:rsid w:val="00E54BF5"/>
    <w:rsid w:val="00E55ABD"/>
    <w:rsid w:val="00E60817"/>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F17AB"/>
    <w:rsid w:val="00EF6FA5"/>
    <w:rsid w:val="00F046CE"/>
    <w:rsid w:val="00F11104"/>
    <w:rsid w:val="00F11BB5"/>
    <w:rsid w:val="00F16E3F"/>
    <w:rsid w:val="00F22499"/>
    <w:rsid w:val="00F22B0F"/>
    <w:rsid w:val="00F24B42"/>
    <w:rsid w:val="00F24F73"/>
    <w:rsid w:val="00F27299"/>
    <w:rsid w:val="00F31F6E"/>
    <w:rsid w:val="00F3389C"/>
    <w:rsid w:val="00F375F2"/>
    <w:rsid w:val="00F43802"/>
    <w:rsid w:val="00F45C47"/>
    <w:rsid w:val="00F53294"/>
    <w:rsid w:val="00F542E7"/>
    <w:rsid w:val="00F54EAE"/>
    <w:rsid w:val="00F66A51"/>
    <w:rsid w:val="00F71057"/>
    <w:rsid w:val="00F71A4B"/>
    <w:rsid w:val="00F728CF"/>
    <w:rsid w:val="00F743D4"/>
    <w:rsid w:val="00F80AC3"/>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469F"/>
    <w:rsid w:val="00FF5196"/>
    <w:rsid w:val="00FF6E8F"/>
    <w:rsid w:val="79736C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0"/>
    <w:lsdException w:name="footnote text" w:semiHidden="0" w:uiPriority="0"/>
    <w:lsdException w:name="annotation text" w:qFormat="1"/>
    <w:lsdException w:name="header" w:semiHidden="0"/>
    <w:lsdException w:name="footer" w:semiHidden="0"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semiHidden="0" w:uiPriority="0" w:qFormat="1"/>
    <w:lsdException w:name="line number" w:unhideWhenUsed="1"/>
    <w:lsdException w:name="page number"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qFormat="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semiHidden="0" w:uiPriority="0" w:qFormat="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lsdException w:name="Body Text Indent 3" w:semiHidden="0" w:qFormat="1"/>
    <w:lsdException w:name="Block Text" w:unhideWhenUsed="1"/>
    <w:lsdException w:name="Hyperlink" w:semiHidden="0" w:qFormat="1"/>
    <w:lsdException w:name="FollowedHyperlink" w:semiHidden="0" w:qFormat="1"/>
    <w:lsdException w:name="Strong" w:semiHidden="0" w:uiPriority="22" w:qFormat="1"/>
    <w:lsdException w:name="Emphasis" w:semiHidden="0" w:uiPriority="20" w:qFormat="1"/>
    <w:lsdException w:name="Plain Text" w:semiHidden="0"/>
    <w:lsdException w:name="E-mail Signature" w:unhideWhenUsed="1"/>
    <w:lsdException w:name="HTML Top of Form" w:unhideWhenUsed="1"/>
    <w:lsdException w:name="HTML Bottom of Form" w:unhideWhenUsed="1"/>
    <w:lsdException w:name="Normal (Web)" w:semiHidden="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Char"/>
    <w:uiPriority w:val="99"/>
    <w:semiHidden/>
    <w:qFormat/>
    <w:rPr>
      <w:b/>
      <w:bCs/>
    </w:rPr>
  </w:style>
  <w:style w:type="paragraph" w:styleId="a5">
    <w:name w:val="annotation text"/>
    <w:basedOn w:val="a"/>
    <w:link w:val="Char0"/>
    <w:uiPriority w:val="99"/>
    <w:semiHidden/>
    <w:qFormat/>
    <w:pPr>
      <w:jc w:val="left"/>
    </w:pPr>
  </w:style>
  <w:style w:type="paragraph" w:styleId="a6">
    <w:name w:val="Document Map"/>
    <w:basedOn w:val="a"/>
    <w:link w:val="Char1"/>
    <w:uiPriority w:val="99"/>
    <w:semiHidden/>
    <w:pPr>
      <w:shd w:val="clear" w:color="auto" w:fill="000080"/>
    </w:pPr>
  </w:style>
  <w:style w:type="paragraph" w:styleId="a7">
    <w:name w:val="Body Text"/>
    <w:basedOn w:val="a"/>
    <w:link w:val="Char2"/>
    <w:uiPriority w:val="99"/>
    <w:qFormat/>
    <w:pPr>
      <w:spacing w:after="120"/>
    </w:pPr>
  </w:style>
  <w:style w:type="paragraph" w:styleId="a8">
    <w:name w:val="Body Text Indent"/>
    <w:basedOn w:val="a"/>
    <w:link w:val="Char3"/>
    <w:uiPriority w:val="99"/>
    <w:qFormat/>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9">
    <w:name w:val="Plain Text"/>
    <w:basedOn w:val="a"/>
    <w:link w:val="Char4"/>
    <w:uiPriority w:val="99"/>
    <w:rPr>
      <w:rFonts w:ascii="宋体" w:hAnsi="Courier New" w:cs="宋体"/>
    </w:rPr>
  </w:style>
  <w:style w:type="paragraph" w:styleId="aa">
    <w:name w:val="Date"/>
    <w:basedOn w:val="a"/>
    <w:next w:val="a"/>
    <w:link w:val="Char5"/>
    <w:qFormat/>
    <w:rPr>
      <w:sz w:val="24"/>
      <w:szCs w:val="24"/>
    </w:rPr>
  </w:style>
  <w:style w:type="paragraph" w:styleId="20">
    <w:name w:val="Body Text Indent 2"/>
    <w:basedOn w:val="a"/>
    <w:link w:val="2Char0"/>
    <w:uiPriority w:val="99"/>
    <w:pPr>
      <w:spacing w:line="560" w:lineRule="exact"/>
      <w:ind w:firstLineChars="200" w:firstLine="480"/>
    </w:pPr>
    <w:rPr>
      <w:rFonts w:ascii="宋体" w:hAnsi="宋体" w:cs="宋体"/>
      <w:color w:val="FF0000"/>
      <w:sz w:val="24"/>
      <w:szCs w:val="24"/>
    </w:rPr>
  </w:style>
  <w:style w:type="paragraph" w:styleId="ab">
    <w:name w:val="Balloon Text"/>
    <w:basedOn w:val="a"/>
    <w:link w:val="Char6"/>
    <w:uiPriority w:val="99"/>
    <w:semiHidden/>
    <w:qFormat/>
    <w:rPr>
      <w:sz w:val="18"/>
      <w:szCs w:val="18"/>
    </w:rPr>
  </w:style>
  <w:style w:type="paragraph" w:styleId="ac">
    <w:name w:val="footer"/>
    <w:basedOn w:val="a"/>
    <w:link w:val="Char7"/>
    <w:pPr>
      <w:tabs>
        <w:tab w:val="center" w:pos="4153"/>
        <w:tab w:val="right" w:pos="8306"/>
      </w:tabs>
      <w:snapToGrid w:val="0"/>
      <w:jc w:val="left"/>
    </w:pPr>
    <w:rPr>
      <w:sz w:val="18"/>
      <w:szCs w:val="18"/>
    </w:rPr>
  </w:style>
  <w:style w:type="paragraph" w:styleId="ad">
    <w:name w:val="header"/>
    <w:basedOn w:val="a"/>
    <w:link w:val="Char8"/>
    <w:uiPriority w:val="99"/>
    <w:pPr>
      <w:pBdr>
        <w:bottom w:val="single" w:sz="6" w:space="1" w:color="auto"/>
      </w:pBdr>
      <w:tabs>
        <w:tab w:val="center" w:pos="4153"/>
        <w:tab w:val="right" w:pos="8306"/>
      </w:tabs>
      <w:snapToGrid w:val="0"/>
      <w:jc w:val="center"/>
    </w:pPr>
    <w:rPr>
      <w:sz w:val="18"/>
      <w:szCs w:val="18"/>
    </w:rPr>
  </w:style>
  <w:style w:type="paragraph" w:styleId="ae">
    <w:name w:val="List"/>
    <w:basedOn w:val="a7"/>
    <w:uiPriority w:val="99"/>
    <w:qFormat/>
    <w:pPr>
      <w:spacing w:after="220" w:line="220" w:lineRule="atLeast"/>
      <w:ind w:left="1440" w:hanging="360"/>
    </w:pPr>
  </w:style>
  <w:style w:type="paragraph" w:styleId="af">
    <w:name w:val="footnote text"/>
    <w:basedOn w:val="a"/>
    <w:link w:val="Char9"/>
    <w:pPr>
      <w:snapToGrid w:val="0"/>
      <w:jc w:val="left"/>
    </w:pPr>
    <w:rPr>
      <w:sz w:val="18"/>
      <w:szCs w:val="18"/>
    </w:rPr>
  </w:style>
  <w:style w:type="paragraph" w:styleId="30">
    <w:name w:val="Body Text Indent 3"/>
    <w:basedOn w:val="a"/>
    <w:link w:val="3Char0"/>
    <w:uiPriority w:val="99"/>
    <w:qFormat/>
    <w:pPr>
      <w:spacing w:line="560" w:lineRule="exact"/>
      <w:ind w:firstLineChars="200" w:firstLine="420"/>
    </w:pPr>
    <w:rPr>
      <w:rFonts w:ascii="Arial" w:hAnsi="Arial" w:cs="Arial"/>
      <w:color w:val="FF0000"/>
    </w:rPr>
  </w:style>
  <w:style w:type="paragraph" w:styleId="af0">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10">
    <w:name w:val="index 1"/>
    <w:basedOn w:val="a"/>
    <w:next w:val="a"/>
    <w:uiPriority w:val="99"/>
    <w:semiHidden/>
    <w:qFormat/>
    <w:pPr>
      <w:jc w:val="right"/>
    </w:pPr>
    <w:rPr>
      <w:color w:val="008000"/>
    </w:rPr>
  </w:style>
  <w:style w:type="paragraph" w:styleId="af1">
    <w:name w:val="Title"/>
    <w:basedOn w:val="a"/>
    <w:next w:val="a"/>
    <w:link w:val="Chara"/>
    <w:uiPriority w:val="99"/>
    <w:qFormat/>
    <w:pPr>
      <w:spacing w:before="240" w:after="60"/>
      <w:jc w:val="center"/>
      <w:outlineLvl w:val="0"/>
    </w:pPr>
    <w:rPr>
      <w:rFonts w:ascii="Cambria" w:hAnsi="Cambria" w:cs="Cambria"/>
      <w:b/>
      <w:bCs/>
      <w:sz w:val="32"/>
      <w:szCs w:val="32"/>
    </w:rPr>
  </w:style>
  <w:style w:type="character" w:styleId="af2">
    <w:name w:val="Strong"/>
    <w:basedOn w:val="a1"/>
    <w:uiPriority w:val="22"/>
    <w:qFormat/>
    <w:rPr>
      <w:b/>
      <w:bCs/>
    </w:rPr>
  </w:style>
  <w:style w:type="character" w:styleId="af3">
    <w:name w:val="page number"/>
    <w:basedOn w:val="a1"/>
    <w:uiPriority w:val="99"/>
  </w:style>
  <w:style w:type="character" w:styleId="af4">
    <w:name w:val="FollowedHyperlink"/>
    <w:basedOn w:val="a1"/>
    <w:uiPriority w:val="99"/>
    <w:qFormat/>
    <w:rPr>
      <w:color w:val="800080"/>
      <w:u w:val="single"/>
    </w:rPr>
  </w:style>
  <w:style w:type="character" w:styleId="af5">
    <w:name w:val="Hyperlink"/>
    <w:basedOn w:val="a1"/>
    <w:uiPriority w:val="99"/>
    <w:qFormat/>
    <w:rPr>
      <w:color w:val="0000FF"/>
      <w:u w:val="single"/>
    </w:rPr>
  </w:style>
  <w:style w:type="character" w:styleId="af6">
    <w:name w:val="annotation reference"/>
    <w:basedOn w:val="a1"/>
    <w:uiPriority w:val="99"/>
    <w:semiHidden/>
    <w:rPr>
      <w:sz w:val="21"/>
      <w:szCs w:val="21"/>
    </w:rPr>
  </w:style>
  <w:style w:type="character" w:styleId="af7">
    <w:name w:val="footnote reference"/>
    <w:basedOn w:val="a1"/>
    <w:qFormat/>
    <w:rPr>
      <w:vertAlign w:val="superscript"/>
    </w:rPr>
  </w:style>
  <w:style w:type="table" w:styleId="af8">
    <w:name w:val="Table Grid"/>
    <w:basedOn w:val="a2"/>
    <w:uiPriority w:val="9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99"/>
    <w:rPr>
      <w:rFonts w:ascii="Times New Roman" w:eastAsia="宋体" w:hAnsi="Times New Roman" w:cs="Times New Roman"/>
      <w:b/>
      <w:bCs/>
      <w:kern w:val="44"/>
      <w:sz w:val="44"/>
      <w:szCs w:val="44"/>
    </w:rPr>
  </w:style>
  <w:style w:type="character" w:customStyle="1" w:styleId="2Char">
    <w:name w:val="标题 2 Char"/>
    <w:basedOn w:val="a1"/>
    <w:link w:val="2"/>
    <w:uiPriority w:val="99"/>
    <w:qFormat/>
    <w:rPr>
      <w:rFonts w:ascii="Arial" w:eastAsia="宋体" w:hAnsi="Arial" w:cs="Arial"/>
      <w:b/>
      <w:bCs/>
      <w:sz w:val="24"/>
      <w:szCs w:val="24"/>
    </w:rPr>
  </w:style>
  <w:style w:type="character" w:customStyle="1" w:styleId="3Char">
    <w:name w:val="标题 3 Char"/>
    <w:basedOn w:val="a1"/>
    <w:link w:val="3"/>
    <w:uiPriority w:val="99"/>
    <w:rPr>
      <w:rFonts w:ascii="Times New Roman" w:eastAsia="宋体" w:hAnsi="Times New Roman" w:cs="Times New Roman"/>
      <w:b/>
      <w:bCs/>
      <w:sz w:val="32"/>
      <w:szCs w:val="32"/>
    </w:rPr>
  </w:style>
  <w:style w:type="character" w:customStyle="1" w:styleId="Char3">
    <w:name w:val="正文文本缩进 Char"/>
    <w:basedOn w:val="a1"/>
    <w:link w:val="a8"/>
    <w:uiPriority w:val="99"/>
    <w:rPr>
      <w:rFonts w:ascii="Arial Unicode MS" w:eastAsia="Arial Unicode MS" w:hAnsi="Arial Unicode MS" w:cs="Arial Unicode MS"/>
      <w:kern w:val="0"/>
      <w:sz w:val="24"/>
      <w:szCs w:val="24"/>
    </w:rPr>
  </w:style>
  <w:style w:type="character" w:customStyle="1" w:styleId="Char4">
    <w:name w:val="纯文本 Char"/>
    <w:basedOn w:val="a1"/>
    <w:link w:val="a9"/>
    <w:uiPriority w:val="99"/>
    <w:rPr>
      <w:rFonts w:ascii="宋体" w:eastAsia="宋体" w:hAnsi="Courier New" w:cs="宋体"/>
      <w:szCs w:val="21"/>
    </w:rPr>
  </w:style>
  <w:style w:type="character" w:customStyle="1" w:styleId="2Char0">
    <w:name w:val="正文文本缩进 2 Char"/>
    <w:basedOn w:val="a1"/>
    <w:link w:val="20"/>
    <w:uiPriority w:val="99"/>
    <w:rPr>
      <w:rFonts w:ascii="宋体" w:eastAsia="宋体" w:hAnsi="宋体" w:cs="宋体"/>
      <w:color w:val="FF0000"/>
      <w:sz w:val="24"/>
      <w:szCs w:val="24"/>
    </w:rPr>
  </w:style>
  <w:style w:type="character" w:customStyle="1" w:styleId="Char7">
    <w:name w:val="页脚 Char"/>
    <w:basedOn w:val="a1"/>
    <w:link w:val="ac"/>
    <w:uiPriority w:val="99"/>
    <w:rPr>
      <w:rFonts w:ascii="Times New Roman" w:eastAsia="宋体" w:hAnsi="Times New Roman" w:cs="Times New Roman"/>
      <w:sz w:val="18"/>
      <w:szCs w:val="18"/>
    </w:rPr>
  </w:style>
  <w:style w:type="character" w:customStyle="1" w:styleId="3Char0">
    <w:name w:val="正文文本缩进 3 Char"/>
    <w:basedOn w:val="a1"/>
    <w:link w:val="30"/>
    <w:uiPriority w:val="99"/>
    <w:qFormat/>
    <w:rPr>
      <w:rFonts w:ascii="Arial" w:eastAsia="宋体" w:hAnsi="Arial" w:cs="Arial"/>
      <w:color w:val="FF0000"/>
      <w:szCs w:val="21"/>
    </w:rPr>
  </w:style>
  <w:style w:type="character" w:customStyle="1" w:styleId="Char8">
    <w:name w:val="页眉 Char"/>
    <w:basedOn w:val="a1"/>
    <w:link w:val="ad"/>
    <w:uiPriority w:val="99"/>
    <w:qFormat/>
    <w:rPr>
      <w:rFonts w:ascii="Times New Roman" w:eastAsia="宋体" w:hAnsi="Times New Roman" w:cs="Times New Roman"/>
      <w:sz w:val="18"/>
      <w:szCs w:val="18"/>
    </w:rPr>
  </w:style>
  <w:style w:type="character" w:customStyle="1" w:styleId="Char2">
    <w:name w:val="正文文本 Char"/>
    <w:basedOn w:val="a1"/>
    <w:link w:val="a7"/>
    <w:uiPriority w:val="99"/>
    <w:qFormat/>
    <w:rPr>
      <w:rFonts w:ascii="Times New Roman" w:eastAsia="宋体" w:hAnsi="Times New Roman" w:cs="Times New Roman"/>
      <w:szCs w:val="21"/>
    </w:rPr>
  </w:style>
  <w:style w:type="character" w:customStyle="1" w:styleId="Char5">
    <w:name w:val="日期 Char"/>
    <w:basedOn w:val="a1"/>
    <w:link w:val="aa"/>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Char6">
    <w:name w:val="批注框文本 Char"/>
    <w:basedOn w:val="a1"/>
    <w:link w:val="ab"/>
    <w:uiPriority w:val="99"/>
    <w:semiHidden/>
    <w:qFormat/>
    <w:rPr>
      <w:rFonts w:ascii="Times New Roman" w:eastAsia="宋体" w:hAnsi="Times New Roman" w:cs="Times New Roman"/>
      <w:sz w:val="18"/>
      <w:szCs w:val="18"/>
    </w:rPr>
  </w:style>
  <w:style w:type="character" w:customStyle="1" w:styleId="Char0">
    <w:name w:val="批注文字 Char"/>
    <w:basedOn w:val="a1"/>
    <w:link w:val="a5"/>
    <w:uiPriority w:val="99"/>
    <w:semiHidden/>
    <w:qFormat/>
    <w:rPr>
      <w:rFonts w:ascii="Times New Roman" w:eastAsia="宋体" w:hAnsi="Times New Roman" w:cs="Times New Roman"/>
      <w:szCs w:val="21"/>
    </w:rPr>
  </w:style>
  <w:style w:type="character" w:customStyle="1" w:styleId="Char">
    <w:name w:val="批注主题 Char"/>
    <w:basedOn w:val="Char0"/>
    <w:link w:val="a4"/>
    <w:uiPriority w:val="99"/>
    <w:semiHidden/>
    <w:qFormat/>
    <w:rPr>
      <w:rFonts w:ascii="Times New Roman" w:eastAsia="宋体" w:hAnsi="Times New Roman" w:cs="Times New Roman"/>
      <w:b/>
      <w:bCs/>
      <w:szCs w:val="21"/>
    </w:rPr>
  </w:style>
  <w:style w:type="paragraph" w:customStyle="1" w:styleId="Charb">
    <w:name w:val="Char"/>
    <w:basedOn w:val="a"/>
    <w:uiPriority w:val="99"/>
    <w:qFormat/>
  </w:style>
  <w:style w:type="character" w:customStyle="1" w:styleId="Char1">
    <w:name w:val="文档结构图 Char"/>
    <w:basedOn w:val="a1"/>
    <w:link w:val="a6"/>
    <w:uiPriority w:val="99"/>
    <w:semiHidden/>
    <w:qFormat/>
    <w:rPr>
      <w:rFonts w:ascii="Times New Roman" w:eastAsia="宋体" w:hAnsi="Times New Roman" w:cs="Times New Roman"/>
      <w:szCs w:val="21"/>
      <w:shd w:val="clear" w:color="auto" w:fill="000080"/>
    </w:rPr>
  </w:style>
  <w:style w:type="paragraph" w:customStyle="1" w:styleId="af9">
    <w:name w:val="正文 + (符号) 宋体"/>
    <w:basedOn w:val="a"/>
    <w:uiPriority w:val="99"/>
    <w:qFormat/>
    <w:pPr>
      <w:autoSpaceDE w:val="0"/>
      <w:autoSpaceDN w:val="0"/>
      <w:adjustRightInd w:val="0"/>
      <w:ind w:rightChars="671" w:right="1409" w:firstLineChars="512" w:firstLine="1229"/>
      <w:jc w:val="distribute"/>
    </w:pPr>
    <w:rPr>
      <w:sz w:val="24"/>
      <w:szCs w:val="24"/>
    </w:rPr>
  </w:style>
  <w:style w:type="character" w:customStyle="1" w:styleId="Char9">
    <w:name w:val="脚注文本 Char"/>
    <w:basedOn w:val="a1"/>
    <w:link w:val="af"/>
    <w:qFormat/>
    <w:rPr>
      <w:rFonts w:ascii="Times New Roman" w:eastAsia="宋体" w:hAnsi="Times New Roman" w:cs="Times New Roman"/>
      <w:sz w:val="18"/>
      <w:szCs w:val="18"/>
    </w:rPr>
  </w:style>
  <w:style w:type="paragraph" w:customStyle="1" w:styleId="Char10">
    <w:name w:val="Char1"/>
    <w:basedOn w:val="a"/>
    <w:uiPriority w:val="99"/>
    <w:qFormat/>
  </w:style>
  <w:style w:type="paragraph" w:customStyle="1" w:styleId="CharCharCharCharCharChar1CharCharChar">
    <w:name w:val="Char Char Char Char Char Char1 Char Char Char"/>
    <w:basedOn w:val="a"/>
    <w:uiPriority w:val="99"/>
    <w:qFormat/>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qFormat/>
    <w:pPr>
      <w:autoSpaceDE w:val="0"/>
      <w:autoSpaceDN w:val="0"/>
      <w:adjustRightInd w:val="0"/>
      <w:jc w:val="left"/>
      <w:textAlignment w:val="baseline"/>
    </w:pPr>
    <w:rPr>
      <w:rFonts w:ascii="宋体" w:cs="宋体"/>
      <w:kern w:val="0"/>
      <w:sz w:val="34"/>
      <w:szCs w:val="34"/>
    </w:rPr>
  </w:style>
  <w:style w:type="character" w:customStyle="1" w:styleId="Chara">
    <w:name w:val="标题 Char"/>
    <w:basedOn w:val="a1"/>
    <w:link w:val="af1"/>
    <w:uiPriority w:val="99"/>
    <w:qFormat/>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1">
    <w:name w:val="无间隔1"/>
    <w:link w:val="Charc"/>
    <w:uiPriority w:val="1"/>
    <w:qFormat/>
    <w:rPr>
      <w:rFonts w:ascii="Calibri" w:eastAsia="宋体" w:hAnsi="Calibri" w:cs="Calibri"/>
      <w:sz w:val="22"/>
      <w:szCs w:val="22"/>
    </w:rPr>
  </w:style>
  <w:style w:type="character" w:customStyle="1" w:styleId="Charc">
    <w:name w:val="无间隔 Char"/>
    <w:basedOn w:val="a1"/>
    <w:link w:val="11"/>
    <w:uiPriority w:val="1"/>
    <w:qFormat/>
    <w:locked/>
    <w:rPr>
      <w:rFonts w:ascii="Calibri" w:eastAsia="宋体" w:hAnsi="Calibri" w:cs="Calibri"/>
      <w:kern w:val="0"/>
      <w:sz w:val="22"/>
    </w:rPr>
  </w:style>
  <w:style w:type="character" w:customStyle="1" w:styleId="t1">
    <w:name w:val="t1"/>
    <w:basedOn w:val="a1"/>
    <w:uiPriority w:val="99"/>
    <w:qFormat/>
    <w:rPr>
      <w:color w:val="auto"/>
    </w:rPr>
  </w:style>
  <w:style w:type="paragraph" w:customStyle="1" w:styleId="12">
    <w:name w:val="列出段落1"/>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仿宋" w:eastAsia="宋体" w:hAnsi="仿宋" w:cs="仿宋"/>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D06388-9CE7-48E2-A61E-21EC08F6B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1235</Words>
  <Characters>7046</Characters>
  <Application>Microsoft Office Word</Application>
  <DocSecurity>0</DocSecurity>
  <Lines>58</Lines>
  <Paragraphs>16</Paragraphs>
  <ScaleCrop>false</ScaleCrop>
  <Company>Microsoft</Company>
  <LinksUpToDate>false</LinksUpToDate>
  <CharactersWithSpaces>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徐启文</cp:lastModifiedBy>
  <cp:revision>572</cp:revision>
  <dcterms:created xsi:type="dcterms:W3CDTF">2012-10-16T06:07:00Z</dcterms:created>
  <dcterms:modified xsi:type="dcterms:W3CDTF">2017-10-20T09:06:00Z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