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EF" w:rsidRDefault="00376FEF">
      <w:pPr>
        <w:autoSpaceDE w:val="0"/>
        <w:autoSpaceDN w:val="0"/>
        <w:adjustRightInd w:val="0"/>
        <w:spacing w:before="29" w:line="288" w:lineRule="auto"/>
        <w:jc w:val="left"/>
        <w:rPr>
          <w:color w:val="000000"/>
          <w:kern w:val="0"/>
          <w:sz w:val="24"/>
          <w:szCs w:val="24"/>
        </w:rPr>
      </w:pPr>
    </w:p>
    <w:p w:rsidR="00376FEF" w:rsidRDefault="00376FEF">
      <w:pPr>
        <w:autoSpaceDE w:val="0"/>
        <w:autoSpaceDN w:val="0"/>
        <w:adjustRightInd w:val="0"/>
        <w:spacing w:before="29" w:line="288" w:lineRule="auto"/>
        <w:jc w:val="left"/>
        <w:rPr>
          <w:color w:val="000000"/>
          <w:kern w:val="0"/>
          <w:sz w:val="24"/>
          <w:szCs w:val="24"/>
        </w:rPr>
      </w:pPr>
    </w:p>
    <w:p w:rsidR="00376FEF" w:rsidRDefault="00376FEF">
      <w:pPr>
        <w:autoSpaceDE w:val="0"/>
        <w:autoSpaceDN w:val="0"/>
        <w:adjustRightInd w:val="0"/>
        <w:spacing w:before="29" w:line="288" w:lineRule="auto"/>
        <w:jc w:val="left"/>
        <w:rPr>
          <w:color w:val="000000"/>
          <w:kern w:val="0"/>
          <w:sz w:val="24"/>
          <w:szCs w:val="24"/>
        </w:rPr>
      </w:pPr>
    </w:p>
    <w:p w:rsidR="00376FEF" w:rsidRDefault="00376FEF">
      <w:pPr>
        <w:autoSpaceDE w:val="0"/>
        <w:autoSpaceDN w:val="0"/>
        <w:adjustRightInd w:val="0"/>
        <w:spacing w:before="29" w:line="288" w:lineRule="auto"/>
        <w:jc w:val="left"/>
        <w:rPr>
          <w:color w:val="000000"/>
          <w:kern w:val="0"/>
          <w:sz w:val="24"/>
          <w:szCs w:val="24"/>
        </w:rPr>
      </w:pP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spacing w:before="29" w:line="288" w:lineRule="auto"/>
        <w:jc w:val="center"/>
        <w:rPr>
          <w:b/>
          <w:sz w:val="36"/>
          <w:szCs w:val="36"/>
        </w:rPr>
      </w:pPr>
      <w:r>
        <w:rPr>
          <w:b/>
          <w:sz w:val="36"/>
          <w:szCs w:val="36"/>
        </w:rPr>
        <w:t>海富通双利债券型证券投资基金</w:t>
      </w:r>
    </w:p>
    <w:p w:rsidR="00376FEF" w:rsidRDefault="00C56B08">
      <w:pPr>
        <w:spacing w:before="29" w:line="288" w:lineRule="auto"/>
        <w:jc w:val="center"/>
        <w:rPr>
          <w:b/>
          <w:sz w:val="36"/>
          <w:szCs w:val="36"/>
        </w:rPr>
      </w:pPr>
      <w:r>
        <w:rPr>
          <w:b/>
          <w:sz w:val="36"/>
          <w:szCs w:val="36"/>
        </w:rPr>
        <w:t>2017</w:t>
      </w:r>
      <w:r>
        <w:rPr>
          <w:b/>
          <w:sz w:val="36"/>
          <w:szCs w:val="36"/>
        </w:rPr>
        <w:t>年第</w:t>
      </w:r>
      <w:r>
        <w:rPr>
          <w:b/>
          <w:sz w:val="36"/>
          <w:szCs w:val="36"/>
        </w:rPr>
        <w:t>3</w:t>
      </w:r>
      <w:r>
        <w:rPr>
          <w:b/>
          <w:sz w:val="36"/>
          <w:szCs w:val="36"/>
        </w:rPr>
        <w:t>季度报告</w:t>
      </w:r>
    </w:p>
    <w:p w:rsidR="00376FEF" w:rsidRDefault="00C56B08">
      <w:pPr>
        <w:spacing w:before="29" w:line="288" w:lineRule="auto"/>
        <w:jc w:val="center"/>
        <w:rPr>
          <w:b/>
          <w:sz w:val="36"/>
          <w:szCs w:val="36"/>
        </w:rPr>
      </w:pPr>
      <w:r>
        <w:rPr>
          <w:b/>
          <w:sz w:val="36"/>
          <w:szCs w:val="36"/>
        </w:rPr>
        <w:t>2017</w:t>
      </w:r>
      <w:r>
        <w:rPr>
          <w:b/>
          <w:sz w:val="36"/>
          <w:szCs w:val="36"/>
        </w:rPr>
        <w:t>年</w:t>
      </w:r>
      <w:r>
        <w:rPr>
          <w:b/>
          <w:sz w:val="36"/>
          <w:szCs w:val="36"/>
        </w:rPr>
        <w:t>9</w:t>
      </w:r>
      <w:r>
        <w:rPr>
          <w:b/>
          <w:sz w:val="36"/>
          <w:szCs w:val="36"/>
        </w:rPr>
        <w:t>月</w:t>
      </w:r>
      <w:r>
        <w:rPr>
          <w:b/>
          <w:sz w:val="36"/>
          <w:szCs w:val="36"/>
        </w:rPr>
        <w:t>30</w:t>
      </w:r>
      <w:r>
        <w:rPr>
          <w:b/>
          <w:sz w:val="36"/>
          <w:szCs w:val="36"/>
        </w:rPr>
        <w:t>日</w:t>
      </w: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376FEF">
      <w:pPr>
        <w:spacing w:before="29" w:line="288" w:lineRule="auto"/>
        <w:jc w:val="center"/>
        <w:rPr>
          <w:b/>
          <w:bCs/>
          <w:color w:val="000000"/>
          <w:sz w:val="24"/>
          <w:szCs w:val="24"/>
        </w:rPr>
      </w:pPr>
    </w:p>
    <w:p w:rsidR="00376FEF" w:rsidRDefault="00C56B08">
      <w:pPr>
        <w:spacing w:before="29" w:line="288" w:lineRule="auto"/>
        <w:ind w:firstLineChars="900" w:firstLine="2168"/>
        <w:rPr>
          <w:b/>
          <w:color w:val="000000"/>
          <w:sz w:val="24"/>
          <w:szCs w:val="24"/>
        </w:rPr>
      </w:pPr>
      <w:r>
        <w:rPr>
          <w:b/>
          <w:color w:val="000000"/>
          <w:sz w:val="24"/>
          <w:szCs w:val="24"/>
        </w:rPr>
        <w:t>基金管理人：海富通基金管理有限公司</w:t>
      </w:r>
    </w:p>
    <w:p w:rsidR="00376FEF" w:rsidRDefault="00C56B08">
      <w:pPr>
        <w:spacing w:before="29" w:line="288" w:lineRule="auto"/>
        <w:ind w:firstLineChars="900" w:firstLine="2168"/>
        <w:rPr>
          <w:b/>
          <w:color w:val="000000"/>
          <w:sz w:val="24"/>
          <w:szCs w:val="24"/>
        </w:rPr>
      </w:pPr>
      <w:r>
        <w:rPr>
          <w:b/>
          <w:color w:val="000000"/>
          <w:sz w:val="24"/>
          <w:szCs w:val="24"/>
        </w:rPr>
        <w:t>基金托管人：中国工商银行股份有限公司</w:t>
      </w:r>
    </w:p>
    <w:p w:rsidR="00376FEF" w:rsidRDefault="00C56B08">
      <w:pPr>
        <w:spacing w:before="29" w:line="288" w:lineRule="auto"/>
        <w:ind w:firstLineChars="900" w:firstLine="2168"/>
        <w:rPr>
          <w:b/>
          <w:color w:val="000000"/>
          <w:sz w:val="24"/>
          <w:szCs w:val="24"/>
        </w:rPr>
        <w:sectPr w:rsidR="00376FEF">
          <w:headerReference w:type="default" r:id="rId9"/>
          <w:footerReference w:type="default" r:id="rId10"/>
          <w:pgSz w:w="11926" w:h="15840"/>
          <w:pgMar w:top="1418" w:right="1440" w:bottom="851" w:left="1440" w:header="851" w:footer="992" w:gutter="0"/>
          <w:cols w:space="720"/>
        </w:sectPr>
      </w:pPr>
      <w:r>
        <w:rPr>
          <w:b/>
          <w:color w:val="000000"/>
          <w:sz w:val="24"/>
          <w:szCs w:val="24"/>
        </w:rPr>
        <w:t>报告送出日期：二〇一七年十月二十五日</w:t>
      </w:r>
    </w:p>
    <w:p w:rsidR="00376FEF" w:rsidRDefault="00C56B08" w:rsidP="00F26500">
      <w:pPr>
        <w:pStyle w:val="1"/>
        <w:spacing w:beforeLines="100" w:before="312" w:afterLines="100" w:after="312" w:line="288" w:lineRule="auto"/>
        <w:jc w:val="center"/>
        <w:rPr>
          <w:b w:val="0"/>
          <w:bCs w:val="0"/>
          <w:color w:val="000000"/>
          <w:kern w:val="0"/>
          <w:sz w:val="24"/>
          <w:szCs w:val="24"/>
        </w:rPr>
      </w:pPr>
      <w:r>
        <w:rPr>
          <w:color w:val="000000"/>
          <w:kern w:val="0"/>
          <w:sz w:val="24"/>
          <w:szCs w:val="24"/>
        </w:rPr>
        <w:lastRenderedPageBreak/>
        <w:t>§1</w:t>
      </w:r>
      <w:r>
        <w:rPr>
          <w:color w:val="000000"/>
          <w:kern w:val="0"/>
          <w:sz w:val="24"/>
          <w:szCs w:val="24"/>
        </w:rPr>
        <w:t xml:space="preserve">  </w:t>
      </w:r>
      <w:r>
        <w:rPr>
          <w:color w:val="000000"/>
          <w:kern w:val="0"/>
          <w:sz w:val="24"/>
          <w:szCs w:val="24"/>
        </w:rPr>
        <w:t>重要提示</w:t>
      </w:r>
    </w:p>
    <w:p w:rsidR="00376FEF" w:rsidRDefault="00C56B08">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基金托管人中国工商银行股份有限公司根据本基金合同规定，于</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24</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w:t>
      </w:r>
      <w:r>
        <w:rPr>
          <w:color w:val="000000"/>
          <w:sz w:val="24"/>
          <w:szCs w:val="24"/>
        </w:rPr>
        <w:t>的招募说明书。</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本报告期自</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日起至</w:t>
      </w:r>
      <w:r>
        <w:rPr>
          <w:color w:val="000000"/>
          <w:sz w:val="24"/>
          <w:szCs w:val="24"/>
        </w:rPr>
        <w:t>8</w:t>
      </w:r>
      <w:r>
        <w:rPr>
          <w:color w:val="000000"/>
          <w:sz w:val="24"/>
          <w:szCs w:val="24"/>
        </w:rPr>
        <w:t>月</w:t>
      </w:r>
      <w:r>
        <w:rPr>
          <w:color w:val="000000"/>
          <w:sz w:val="24"/>
          <w:szCs w:val="24"/>
        </w:rPr>
        <w:t>4</w:t>
      </w:r>
      <w:r>
        <w:rPr>
          <w:color w:val="000000"/>
          <w:sz w:val="24"/>
          <w:szCs w:val="24"/>
        </w:rPr>
        <w:t>日</w:t>
      </w:r>
      <w:r>
        <w:rPr>
          <w:color w:val="000000"/>
          <w:sz w:val="24"/>
          <w:szCs w:val="24"/>
        </w:rPr>
        <w:t>(</w:t>
      </w:r>
      <w:r>
        <w:rPr>
          <w:color w:val="000000"/>
          <w:sz w:val="24"/>
          <w:szCs w:val="24"/>
        </w:rPr>
        <w:t>最后运作日</w:t>
      </w:r>
      <w:r>
        <w:rPr>
          <w:color w:val="000000"/>
          <w:sz w:val="24"/>
          <w:szCs w:val="24"/>
        </w:rPr>
        <w:t>)</w:t>
      </w:r>
      <w:r>
        <w:rPr>
          <w:color w:val="000000"/>
          <w:sz w:val="24"/>
          <w:szCs w:val="24"/>
        </w:rPr>
        <w:t>止。</w:t>
      </w:r>
    </w:p>
    <w:p w:rsidR="00376FEF" w:rsidRDefault="00376FEF">
      <w:pPr>
        <w:spacing w:before="29" w:line="288" w:lineRule="auto"/>
        <w:ind w:firstLineChars="200" w:firstLine="480"/>
        <w:rPr>
          <w:color w:val="000000"/>
          <w:sz w:val="24"/>
          <w:szCs w:val="24"/>
        </w:rPr>
      </w:pPr>
    </w:p>
    <w:p w:rsidR="00376FEF" w:rsidRDefault="00C56B08" w:rsidP="00F26500">
      <w:pPr>
        <w:pStyle w:val="1"/>
        <w:spacing w:beforeLines="100" w:before="312" w:afterLines="100" w:after="312" w:line="288" w:lineRule="auto"/>
        <w:jc w:val="center"/>
        <w:rPr>
          <w:color w:val="000000"/>
          <w:kern w:val="0"/>
          <w:sz w:val="24"/>
          <w:szCs w:val="24"/>
        </w:rPr>
      </w:pPr>
      <w:r>
        <w:rPr>
          <w:color w:val="000000"/>
          <w:kern w:val="0"/>
          <w:sz w:val="24"/>
          <w:szCs w:val="24"/>
        </w:rPr>
        <w:t xml:space="preserve">§2  </w:t>
      </w:r>
      <w:r>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5845"/>
      </w:tblGrid>
      <w:tr w:rsidR="00376FEF">
        <w:trPr>
          <w:jc w:val="center"/>
        </w:trPr>
        <w:tc>
          <w:tcPr>
            <w:tcW w:w="3023" w:type="dxa"/>
            <w:vAlign w:val="center"/>
          </w:tcPr>
          <w:p w:rsidR="00376FEF" w:rsidRDefault="00C56B08">
            <w:pPr>
              <w:adjustRightInd w:val="0"/>
              <w:spacing w:before="29" w:line="288" w:lineRule="auto"/>
              <w:ind w:left="17"/>
              <w:jc w:val="left"/>
              <w:rPr>
                <w:kern w:val="0"/>
                <w:sz w:val="24"/>
                <w:szCs w:val="24"/>
              </w:rPr>
            </w:pPr>
            <w:r>
              <w:rPr>
                <w:kern w:val="0"/>
                <w:sz w:val="24"/>
                <w:szCs w:val="24"/>
              </w:rPr>
              <w:t>基金简称</w:t>
            </w:r>
          </w:p>
        </w:tc>
        <w:tc>
          <w:tcPr>
            <w:tcW w:w="5845" w:type="dxa"/>
            <w:vAlign w:val="center"/>
          </w:tcPr>
          <w:p w:rsidR="00376FEF" w:rsidRDefault="00C56B08">
            <w:pPr>
              <w:adjustRightInd w:val="0"/>
              <w:spacing w:before="29" w:line="288" w:lineRule="auto"/>
              <w:ind w:left="17"/>
              <w:jc w:val="left"/>
              <w:rPr>
                <w:color w:val="000000"/>
                <w:kern w:val="0"/>
                <w:sz w:val="24"/>
                <w:szCs w:val="24"/>
              </w:rPr>
            </w:pPr>
            <w:r>
              <w:rPr>
                <w:color w:val="000000"/>
                <w:kern w:val="0"/>
                <w:sz w:val="24"/>
                <w:szCs w:val="24"/>
              </w:rPr>
              <w:t>海</w:t>
            </w:r>
            <w:proofErr w:type="gramStart"/>
            <w:r>
              <w:rPr>
                <w:color w:val="000000"/>
                <w:kern w:val="0"/>
                <w:sz w:val="24"/>
                <w:szCs w:val="24"/>
              </w:rPr>
              <w:t>富通双</w:t>
            </w:r>
            <w:proofErr w:type="gramEnd"/>
            <w:r>
              <w:rPr>
                <w:color w:val="000000"/>
                <w:kern w:val="0"/>
                <w:sz w:val="24"/>
                <w:szCs w:val="24"/>
              </w:rPr>
              <w:t>利债券</w:t>
            </w:r>
          </w:p>
        </w:tc>
      </w:tr>
      <w:tr w:rsidR="00376FEF">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376FEF" w:rsidRDefault="00C56B08">
            <w:pPr>
              <w:adjustRightInd w:val="0"/>
              <w:spacing w:before="29" w:line="288" w:lineRule="auto"/>
              <w:ind w:left="17"/>
              <w:jc w:val="left"/>
              <w:rPr>
                <w:kern w:val="0"/>
                <w:sz w:val="24"/>
                <w:szCs w:val="24"/>
              </w:rPr>
            </w:pPr>
            <w:r>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tcPr>
          <w:p w:rsidR="00376FEF" w:rsidRDefault="00C56B08">
            <w:pPr>
              <w:adjustRightInd w:val="0"/>
              <w:spacing w:before="29" w:line="288" w:lineRule="auto"/>
              <w:ind w:left="17"/>
              <w:jc w:val="left"/>
              <w:rPr>
                <w:color w:val="000000"/>
                <w:kern w:val="0"/>
                <w:sz w:val="24"/>
                <w:szCs w:val="24"/>
              </w:rPr>
            </w:pPr>
            <w:r>
              <w:rPr>
                <w:color w:val="000000"/>
                <w:kern w:val="0"/>
                <w:sz w:val="24"/>
                <w:szCs w:val="24"/>
              </w:rPr>
              <w:t>519055</w:t>
            </w:r>
          </w:p>
        </w:tc>
      </w:tr>
      <w:tr w:rsidR="00376FEF">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376FEF" w:rsidRDefault="00C56B08">
            <w:pPr>
              <w:adjustRightInd w:val="0"/>
              <w:spacing w:before="29" w:line="288" w:lineRule="auto"/>
              <w:ind w:left="17"/>
              <w:jc w:val="left"/>
              <w:rPr>
                <w:kern w:val="0"/>
                <w:sz w:val="24"/>
                <w:szCs w:val="24"/>
              </w:rPr>
            </w:pPr>
            <w:r>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376FEF" w:rsidRDefault="00C56B08">
            <w:pPr>
              <w:adjustRightInd w:val="0"/>
              <w:spacing w:before="29" w:line="288" w:lineRule="auto"/>
              <w:ind w:left="17"/>
              <w:jc w:val="left"/>
              <w:rPr>
                <w:color w:val="000000"/>
                <w:kern w:val="0"/>
                <w:sz w:val="24"/>
                <w:szCs w:val="24"/>
              </w:rPr>
            </w:pPr>
            <w:r>
              <w:rPr>
                <w:kern w:val="0"/>
                <w:sz w:val="24"/>
              </w:rPr>
              <w:t>519055</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基金运作方式</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契约型开放式</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基金合同生效日</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2013</w:t>
            </w:r>
            <w:r>
              <w:rPr>
                <w:color w:val="000000"/>
                <w:kern w:val="0"/>
                <w:sz w:val="24"/>
                <w:szCs w:val="24"/>
              </w:rPr>
              <w:t>年</w:t>
            </w:r>
            <w:r>
              <w:rPr>
                <w:color w:val="000000"/>
                <w:kern w:val="0"/>
                <w:sz w:val="24"/>
                <w:szCs w:val="24"/>
              </w:rPr>
              <w:t>12</w:t>
            </w:r>
            <w:r>
              <w:rPr>
                <w:color w:val="000000"/>
                <w:kern w:val="0"/>
                <w:sz w:val="24"/>
                <w:szCs w:val="24"/>
              </w:rPr>
              <w:t>月</w:t>
            </w:r>
            <w:r>
              <w:rPr>
                <w:color w:val="000000"/>
                <w:kern w:val="0"/>
                <w:sz w:val="24"/>
                <w:szCs w:val="24"/>
              </w:rPr>
              <w:t>4</w:t>
            </w:r>
            <w:r>
              <w:rPr>
                <w:color w:val="000000"/>
                <w:kern w:val="0"/>
                <w:sz w:val="24"/>
                <w:szCs w:val="24"/>
              </w:rPr>
              <w:t>日</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报告期末基金份额总额</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6,159,162.79</w:t>
            </w:r>
            <w:r>
              <w:rPr>
                <w:color w:val="000000"/>
                <w:kern w:val="0"/>
                <w:sz w:val="24"/>
                <w:szCs w:val="24"/>
              </w:rPr>
              <w:t>份</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投资目标</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本基金在追求基金资产长期稳定增值的基础上，力求获得高于业绩比较基准的投资收益。</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投资策略</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本基金的投资策略包括资产配置策略、债券投资组合策略、信用类债券投资策略、中小企业私募债投资策略、杠杆策略、可转换债券投资策略、新股申购策略。</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业绩比较基准</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中</w:t>
            </w:r>
            <w:proofErr w:type="gramStart"/>
            <w:r>
              <w:rPr>
                <w:color w:val="000000"/>
                <w:kern w:val="0"/>
                <w:sz w:val="24"/>
                <w:szCs w:val="24"/>
              </w:rPr>
              <w:t>证全债指数</w:t>
            </w:r>
            <w:proofErr w:type="gramEnd"/>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风险收益特征</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本基金为债券型基金，属于证券投资基金中的较低风险品种，其预期风险与预期收益高于货币市场基金，低于混合型基金和股票型基金。</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基金管理人</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海富通基金管理有限公司</w:t>
            </w:r>
          </w:p>
        </w:tc>
      </w:tr>
      <w:tr w:rsidR="00376FEF">
        <w:trPr>
          <w:jc w:val="center"/>
        </w:trPr>
        <w:tc>
          <w:tcPr>
            <w:tcW w:w="3023" w:type="dxa"/>
            <w:vAlign w:val="center"/>
          </w:tcPr>
          <w:p w:rsidR="00376FEF" w:rsidRDefault="00C56B08">
            <w:pPr>
              <w:adjustRightInd w:val="0"/>
              <w:spacing w:before="29" w:line="288" w:lineRule="auto"/>
              <w:ind w:left="17"/>
              <w:jc w:val="left"/>
              <w:rPr>
                <w:sz w:val="24"/>
                <w:szCs w:val="24"/>
              </w:rPr>
            </w:pPr>
            <w:r>
              <w:rPr>
                <w:kern w:val="0"/>
                <w:sz w:val="24"/>
                <w:szCs w:val="24"/>
              </w:rPr>
              <w:t>基金托管人</w:t>
            </w:r>
          </w:p>
        </w:tc>
        <w:tc>
          <w:tcPr>
            <w:tcW w:w="5845" w:type="dxa"/>
            <w:vAlign w:val="center"/>
          </w:tcPr>
          <w:p w:rsidR="00376FEF" w:rsidRDefault="00C56B08">
            <w:pPr>
              <w:adjustRightInd w:val="0"/>
              <w:spacing w:before="29" w:line="288" w:lineRule="auto"/>
              <w:ind w:left="17"/>
              <w:jc w:val="left"/>
              <w:rPr>
                <w:color w:val="000000"/>
                <w:sz w:val="24"/>
                <w:szCs w:val="24"/>
              </w:rPr>
            </w:pPr>
            <w:r>
              <w:rPr>
                <w:color w:val="000000"/>
                <w:kern w:val="0"/>
                <w:sz w:val="24"/>
                <w:szCs w:val="24"/>
              </w:rPr>
              <w:t>中国工商银行股份有限公司</w:t>
            </w:r>
          </w:p>
        </w:tc>
      </w:tr>
    </w:tbl>
    <w:p w:rsidR="00376FEF" w:rsidRDefault="00376FEF">
      <w:pPr>
        <w:autoSpaceDE w:val="0"/>
        <w:autoSpaceDN w:val="0"/>
        <w:adjustRightInd w:val="0"/>
        <w:spacing w:before="29" w:line="288" w:lineRule="auto"/>
        <w:jc w:val="left"/>
        <w:rPr>
          <w:color w:val="000000"/>
          <w:kern w:val="0"/>
          <w:sz w:val="24"/>
          <w:szCs w:val="24"/>
        </w:rPr>
      </w:pPr>
    </w:p>
    <w:p w:rsidR="00376FEF" w:rsidRDefault="00C56B08" w:rsidP="00F26500">
      <w:pPr>
        <w:pStyle w:val="1"/>
        <w:spacing w:beforeLines="100" w:before="312" w:afterLines="100" w:after="312" w:line="288" w:lineRule="auto"/>
        <w:jc w:val="center"/>
        <w:rPr>
          <w:color w:val="000000"/>
          <w:kern w:val="0"/>
          <w:sz w:val="24"/>
          <w:szCs w:val="24"/>
        </w:rPr>
      </w:pPr>
      <w:r>
        <w:rPr>
          <w:color w:val="000000"/>
          <w:kern w:val="0"/>
          <w:sz w:val="24"/>
          <w:szCs w:val="24"/>
        </w:rPr>
        <w:lastRenderedPageBreak/>
        <w:t xml:space="preserve">§3  </w:t>
      </w:r>
      <w:r>
        <w:rPr>
          <w:color w:val="000000"/>
          <w:kern w:val="0"/>
          <w:sz w:val="24"/>
          <w:szCs w:val="24"/>
        </w:rPr>
        <w:t>主要财务指标和基金净值表现</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3.1 </w:t>
      </w:r>
      <w:r>
        <w:rPr>
          <w:b/>
          <w:bCs/>
          <w:color w:val="000000"/>
          <w:kern w:val="0"/>
          <w:sz w:val="24"/>
          <w:szCs w:val="24"/>
        </w:rPr>
        <w:t>主要财务指标</w:t>
      </w:r>
    </w:p>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5261"/>
      </w:tblGrid>
      <w:tr w:rsidR="00F26500" w:rsidTr="00F26500">
        <w:trPr>
          <w:jc w:val="center"/>
        </w:trPr>
        <w:tc>
          <w:tcPr>
            <w:tcW w:w="3607" w:type="dxa"/>
            <w:vAlign w:val="center"/>
          </w:tcPr>
          <w:p w:rsidR="00376FEF" w:rsidRDefault="00C56B08">
            <w:pPr>
              <w:adjustRightInd w:val="0"/>
              <w:spacing w:before="29" w:line="288" w:lineRule="auto"/>
              <w:ind w:left="17"/>
              <w:jc w:val="center"/>
              <w:rPr>
                <w:kern w:val="0"/>
                <w:sz w:val="24"/>
                <w:szCs w:val="24"/>
              </w:rPr>
            </w:pPr>
            <w:r>
              <w:rPr>
                <w:kern w:val="0"/>
                <w:sz w:val="24"/>
                <w:szCs w:val="24"/>
              </w:rPr>
              <w:t>主要财务指标</w:t>
            </w:r>
          </w:p>
        </w:tc>
        <w:tc>
          <w:tcPr>
            <w:tcW w:w="5261" w:type="dxa"/>
            <w:vAlign w:val="center"/>
          </w:tcPr>
          <w:p w:rsidR="00376FEF" w:rsidRDefault="00C56B08">
            <w:pPr>
              <w:adjustRightInd w:val="0"/>
              <w:spacing w:before="29" w:line="288" w:lineRule="auto"/>
              <w:ind w:left="17"/>
              <w:jc w:val="center"/>
              <w:rPr>
                <w:color w:val="000000"/>
                <w:sz w:val="24"/>
                <w:szCs w:val="24"/>
              </w:rPr>
            </w:pPr>
            <w:r>
              <w:rPr>
                <w:color w:val="000000"/>
                <w:sz w:val="24"/>
                <w:szCs w:val="24"/>
              </w:rPr>
              <w:t>报告期</w:t>
            </w:r>
          </w:p>
          <w:p w:rsidR="00376FEF" w:rsidRDefault="00C56B08">
            <w:pPr>
              <w:adjustRightInd w:val="0"/>
              <w:spacing w:before="29" w:line="288" w:lineRule="auto"/>
              <w:ind w:left="17"/>
              <w:jc w:val="center"/>
              <w:rPr>
                <w:color w:val="000000"/>
                <w:sz w:val="24"/>
                <w:szCs w:val="24"/>
              </w:rPr>
            </w:pP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w:t>
            </w:r>
            <w:r>
              <w:rPr>
                <w:color w:val="000000"/>
                <w:sz w:val="24"/>
                <w:szCs w:val="24"/>
              </w:rPr>
              <w:t>-2017</w:t>
            </w:r>
            <w:r>
              <w:rPr>
                <w:color w:val="000000"/>
                <w:sz w:val="24"/>
                <w:szCs w:val="24"/>
              </w:rPr>
              <w:t>年</w:t>
            </w:r>
            <w:r w:rsidR="00F26500">
              <w:rPr>
                <w:color w:val="000000"/>
                <w:sz w:val="24"/>
                <w:szCs w:val="24"/>
              </w:rPr>
              <w:t>8</w:t>
            </w:r>
            <w:r w:rsidR="00F26500">
              <w:rPr>
                <w:color w:val="000000"/>
                <w:sz w:val="24"/>
                <w:szCs w:val="24"/>
              </w:rPr>
              <w:t>月</w:t>
            </w:r>
            <w:r w:rsidR="00F26500">
              <w:rPr>
                <w:color w:val="000000"/>
                <w:sz w:val="24"/>
                <w:szCs w:val="24"/>
              </w:rPr>
              <w:t>4</w:t>
            </w:r>
            <w:r w:rsidR="00F26500">
              <w:rPr>
                <w:color w:val="000000"/>
                <w:sz w:val="24"/>
                <w:szCs w:val="24"/>
              </w:rPr>
              <w:t>日</w:t>
            </w:r>
            <w:r>
              <w:rPr>
                <w:color w:val="000000"/>
                <w:sz w:val="24"/>
                <w:szCs w:val="24"/>
              </w:rPr>
              <w:t>)</w:t>
            </w:r>
          </w:p>
        </w:tc>
      </w:tr>
      <w:tr w:rsidR="00F26500" w:rsidTr="00F26500">
        <w:trPr>
          <w:jc w:val="center"/>
        </w:trPr>
        <w:tc>
          <w:tcPr>
            <w:tcW w:w="3607" w:type="dxa"/>
            <w:vAlign w:val="center"/>
          </w:tcPr>
          <w:p w:rsidR="00376FEF" w:rsidRDefault="00C56B08">
            <w:pPr>
              <w:adjustRightInd w:val="0"/>
              <w:spacing w:before="29" w:line="288" w:lineRule="auto"/>
              <w:ind w:left="17"/>
              <w:rPr>
                <w:kern w:val="0"/>
                <w:sz w:val="24"/>
                <w:szCs w:val="24"/>
              </w:rPr>
            </w:pPr>
            <w:r>
              <w:rPr>
                <w:kern w:val="0"/>
                <w:sz w:val="24"/>
                <w:szCs w:val="24"/>
              </w:rPr>
              <w:t>1.</w:t>
            </w:r>
            <w:r>
              <w:rPr>
                <w:kern w:val="0"/>
                <w:sz w:val="24"/>
                <w:szCs w:val="24"/>
              </w:rPr>
              <w:t>本期已实现收益</w:t>
            </w:r>
          </w:p>
        </w:tc>
        <w:tc>
          <w:tcPr>
            <w:tcW w:w="5261" w:type="dxa"/>
            <w:vAlign w:val="center"/>
          </w:tcPr>
          <w:p w:rsidR="00376FEF" w:rsidRDefault="00C56B08">
            <w:pPr>
              <w:adjustRightInd w:val="0"/>
              <w:spacing w:before="29" w:line="288" w:lineRule="auto"/>
              <w:ind w:left="17"/>
              <w:jc w:val="right"/>
              <w:rPr>
                <w:color w:val="000000"/>
                <w:sz w:val="24"/>
                <w:szCs w:val="24"/>
              </w:rPr>
            </w:pPr>
            <w:r>
              <w:rPr>
                <w:color w:val="000000"/>
                <w:sz w:val="24"/>
                <w:szCs w:val="24"/>
              </w:rPr>
              <w:t>897.46</w:t>
            </w:r>
          </w:p>
        </w:tc>
      </w:tr>
      <w:tr w:rsidR="00F26500" w:rsidTr="00F26500">
        <w:trPr>
          <w:jc w:val="center"/>
        </w:trPr>
        <w:tc>
          <w:tcPr>
            <w:tcW w:w="3607" w:type="dxa"/>
            <w:vAlign w:val="center"/>
          </w:tcPr>
          <w:p w:rsidR="00376FEF" w:rsidRDefault="00C56B08">
            <w:pPr>
              <w:adjustRightInd w:val="0"/>
              <w:spacing w:before="29" w:line="288" w:lineRule="auto"/>
              <w:ind w:left="17"/>
              <w:rPr>
                <w:kern w:val="0"/>
                <w:sz w:val="24"/>
                <w:szCs w:val="24"/>
              </w:rPr>
            </w:pPr>
            <w:r>
              <w:rPr>
                <w:kern w:val="0"/>
                <w:sz w:val="24"/>
                <w:szCs w:val="24"/>
              </w:rPr>
              <w:t>2.</w:t>
            </w:r>
            <w:r>
              <w:rPr>
                <w:kern w:val="0"/>
                <w:sz w:val="24"/>
                <w:szCs w:val="24"/>
              </w:rPr>
              <w:t>本期利润</w:t>
            </w:r>
          </w:p>
        </w:tc>
        <w:tc>
          <w:tcPr>
            <w:tcW w:w="5261" w:type="dxa"/>
            <w:vAlign w:val="center"/>
          </w:tcPr>
          <w:p w:rsidR="00376FEF" w:rsidRDefault="00C56B08">
            <w:pPr>
              <w:adjustRightInd w:val="0"/>
              <w:spacing w:before="29" w:line="288" w:lineRule="auto"/>
              <w:ind w:left="17"/>
              <w:jc w:val="right"/>
              <w:rPr>
                <w:color w:val="000000"/>
                <w:sz w:val="24"/>
                <w:szCs w:val="24"/>
              </w:rPr>
            </w:pPr>
            <w:r>
              <w:rPr>
                <w:color w:val="000000"/>
                <w:sz w:val="24"/>
                <w:szCs w:val="24"/>
              </w:rPr>
              <w:t>436.48</w:t>
            </w:r>
          </w:p>
        </w:tc>
      </w:tr>
      <w:tr w:rsidR="00F26500" w:rsidTr="00F26500">
        <w:trPr>
          <w:jc w:val="center"/>
        </w:trPr>
        <w:tc>
          <w:tcPr>
            <w:tcW w:w="3607" w:type="dxa"/>
            <w:vAlign w:val="center"/>
          </w:tcPr>
          <w:p w:rsidR="00376FEF" w:rsidRDefault="00C56B08">
            <w:pPr>
              <w:adjustRightInd w:val="0"/>
              <w:spacing w:before="29" w:line="288" w:lineRule="auto"/>
              <w:ind w:left="17"/>
              <w:rPr>
                <w:kern w:val="0"/>
                <w:sz w:val="24"/>
                <w:szCs w:val="24"/>
              </w:rPr>
            </w:pPr>
            <w:r>
              <w:rPr>
                <w:kern w:val="0"/>
                <w:sz w:val="24"/>
                <w:szCs w:val="24"/>
              </w:rPr>
              <w:t>3.</w:t>
            </w:r>
            <w:r>
              <w:rPr>
                <w:kern w:val="0"/>
                <w:sz w:val="24"/>
                <w:szCs w:val="24"/>
              </w:rPr>
              <w:t>加权平均基金份额本期利润</w:t>
            </w:r>
          </w:p>
        </w:tc>
        <w:tc>
          <w:tcPr>
            <w:tcW w:w="5261" w:type="dxa"/>
            <w:vAlign w:val="center"/>
          </w:tcPr>
          <w:p w:rsidR="00376FEF" w:rsidRDefault="00C56B08">
            <w:pPr>
              <w:adjustRightInd w:val="0"/>
              <w:spacing w:before="29" w:line="288" w:lineRule="auto"/>
              <w:ind w:left="17"/>
              <w:jc w:val="right"/>
              <w:rPr>
                <w:color w:val="000000"/>
                <w:sz w:val="24"/>
                <w:szCs w:val="24"/>
              </w:rPr>
            </w:pPr>
            <w:r>
              <w:rPr>
                <w:color w:val="000000"/>
                <w:sz w:val="24"/>
                <w:szCs w:val="24"/>
              </w:rPr>
              <w:t>0.0001</w:t>
            </w:r>
          </w:p>
        </w:tc>
      </w:tr>
      <w:tr w:rsidR="00F26500" w:rsidTr="00F26500">
        <w:trPr>
          <w:jc w:val="center"/>
        </w:trPr>
        <w:tc>
          <w:tcPr>
            <w:tcW w:w="3607" w:type="dxa"/>
            <w:vAlign w:val="center"/>
          </w:tcPr>
          <w:p w:rsidR="00376FEF" w:rsidRDefault="00C56B08">
            <w:pPr>
              <w:adjustRightInd w:val="0"/>
              <w:spacing w:before="29" w:line="288" w:lineRule="auto"/>
              <w:ind w:left="17"/>
              <w:rPr>
                <w:kern w:val="0"/>
                <w:sz w:val="24"/>
                <w:szCs w:val="24"/>
              </w:rPr>
            </w:pPr>
            <w:r>
              <w:rPr>
                <w:kern w:val="0"/>
                <w:sz w:val="24"/>
                <w:szCs w:val="24"/>
              </w:rPr>
              <w:t>4.</w:t>
            </w:r>
            <w:r>
              <w:rPr>
                <w:kern w:val="0"/>
                <w:sz w:val="24"/>
                <w:szCs w:val="24"/>
              </w:rPr>
              <w:t>期末基金资产净值</w:t>
            </w:r>
          </w:p>
        </w:tc>
        <w:tc>
          <w:tcPr>
            <w:tcW w:w="5261" w:type="dxa"/>
            <w:vAlign w:val="center"/>
          </w:tcPr>
          <w:p w:rsidR="00376FEF" w:rsidRDefault="00C56B08">
            <w:pPr>
              <w:adjustRightInd w:val="0"/>
              <w:spacing w:before="29" w:line="288" w:lineRule="auto"/>
              <w:ind w:left="17"/>
              <w:jc w:val="right"/>
              <w:rPr>
                <w:color w:val="000000"/>
                <w:sz w:val="24"/>
                <w:szCs w:val="24"/>
              </w:rPr>
            </w:pPr>
            <w:r>
              <w:rPr>
                <w:color w:val="000000"/>
                <w:sz w:val="24"/>
                <w:szCs w:val="24"/>
              </w:rPr>
              <w:t>5,633,136.87</w:t>
            </w:r>
          </w:p>
        </w:tc>
      </w:tr>
      <w:tr w:rsidR="00F26500" w:rsidTr="00F26500">
        <w:trPr>
          <w:trHeight w:val="158"/>
          <w:jc w:val="center"/>
        </w:trPr>
        <w:tc>
          <w:tcPr>
            <w:tcW w:w="3607" w:type="dxa"/>
            <w:vAlign w:val="center"/>
          </w:tcPr>
          <w:p w:rsidR="00376FEF" w:rsidRDefault="00C56B08">
            <w:pPr>
              <w:adjustRightInd w:val="0"/>
              <w:spacing w:before="29" w:line="288" w:lineRule="auto"/>
              <w:ind w:left="17"/>
              <w:rPr>
                <w:kern w:val="0"/>
                <w:sz w:val="24"/>
                <w:szCs w:val="24"/>
              </w:rPr>
            </w:pPr>
            <w:r>
              <w:rPr>
                <w:kern w:val="0"/>
                <w:sz w:val="24"/>
                <w:szCs w:val="24"/>
              </w:rPr>
              <w:t>5.</w:t>
            </w:r>
            <w:r>
              <w:rPr>
                <w:kern w:val="0"/>
                <w:sz w:val="24"/>
                <w:szCs w:val="24"/>
              </w:rPr>
              <w:t>期末基金份额净值</w:t>
            </w:r>
          </w:p>
        </w:tc>
        <w:tc>
          <w:tcPr>
            <w:tcW w:w="5261" w:type="dxa"/>
            <w:vAlign w:val="center"/>
          </w:tcPr>
          <w:p w:rsidR="00376FEF" w:rsidRDefault="00C56B08">
            <w:pPr>
              <w:adjustRightInd w:val="0"/>
              <w:spacing w:before="29" w:line="288" w:lineRule="auto"/>
              <w:ind w:left="17"/>
              <w:jc w:val="right"/>
              <w:rPr>
                <w:color w:val="000000"/>
                <w:sz w:val="24"/>
                <w:szCs w:val="24"/>
              </w:rPr>
            </w:pPr>
            <w:r>
              <w:rPr>
                <w:color w:val="000000"/>
                <w:sz w:val="24"/>
                <w:szCs w:val="24"/>
              </w:rPr>
              <w:t>0.915</w:t>
            </w:r>
          </w:p>
        </w:tc>
      </w:tr>
    </w:tbl>
    <w:p w:rsidR="00376FEF" w:rsidRDefault="00C56B0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）所述基金业绩指标不包括持有人认购或交易基金的各项费用，计入费用后实际收益水平要低于所列数字。</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3</w:t>
      </w:r>
      <w:r>
        <w:rPr>
          <w:color w:val="000000"/>
          <w:sz w:val="24"/>
          <w:szCs w:val="24"/>
        </w:rPr>
        <w:t>）海富通双利债券型证券投资基金的最后运作日为</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4</w:t>
      </w:r>
      <w:r>
        <w:rPr>
          <w:color w:val="000000"/>
          <w:sz w:val="24"/>
          <w:szCs w:val="24"/>
        </w:rPr>
        <w:t>日，自</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5</w:t>
      </w:r>
      <w:r>
        <w:rPr>
          <w:color w:val="000000"/>
          <w:sz w:val="24"/>
          <w:szCs w:val="24"/>
        </w:rPr>
        <w:t>日起进入清盘期。</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 </w:t>
      </w:r>
      <w:r>
        <w:rPr>
          <w:b/>
          <w:bCs/>
          <w:color w:val="000000"/>
          <w:kern w:val="0"/>
          <w:sz w:val="24"/>
          <w:szCs w:val="24"/>
        </w:rPr>
        <w:t>基金净值表现</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3.2.1 </w:t>
      </w:r>
      <w:r>
        <w:rPr>
          <w:b/>
          <w:bCs/>
          <w:color w:val="000000"/>
          <w:kern w:val="0"/>
          <w:sz w:val="24"/>
          <w:szCs w:val="24"/>
        </w:rPr>
        <w:t>本报告</w:t>
      </w:r>
      <w:proofErr w:type="gramStart"/>
      <w:r>
        <w:rPr>
          <w:b/>
          <w:bCs/>
          <w:color w:val="000000"/>
          <w:kern w:val="0"/>
          <w:sz w:val="24"/>
          <w:szCs w:val="24"/>
        </w:rPr>
        <w:t>期基金</w:t>
      </w:r>
      <w:proofErr w:type="gramEnd"/>
      <w:r>
        <w:rPr>
          <w:b/>
          <w:bCs/>
          <w:color w:val="000000"/>
          <w:kern w:val="0"/>
          <w:sz w:val="24"/>
          <w:szCs w:val="24"/>
        </w:rPr>
        <w:t>份额净值增长率及其与同期业绩比较基准收益率的比较</w:t>
      </w:r>
    </w:p>
    <w:tbl>
      <w:tblPr>
        <w:tblStyle w:val="af8"/>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376FEF">
        <w:trPr>
          <w:jc w:val="center"/>
        </w:trPr>
        <w:tc>
          <w:tcPr>
            <w:tcW w:w="1701"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阶段</w:t>
            </w:r>
          </w:p>
        </w:tc>
        <w:tc>
          <w:tcPr>
            <w:tcW w:w="1045"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w:t>
            </w:r>
            <w:r>
              <w:rPr>
                <w:rFonts w:hAnsi="宋体"/>
                <w:color w:val="000000"/>
                <w:kern w:val="0"/>
                <w:sz w:val="24"/>
                <w:szCs w:val="24"/>
              </w:rPr>
              <w:t>①</w:t>
            </w:r>
          </w:p>
        </w:tc>
        <w:tc>
          <w:tcPr>
            <w:tcW w:w="1344"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净值增长率标准差</w:t>
            </w:r>
            <w:r>
              <w:rPr>
                <w:rFonts w:hAnsi="宋体"/>
                <w:color w:val="000000"/>
                <w:kern w:val="0"/>
                <w:sz w:val="24"/>
                <w:szCs w:val="24"/>
              </w:rPr>
              <w:t>②</w:t>
            </w:r>
          </w:p>
        </w:tc>
        <w:tc>
          <w:tcPr>
            <w:tcW w:w="1194"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w:t>
            </w:r>
            <w:r>
              <w:rPr>
                <w:rFonts w:hAnsi="宋体"/>
                <w:color w:val="000000"/>
                <w:kern w:val="0"/>
                <w:sz w:val="24"/>
                <w:szCs w:val="24"/>
              </w:rPr>
              <w:t>③</w:t>
            </w:r>
          </w:p>
        </w:tc>
        <w:tc>
          <w:tcPr>
            <w:tcW w:w="1492"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业绩比较基准收益率标准差</w:t>
            </w:r>
            <w:r>
              <w:rPr>
                <w:rFonts w:hAnsi="宋体"/>
                <w:color w:val="000000"/>
                <w:kern w:val="0"/>
                <w:sz w:val="24"/>
                <w:szCs w:val="24"/>
              </w:rPr>
              <w:t>④</w:t>
            </w:r>
          </w:p>
        </w:tc>
        <w:tc>
          <w:tcPr>
            <w:tcW w:w="1194"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①</w:t>
            </w:r>
            <w:r>
              <w:rPr>
                <w:color w:val="000000"/>
                <w:kern w:val="0"/>
                <w:sz w:val="24"/>
                <w:szCs w:val="24"/>
              </w:rPr>
              <w:t>-</w:t>
            </w:r>
            <w:r>
              <w:rPr>
                <w:rFonts w:hAnsi="宋体"/>
                <w:color w:val="000000"/>
                <w:kern w:val="0"/>
                <w:sz w:val="24"/>
                <w:szCs w:val="24"/>
              </w:rPr>
              <w:t>③</w:t>
            </w:r>
          </w:p>
        </w:tc>
        <w:tc>
          <w:tcPr>
            <w:tcW w:w="898"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②</w:t>
            </w:r>
            <w:r>
              <w:rPr>
                <w:color w:val="000000"/>
                <w:kern w:val="0"/>
                <w:sz w:val="24"/>
                <w:szCs w:val="24"/>
              </w:rPr>
              <w:t>-</w:t>
            </w:r>
            <w:r>
              <w:rPr>
                <w:rFonts w:hAnsi="宋体"/>
                <w:color w:val="000000"/>
                <w:kern w:val="0"/>
                <w:sz w:val="24"/>
                <w:szCs w:val="24"/>
              </w:rPr>
              <w:t>④</w:t>
            </w:r>
          </w:p>
        </w:tc>
      </w:tr>
      <w:tr w:rsidR="00376FEF">
        <w:trPr>
          <w:jc w:val="center"/>
        </w:trPr>
        <w:tc>
          <w:tcPr>
            <w:tcW w:w="1701" w:type="dxa"/>
            <w:vAlign w:val="center"/>
          </w:tcPr>
          <w:p w:rsidR="00376FEF" w:rsidRDefault="00C56B08">
            <w:pPr>
              <w:jc w:val="left"/>
            </w:pPr>
            <w:r>
              <w:rPr>
                <w:color w:val="000000"/>
                <w:kern w:val="0"/>
                <w:sz w:val="24"/>
                <w:szCs w:val="24"/>
              </w:rPr>
              <w:t>2017.7.1-2017.8.4</w:t>
            </w:r>
          </w:p>
        </w:tc>
        <w:tc>
          <w:tcPr>
            <w:tcW w:w="1045" w:type="dxa"/>
            <w:vAlign w:val="center"/>
          </w:tcPr>
          <w:p w:rsidR="00376FEF" w:rsidRDefault="00C56B08">
            <w:pPr>
              <w:jc w:val="center"/>
            </w:pPr>
            <w:r>
              <w:rPr>
                <w:color w:val="000000"/>
                <w:kern w:val="0"/>
                <w:sz w:val="24"/>
                <w:szCs w:val="24"/>
              </w:rPr>
              <w:t>0.11%</w:t>
            </w:r>
          </w:p>
        </w:tc>
        <w:tc>
          <w:tcPr>
            <w:tcW w:w="1344" w:type="dxa"/>
            <w:vAlign w:val="center"/>
          </w:tcPr>
          <w:p w:rsidR="00376FEF" w:rsidRDefault="00C56B08">
            <w:pPr>
              <w:jc w:val="center"/>
            </w:pPr>
            <w:r>
              <w:rPr>
                <w:color w:val="000000"/>
                <w:kern w:val="0"/>
                <w:sz w:val="24"/>
                <w:szCs w:val="24"/>
              </w:rPr>
              <w:t>0.02%</w:t>
            </w:r>
          </w:p>
        </w:tc>
        <w:tc>
          <w:tcPr>
            <w:tcW w:w="1194" w:type="dxa"/>
            <w:vAlign w:val="center"/>
          </w:tcPr>
          <w:p w:rsidR="00376FEF" w:rsidRDefault="00C56B08">
            <w:pPr>
              <w:jc w:val="center"/>
            </w:pPr>
            <w:r>
              <w:rPr>
                <w:color w:val="000000"/>
                <w:kern w:val="0"/>
                <w:sz w:val="24"/>
                <w:szCs w:val="24"/>
              </w:rPr>
              <w:t>0.31%</w:t>
            </w:r>
          </w:p>
        </w:tc>
        <w:tc>
          <w:tcPr>
            <w:tcW w:w="1492" w:type="dxa"/>
            <w:vAlign w:val="center"/>
          </w:tcPr>
          <w:p w:rsidR="00376FEF" w:rsidRDefault="00C56B08">
            <w:pPr>
              <w:jc w:val="center"/>
            </w:pPr>
            <w:r>
              <w:rPr>
                <w:color w:val="000000"/>
                <w:kern w:val="0"/>
                <w:sz w:val="24"/>
                <w:szCs w:val="24"/>
              </w:rPr>
              <w:t>0.03%</w:t>
            </w:r>
          </w:p>
        </w:tc>
        <w:tc>
          <w:tcPr>
            <w:tcW w:w="1194" w:type="dxa"/>
            <w:vAlign w:val="center"/>
          </w:tcPr>
          <w:p w:rsidR="00376FEF" w:rsidRDefault="00C56B08">
            <w:pPr>
              <w:jc w:val="center"/>
            </w:pPr>
            <w:r>
              <w:rPr>
                <w:color w:val="000000"/>
                <w:kern w:val="0"/>
                <w:sz w:val="24"/>
                <w:szCs w:val="24"/>
              </w:rPr>
              <w:t>-0.20%</w:t>
            </w:r>
          </w:p>
        </w:tc>
        <w:tc>
          <w:tcPr>
            <w:tcW w:w="898" w:type="dxa"/>
            <w:vAlign w:val="center"/>
          </w:tcPr>
          <w:p w:rsidR="00376FEF" w:rsidRDefault="00C56B08">
            <w:pPr>
              <w:jc w:val="center"/>
            </w:pPr>
            <w:r>
              <w:rPr>
                <w:color w:val="000000"/>
                <w:kern w:val="0"/>
                <w:sz w:val="24"/>
                <w:szCs w:val="24"/>
              </w:rPr>
              <w:t>-0.01%</w:t>
            </w:r>
          </w:p>
        </w:tc>
      </w:tr>
    </w:tbl>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3.2.2</w:t>
      </w:r>
      <w:r>
        <w:rPr>
          <w:rFonts w:hint="eastAsia"/>
          <w:b/>
          <w:bCs/>
          <w:color w:val="000000"/>
          <w:kern w:val="0"/>
          <w:sz w:val="24"/>
          <w:szCs w:val="24"/>
        </w:rPr>
        <w:t xml:space="preserve">  </w:t>
      </w:r>
      <w:r>
        <w:rPr>
          <w:rFonts w:hint="eastAsia"/>
          <w:b/>
          <w:bCs/>
          <w:color w:val="000000"/>
          <w:kern w:val="0"/>
          <w:sz w:val="24"/>
          <w:szCs w:val="24"/>
        </w:rPr>
        <w:t>自基金转型以来</w:t>
      </w:r>
      <w:r>
        <w:rPr>
          <w:b/>
          <w:bCs/>
          <w:color w:val="000000"/>
          <w:sz w:val="24"/>
        </w:rPr>
        <w:t>基金份额累计净值增长率变动及其与同期业绩比较基准收益率变动的比较</w:t>
      </w:r>
    </w:p>
    <w:p w:rsidR="00376FEF" w:rsidRDefault="00C56B08">
      <w:pPr>
        <w:spacing w:before="29" w:line="288" w:lineRule="auto"/>
        <w:jc w:val="center"/>
        <w:rPr>
          <w:color w:val="000000"/>
          <w:sz w:val="24"/>
          <w:szCs w:val="24"/>
        </w:rPr>
      </w:pPr>
      <w:r>
        <w:rPr>
          <w:color w:val="000000"/>
          <w:sz w:val="24"/>
          <w:szCs w:val="24"/>
        </w:rPr>
        <w:t>海富通双利债券型证券投资基金</w:t>
      </w:r>
    </w:p>
    <w:p w:rsidR="00376FEF" w:rsidRDefault="00C56B08">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份额累计净值增长率与业绩比较基准收益率历史走势对比图</w:t>
      </w:r>
    </w:p>
    <w:p w:rsidR="00376FEF" w:rsidRDefault="00C56B08">
      <w:pPr>
        <w:snapToGrid w:val="0"/>
        <w:spacing w:before="29" w:line="288" w:lineRule="auto"/>
        <w:jc w:val="center"/>
        <w:rPr>
          <w:color w:val="000000"/>
          <w:sz w:val="24"/>
        </w:rPr>
      </w:pPr>
      <w:r>
        <w:rPr>
          <w:rFonts w:hint="eastAsia"/>
          <w:color w:val="000000"/>
          <w:sz w:val="24"/>
        </w:rPr>
        <w:t>(201</w:t>
      </w:r>
      <w:r w:rsidR="00F26500">
        <w:rPr>
          <w:rFonts w:hint="eastAsia"/>
          <w:color w:val="000000"/>
          <w:sz w:val="24"/>
        </w:rPr>
        <w:t>5</w:t>
      </w:r>
      <w:r>
        <w:rPr>
          <w:rFonts w:hint="eastAsia"/>
          <w:color w:val="000000"/>
          <w:sz w:val="24"/>
        </w:rPr>
        <w:t>年</w:t>
      </w:r>
      <w:r>
        <w:rPr>
          <w:rFonts w:hint="eastAsia"/>
          <w:color w:val="000000"/>
          <w:sz w:val="24"/>
        </w:rPr>
        <w:t>12</w:t>
      </w:r>
      <w:r>
        <w:rPr>
          <w:rFonts w:hint="eastAsia"/>
          <w:color w:val="000000"/>
          <w:sz w:val="24"/>
        </w:rPr>
        <w:t>月</w:t>
      </w:r>
      <w:r w:rsidR="00F26500">
        <w:rPr>
          <w:rFonts w:hint="eastAsia"/>
          <w:color w:val="000000"/>
          <w:sz w:val="24"/>
        </w:rPr>
        <w:t>7</w:t>
      </w:r>
      <w:bookmarkStart w:id="0" w:name="_GoBack"/>
      <w:bookmarkEnd w:id="0"/>
      <w:r>
        <w:rPr>
          <w:rFonts w:hint="eastAsia"/>
          <w:color w:val="000000"/>
          <w:sz w:val="24"/>
        </w:rPr>
        <w:t>日至</w:t>
      </w:r>
      <w:r>
        <w:rPr>
          <w:color w:val="000000"/>
          <w:sz w:val="24"/>
        </w:rPr>
        <w:t>2017</w:t>
      </w:r>
      <w:r>
        <w:rPr>
          <w:color w:val="000000"/>
          <w:sz w:val="24"/>
        </w:rPr>
        <w:t>年</w:t>
      </w:r>
      <w:r>
        <w:rPr>
          <w:color w:val="000000"/>
          <w:sz w:val="24"/>
        </w:rPr>
        <w:t>8</w:t>
      </w:r>
      <w:r>
        <w:rPr>
          <w:color w:val="000000"/>
          <w:sz w:val="24"/>
        </w:rPr>
        <w:t>月</w:t>
      </w:r>
      <w:r>
        <w:rPr>
          <w:color w:val="000000"/>
          <w:sz w:val="24"/>
        </w:rPr>
        <w:t>4</w:t>
      </w:r>
      <w:r>
        <w:rPr>
          <w:color w:val="000000"/>
          <w:sz w:val="24"/>
        </w:rPr>
        <w:t>日</w:t>
      </w:r>
      <w:r>
        <w:rPr>
          <w:rFonts w:hint="eastAsia"/>
          <w:color w:val="000000"/>
          <w:sz w:val="24"/>
        </w:rPr>
        <w:t>)</w:t>
      </w:r>
    </w:p>
    <w:p w:rsidR="00376FEF" w:rsidRDefault="00C56B08">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走势图1.jpg"/>
                    <pic:cNvPicPr>
                      <a:picLocks noChangeAspect="1"/>
                    </pic:cNvPicPr>
                  </pic:nvPicPr>
                  <pic:blipFill>
                    <a:blip r:embed="rId11" cstate="print"/>
                    <a:stretch>
                      <a:fillRect/>
                    </a:stretch>
                  </pic:blipFill>
                  <pic:spPr>
                    <a:xfrm>
                      <a:off x="0" y="0"/>
                      <a:ext cx="5731510" cy="3356610"/>
                    </a:xfrm>
                    <a:prstGeom prst="rect">
                      <a:avLst/>
                    </a:prstGeom>
                  </pic:spPr>
                </pic:pic>
              </a:graphicData>
            </a:graphic>
          </wp:inline>
        </w:drawing>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、本基金转型日期为</w:t>
      </w:r>
      <w:r>
        <w:rPr>
          <w:color w:val="000000"/>
          <w:sz w:val="24"/>
          <w:szCs w:val="24"/>
        </w:rPr>
        <w:t>2015</w:t>
      </w:r>
      <w:r>
        <w:rPr>
          <w:color w:val="000000"/>
          <w:sz w:val="24"/>
          <w:szCs w:val="24"/>
        </w:rPr>
        <w:t>年</w:t>
      </w:r>
      <w:r>
        <w:rPr>
          <w:color w:val="000000"/>
          <w:sz w:val="24"/>
          <w:szCs w:val="24"/>
        </w:rPr>
        <w:t>12</w:t>
      </w:r>
      <w:r>
        <w:rPr>
          <w:color w:val="000000"/>
          <w:sz w:val="24"/>
          <w:szCs w:val="24"/>
        </w:rPr>
        <w:t>月</w:t>
      </w:r>
      <w:r>
        <w:rPr>
          <w:color w:val="000000"/>
          <w:sz w:val="24"/>
          <w:szCs w:val="24"/>
        </w:rPr>
        <w:t>7</w:t>
      </w:r>
      <w:r>
        <w:rPr>
          <w:color w:val="000000"/>
          <w:sz w:val="24"/>
          <w:szCs w:val="24"/>
        </w:rPr>
        <w:t>日，最后运作日为</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4</w:t>
      </w:r>
      <w:r>
        <w:rPr>
          <w:color w:val="000000"/>
          <w:sz w:val="24"/>
          <w:szCs w:val="24"/>
        </w:rPr>
        <w:t>日。</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、按照基金合同规定，本基金建仓期为自基金合同生效起六个月。建仓期结束时本基金的各项投资比例已达到基金合同第十四部分（二）投资范围、（五）投资限制中规定的各项比例。</w:t>
      </w:r>
    </w:p>
    <w:p w:rsidR="00376FEF" w:rsidRDefault="00376FEF">
      <w:pPr>
        <w:tabs>
          <w:tab w:val="left" w:pos="1800"/>
        </w:tabs>
        <w:spacing w:before="29" w:line="288" w:lineRule="auto"/>
        <w:rPr>
          <w:color w:val="000000"/>
          <w:sz w:val="24"/>
          <w:szCs w:val="24"/>
        </w:rPr>
      </w:pPr>
    </w:p>
    <w:p w:rsidR="00376FEF" w:rsidRDefault="00376FEF">
      <w:pPr>
        <w:tabs>
          <w:tab w:val="left" w:pos="1800"/>
        </w:tabs>
        <w:spacing w:before="29" w:line="288" w:lineRule="auto"/>
        <w:rPr>
          <w:color w:val="000000"/>
          <w:sz w:val="24"/>
          <w:szCs w:val="24"/>
        </w:rPr>
      </w:pPr>
    </w:p>
    <w:p w:rsidR="00376FEF" w:rsidRDefault="00C56B08" w:rsidP="00F26500">
      <w:pPr>
        <w:pStyle w:val="1"/>
        <w:spacing w:beforeLines="100" w:before="312" w:afterLines="100" w:after="312" w:line="288" w:lineRule="auto"/>
        <w:jc w:val="center"/>
        <w:rPr>
          <w:color w:val="000000"/>
          <w:kern w:val="0"/>
          <w:sz w:val="24"/>
          <w:szCs w:val="24"/>
        </w:rPr>
      </w:pPr>
      <w:r>
        <w:rPr>
          <w:color w:val="000000"/>
          <w:kern w:val="0"/>
          <w:sz w:val="24"/>
          <w:szCs w:val="24"/>
        </w:rPr>
        <w:t xml:space="preserve">§4  </w:t>
      </w:r>
      <w:r>
        <w:rPr>
          <w:color w:val="000000"/>
          <w:kern w:val="0"/>
          <w:sz w:val="24"/>
          <w:szCs w:val="24"/>
        </w:rPr>
        <w:t>管理人报告</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4.1 </w:t>
      </w:r>
      <w:r>
        <w:rPr>
          <w:b/>
          <w:bCs/>
          <w:color w:val="000000"/>
          <w:kern w:val="0"/>
          <w:sz w:val="24"/>
          <w:szCs w:val="24"/>
        </w:rPr>
        <w:t>基金经理</w:t>
      </w:r>
      <w:r>
        <w:rPr>
          <w:b/>
          <w:color w:val="000000"/>
          <w:kern w:val="0"/>
          <w:sz w:val="24"/>
        </w:rPr>
        <w:t>（</w:t>
      </w:r>
      <w:r>
        <w:rPr>
          <w:b/>
          <w:bCs/>
          <w:color w:val="000000"/>
          <w:kern w:val="0"/>
          <w:sz w:val="24"/>
          <w:szCs w:val="24"/>
        </w:rPr>
        <w:t>或基金经理小组</w:t>
      </w:r>
      <w:r>
        <w:rPr>
          <w:b/>
          <w:color w:val="000000"/>
          <w:kern w:val="0"/>
          <w:sz w:val="24"/>
        </w:rPr>
        <w:t>）</w:t>
      </w:r>
      <w:r>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5"/>
        <w:gridCol w:w="1549"/>
        <w:gridCol w:w="1548"/>
        <w:gridCol w:w="1407"/>
        <w:gridCol w:w="2673"/>
      </w:tblGrid>
      <w:tr w:rsidR="00376FEF">
        <w:trPr>
          <w:trHeight w:val="292"/>
          <w:jc w:val="center"/>
        </w:trPr>
        <w:tc>
          <w:tcPr>
            <w:tcW w:w="846" w:type="dxa"/>
            <w:vMerge w:val="restart"/>
            <w:vAlign w:val="center"/>
          </w:tcPr>
          <w:p w:rsidR="00376FEF" w:rsidRDefault="00C56B08">
            <w:pPr>
              <w:widowControl/>
              <w:spacing w:before="29" w:line="288" w:lineRule="auto"/>
              <w:ind w:left="17"/>
              <w:jc w:val="center"/>
              <w:rPr>
                <w:color w:val="000000"/>
                <w:kern w:val="0"/>
                <w:sz w:val="24"/>
                <w:szCs w:val="24"/>
              </w:rPr>
            </w:pPr>
            <w:r>
              <w:rPr>
                <w:color w:val="000000"/>
                <w:kern w:val="0"/>
                <w:sz w:val="24"/>
                <w:szCs w:val="24"/>
              </w:rPr>
              <w:t>姓名</w:t>
            </w:r>
          </w:p>
        </w:tc>
        <w:tc>
          <w:tcPr>
            <w:tcW w:w="845" w:type="dxa"/>
            <w:vMerge w:val="restart"/>
            <w:vAlign w:val="center"/>
          </w:tcPr>
          <w:p w:rsidR="00376FEF" w:rsidRDefault="00C56B08">
            <w:pPr>
              <w:widowControl/>
              <w:spacing w:before="29" w:line="288" w:lineRule="auto"/>
              <w:ind w:left="17"/>
              <w:jc w:val="center"/>
              <w:rPr>
                <w:color w:val="000000"/>
                <w:kern w:val="0"/>
                <w:sz w:val="24"/>
                <w:szCs w:val="24"/>
              </w:rPr>
            </w:pPr>
            <w:r>
              <w:rPr>
                <w:color w:val="000000"/>
                <w:kern w:val="0"/>
                <w:sz w:val="24"/>
                <w:szCs w:val="24"/>
              </w:rPr>
              <w:t>职务</w:t>
            </w:r>
          </w:p>
        </w:tc>
        <w:tc>
          <w:tcPr>
            <w:tcW w:w="3097" w:type="dxa"/>
            <w:gridSpan w:val="2"/>
            <w:vAlign w:val="center"/>
          </w:tcPr>
          <w:p w:rsidR="00376FEF" w:rsidRDefault="00C56B08">
            <w:pPr>
              <w:autoSpaceDE w:val="0"/>
              <w:autoSpaceDN w:val="0"/>
              <w:adjustRightInd w:val="0"/>
              <w:spacing w:before="29" w:line="288" w:lineRule="auto"/>
              <w:ind w:left="17"/>
              <w:jc w:val="center"/>
              <w:rPr>
                <w:color w:val="000000"/>
                <w:kern w:val="0"/>
                <w:sz w:val="24"/>
                <w:szCs w:val="24"/>
              </w:rPr>
            </w:pPr>
            <w:proofErr w:type="gramStart"/>
            <w:r>
              <w:rPr>
                <w:color w:val="000000"/>
                <w:kern w:val="0"/>
                <w:sz w:val="24"/>
                <w:szCs w:val="24"/>
              </w:rPr>
              <w:t>任本基金</w:t>
            </w:r>
            <w:proofErr w:type="gramEnd"/>
            <w:r>
              <w:rPr>
                <w:color w:val="000000"/>
                <w:kern w:val="0"/>
                <w:sz w:val="24"/>
                <w:szCs w:val="24"/>
              </w:rPr>
              <w:t>的基金经理期限</w:t>
            </w:r>
          </w:p>
        </w:tc>
        <w:tc>
          <w:tcPr>
            <w:tcW w:w="1407" w:type="dxa"/>
            <w:vMerge w:val="restart"/>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证券从业年限</w:t>
            </w:r>
          </w:p>
        </w:tc>
        <w:tc>
          <w:tcPr>
            <w:tcW w:w="2673" w:type="dxa"/>
            <w:vMerge w:val="restart"/>
            <w:vAlign w:val="center"/>
          </w:tcPr>
          <w:p w:rsidR="00376FEF" w:rsidRDefault="00C56B08">
            <w:pPr>
              <w:widowControl/>
              <w:spacing w:before="29" w:line="288" w:lineRule="auto"/>
              <w:ind w:left="17"/>
              <w:jc w:val="center"/>
              <w:rPr>
                <w:color w:val="000000"/>
                <w:kern w:val="0"/>
                <w:sz w:val="24"/>
                <w:szCs w:val="24"/>
              </w:rPr>
            </w:pPr>
            <w:r>
              <w:rPr>
                <w:color w:val="000000"/>
                <w:kern w:val="0"/>
                <w:sz w:val="24"/>
                <w:szCs w:val="24"/>
              </w:rPr>
              <w:t>说明</w:t>
            </w:r>
          </w:p>
        </w:tc>
      </w:tr>
      <w:tr w:rsidR="00376FEF">
        <w:trPr>
          <w:jc w:val="center"/>
        </w:trPr>
        <w:tc>
          <w:tcPr>
            <w:tcW w:w="846" w:type="dxa"/>
            <w:vMerge/>
            <w:vAlign w:val="center"/>
          </w:tcPr>
          <w:p w:rsidR="00376FEF" w:rsidRDefault="00376FEF">
            <w:pPr>
              <w:widowControl/>
              <w:spacing w:before="29" w:line="288" w:lineRule="auto"/>
              <w:jc w:val="left"/>
              <w:rPr>
                <w:color w:val="000000"/>
                <w:kern w:val="0"/>
                <w:sz w:val="24"/>
                <w:szCs w:val="24"/>
              </w:rPr>
            </w:pPr>
          </w:p>
        </w:tc>
        <w:tc>
          <w:tcPr>
            <w:tcW w:w="845" w:type="dxa"/>
            <w:vMerge/>
            <w:vAlign w:val="center"/>
          </w:tcPr>
          <w:p w:rsidR="00376FEF" w:rsidRDefault="00376FEF">
            <w:pPr>
              <w:widowControl/>
              <w:spacing w:before="29" w:line="288" w:lineRule="auto"/>
              <w:jc w:val="left"/>
              <w:rPr>
                <w:color w:val="000000"/>
                <w:kern w:val="0"/>
                <w:sz w:val="24"/>
                <w:szCs w:val="24"/>
              </w:rPr>
            </w:pPr>
          </w:p>
        </w:tc>
        <w:tc>
          <w:tcPr>
            <w:tcW w:w="1549"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任职日期</w:t>
            </w:r>
          </w:p>
        </w:tc>
        <w:tc>
          <w:tcPr>
            <w:tcW w:w="1548"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离任日期</w:t>
            </w:r>
          </w:p>
        </w:tc>
        <w:tc>
          <w:tcPr>
            <w:tcW w:w="1407" w:type="dxa"/>
            <w:vMerge/>
            <w:vAlign w:val="center"/>
          </w:tcPr>
          <w:p w:rsidR="00376FEF" w:rsidRDefault="00376FEF">
            <w:pPr>
              <w:widowControl/>
              <w:spacing w:before="29" w:line="288" w:lineRule="auto"/>
              <w:jc w:val="left"/>
              <w:rPr>
                <w:color w:val="000000"/>
                <w:kern w:val="0"/>
                <w:sz w:val="24"/>
                <w:szCs w:val="24"/>
              </w:rPr>
            </w:pPr>
          </w:p>
        </w:tc>
        <w:tc>
          <w:tcPr>
            <w:tcW w:w="2673" w:type="dxa"/>
            <w:vMerge/>
            <w:vAlign w:val="center"/>
          </w:tcPr>
          <w:p w:rsidR="00376FEF" w:rsidRDefault="00376FEF">
            <w:pPr>
              <w:widowControl/>
              <w:spacing w:before="29" w:line="288" w:lineRule="auto"/>
              <w:jc w:val="left"/>
              <w:rPr>
                <w:color w:val="000000"/>
                <w:kern w:val="0"/>
                <w:sz w:val="24"/>
                <w:szCs w:val="24"/>
              </w:rPr>
            </w:pPr>
          </w:p>
        </w:tc>
      </w:tr>
      <w:tr w:rsidR="00376FEF">
        <w:trPr>
          <w:jc w:val="center"/>
        </w:trPr>
        <w:tc>
          <w:tcPr>
            <w:tcW w:w="846" w:type="dxa"/>
            <w:vAlign w:val="center"/>
          </w:tcPr>
          <w:p w:rsidR="00376FEF" w:rsidRDefault="00C56B08">
            <w:pPr>
              <w:jc w:val="center"/>
            </w:pPr>
            <w:r>
              <w:rPr>
                <w:color w:val="000000"/>
                <w:sz w:val="24"/>
                <w:szCs w:val="24"/>
              </w:rPr>
              <w:t>何谦</w:t>
            </w:r>
          </w:p>
        </w:tc>
        <w:tc>
          <w:tcPr>
            <w:tcW w:w="845" w:type="dxa"/>
            <w:vAlign w:val="center"/>
          </w:tcPr>
          <w:p w:rsidR="00376FEF" w:rsidRDefault="00C56B08">
            <w:pPr>
              <w:jc w:val="center"/>
            </w:pPr>
            <w:r>
              <w:rPr>
                <w:color w:val="000000"/>
                <w:sz w:val="24"/>
                <w:szCs w:val="24"/>
              </w:rPr>
              <w:t>本基金的基金经理；</w:t>
            </w:r>
            <w:proofErr w:type="gramStart"/>
            <w:r>
              <w:rPr>
                <w:color w:val="000000"/>
                <w:sz w:val="24"/>
                <w:szCs w:val="24"/>
              </w:rPr>
              <w:t>海富通纯债债券</w:t>
            </w:r>
            <w:proofErr w:type="gramEnd"/>
            <w:r>
              <w:rPr>
                <w:color w:val="000000"/>
                <w:sz w:val="24"/>
                <w:szCs w:val="24"/>
              </w:rPr>
              <w:t>基金经理；海富通双</w:t>
            </w:r>
            <w:proofErr w:type="gramStart"/>
            <w:r>
              <w:rPr>
                <w:color w:val="000000"/>
                <w:sz w:val="24"/>
                <w:szCs w:val="24"/>
              </w:rPr>
              <w:t>福</w:t>
            </w:r>
            <w:r>
              <w:rPr>
                <w:color w:val="000000"/>
                <w:sz w:val="24"/>
                <w:szCs w:val="24"/>
              </w:rPr>
              <w:lastRenderedPageBreak/>
              <w:t>分级基金</w:t>
            </w:r>
            <w:proofErr w:type="gramEnd"/>
            <w:r>
              <w:rPr>
                <w:color w:val="000000"/>
                <w:sz w:val="24"/>
                <w:szCs w:val="24"/>
              </w:rPr>
              <w:t>经理；海富通货币基金经理；</w:t>
            </w:r>
            <w:proofErr w:type="gramStart"/>
            <w:r>
              <w:rPr>
                <w:color w:val="000000"/>
                <w:sz w:val="24"/>
                <w:szCs w:val="24"/>
              </w:rPr>
              <w:t>海富通集利债券</w:t>
            </w:r>
            <w:proofErr w:type="gramEnd"/>
            <w:r>
              <w:rPr>
                <w:color w:val="000000"/>
                <w:sz w:val="24"/>
                <w:szCs w:val="24"/>
              </w:rPr>
              <w:t>基金经理；海富通添</w:t>
            </w:r>
            <w:proofErr w:type="gramStart"/>
            <w:r>
              <w:rPr>
                <w:color w:val="000000"/>
                <w:sz w:val="24"/>
                <w:szCs w:val="24"/>
              </w:rPr>
              <w:t>益货币</w:t>
            </w:r>
            <w:proofErr w:type="gramEnd"/>
            <w:r>
              <w:rPr>
                <w:color w:val="000000"/>
                <w:sz w:val="24"/>
                <w:szCs w:val="24"/>
              </w:rPr>
              <w:t>基金经理。</w:t>
            </w:r>
          </w:p>
        </w:tc>
        <w:tc>
          <w:tcPr>
            <w:tcW w:w="1549" w:type="dxa"/>
            <w:vAlign w:val="center"/>
          </w:tcPr>
          <w:p w:rsidR="00376FEF" w:rsidRDefault="00C56B08">
            <w:pPr>
              <w:jc w:val="center"/>
            </w:pPr>
            <w:r>
              <w:rPr>
                <w:color w:val="000000"/>
                <w:sz w:val="24"/>
                <w:szCs w:val="24"/>
              </w:rPr>
              <w:lastRenderedPageBreak/>
              <w:t>2016-05-06</w:t>
            </w:r>
          </w:p>
        </w:tc>
        <w:tc>
          <w:tcPr>
            <w:tcW w:w="1548" w:type="dxa"/>
            <w:vAlign w:val="center"/>
          </w:tcPr>
          <w:p w:rsidR="00376FEF" w:rsidRDefault="00C56B08">
            <w:pPr>
              <w:jc w:val="center"/>
            </w:pPr>
            <w:r>
              <w:rPr>
                <w:color w:val="000000"/>
                <w:sz w:val="24"/>
                <w:szCs w:val="24"/>
              </w:rPr>
              <w:t>-</w:t>
            </w:r>
          </w:p>
        </w:tc>
        <w:tc>
          <w:tcPr>
            <w:tcW w:w="1407" w:type="dxa"/>
            <w:vAlign w:val="center"/>
          </w:tcPr>
          <w:p w:rsidR="00376FEF" w:rsidRDefault="00C56B08">
            <w:pPr>
              <w:jc w:val="center"/>
            </w:pPr>
            <w:r>
              <w:rPr>
                <w:color w:val="000000"/>
                <w:sz w:val="24"/>
                <w:szCs w:val="24"/>
              </w:rPr>
              <w:t>6</w:t>
            </w:r>
            <w:r>
              <w:rPr>
                <w:color w:val="000000"/>
                <w:sz w:val="24"/>
                <w:szCs w:val="24"/>
              </w:rPr>
              <w:t>年</w:t>
            </w:r>
          </w:p>
        </w:tc>
        <w:tc>
          <w:tcPr>
            <w:tcW w:w="2673" w:type="dxa"/>
            <w:vAlign w:val="center"/>
          </w:tcPr>
          <w:p w:rsidR="00376FEF" w:rsidRDefault="00C56B08">
            <w:r>
              <w:rPr>
                <w:color w:val="000000"/>
                <w:sz w:val="24"/>
                <w:szCs w:val="24"/>
              </w:rPr>
              <w:t>硕士，持有基金从业人员资格证书。历任平安银行资金交易员，华安基金管理有限公司债券交易员，</w:t>
            </w:r>
            <w:r>
              <w:rPr>
                <w:color w:val="000000"/>
                <w:sz w:val="24"/>
                <w:szCs w:val="24"/>
              </w:rPr>
              <w:t>2014</w:t>
            </w:r>
            <w:r>
              <w:rPr>
                <w:color w:val="000000"/>
                <w:sz w:val="24"/>
                <w:szCs w:val="24"/>
              </w:rPr>
              <w:t>年</w:t>
            </w:r>
            <w:r>
              <w:rPr>
                <w:color w:val="000000"/>
                <w:sz w:val="24"/>
                <w:szCs w:val="24"/>
              </w:rPr>
              <w:t>6</w:t>
            </w:r>
            <w:r>
              <w:rPr>
                <w:color w:val="000000"/>
                <w:sz w:val="24"/>
                <w:szCs w:val="24"/>
              </w:rPr>
              <w:t>月加入海富通基金管理有限公司，任海富通货币基金经理助理。</w:t>
            </w:r>
            <w:r>
              <w:rPr>
                <w:color w:val="000000"/>
                <w:sz w:val="24"/>
                <w:szCs w:val="24"/>
              </w:rPr>
              <w:t>2016</w:t>
            </w:r>
            <w:r>
              <w:rPr>
                <w:color w:val="000000"/>
                <w:sz w:val="24"/>
                <w:szCs w:val="24"/>
              </w:rPr>
              <w:t>年</w:t>
            </w:r>
            <w:r>
              <w:rPr>
                <w:color w:val="000000"/>
                <w:sz w:val="24"/>
                <w:szCs w:val="24"/>
              </w:rPr>
              <w:t>5</w:t>
            </w:r>
            <w:r>
              <w:rPr>
                <w:color w:val="000000"/>
                <w:sz w:val="24"/>
                <w:szCs w:val="24"/>
              </w:rPr>
              <w:t>月起任</w:t>
            </w:r>
            <w:proofErr w:type="gramStart"/>
            <w:r>
              <w:rPr>
                <w:color w:val="000000"/>
                <w:sz w:val="24"/>
                <w:szCs w:val="24"/>
              </w:rPr>
              <w:t>海富通纯债债券</w:t>
            </w:r>
            <w:proofErr w:type="gramEnd"/>
            <w:r>
              <w:rPr>
                <w:color w:val="000000"/>
                <w:sz w:val="24"/>
                <w:szCs w:val="24"/>
              </w:rPr>
              <w:t>、海富通双</w:t>
            </w:r>
            <w:proofErr w:type="gramStart"/>
            <w:r>
              <w:rPr>
                <w:color w:val="000000"/>
                <w:sz w:val="24"/>
                <w:szCs w:val="24"/>
              </w:rPr>
              <w:t>福分级</w:t>
            </w:r>
            <w:proofErr w:type="gramEnd"/>
            <w:r>
              <w:rPr>
                <w:color w:val="000000"/>
                <w:sz w:val="24"/>
                <w:szCs w:val="24"/>
              </w:rPr>
              <w:t>债券、海富通双利债券及海富通货币基金经理。</w:t>
            </w:r>
            <w:r>
              <w:rPr>
                <w:color w:val="000000"/>
                <w:sz w:val="24"/>
                <w:szCs w:val="24"/>
              </w:rPr>
              <w:lastRenderedPageBreak/>
              <w:t>2016</w:t>
            </w:r>
            <w:r>
              <w:rPr>
                <w:color w:val="000000"/>
                <w:sz w:val="24"/>
                <w:szCs w:val="24"/>
              </w:rPr>
              <w:t>年</w:t>
            </w:r>
            <w:r>
              <w:rPr>
                <w:color w:val="000000"/>
                <w:sz w:val="24"/>
                <w:szCs w:val="24"/>
              </w:rPr>
              <w:t>9</w:t>
            </w:r>
            <w:r>
              <w:rPr>
                <w:color w:val="000000"/>
                <w:sz w:val="24"/>
                <w:szCs w:val="24"/>
              </w:rPr>
              <w:t>月起兼任</w:t>
            </w:r>
            <w:proofErr w:type="gramStart"/>
            <w:r>
              <w:rPr>
                <w:color w:val="000000"/>
                <w:sz w:val="24"/>
                <w:szCs w:val="24"/>
              </w:rPr>
              <w:t>海富通集利债券</w:t>
            </w:r>
            <w:proofErr w:type="gramEnd"/>
            <w:r>
              <w:rPr>
                <w:color w:val="000000"/>
                <w:sz w:val="24"/>
                <w:szCs w:val="24"/>
              </w:rPr>
              <w:t>基金经理。</w:t>
            </w:r>
            <w:r>
              <w:rPr>
                <w:color w:val="000000"/>
                <w:sz w:val="24"/>
                <w:szCs w:val="24"/>
              </w:rPr>
              <w:t>2017</w:t>
            </w:r>
            <w:r>
              <w:rPr>
                <w:color w:val="000000"/>
                <w:sz w:val="24"/>
                <w:szCs w:val="24"/>
              </w:rPr>
              <w:t>年</w:t>
            </w:r>
            <w:r>
              <w:rPr>
                <w:color w:val="000000"/>
                <w:sz w:val="24"/>
                <w:szCs w:val="24"/>
              </w:rPr>
              <w:t>8</w:t>
            </w:r>
            <w:r>
              <w:rPr>
                <w:color w:val="000000"/>
                <w:sz w:val="24"/>
                <w:szCs w:val="24"/>
              </w:rPr>
              <w:t>月起兼任海富通添</w:t>
            </w:r>
            <w:proofErr w:type="gramStart"/>
            <w:r>
              <w:rPr>
                <w:color w:val="000000"/>
                <w:sz w:val="24"/>
                <w:szCs w:val="24"/>
              </w:rPr>
              <w:t>益货币</w:t>
            </w:r>
            <w:proofErr w:type="gramEnd"/>
            <w:r>
              <w:rPr>
                <w:color w:val="000000"/>
                <w:sz w:val="24"/>
                <w:szCs w:val="24"/>
              </w:rPr>
              <w:t>基金经理。</w:t>
            </w:r>
          </w:p>
        </w:tc>
      </w:tr>
      <w:tr w:rsidR="00376FEF">
        <w:trPr>
          <w:jc w:val="center"/>
        </w:trPr>
        <w:tc>
          <w:tcPr>
            <w:tcW w:w="846" w:type="dxa"/>
            <w:vAlign w:val="center"/>
          </w:tcPr>
          <w:p w:rsidR="00376FEF" w:rsidRDefault="00C56B08">
            <w:pPr>
              <w:jc w:val="center"/>
            </w:pPr>
            <w:proofErr w:type="gramStart"/>
            <w:r>
              <w:rPr>
                <w:color w:val="000000"/>
                <w:sz w:val="24"/>
                <w:szCs w:val="24"/>
              </w:rPr>
              <w:lastRenderedPageBreak/>
              <w:t>张靖爽</w:t>
            </w:r>
            <w:proofErr w:type="gramEnd"/>
          </w:p>
        </w:tc>
        <w:tc>
          <w:tcPr>
            <w:tcW w:w="845" w:type="dxa"/>
            <w:vAlign w:val="center"/>
          </w:tcPr>
          <w:p w:rsidR="00376FEF" w:rsidRDefault="00C56B08">
            <w:pPr>
              <w:jc w:val="center"/>
            </w:pPr>
            <w:r>
              <w:rPr>
                <w:color w:val="000000"/>
                <w:sz w:val="24"/>
                <w:szCs w:val="24"/>
              </w:rPr>
              <w:t>本基金的基金经理；海富通一年定开债券基金经理；</w:t>
            </w:r>
            <w:proofErr w:type="gramStart"/>
            <w:r>
              <w:rPr>
                <w:color w:val="000000"/>
                <w:sz w:val="24"/>
                <w:szCs w:val="24"/>
              </w:rPr>
              <w:t>海富通纯债债券</w:t>
            </w:r>
            <w:proofErr w:type="gramEnd"/>
            <w:r>
              <w:rPr>
                <w:color w:val="000000"/>
                <w:sz w:val="24"/>
                <w:szCs w:val="24"/>
              </w:rPr>
              <w:t>基金经理；海富通瑞福一年定开债券基金经理；海富通</w:t>
            </w:r>
            <w:r>
              <w:rPr>
                <w:color w:val="000000"/>
                <w:sz w:val="24"/>
                <w:szCs w:val="24"/>
              </w:rPr>
              <w:lastRenderedPageBreak/>
              <w:t>瑞</w:t>
            </w:r>
            <w:proofErr w:type="gramStart"/>
            <w:r>
              <w:rPr>
                <w:color w:val="000000"/>
                <w:sz w:val="24"/>
                <w:szCs w:val="24"/>
              </w:rPr>
              <w:t>祥</w:t>
            </w:r>
            <w:proofErr w:type="gramEnd"/>
            <w:r>
              <w:rPr>
                <w:color w:val="000000"/>
                <w:sz w:val="24"/>
                <w:szCs w:val="24"/>
              </w:rPr>
              <w:t>一年定开债券基金经理。</w:t>
            </w:r>
          </w:p>
        </w:tc>
        <w:tc>
          <w:tcPr>
            <w:tcW w:w="1549" w:type="dxa"/>
            <w:vAlign w:val="center"/>
          </w:tcPr>
          <w:p w:rsidR="00376FEF" w:rsidRDefault="00C56B08">
            <w:pPr>
              <w:jc w:val="center"/>
            </w:pPr>
            <w:r>
              <w:rPr>
                <w:color w:val="000000"/>
                <w:sz w:val="24"/>
                <w:szCs w:val="24"/>
              </w:rPr>
              <w:lastRenderedPageBreak/>
              <w:t>2016-07-22</w:t>
            </w:r>
          </w:p>
        </w:tc>
        <w:tc>
          <w:tcPr>
            <w:tcW w:w="1548" w:type="dxa"/>
            <w:vAlign w:val="center"/>
          </w:tcPr>
          <w:p w:rsidR="00376FEF" w:rsidRDefault="00C56B08">
            <w:pPr>
              <w:jc w:val="center"/>
            </w:pPr>
            <w:r>
              <w:rPr>
                <w:color w:val="000000"/>
                <w:sz w:val="24"/>
                <w:szCs w:val="24"/>
              </w:rPr>
              <w:t>-</w:t>
            </w:r>
          </w:p>
        </w:tc>
        <w:tc>
          <w:tcPr>
            <w:tcW w:w="1407" w:type="dxa"/>
            <w:vAlign w:val="center"/>
          </w:tcPr>
          <w:p w:rsidR="00376FEF" w:rsidRDefault="00C56B08">
            <w:pPr>
              <w:jc w:val="center"/>
            </w:pPr>
            <w:r>
              <w:rPr>
                <w:color w:val="000000"/>
                <w:sz w:val="24"/>
                <w:szCs w:val="24"/>
              </w:rPr>
              <w:t>7</w:t>
            </w:r>
            <w:r>
              <w:rPr>
                <w:color w:val="000000"/>
                <w:sz w:val="24"/>
                <w:szCs w:val="24"/>
              </w:rPr>
              <w:t>年</w:t>
            </w:r>
          </w:p>
        </w:tc>
        <w:tc>
          <w:tcPr>
            <w:tcW w:w="2673" w:type="dxa"/>
            <w:vAlign w:val="center"/>
          </w:tcPr>
          <w:p w:rsidR="00376FEF" w:rsidRDefault="00C56B08">
            <w:r>
              <w:rPr>
                <w:color w:val="000000"/>
                <w:sz w:val="24"/>
                <w:szCs w:val="24"/>
              </w:rPr>
              <w:t>硕士，持有基金从业人员资格证书，历任中</w:t>
            </w:r>
            <w:proofErr w:type="gramStart"/>
            <w:r>
              <w:rPr>
                <w:color w:val="000000"/>
                <w:sz w:val="24"/>
                <w:szCs w:val="24"/>
              </w:rPr>
              <w:t>银基金</w:t>
            </w:r>
            <w:proofErr w:type="gramEnd"/>
            <w:r>
              <w:rPr>
                <w:color w:val="000000"/>
                <w:sz w:val="24"/>
                <w:szCs w:val="24"/>
              </w:rPr>
              <w:t>管理有限公司研究员，交银施罗德基金管理有限公司投资经理、基金经理助理、研究员。</w:t>
            </w:r>
            <w:r>
              <w:rPr>
                <w:color w:val="000000"/>
                <w:sz w:val="24"/>
                <w:szCs w:val="24"/>
              </w:rPr>
              <w:t>2016</w:t>
            </w:r>
            <w:r>
              <w:rPr>
                <w:color w:val="000000"/>
                <w:sz w:val="24"/>
                <w:szCs w:val="24"/>
              </w:rPr>
              <w:t>年</w:t>
            </w:r>
            <w:r>
              <w:rPr>
                <w:color w:val="000000"/>
                <w:sz w:val="24"/>
                <w:szCs w:val="24"/>
              </w:rPr>
              <w:t>7</w:t>
            </w:r>
            <w:r>
              <w:rPr>
                <w:color w:val="000000"/>
                <w:sz w:val="24"/>
                <w:szCs w:val="24"/>
              </w:rPr>
              <w:t>月起任海富通一年定开债券和海富通双利债券基金经理。</w:t>
            </w:r>
            <w:r>
              <w:rPr>
                <w:color w:val="000000"/>
                <w:sz w:val="24"/>
                <w:szCs w:val="24"/>
              </w:rPr>
              <w:t>2016</w:t>
            </w:r>
            <w:r>
              <w:rPr>
                <w:color w:val="000000"/>
                <w:sz w:val="24"/>
                <w:szCs w:val="24"/>
              </w:rPr>
              <w:t>年</w:t>
            </w:r>
            <w:r>
              <w:rPr>
                <w:color w:val="000000"/>
                <w:sz w:val="24"/>
                <w:szCs w:val="24"/>
              </w:rPr>
              <w:t>11</w:t>
            </w:r>
            <w:r>
              <w:rPr>
                <w:color w:val="000000"/>
                <w:sz w:val="24"/>
                <w:szCs w:val="24"/>
              </w:rPr>
              <w:t>月起兼任</w:t>
            </w:r>
            <w:proofErr w:type="gramStart"/>
            <w:r>
              <w:rPr>
                <w:color w:val="000000"/>
                <w:sz w:val="24"/>
                <w:szCs w:val="24"/>
              </w:rPr>
              <w:t>海富通纯债债券</w:t>
            </w:r>
            <w:proofErr w:type="gramEnd"/>
            <w:r>
              <w:rPr>
                <w:color w:val="000000"/>
                <w:sz w:val="24"/>
                <w:szCs w:val="24"/>
              </w:rPr>
              <w:t>基金经理。</w:t>
            </w:r>
            <w:r>
              <w:rPr>
                <w:color w:val="000000"/>
                <w:sz w:val="24"/>
                <w:szCs w:val="24"/>
              </w:rPr>
              <w:t>2017</w:t>
            </w:r>
            <w:r>
              <w:rPr>
                <w:color w:val="000000"/>
                <w:sz w:val="24"/>
                <w:szCs w:val="24"/>
              </w:rPr>
              <w:t>年</w:t>
            </w:r>
            <w:r>
              <w:rPr>
                <w:color w:val="000000"/>
                <w:sz w:val="24"/>
                <w:szCs w:val="24"/>
              </w:rPr>
              <w:t>8</w:t>
            </w:r>
            <w:r>
              <w:rPr>
                <w:color w:val="000000"/>
                <w:sz w:val="24"/>
                <w:szCs w:val="24"/>
              </w:rPr>
              <w:t>月起兼任海富通瑞福一年定开债券和海富通瑞</w:t>
            </w:r>
            <w:proofErr w:type="gramStart"/>
            <w:r>
              <w:rPr>
                <w:color w:val="000000"/>
                <w:sz w:val="24"/>
                <w:szCs w:val="24"/>
              </w:rPr>
              <w:t>祥</w:t>
            </w:r>
            <w:proofErr w:type="gramEnd"/>
            <w:r>
              <w:rPr>
                <w:color w:val="000000"/>
                <w:sz w:val="24"/>
                <w:szCs w:val="24"/>
              </w:rPr>
              <w:t>一年定开债券基金经理。</w:t>
            </w:r>
          </w:p>
        </w:tc>
      </w:tr>
    </w:tbl>
    <w:p w:rsidR="00376FEF" w:rsidRDefault="00C56B08">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1</w:t>
      </w:r>
      <w:r>
        <w:rPr>
          <w:color w:val="000000"/>
          <w:sz w:val="24"/>
          <w:szCs w:val="24"/>
        </w:rPr>
        <w:t>、对基金的</w:t>
      </w:r>
      <w:proofErr w:type="gramStart"/>
      <w:r>
        <w:rPr>
          <w:color w:val="000000"/>
          <w:sz w:val="24"/>
          <w:szCs w:val="24"/>
        </w:rPr>
        <w:t>首任基金</w:t>
      </w:r>
      <w:proofErr w:type="gramEnd"/>
      <w:r>
        <w:rPr>
          <w:color w:val="000000"/>
          <w:sz w:val="24"/>
          <w:szCs w:val="24"/>
        </w:rPr>
        <w:t>经理，其任职日期指基金合同生效日，离任日期指公司做出决定之日；非</w:t>
      </w:r>
      <w:proofErr w:type="gramStart"/>
      <w:r>
        <w:rPr>
          <w:color w:val="000000"/>
          <w:sz w:val="24"/>
          <w:szCs w:val="24"/>
        </w:rPr>
        <w:t>首任基金</w:t>
      </w:r>
      <w:proofErr w:type="gramEnd"/>
      <w:r>
        <w:rPr>
          <w:color w:val="000000"/>
          <w:sz w:val="24"/>
          <w:szCs w:val="24"/>
        </w:rPr>
        <w:t>经理，其任职日期和离任日期均指公司做出决定之日。</w:t>
      </w:r>
      <w:r>
        <w:rPr>
          <w:color w:val="000000"/>
          <w:sz w:val="24"/>
          <w:szCs w:val="24"/>
        </w:rPr>
        <w:t xml:space="preserve"> </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、证券从业年限的计算标准为：自参加证券行业的相关工</w:t>
      </w:r>
      <w:r>
        <w:rPr>
          <w:color w:val="000000"/>
          <w:sz w:val="24"/>
          <w:szCs w:val="24"/>
        </w:rPr>
        <w:t>作开始计算。</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4.2 </w:t>
      </w:r>
      <w:r>
        <w:rPr>
          <w:b/>
          <w:bCs/>
          <w:color w:val="000000"/>
          <w:kern w:val="0"/>
          <w:sz w:val="24"/>
          <w:szCs w:val="24"/>
        </w:rPr>
        <w:t>管理人对报告期内本基金运作遵规守信情况的说明</w:t>
      </w:r>
    </w:p>
    <w:p w:rsidR="00376FEF" w:rsidRDefault="00C56B08">
      <w:pPr>
        <w:spacing w:before="29" w:line="288" w:lineRule="auto"/>
        <w:ind w:firstLineChars="200" w:firstLine="480"/>
        <w:rPr>
          <w:color w:val="000000"/>
          <w:sz w:val="24"/>
          <w:szCs w:val="24"/>
        </w:rPr>
      </w:pPr>
      <w:r>
        <w:rPr>
          <w:color w:val="000000"/>
          <w:sz w:val="24"/>
          <w:szCs w:val="24"/>
        </w:rPr>
        <w:t>本报告期内，本基金管理人认真遵循《中华人民共和国证券投资基金法》及其他有关法律法规、基金合同的规定，本着诚实信用、勤勉尽职的原则管理和运用基金资产，没有发生损害基金份额持有人利益的行为。</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4.3 </w:t>
      </w:r>
      <w:r>
        <w:rPr>
          <w:b/>
          <w:bCs/>
          <w:color w:val="000000"/>
          <w:kern w:val="0"/>
          <w:sz w:val="24"/>
          <w:szCs w:val="24"/>
        </w:rPr>
        <w:t>公平交易专项说明</w:t>
      </w:r>
    </w:p>
    <w:p w:rsidR="00376FEF" w:rsidRDefault="00C56B08">
      <w:pPr>
        <w:spacing w:before="29" w:line="288" w:lineRule="auto"/>
        <w:rPr>
          <w:color w:val="000000"/>
          <w:sz w:val="24"/>
          <w:szCs w:val="24"/>
        </w:rPr>
      </w:pPr>
      <w:r>
        <w:rPr>
          <w:color w:val="000000"/>
          <w:sz w:val="24"/>
          <w:szCs w:val="24"/>
        </w:rPr>
        <w:t xml:space="preserve">4.3.1 </w:t>
      </w:r>
      <w:r>
        <w:rPr>
          <w:color w:val="000000"/>
          <w:sz w:val="24"/>
          <w:szCs w:val="24"/>
        </w:rPr>
        <w:t>公平交易制度的执行情况</w:t>
      </w:r>
    </w:p>
    <w:p w:rsidR="00376FEF" w:rsidRDefault="00C56B08">
      <w:pPr>
        <w:spacing w:before="29" w:line="288" w:lineRule="auto"/>
        <w:ind w:firstLineChars="200" w:firstLine="480"/>
        <w:rPr>
          <w:color w:val="000000"/>
          <w:sz w:val="24"/>
          <w:szCs w:val="24"/>
        </w:rPr>
      </w:pPr>
      <w:r>
        <w:rPr>
          <w:color w:val="000000"/>
          <w:sz w:val="24"/>
          <w:szCs w:val="24"/>
        </w:rPr>
        <w:t>公司根据证监会</w:t>
      </w:r>
      <w:r>
        <w:rPr>
          <w:color w:val="000000"/>
          <w:sz w:val="24"/>
          <w:szCs w:val="24"/>
        </w:rPr>
        <w:t>2011</w:t>
      </w:r>
      <w:r>
        <w:rPr>
          <w:color w:val="000000"/>
          <w:sz w:val="24"/>
          <w:szCs w:val="24"/>
        </w:rPr>
        <w:t>年发布的《证券投资基金管理公司公平交易制度指导意见》的具体要求，持续完善了公司投资交易业务流程和公平交易制度。制度和流程覆盖了境内上市股票、债券的一级市场申购、二级市场交易等投资管理活动，涵盖了授权、研究分析、投资决策、交易执行、业绩评估等投资管理活动相关的各个环节。同时，公司投资交易业务组织架构保证了各投资组合投资决策相对独立，确保其在获得投资信息、投资建议和实施投资决策方面享有公平的机会。</w:t>
      </w:r>
    </w:p>
    <w:p w:rsidR="00376FEF" w:rsidRDefault="00C56B08">
      <w:pPr>
        <w:spacing w:before="29" w:line="288" w:lineRule="auto"/>
        <w:ind w:firstLineChars="200" w:firstLine="480"/>
        <w:rPr>
          <w:color w:val="000000"/>
          <w:sz w:val="24"/>
          <w:szCs w:val="24"/>
        </w:rPr>
      </w:pPr>
      <w:r>
        <w:rPr>
          <w:color w:val="000000"/>
          <w:sz w:val="24"/>
          <w:szCs w:val="24"/>
        </w:rPr>
        <w:t>公司建立了严格的投资交易行为监控制度，公司投资交易行为监控体系由交易室、投资部、监察稽核部和</w:t>
      </w:r>
      <w:r>
        <w:rPr>
          <w:color w:val="000000"/>
          <w:sz w:val="24"/>
          <w:szCs w:val="24"/>
        </w:rPr>
        <w:t>风险管理部组成，各部门各司其职，对投资交易行为进行事前、事中和事后的全程监控，保证公平交易制度的执行和实现。</w:t>
      </w:r>
    </w:p>
    <w:p w:rsidR="00376FEF" w:rsidRDefault="00C56B08">
      <w:pPr>
        <w:spacing w:before="29" w:line="288" w:lineRule="auto"/>
        <w:ind w:firstLineChars="200" w:firstLine="480"/>
        <w:rPr>
          <w:color w:val="000000"/>
          <w:sz w:val="24"/>
          <w:szCs w:val="24"/>
        </w:rPr>
      </w:pPr>
      <w:r>
        <w:rPr>
          <w:color w:val="000000"/>
          <w:sz w:val="24"/>
          <w:szCs w:val="24"/>
        </w:rPr>
        <w:t>报告期内，公司对本基金与公司旗下所有其他投资组合之间的整体收益率差异、分投资类别（股票、债券）的收益率差异进行了分析，并采集了连续四个季度期间内、不同时间窗下（如日内、</w:t>
      </w:r>
      <w:r>
        <w:rPr>
          <w:color w:val="000000"/>
          <w:sz w:val="24"/>
          <w:szCs w:val="24"/>
        </w:rPr>
        <w:t>3</w:t>
      </w:r>
      <w:r>
        <w:rPr>
          <w:color w:val="000000"/>
          <w:sz w:val="24"/>
          <w:szCs w:val="24"/>
        </w:rPr>
        <w:t>日内、</w:t>
      </w:r>
      <w:r>
        <w:rPr>
          <w:color w:val="000000"/>
          <w:sz w:val="24"/>
          <w:szCs w:val="24"/>
        </w:rPr>
        <w:t>5</w:t>
      </w:r>
      <w:r>
        <w:rPr>
          <w:color w:val="000000"/>
          <w:sz w:val="24"/>
          <w:szCs w:val="24"/>
        </w:rPr>
        <w:t>日内）同向交易的样本，对其进行了</w:t>
      </w:r>
      <w:r>
        <w:rPr>
          <w:color w:val="000000"/>
          <w:sz w:val="24"/>
          <w:szCs w:val="24"/>
        </w:rPr>
        <w:t>95%</w:t>
      </w:r>
      <w:r>
        <w:rPr>
          <w:color w:val="000000"/>
          <w:sz w:val="24"/>
          <w:szCs w:val="24"/>
        </w:rPr>
        <w:t>置信区间，假设溢价率为</w:t>
      </w:r>
      <w:r>
        <w:rPr>
          <w:color w:val="000000"/>
          <w:sz w:val="24"/>
          <w:szCs w:val="24"/>
        </w:rPr>
        <w:t>0</w:t>
      </w:r>
      <w:r>
        <w:rPr>
          <w:color w:val="000000"/>
          <w:sz w:val="24"/>
          <w:szCs w:val="24"/>
        </w:rPr>
        <w:t>的</w:t>
      </w:r>
      <w:r>
        <w:rPr>
          <w:color w:val="000000"/>
          <w:sz w:val="24"/>
          <w:szCs w:val="24"/>
        </w:rPr>
        <w:t>T</w:t>
      </w:r>
      <w:r>
        <w:rPr>
          <w:color w:val="000000"/>
          <w:sz w:val="24"/>
          <w:szCs w:val="24"/>
        </w:rPr>
        <w:t>分布检验，检验结果表明，在</w:t>
      </w:r>
      <w:r>
        <w:rPr>
          <w:color w:val="000000"/>
          <w:sz w:val="24"/>
          <w:szCs w:val="24"/>
        </w:rPr>
        <w:t>T</w:t>
      </w:r>
      <w:r>
        <w:rPr>
          <w:color w:val="000000"/>
          <w:sz w:val="24"/>
          <w:szCs w:val="24"/>
        </w:rPr>
        <w:t>日、</w:t>
      </w:r>
      <w:r>
        <w:rPr>
          <w:color w:val="000000"/>
          <w:sz w:val="24"/>
          <w:szCs w:val="24"/>
        </w:rPr>
        <w:t>T+3</w:t>
      </w:r>
      <w:r>
        <w:rPr>
          <w:color w:val="000000"/>
          <w:sz w:val="24"/>
          <w:szCs w:val="24"/>
        </w:rPr>
        <w:t>日和</w:t>
      </w:r>
      <w:r>
        <w:rPr>
          <w:color w:val="000000"/>
          <w:sz w:val="24"/>
          <w:szCs w:val="24"/>
        </w:rPr>
        <w:t>T+5</w:t>
      </w:r>
      <w:r>
        <w:rPr>
          <w:color w:val="000000"/>
          <w:sz w:val="24"/>
          <w:szCs w:val="24"/>
        </w:rPr>
        <w:t>日不同循环期内，不管是买入或是卖出，公司各</w:t>
      </w:r>
      <w:proofErr w:type="gramStart"/>
      <w:r>
        <w:rPr>
          <w:color w:val="000000"/>
          <w:sz w:val="24"/>
          <w:szCs w:val="24"/>
        </w:rPr>
        <w:t>组合间买卖价</w:t>
      </w:r>
      <w:proofErr w:type="gramEnd"/>
      <w:r>
        <w:rPr>
          <w:color w:val="000000"/>
          <w:sz w:val="24"/>
          <w:szCs w:val="24"/>
        </w:rPr>
        <w:t>差不显著，表明报告期内公司对旗下各基金进行了公平对待，不</w:t>
      </w:r>
      <w:r>
        <w:rPr>
          <w:color w:val="000000"/>
          <w:sz w:val="24"/>
          <w:szCs w:val="24"/>
        </w:rPr>
        <w:t>存在各投资组合之间进行利益输送的行为。</w:t>
      </w:r>
    </w:p>
    <w:p w:rsidR="00376FEF" w:rsidRDefault="00C56B08">
      <w:pPr>
        <w:spacing w:before="29" w:line="288" w:lineRule="auto"/>
        <w:rPr>
          <w:color w:val="000000"/>
          <w:sz w:val="24"/>
          <w:szCs w:val="24"/>
        </w:rPr>
      </w:pPr>
      <w:r>
        <w:rPr>
          <w:color w:val="000000"/>
          <w:sz w:val="24"/>
          <w:szCs w:val="24"/>
        </w:rPr>
        <w:t xml:space="preserve">4.3.2 </w:t>
      </w:r>
      <w:r>
        <w:rPr>
          <w:color w:val="000000"/>
          <w:sz w:val="24"/>
          <w:szCs w:val="24"/>
        </w:rPr>
        <w:t>异常交易行为的专项说明</w:t>
      </w:r>
    </w:p>
    <w:p w:rsidR="00376FEF" w:rsidRDefault="00C56B08">
      <w:pPr>
        <w:spacing w:before="29" w:line="288" w:lineRule="auto"/>
        <w:ind w:firstLineChars="200" w:firstLine="480"/>
        <w:rPr>
          <w:color w:val="000000"/>
          <w:sz w:val="24"/>
          <w:szCs w:val="24"/>
        </w:rPr>
      </w:pPr>
      <w:r>
        <w:rPr>
          <w:color w:val="000000"/>
          <w:sz w:val="24"/>
          <w:szCs w:val="24"/>
        </w:rPr>
        <w:t>本报告期内，未发现本基金进行可能导致不公平交易和利益输送的异常交易。</w:t>
      </w:r>
    </w:p>
    <w:p w:rsidR="00376FEF" w:rsidRDefault="00376FEF">
      <w:pPr>
        <w:spacing w:before="29" w:line="288" w:lineRule="auto"/>
        <w:ind w:firstLineChars="200" w:firstLine="480"/>
        <w:rPr>
          <w:color w:val="000000"/>
          <w:sz w:val="24"/>
          <w:szCs w:val="24"/>
        </w:rPr>
      </w:pPr>
    </w:p>
    <w:p w:rsidR="00376FEF" w:rsidRDefault="00C56B08">
      <w:pPr>
        <w:spacing w:before="29" w:line="288" w:lineRule="auto"/>
        <w:rPr>
          <w:sz w:val="24"/>
          <w:szCs w:val="24"/>
        </w:rPr>
      </w:pPr>
      <w:r>
        <w:rPr>
          <w:b/>
          <w:color w:val="000000"/>
          <w:kern w:val="0"/>
          <w:sz w:val="24"/>
        </w:rPr>
        <w:t xml:space="preserve">4.4 </w:t>
      </w:r>
      <w:r>
        <w:rPr>
          <w:rFonts w:hAnsi="宋体"/>
          <w:b/>
          <w:bCs/>
          <w:color w:val="000000"/>
          <w:sz w:val="24"/>
        </w:rPr>
        <w:t>报告期内基金的投资策略和运作分析</w:t>
      </w:r>
    </w:p>
    <w:p w:rsidR="00376FEF" w:rsidRDefault="00C56B08">
      <w:pPr>
        <w:spacing w:before="29" w:line="288" w:lineRule="auto"/>
        <w:ind w:firstLineChars="200" w:firstLine="480"/>
        <w:rPr>
          <w:color w:val="000000"/>
          <w:sz w:val="24"/>
          <w:szCs w:val="24"/>
        </w:rPr>
      </w:pPr>
      <w:r>
        <w:rPr>
          <w:color w:val="000000"/>
          <w:sz w:val="24"/>
          <w:szCs w:val="24"/>
        </w:rPr>
        <w:t>三季度经济基本面呈现温和放缓的态势</w:t>
      </w:r>
      <w:r>
        <w:rPr>
          <w:color w:val="000000"/>
          <w:sz w:val="24"/>
          <w:szCs w:val="24"/>
        </w:rPr>
        <w:t>,</w:t>
      </w:r>
      <w:r>
        <w:rPr>
          <w:color w:val="000000"/>
          <w:sz w:val="24"/>
          <w:szCs w:val="24"/>
        </w:rPr>
        <w:t>工业增加值</w:t>
      </w:r>
      <w:r>
        <w:rPr>
          <w:color w:val="000000"/>
          <w:sz w:val="24"/>
          <w:szCs w:val="24"/>
        </w:rPr>
        <w:t>6</w:t>
      </w:r>
      <w:r>
        <w:rPr>
          <w:color w:val="000000"/>
          <w:sz w:val="24"/>
          <w:szCs w:val="24"/>
        </w:rPr>
        <w:t>、</w:t>
      </w:r>
      <w:r>
        <w:rPr>
          <w:color w:val="000000"/>
          <w:sz w:val="24"/>
          <w:szCs w:val="24"/>
        </w:rPr>
        <w:t>7</w:t>
      </w:r>
      <w:r>
        <w:rPr>
          <w:color w:val="000000"/>
          <w:sz w:val="24"/>
          <w:szCs w:val="24"/>
        </w:rPr>
        <w:t>、</w:t>
      </w:r>
      <w:r>
        <w:rPr>
          <w:color w:val="000000"/>
          <w:sz w:val="24"/>
          <w:szCs w:val="24"/>
        </w:rPr>
        <w:t>8</w:t>
      </w:r>
      <w:r>
        <w:rPr>
          <w:color w:val="000000"/>
          <w:sz w:val="24"/>
          <w:szCs w:val="24"/>
        </w:rPr>
        <w:t>月逐月下滑。同时，</w:t>
      </w:r>
      <w:r>
        <w:rPr>
          <w:color w:val="000000"/>
          <w:sz w:val="24"/>
          <w:szCs w:val="24"/>
        </w:rPr>
        <w:lastRenderedPageBreak/>
        <w:t>房地产投资依然较为稳定，信贷需求稳中向好，经济仍显示出较强的韧性。</w:t>
      </w:r>
    </w:p>
    <w:p w:rsidR="00376FEF" w:rsidRDefault="00C56B08">
      <w:pPr>
        <w:spacing w:before="29" w:line="288" w:lineRule="auto"/>
        <w:ind w:firstLineChars="200" w:firstLine="480"/>
        <w:rPr>
          <w:color w:val="000000"/>
          <w:sz w:val="24"/>
          <w:szCs w:val="24"/>
        </w:rPr>
      </w:pPr>
      <w:r>
        <w:rPr>
          <w:color w:val="000000"/>
          <w:sz w:val="24"/>
          <w:szCs w:val="24"/>
        </w:rPr>
        <w:t>货币政策方面，三季度货币政策继续保持中性稳健，</w:t>
      </w:r>
      <w:r>
        <w:rPr>
          <w:color w:val="000000"/>
          <w:sz w:val="24"/>
          <w:szCs w:val="24"/>
        </w:rPr>
        <w:t>9</w:t>
      </w:r>
      <w:r>
        <w:rPr>
          <w:color w:val="000000"/>
          <w:sz w:val="24"/>
          <w:szCs w:val="24"/>
        </w:rPr>
        <w:t>月</w:t>
      </w:r>
      <w:r>
        <w:rPr>
          <w:color w:val="000000"/>
          <w:sz w:val="24"/>
          <w:szCs w:val="24"/>
        </w:rPr>
        <w:t>30</w:t>
      </w:r>
      <w:r>
        <w:rPr>
          <w:color w:val="000000"/>
          <w:sz w:val="24"/>
          <w:szCs w:val="24"/>
        </w:rPr>
        <w:t>日央行宣布明年初针对满足普惠金融标准的银行实施定向降准，对原有定向</w:t>
      </w:r>
      <w:proofErr w:type="gramStart"/>
      <w:r>
        <w:rPr>
          <w:color w:val="000000"/>
          <w:sz w:val="24"/>
          <w:szCs w:val="24"/>
        </w:rPr>
        <w:t>降准政策</w:t>
      </w:r>
      <w:proofErr w:type="gramEnd"/>
      <w:r>
        <w:rPr>
          <w:color w:val="000000"/>
          <w:sz w:val="24"/>
          <w:szCs w:val="24"/>
        </w:rPr>
        <w:t>进行拓展和优化，依然保持中性态度。整个三季度央行主要通过公开市场</w:t>
      </w:r>
      <w:r>
        <w:rPr>
          <w:color w:val="000000"/>
          <w:sz w:val="24"/>
          <w:szCs w:val="24"/>
        </w:rPr>
        <w:t>“</w:t>
      </w:r>
      <w:r>
        <w:rPr>
          <w:color w:val="000000"/>
          <w:sz w:val="24"/>
          <w:szCs w:val="24"/>
        </w:rPr>
        <w:t>削峰填谷</w:t>
      </w:r>
      <w:r>
        <w:rPr>
          <w:color w:val="000000"/>
          <w:sz w:val="24"/>
          <w:szCs w:val="24"/>
        </w:rPr>
        <w:t>”</w:t>
      </w:r>
      <w:r>
        <w:rPr>
          <w:color w:val="000000"/>
          <w:sz w:val="24"/>
          <w:szCs w:val="24"/>
        </w:rPr>
        <w:t>式的操作来维持银行体系资金面的总体平稳，虽然非银体系仍时而出现结构性紧张，但资金利率的波动区间较上半年有所收敛。</w:t>
      </w:r>
    </w:p>
    <w:p w:rsidR="00376FEF" w:rsidRDefault="00C56B08">
      <w:pPr>
        <w:spacing w:before="29" w:line="288" w:lineRule="auto"/>
        <w:ind w:firstLineChars="200" w:firstLine="480"/>
        <w:rPr>
          <w:color w:val="000000"/>
          <w:sz w:val="24"/>
          <w:szCs w:val="24"/>
        </w:rPr>
      </w:pPr>
      <w:r>
        <w:rPr>
          <w:color w:val="000000"/>
          <w:sz w:val="24"/>
          <w:szCs w:val="24"/>
        </w:rPr>
        <w:t>金融监管方面，《同业存单管理暂行办法》、《公开募集开放式证券投资基金流动性风险管理规定》等政策陆续出台，继续加强对同业资金链条的管控，监管协调性越来越强。</w:t>
      </w:r>
    </w:p>
    <w:p w:rsidR="00376FEF" w:rsidRDefault="00C56B08">
      <w:pPr>
        <w:spacing w:before="29" w:line="288" w:lineRule="auto"/>
        <w:ind w:firstLineChars="200" w:firstLine="480"/>
        <w:rPr>
          <w:color w:val="000000"/>
          <w:sz w:val="24"/>
          <w:szCs w:val="24"/>
        </w:rPr>
      </w:pPr>
      <w:r>
        <w:rPr>
          <w:color w:val="000000"/>
          <w:sz w:val="24"/>
          <w:szCs w:val="24"/>
        </w:rPr>
        <w:t>总体看三季度经济</w:t>
      </w:r>
      <w:r>
        <w:rPr>
          <w:color w:val="000000"/>
          <w:sz w:val="24"/>
          <w:szCs w:val="24"/>
        </w:rPr>
        <w:t>“</w:t>
      </w:r>
      <w:r>
        <w:rPr>
          <w:color w:val="000000"/>
          <w:sz w:val="24"/>
          <w:szCs w:val="24"/>
        </w:rPr>
        <w:t>不好不坏</w:t>
      </w:r>
      <w:r>
        <w:rPr>
          <w:color w:val="000000"/>
          <w:sz w:val="24"/>
          <w:szCs w:val="24"/>
        </w:rPr>
        <w:t>”</w:t>
      </w:r>
      <w:r>
        <w:rPr>
          <w:color w:val="000000"/>
          <w:sz w:val="24"/>
          <w:szCs w:val="24"/>
        </w:rPr>
        <w:t>，政策</w:t>
      </w:r>
      <w:r>
        <w:rPr>
          <w:color w:val="000000"/>
          <w:sz w:val="24"/>
          <w:szCs w:val="24"/>
        </w:rPr>
        <w:t>“</w:t>
      </w:r>
      <w:r>
        <w:rPr>
          <w:color w:val="000000"/>
          <w:sz w:val="24"/>
          <w:szCs w:val="24"/>
        </w:rPr>
        <w:t>不</w:t>
      </w:r>
      <w:r>
        <w:rPr>
          <w:color w:val="000000"/>
          <w:sz w:val="24"/>
          <w:szCs w:val="24"/>
        </w:rPr>
        <w:t>紧不松</w:t>
      </w:r>
      <w:r>
        <w:rPr>
          <w:color w:val="000000"/>
          <w:sz w:val="24"/>
          <w:szCs w:val="24"/>
        </w:rPr>
        <w:t>”</w:t>
      </w:r>
      <w:r>
        <w:rPr>
          <w:color w:val="000000"/>
          <w:sz w:val="24"/>
          <w:szCs w:val="24"/>
        </w:rPr>
        <w:t>，十年期国债收益率在（</w:t>
      </w:r>
      <w:r>
        <w:rPr>
          <w:color w:val="000000"/>
          <w:sz w:val="24"/>
          <w:szCs w:val="24"/>
        </w:rPr>
        <w:t>3.55%,3.7%</w:t>
      </w:r>
      <w:r>
        <w:rPr>
          <w:color w:val="000000"/>
          <w:sz w:val="24"/>
          <w:szCs w:val="24"/>
        </w:rPr>
        <w:t>）的区间窄幅波动，短</w:t>
      </w:r>
      <w:proofErr w:type="gramStart"/>
      <w:r>
        <w:rPr>
          <w:color w:val="000000"/>
          <w:sz w:val="24"/>
          <w:szCs w:val="24"/>
        </w:rPr>
        <w:t>端利率</w:t>
      </w:r>
      <w:proofErr w:type="gramEnd"/>
      <w:r>
        <w:rPr>
          <w:color w:val="000000"/>
          <w:sz w:val="24"/>
          <w:szCs w:val="24"/>
        </w:rPr>
        <w:t>先下后上，收益率曲线趋于平坦化。信用债方面，</w:t>
      </w:r>
      <w:proofErr w:type="gramStart"/>
      <w:r>
        <w:rPr>
          <w:color w:val="000000"/>
          <w:sz w:val="24"/>
          <w:szCs w:val="24"/>
        </w:rPr>
        <w:t>短久期</w:t>
      </w:r>
      <w:proofErr w:type="gramEnd"/>
      <w:r>
        <w:rPr>
          <w:color w:val="000000"/>
          <w:sz w:val="24"/>
          <w:szCs w:val="24"/>
        </w:rPr>
        <w:t>品种收益率上行、期限利差收缩、信用利差走扩，中长久期品种收益率下行、信用利差压缩，体现出市场对中等期限的</w:t>
      </w:r>
      <w:proofErr w:type="gramStart"/>
      <w:r>
        <w:rPr>
          <w:color w:val="000000"/>
          <w:sz w:val="24"/>
          <w:szCs w:val="24"/>
        </w:rPr>
        <w:t>信用债仍有</w:t>
      </w:r>
      <w:proofErr w:type="gramEnd"/>
      <w:r>
        <w:rPr>
          <w:color w:val="000000"/>
          <w:sz w:val="24"/>
          <w:szCs w:val="24"/>
        </w:rPr>
        <w:t>一定的配置需求。可转债方面，三季度中</w:t>
      </w:r>
      <w:proofErr w:type="gramStart"/>
      <w:r>
        <w:rPr>
          <w:color w:val="000000"/>
          <w:sz w:val="24"/>
          <w:szCs w:val="24"/>
        </w:rPr>
        <w:t>证转债指数</w:t>
      </w:r>
      <w:proofErr w:type="gramEnd"/>
      <w:r>
        <w:rPr>
          <w:color w:val="000000"/>
          <w:sz w:val="24"/>
          <w:szCs w:val="24"/>
        </w:rPr>
        <w:t>涨</w:t>
      </w:r>
      <w:r>
        <w:rPr>
          <w:color w:val="000000"/>
          <w:sz w:val="24"/>
          <w:szCs w:val="24"/>
        </w:rPr>
        <w:t>4.26%</w:t>
      </w:r>
      <w:r>
        <w:rPr>
          <w:color w:val="000000"/>
          <w:sz w:val="24"/>
          <w:szCs w:val="24"/>
        </w:rPr>
        <w:t>，主要得益于七、八月股市上涨推动。</w:t>
      </w:r>
    </w:p>
    <w:p w:rsidR="00376FEF" w:rsidRDefault="00C56B08">
      <w:pPr>
        <w:spacing w:before="29" w:line="288" w:lineRule="auto"/>
        <w:ind w:firstLineChars="200" w:firstLine="480"/>
        <w:rPr>
          <w:color w:val="000000"/>
          <w:sz w:val="24"/>
          <w:szCs w:val="24"/>
        </w:rPr>
      </w:pPr>
      <w:r>
        <w:rPr>
          <w:color w:val="000000"/>
          <w:sz w:val="24"/>
          <w:szCs w:val="24"/>
        </w:rPr>
        <w:t>三季度，本基金整体保持</w:t>
      </w:r>
      <w:proofErr w:type="gramStart"/>
      <w:r>
        <w:rPr>
          <w:color w:val="000000"/>
          <w:sz w:val="24"/>
          <w:szCs w:val="24"/>
        </w:rPr>
        <w:t>短久期</w:t>
      </w:r>
      <w:proofErr w:type="gramEnd"/>
      <w:r>
        <w:rPr>
          <w:color w:val="000000"/>
          <w:sz w:val="24"/>
          <w:szCs w:val="24"/>
        </w:rPr>
        <w:t>、低</w:t>
      </w:r>
      <w:proofErr w:type="gramStart"/>
      <w:r>
        <w:rPr>
          <w:color w:val="000000"/>
          <w:sz w:val="24"/>
          <w:szCs w:val="24"/>
        </w:rPr>
        <w:t>仓位</w:t>
      </w:r>
      <w:proofErr w:type="gramEnd"/>
      <w:r>
        <w:rPr>
          <w:color w:val="000000"/>
          <w:sz w:val="24"/>
          <w:szCs w:val="24"/>
        </w:rPr>
        <w:t>的防御性策略。</w:t>
      </w:r>
    </w:p>
    <w:p w:rsidR="00376FEF" w:rsidRDefault="00376FEF">
      <w:pPr>
        <w:spacing w:before="29" w:line="288" w:lineRule="auto"/>
        <w:ind w:firstLineChars="200" w:firstLine="480"/>
        <w:rPr>
          <w:color w:val="000000"/>
          <w:sz w:val="24"/>
          <w:szCs w:val="24"/>
        </w:rPr>
      </w:pPr>
    </w:p>
    <w:p w:rsidR="00376FEF" w:rsidRDefault="00C56B08">
      <w:pPr>
        <w:spacing w:before="29" w:line="288" w:lineRule="auto"/>
        <w:rPr>
          <w:sz w:val="24"/>
          <w:szCs w:val="24"/>
        </w:rPr>
      </w:pPr>
      <w:r>
        <w:rPr>
          <w:b/>
          <w:color w:val="000000"/>
          <w:kern w:val="0"/>
          <w:sz w:val="24"/>
        </w:rPr>
        <w:t>4.5</w:t>
      </w:r>
      <w:r>
        <w:rPr>
          <w:b/>
          <w:color w:val="000000"/>
          <w:kern w:val="0"/>
          <w:sz w:val="24"/>
        </w:rPr>
        <w:t>报告期内基金的业绩表现</w:t>
      </w:r>
    </w:p>
    <w:p w:rsidR="00376FEF" w:rsidRDefault="00C56B08">
      <w:pPr>
        <w:spacing w:before="29" w:line="288" w:lineRule="auto"/>
        <w:ind w:firstLineChars="200" w:firstLine="480"/>
        <w:rPr>
          <w:color w:val="000000"/>
          <w:sz w:val="24"/>
          <w:szCs w:val="24"/>
        </w:rPr>
      </w:pPr>
      <w:r>
        <w:rPr>
          <w:color w:val="000000"/>
          <w:sz w:val="24"/>
          <w:szCs w:val="24"/>
        </w:rPr>
        <w:t>报告期内，本基金净值增长率为</w:t>
      </w:r>
      <w:r>
        <w:rPr>
          <w:color w:val="000000"/>
          <w:sz w:val="24"/>
          <w:szCs w:val="24"/>
        </w:rPr>
        <w:t>0.11%</w:t>
      </w:r>
      <w:r>
        <w:rPr>
          <w:color w:val="000000"/>
          <w:sz w:val="24"/>
          <w:szCs w:val="24"/>
        </w:rPr>
        <w:t>，同期业绩比较基准收益率为</w:t>
      </w:r>
      <w:r>
        <w:rPr>
          <w:color w:val="000000"/>
          <w:sz w:val="24"/>
          <w:szCs w:val="24"/>
        </w:rPr>
        <w:t>0.31%</w:t>
      </w:r>
      <w:r>
        <w:rPr>
          <w:color w:val="000000"/>
          <w:sz w:val="24"/>
          <w:szCs w:val="24"/>
        </w:rPr>
        <w:t>。</w:t>
      </w:r>
    </w:p>
    <w:p w:rsidR="00376FEF" w:rsidRDefault="00376FEF">
      <w:pPr>
        <w:spacing w:before="29" w:line="288" w:lineRule="auto"/>
        <w:ind w:firstLineChars="200" w:firstLine="480"/>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bookmarkStart w:id="1" w:name="_Toc245193825"/>
      <w:bookmarkStart w:id="2" w:name="_Toc255486598"/>
      <w:r>
        <w:rPr>
          <w:rFonts w:asciiTheme="minorEastAsia" w:eastAsiaTheme="minorEastAsia" w:hAnsiTheme="minorEastAsia"/>
          <w:b/>
          <w:color w:val="000000"/>
          <w:kern w:val="0"/>
          <w:sz w:val="24"/>
          <w:szCs w:val="24"/>
        </w:rPr>
        <w:t>4</w:t>
      </w:r>
      <w:r>
        <w:rPr>
          <w:rFonts w:asciiTheme="minorEastAsia" w:eastAsiaTheme="minorEastAsia" w:hAnsiTheme="minorEastAsia" w:hint="eastAsia"/>
          <w:b/>
          <w:color w:val="000000"/>
          <w:kern w:val="0"/>
          <w:sz w:val="24"/>
          <w:szCs w:val="24"/>
        </w:rPr>
        <w:t>.6</w:t>
      </w:r>
      <w:r>
        <w:rPr>
          <w:b/>
          <w:bCs/>
          <w:color w:val="000000"/>
          <w:kern w:val="0"/>
          <w:sz w:val="24"/>
          <w:szCs w:val="24"/>
        </w:rPr>
        <w:t>管理人对</w:t>
      </w:r>
      <w:r>
        <w:rPr>
          <w:b/>
          <w:bCs/>
          <w:color w:val="000000"/>
          <w:kern w:val="0"/>
          <w:sz w:val="24"/>
          <w:szCs w:val="24"/>
        </w:rPr>
        <w:t>宏观经济、证券市场及行业走势的简要展望</w:t>
      </w:r>
      <w:bookmarkEnd w:id="1"/>
      <w:bookmarkEnd w:id="2"/>
    </w:p>
    <w:p w:rsidR="00376FEF" w:rsidRDefault="00C56B08">
      <w:pPr>
        <w:tabs>
          <w:tab w:val="left" w:pos="3765"/>
        </w:tabs>
        <w:spacing w:before="29" w:line="288" w:lineRule="auto"/>
        <w:ind w:firstLine="420"/>
        <w:rPr>
          <w:color w:val="000000"/>
          <w:sz w:val="24"/>
          <w:szCs w:val="24"/>
        </w:rPr>
      </w:pPr>
      <w:r>
        <w:rPr>
          <w:color w:val="000000"/>
          <w:sz w:val="24"/>
          <w:szCs w:val="24"/>
        </w:rPr>
        <w:t>四季度经济仍有一定的回落压力，供给</w:t>
      </w:r>
      <w:proofErr w:type="gramStart"/>
      <w:r>
        <w:rPr>
          <w:color w:val="000000"/>
          <w:sz w:val="24"/>
          <w:szCs w:val="24"/>
        </w:rPr>
        <w:t>侧改革</w:t>
      </w:r>
      <w:proofErr w:type="gramEnd"/>
      <w:r>
        <w:rPr>
          <w:color w:val="000000"/>
          <w:sz w:val="24"/>
          <w:szCs w:val="24"/>
        </w:rPr>
        <w:t>和环保限产对于中上游行业的产出有所影响，而需求层面也呈现边际回落迹象。通胀方面，四季度</w:t>
      </w:r>
      <w:r>
        <w:rPr>
          <w:color w:val="000000"/>
          <w:sz w:val="24"/>
          <w:szCs w:val="24"/>
        </w:rPr>
        <w:t>PPI</w:t>
      </w:r>
      <w:r>
        <w:rPr>
          <w:color w:val="000000"/>
          <w:sz w:val="24"/>
          <w:szCs w:val="24"/>
        </w:rPr>
        <w:t>较难维持高增速，而</w:t>
      </w:r>
      <w:r>
        <w:rPr>
          <w:color w:val="000000"/>
          <w:sz w:val="24"/>
          <w:szCs w:val="24"/>
        </w:rPr>
        <w:t xml:space="preserve"> CPI</w:t>
      </w:r>
      <w:r>
        <w:rPr>
          <w:color w:val="000000"/>
          <w:sz w:val="24"/>
          <w:szCs w:val="24"/>
        </w:rPr>
        <w:t>的波动仍主要</w:t>
      </w:r>
      <w:proofErr w:type="gramStart"/>
      <w:r>
        <w:rPr>
          <w:color w:val="000000"/>
          <w:sz w:val="24"/>
          <w:szCs w:val="24"/>
        </w:rPr>
        <w:t>受食品</w:t>
      </w:r>
      <w:proofErr w:type="gramEnd"/>
      <w:r>
        <w:rPr>
          <w:color w:val="000000"/>
          <w:sz w:val="24"/>
          <w:szCs w:val="24"/>
        </w:rPr>
        <w:t>价格的影响，可能有所</w:t>
      </w:r>
      <w:proofErr w:type="gramStart"/>
      <w:r>
        <w:rPr>
          <w:color w:val="000000"/>
          <w:sz w:val="24"/>
          <w:szCs w:val="24"/>
        </w:rPr>
        <w:t>抬升但</w:t>
      </w:r>
      <w:proofErr w:type="gramEnd"/>
      <w:r>
        <w:rPr>
          <w:color w:val="000000"/>
          <w:sz w:val="24"/>
          <w:szCs w:val="24"/>
        </w:rPr>
        <w:t>年内压力可控。然而，监管和货币政策并未转向，仍对债市形成制约。十九大后各项监管政策有落地的可能，金融去杠杆的进程仍在继续。同时，九月美联储如期缩表，十二月加息概率增大，九月加拿大</w:t>
      </w:r>
      <w:proofErr w:type="gramStart"/>
      <w:r>
        <w:rPr>
          <w:color w:val="000000"/>
          <w:sz w:val="24"/>
          <w:szCs w:val="24"/>
        </w:rPr>
        <w:t>央行超</w:t>
      </w:r>
      <w:proofErr w:type="gramEnd"/>
      <w:r>
        <w:rPr>
          <w:color w:val="000000"/>
          <w:sz w:val="24"/>
          <w:szCs w:val="24"/>
        </w:rPr>
        <w:t>预期加息，四季度外围货币政策有继续收紧的可能。</w:t>
      </w:r>
    </w:p>
    <w:p w:rsidR="00376FEF" w:rsidRDefault="00C56B08">
      <w:pPr>
        <w:tabs>
          <w:tab w:val="left" w:pos="3765"/>
        </w:tabs>
        <w:spacing w:before="29" w:line="288" w:lineRule="auto"/>
        <w:ind w:firstLine="420"/>
        <w:rPr>
          <w:color w:val="000000"/>
          <w:sz w:val="24"/>
          <w:szCs w:val="24"/>
        </w:rPr>
      </w:pPr>
      <w:r>
        <w:rPr>
          <w:color w:val="000000"/>
          <w:sz w:val="24"/>
          <w:szCs w:val="24"/>
        </w:rPr>
        <w:t>在当前曲线及其平坦的情况下，信用债短</w:t>
      </w:r>
      <w:proofErr w:type="gramStart"/>
      <w:r>
        <w:rPr>
          <w:color w:val="000000"/>
          <w:sz w:val="24"/>
          <w:szCs w:val="24"/>
        </w:rPr>
        <w:t>端</w:t>
      </w:r>
      <w:r>
        <w:rPr>
          <w:color w:val="000000"/>
          <w:sz w:val="24"/>
          <w:szCs w:val="24"/>
        </w:rPr>
        <w:t>收益</w:t>
      </w:r>
      <w:proofErr w:type="gramEnd"/>
      <w:r>
        <w:rPr>
          <w:color w:val="000000"/>
          <w:sz w:val="24"/>
          <w:szCs w:val="24"/>
        </w:rPr>
        <w:t>的确定性更强。可转债四季度在正股和估值方面都有一些压力，整体机会或许不如三季度。随着新券标的增多，未来</w:t>
      </w:r>
      <w:proofErr w:type="gramStart"/>
      <w:r>
        <w:rPr>
          <w:color w:val="000000"/>
          <w:sz w:val="24"/>
          <w:szCs w:val="24"/>
        </w:rPr>
        <w:t>个券</w:t>
      </w:r>
      <w:proofErr w:type="gramEnd"/>
      <w:r>
        <w:rPr>
          <w:color w:val="000000"/>
          <w:sz w:val="24"/>
          <w:szCs w:val="24"/>
        </w:rPr>
        <w:t>表现分化，可积极挖掘新发行的优质</w:t>
      </w:r>
      <w:proofErr w:type="gramStart"/>
      <w:r>
        <w:rPr>
          <w:color w:val="000000"/>
          <w:sz w:val="24"/>
          <w:szCs w:val="24"/>
        </w:rPr>
        <w:t>个券</w:t>
      </w:r>
      <w:proofErr w:type="gramEnd"/>
      <w:r>
        <w:rPr>
          <w:color w:val="000000"/>
          <w:sz w:val="24"/>
          <w:szCs w:val="24"/>
        </w:rPr>
        <w:t>。</w:t>
      </w:r>
      <w:r>
        <w:rPr>
          <w:color w:val="000000"/>
          <w:sz w:val="24"/>
          <w:szCs w:val="24"/>
        </w:rPr>
        <w:tab/>
      </w:r>
    </w:p>
    <w:p w:rsidR="00376FEF" w:rsidRDefault="00376FEF">
      <w:pPr>
        <w:tabs>
          <w:tab w:val="left" w:pos="3765"/>
        </w:tabs>
        <w:spacing w:before="29" w:line="288" w:lineRule="auto"/>
        <w:ind w:firstLine="420"/>
        <w:rPr>
          <w:color w:val="000000"/>
          <w:sz w:val="24"/>
          <w:szCs w:val="24"/>
        </w:rPr>
      </w:pPr>
    </w:p>
    <w:p w:rsidR="00376FEF" w:rsidRDefault="00C56B08">
      <w:pPr>
        <w:autoSpaceDE w:val="0"/>
        <w:autoSpaceDN w:val="0"/>
        <w:adjustRightInd w:val="0"/>
        <w:spacing w:before="29" w:line="288" w:lineRule="auto"/>
        <w:jc w:val="left"/>
        <w:rPr>
          <w:rFonts w:asciiTheme="minorEastAsia" w:eastAsiaTheme="minorEastAsia" w:hAnsiTheme="minorEastAsia"/>
          <w:color w:val="000000"/>
          <w:sz w:val="24"/>
          <w:szCs w:val="24"/>
        </w:rPr>
      </w:pPr>
      <w:r>
        <w:rPr>
          <w:b/>
          <w:bCs/>
          <w:color w:val="000000"/>
          <w:kern w:val="0"/>
          <w:sz w:val="24"/>
          <w:szCs w:val="24"/>
        </w:rPr>
        <w:t>4</w:t>
      </w:r>
      <w:r>
        <w:rPr>
          <w:rFonts w:hint="eastAsia"/>
          <w:b/>
          <w:bCs/>
          <w:color w:val="000000"/>
          <w:kern w:val="0"/>
          <w:sz w:val="24"/>
          <w:szCs w:val="24"/>
        </w:rPr>
        <w:t>.7</w:t>
      </w:r>
      <w:r>
        <w:rPr>
          <w:rFonts w:hint="eastAsia"/>
          <w:b/>
          <w:bCs/>
          <w:color w:val="000000"/>
          <w:kern w:val="0"/>
          <w:sz w:val="24"/>
          <w:szCs w:val="24"/>
        </w:rPr>
        <w:t>报告期内基金持有人数或基金资产净值预警说明</w:t>
      </w:r>
    </w:p>
    <w:p w:rsidR="00376FEF" w:rsidRDefault="00C56B08">
      <w:pPr>
        <w:tabs>
          <w:tab w:val="left" w:pos="3765"/>
        </w:tabs>
        <w:spacing w:before="29" w:line="288" w:lineRule="auto"/>
        <w:ind w:firstLine="420"/>
        <w:rPr>
          <w:color w:val="000000"/>
          <w:sz w:val="24"/>
          <w:szCs w:val="24"/>
        </w:rPr>
      </w:pPr>
      <w:r>
        <w:rPr>
          <w:color w:val="000000"/>
          <w:sz w:val="24"/>
          <w:szCs w:val="24"/>
        </w:rPr>
        <w:t>本基金自</w:t>
      </w:r>
      <w:r>
        <w:rPr>
          <w:color w:val="000000"/>
          <w:sz w:val="24"/>
          <w:szCs w:val="24"/>
        </w:rPr>
        <w:t>2017</w:t>
      </w:r>
      <w:r>
        <w:rPr>
          <w:color w:val="000000"/>
          <w:sz w:val="24"/>
          <w:szCs w:val="24"/>
        </w:rPr>
        <w:t>年</w:t>
      </w:r>
      <w:r>
        <w:rPr>
          <w:color w:val="000000"/>
          <w:sz w:val="24"/>
          <w:szCs w:val="24"/>
        </w:rPr>
        <w:t>1</w:t>
      </w:r>
      <w:r>
        <w:rPr>
          <w:color w:val="000000"/>
          <w:sz w:val="24"/>
          <w:szCs w:val="24"/>
        </w:rPr>
        <w:t>月</w:t>
      </w:r>
      <w:r>
        <w:rPr>
          <w:color w:val="000000"/>
          <w:sz w:val="24"/>
          <w:szCs w:val="24"/>
        </w:rPr>
        <w:t>6</w:t>
      </w:r>
      <w:r>
        <w:rPr>
          <w:color w:val="000000"/>
          <w:sz w:val="24"/>
          <w:szCs w:val="24"/>
        </w:rPr>
        <w:t>日至</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4</w:t>
      </w:r>
      <w:r>
        <w:rPr>
          <w:color w:val="000000"/>
          <w:sz w:val="24"/>
          <w:szCs w:val="24"/>
        </w:rPr>
        <w:t>日，已连续超过六十个工作日出现基金资产净值低于五千万元的情形。基金管理人根据基金合同规定采用清盘的方式解决。并于</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1</w:t>
      </w:r>
      <w:r>
        <w:rPr>
          <w:color w:val="000000"/>
          <w:sz w:val="24"/>
          <w:szCs w:val="24"/>
        </w:rPr>
        <w:t>日发布《关于海富通双利债券型证券投资基金基金合同终止及基金财产清算的公告》，本基金的最后运作日定为</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4</w:t>
      </w:r>
      <w:r>
        <w:rPr>
          <w:color w:val="000000"/>
          <w:sz w:val="24"/>
          <w:szCs w:val="24"/>
        </w:rPr>
        <w:t>日，并于</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5</w:t>
      </w:r>
      <w:r>
        <w:rPr>
          <w:color w:val="000000"/>
          <w:sz w:val="24"/>
          <w:szCs w:val="24"/>
        </w:rPr>
        <w:t>日进入清盘程序。</w:t>
      </w:r>
    </w:p>
    <w:p w:rsidR="00376FEF" w:rsidRDefault="00376FEF">
      <w:pPr>
        <w:tabs>
          <w:tab w:val="left" w:pos="3765"/>
        </w:tabs>
        <w:spacing w:before="29" w:line="288" w:lineRule="auto"/>
        <w:ind w:firstLine="420"/>
        <w:rPr>
          <w:color w:val="000000"/>
          <w:sz w:val="24"/>
          <w:szCs w:val="24"/>
        </w:rPr>
      </w:pPr>
    </w:p>
    <w:p w:rsidR="00376FEF" w:rsidRDefault="00C56B08" w:rsidP="00F26500">
      <w:pPr>
        <w:pStyle w:val="1"/>
        <w:spacing w:beforeLines="100" w:before="312" w:afterLines="100" w:after="312" w:line="288" w:lineRule="auto"/>
        <w:jc w:val="center"/>
        <w:rPr>
          <w:color w:val="000000"/>
          <w:kern w:val="0"/>
          <w:sz w:val="24"/>
          <w:szCs w:val="24"/>
        </w:rPr>
      </w:pPr>
      <w:r>
        <w:rPr>
          <w:color w:val="000000"/>
          <w:kern w:val="0"/>
          <w:sz w:val="24"/>
          <w:szCs w:val="24"/>
        </w:rPr>
        <w:t>§5</w:t>
      </w:r>
      <w:r>
        <w:rPr>
          <w:color w:val="000000"/>
          <w:kern w:val="0"/>
          <w:sz w:val="24"/>
          <w:szCs w:val="24"/>
        </w:rPr>
        <w:t>投资组合报告</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 </w:t>
      </w:r>
      <w:r>
        <w:rPr>
          <w:b/>
          <w:bCs/>
          <w:color w:val="000000"/>
          <w:kern w:val="0"/>
          <w:sz w:val="24"/>
          <w:szCs w:val="24"/>
        </w:rPr>
        <w:t>报告期末基金资产组合情况</w:t>
      </w:r>
    </w:p>
    <w:tbl>
      <w:tblPr>
        <w:tblStyle w:val="af8"/>
        <w:tblW w:w="8868" w:type="dxa"/>
        <w:jc w:val="center"/>
        <w:tblLayout w:type="fixed"/>
        <w:tblLook w:val="04A0" w:firstRow="1" w:lastRow="0" w:firstColumn="1" w:lastColumn="0" w:noHBand="0" w:noVBand="1"/>
      </w:tblPr>
      <w:tblGrid>
        <w:gridCol w:w="718"/>
        <w:gridCol w:w="3346"/>
        <w:gridCol w:w="2967"/>
        <w:gridCol w:w="1837"/>
      </w:tblGrid>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序号</w:t>
            </w:r>
          </w:p>
        </w:tc>
        <w:tc>
          <w:tcPr>
            <w:tcW w:w="3346"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项目</w:t>
            </w:r>
          </w:p>
        </w:tc>
        <w:tc>
          <w:tcPr>
            <w:tcW w:w="2967"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c>
          <w:tcPr>
            <w:tcW w:w="1837"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占基金总资产的比例</w:t>
            </w:r>
            <w:r>
              <w:rPr>
                <w:color w:val="000000"/>
                <w:kern w:val="0"/>
                <w:sz w:val="24"/>
              </w:rPr>
              <w:t>（％）</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1</w:t>
            </w: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权益投资</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376FEF">
            <w:pPr>
              <w:spacing w:before="29" w:line="288" w:lineRule="auto"/>
              <w:ind w:left="17"/>
              <w:jc w:val="center"/>
              <w:rPr>
                <w:color w:val="000000"/>
                <w:kern w:val="0"/>
                <w:sz w:val="24"/>
                <w:szCs w:val="24"/>
              </w:rPr>
            </w:pP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其中：股票</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2</w:t>
            </w: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固定收益投资</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376FEF">
            <w:pPr>
              <w:spacing w:before="29" w:line="288" w:lineRule="auto"/>
              <w:ind w:left="17"/>
              <w:jc w:val="center"/>
              <w:rPr>
                <w:color w:val="000000"/>
                <w:kern w:val="0"/>
                <w:sz w:val="24"/>
                <w:szCs w:val="24"/>
              </w:rPr>
            </w:pP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其中：债券</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376FEF">
            <w:pPr>
              <w:spacing w:before="29" w:line="288" w:lineRule="auto"/>
              <w:ind w:left="17"/>
              <w:jc w:val="center"/>
              <w:rPr>
                <w:color w:val="000000"/>
                <w:kern w:val="0"/>
                <w:sz w:val="24"/>
                <w:szCs w:val="24"/>
              </w:rPr>
            </w:pPr>
          </w:p>
        </w:tc>
        <w:tc>
          <w:tcPr>
            <w:tcW w:w="3346" w:type="dxa"/>
            <w:vAlign w:val="center"/>
          </w:tcPr>
          <w:p w:rsidR="00376FEF" w:rsidRDefault="00C56B08">
            <w:pPr>
              <w:autoSpaceDE w:val="0"/>
              <w:autoSpaceDN w:val="0"/>
              <w:adjustRightInd w:val="0"/>
              <w:spacing w:before="29" w:line="288" w:lineRule="auto"/>
              <w:ind w:leftChars="8" w:left="17" w:firstLineChars="300" w:firstLine="720"/>
              <w:jc w:val="left"/>
              <w:rPr>
                <w:color w:val="000000"/>
                <w:kern w:val="0"/>
                <w:sz w:val="24"/>
                <w:szCs w:val="24"/>
              </w:rPr>
            </w:pPr>
            <w:r>
              <w:rPr>
                <w:color w:val="000000"/>
                <w:kern w:val="0"/>
                <w:sz w:val="24"/>
                <w:szCs w:val="24"/>
              </w:rPr>
              <w:t>资产支持证券</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3</w:t>
            </w:r>
          </w:p>
        </w:tc>
        <w:tc>
          <w:tcPr>
            <w:tcW w:w="3346" w:type="dxa"/>
            <w:vAlign w:val="center"/>
          </w:tcPr>
          <w:p w:rsidR="00376FEF" w:rsidRDefault="00C56B08">
            <w:pPr>
              <w:spacing w:before="29" w:line="288" w:lineRule="auto"/>
              <w:ind w:left="17"/>
              <w:jc w:val="left"/>
              <w:rPr>
                <w:color w:val="000000"/>
                <w:kern w:val="0"/>
                <w:sz w:val="24"/>
                <w:szCs w:val="24"/>
              </w:rPr>
            </w:pPr>
            <w:r>
              <w:rPr>
                <w:rFonts w:hAnsi="宋体"/>
                <w:color w:val="000000"/>
                <w:kern w:val="0"/>
                <w:sz w:val="24"/>
                <w:szCs w:val="24"/>
              </w:rPr>
              <w:t>贵金属投资</w:t>
            </w:r>
          </w:p>
        </w:tc>
        <w:tc>
          <w:tcPr>
            <w:tcW w:w="2967" w:type="dxa"/>
            <w:vAlign w:val="center"/>
          </w:tcPr>
          <w:p w:rsidR="00376FEF" w:rsidRDefault="00C56B08">
            <w:pPr>
              <w:spacing w:before="29" w:line="288" w:lineRule="auto"/>
              <w:ind w:left="17"/>
              <w:jc w:val="right"/>
              <w:rPr>
                <w:color w:val="000000"/>
                <w:kern w:val="0"/>
                <w:sz w:val="24"/>
                <w:szCs w:val="24"/>
              </w:rPr>
            </w:pPr>
            <w:r>
              <w:rPr>
                <w:rFonts w:eastAsiaTheme="minorEastAsia"/>
                <w:color w:val="000000"/>
                <w:kern w:val="0"/>
                <w:sz w:val="24"/>
                <w:szCs w:val="24"/>
              </w:rPr>
              <w:t>-</w:t>
            </w:r>
          </w:p>
        </w:tc>
        <w:tc>
          <w:tcPr>
            <w:tcW w:w="1837" w:type="dxa"/>
            <w:vAlign w:val="center"/>
          </w:tcPr>
          <w:p w:rsidR="00376FEF" w:rsidRDefault="00C56B08">
            <w:pPr>
              <w:spacing w:before="29" w:line="288" w:lineRule="auto"/>
              <w:ind w:left="17"/>
              <w:jc w:val="right"/>
              <w:rPr>
                <w:rFonts w:eastAsiaTheme="minorEastAsia"/>
                <w:color w:val="000000"/>
                <w:kern w:val="0"/>
                <w:sz w:val="24"/>
                <w:szCs w:val="24"/>
              </w:rPr>
            </w:pPr>
            <w:r>
              <w:rPr>
                <w:rFonts w:eastAsiaTheme="minorEastAsia"/>
                <w:color w:val="000000"/>
                <w:kern w:val="0"/>
                <w:sz w:val="24"/>
                <w:szCs w:val="24"/>
              </w:rPr>
              <w:t>-</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4</w:t>
            </w: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金融衍生</w:t>
            </w:r>
            <w:proofErr w:type="gramStart"/>
            <w:r>
              <w:rPr>
                <w:color w:val="000000"/>
                <w:kern w:val="0"/>
                <w:sz w:val="24"/>
                <w:szCs w:val="24"/>
              </w:rPr>
              <w:t>品投资</w:t>
            </w:r>
            <w:proofErr w:type="gramEnd"/>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5</w:t>
            </w: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买入返售金融资产</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376FEF">
            <w:pPr>
              <w:spacing w:before="29" w:line="288" w:lineRule="auto"/>
              <w:ind w:left="17"/>
              <w:jc w:val="center"/>
              <w:rPr>
                <w:color w:val="000000"/>
                <w:kern w:val="0"/>
                <w:sz w:val="24"/>
                <w:szCs w:val="24"/>
              </w:rPr>
            </w:pP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其中：买断式回购的买入返售金融资产</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6</w:t>
            </w:r>
          </w:p>
        </w:tc>
        <w:tc>
          <w:tcPr>
            <w:tcW w:w="3346" w:type="dxa"/>
            <w:vAlign w:val="center"/>
          </w:tcPr>
          <w:p w:rsidR="00376FEF" w:rsidRDefault="00C56B08">
            <w:pPr>
              <w:spacing w:before="29" w:line="288" w:lineRule="auto"/>
              <w:ind w:left="17"/>
              <w:jc w:val="left"/>
              <w:rPr>
                <w:kern w:val="0"/>
                <w:sz w:val="24"/>
                <w:szCs w:val="24"/>
              </w:rPr>
            </w:pPr>
            <w:r>
              <w:rPr>
                <w:color w:val="000000"/>
                <w:kern w:val="0"/>
                <w:sz w:val="24"/>
                <w:szCs w:val="24"/>
              </w:rPr>
              <w:t>银行存款和结算备付金合计</w:t>
            </w:r>
          </w:p>
        </w:tc>
        <w:tc>
          <w:tcPr>
            <w:tcW w:w="296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5,851,384.38</w:t>
            </w:r>
          </w:p>
        </w:tc>
        <w:tc>
          <w:tcPr>
            <w:tcW w:w="1837" w:type="dxa"/>
            <w:vAlign w:val="center"/>
          </w:tcPr>
          <w:p w:rsidR="00376FEF" w:rsidRDefault="00C56B08">
            <w:pPr>
              <w:spacing w:before="29" w:line="288" w:lineRule="auto"/>
              <w:ind w:left="17"/>
              <w:jc w:val="right"/>
              <w:rPr>
                <w:color w:val="000000"/>
                <w:kern w:val="0"/>
                <w:sz w:val="24"/>
                <w:szCs w:val="24"/>
              </w:rPr>
            </w:pPr>
            <w:r>
              <w:rPr>
                <w:color w:val="000000"/>
                <w:kern w:val="0"/>
                <w:sz w:val="24"/>
                <w:szCs w:val="24"/>
              </w:rPr>
              <w:t>99.94</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7</w:t>
            </w:r>
          </w:p>
        </w:tc>
        <w:tc>
          <w:tcPr>
            <w:tcW w:w="3346" w:type="dxa"/>
            <w:vAlign w:val="center"/>
          </w:tcPr>
          <w:p w:rsidR="00376FEF" w:rsidRDefault="00C56B08">
            <w:pPr>
              <w:spacing w:before="29" w:line="288" w:lineRule="auto"/>
              <w:jc w:val="left"/>
              <w:rPr>
                <w:kern w:val="0"/>
                <w:sz w:val="24"/>
                <w:szCs w:val="24"/>
              </w:rPr>
            </w:pPr>
            <w:r>
              <w:rPr>
                <w:color w:val="000000"/>
                <w:kern w:val="0"/>
                <w:sz w:val="24"/>
                <w:szCs w:val="24"/>
              </w:rPr>
              <w:t>其他资产</w:t>
            </w:r>
          </w:p>
        </w:tc>
        <w:tc>
          <w:tcPr>
            <w:tcW w:w="2967" w:type="dxa"/>
            <w:vAlign w:val="center"/>
          </w:tcPr>
          <w:p w:rsidR="00376FEF" w:rsidRDefault="00C56B08">
            <w:pPr>
              <w:spacing w:before="29" w:line="288" w:lineRule="auto"/>
              <w:jc w:val="right"/>
              <w:rPr>
                <w:color w:val="000000"/>
                <w:kern w:val="0"/>
                <w:sz w:val="24"/>
                <w:szCs w:val="24"/>
              </w:rPr>
            </w:pPr>
            <w:r>
              <w:rPr>
                <w:color w:val="000000"/>
                <w:kern w:val="0"/>
                <w:sz w:val="24"/>
                <w:szCs w:val="24"/>
              </w:rPr>
              <w:t>3,536.64</w:t>
            </w:r>
          </w:p>
        </w:tc>
        <w:tc>
          <w:tcPr>
            <w:tcW w:w="1837" w:type="dxa"/>
            <w:vAlign w:val="center"/>
          </w:tcPr>
          <w:p w:rsidR="00376FEF" w:rsidRDefault="00C56B08">
            <w:pPr>
              <w:spacing w:before="29" w:line="288" w:lineRule="auto"/>
              <w:jc w:val="right"/>
              <w:rPr>
                <w:color w:val="000000"/>
                <w:kern w:val="0"/>
                <w:sz w:val="24"/>
                <w:szCs w:val="24"/>
              </w:rPr>
            </w:pPr>
            <w:r>
              <w:rPr>
                <w:color w:val="000000"/>
                <w:kern w:val="0"/>
                <w:sz w:val="24"/>
                <w:szCs w:val="24"/>
              </w:rPr>
              <w:t>0.06</w:t>
            </w:r>
          </w:p>
        </w:tc>
      </w:tr>
      <w:tr w:rsidR="00376FEF">
        <w:trPr>
          <w:jc w:val="center"/>
        </w:trPr>
        <w:tc>
          <w:tcPr>
            <w:tcW w:w="718" w:type="dxa"/>
            <w:vAlign w:val="center"/>
          </w:tcPr>
          <w:p w:rsidR="00376FEF" w:rsidRDefault="00C56B08">
            <w:pPr>
              <w:spacing w:before="29" w:line="288" w:lineRule="auto"/>
              <w:ind w:left="17"/>
              <w:jc w:val="center"/>
              <w:rPr>
                <w:color w:val="000000"/>
                <w:kern w:val="0"/>
                <w:sz w:val="24"/>
                <w:szCs w:val="24"/>
              </w:rPr>
            </w:pPr>
            <w:r>
              <w:rPr>
                <w:color w:val="000000"/>
                <w:kern w:val="0"/>
                <w:sz w:val="24"/>
                <w:szCs w:val="24"/>
              </w:rPr>
              <w:t>8</w:t>
            </w:r>
          </w:p>
        </w:tc>
        <w:tc>
          <w:tcPr>
            <w:tcW w:w="3346" w:type="dxa"/>
            <w:vAlign w:val="center"/>
          </w:tcPr>
          <w:p w:rsidR="00376FEF" w:rsidRDefault="00C56B08">
            <w:pPr>
              <w:spacing w:before="29" w:line="288" w:lineRule="auto"/>
              <w:jc w:val="left"/>
              <w:rPr>
                <w:kern w:val="0"/>
                <w:sz w:val="24"/>
                <w:szCs w:val="24"/>
              </w:rPr>
            </w:pPr>
            <w:r>
              <w:rPr>
                <w:color w:val="000000"/>
                <w:kern w:val="0"/>
                <w:sz w:val="24"/>
                <w:szCs w:val="24"/>
              </w:rPr>
              <w:t>合计</w:t>
            </w:r>
          </w:p>
        </w:tc>
        <w:tc>
          <w:tcPr>
            <w:tcW w:w="2967" w:type="dxa"/>
            <w:vAlign w:val="center"/>
          </w:tcPr>
          <w:p w:rsidR="00376FEF" w:rsidRDefault="00C56B08">
            <w:pPr>
              <w:spacing w:before="29" w:line="288" w:lineRule="auto"/>
              <w:jc w:val="right"/>
              <w:rPr>
                <w:color w:val="000000"/>
                <w:kern w:val="0"/>
                <w:sz w:val="24"/>
                <w:szCs w:val="24"/>
              </w:rPr>
            </w:pPr>
            <w:r>
              <w:rPr>
                <w:color w:val="000000"/>
                <w:kern w:val="0"/>
                <w:sz w:val="24"/>
                <w:szCs w:val="24"/>
              </w:rPr>
              <w:t>5,854,921.02</w:t>
            </w:r>
          </w:p>
        </w:tc>
        <w:tc>
          <w:tcPr>
            <w:tcW w:w="1837" w:type="dxa"/>
            <w:vAlign w:val="center"/>
          </w:tcPr>
          <w:p w:rsidR="00376FEF" w:rsidRDefault="00C56B08">
            <w:pPr>
              <w:spacing w:before="29" w:line="288" w:lineRule="auto"/>
              <w:jc w:val="right"/>
              <w:rPr>
                <w:color w:val="000000"/>
                <w:kern w:val="0"/>
                <w:sz w:val="24"/>
                <w:szCs w:val="24"/>
              </w:rPr>
            </w:pPr>
            <w:r>
              <w:rPr>
                <w:color w:val="000000"/>
                <w:kern w:val="0"/>
                <w:sz w:val="24"/>
                <w:szCs w:val="24"/>
              </w:rPr>
              <w:t>100.00</w:t>
            </w:r>
          </w:p>
        </w:tc>
      </w:tr>
    </w:tbl>
    <w:p w:rsidR="00376FEF" w:rsidRDefault="00376FEF">
      <w:pPr>
        <w:autoSpaceDE w:val="0"/>
        <w:autoSpaceDN w:val="0"/>
        <w:adjustRightInd w:val="0"/>
        <w:spacing w:before="29" w:line="288" w:lineRule="auto"/>
        <w:jc w:val="left"/>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5.2 </w:t>
      </w:r>
      <w:r>
        <w:rPr>
          <w:b/>
          <w:bCs/>
          <w:color w:val="000000"/>
          <w:kern w:val="0"/>
          <w:sz w:val="24"/>
          <w:szCs w:val="24"/>
        </w:rPr>
        <w:t>报告期末按行业分类的股票投资组合</w:t>
      </w:r>
    </w:p>
    <w:p w:rsidR="00376FEF" w:rsidRDefault="00C56B08">
      <w:pPr>
        <w:autoSpaceDE w:val="0"/>
        <w:autoSpaceDN w:val="0"/>
        <w:adjustRightInd w:val="0"/>
        <w:spacing w:before="29" w:line="288" w:lineRule="auto"/>
        <w:jc w:val="left"/>
        <w:rPr>
          <w:b/>
          <w:bCs/>
          <w:color w:val="000000"/>
          <w:kern w:val="0"/>
          <w:sz w:val="24"/>
          <w:szCs w:val="24"/>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376FEF" w:rsidRDefault="00C56B08">
      <w:pPr>
        <w:jc w:val="left"/>
        <w:rPr>
          <w:b/>
        </w:rPr>
      </w:pPr>
      <w:r>
        <w:rPr>
          <w:rFonts w:ascii="宋体" w:hAnsi="宋体" w:hint="eastAsia"/>
          <w:b/>
          <w:kern w:val="0"/>
          <w:sz w:val="18"/>
        </w:rPr>
        <w:t>5.2.2</w:t>
      </w:r>
      <w:r>
        <w:rPr>
          <w:rFonts w:hint="eastAsia"/>
          <w:b/>
        </w:rPr>
        <w:t>报告期末按行业分类的</w:t>
      </w:r>
      <w:r>
        <w:rPr>
          <w:rFonts w:hint="eastAsia"/>
          <w:b/>
        </w:rPr>
        <w:t>港股通</w:t>
      </w:r>
      <w:r>
        <w:rPr>
          <w:rFonts w:hint="eastAsia"/>
          <w:b/>
        </w:rPr>
        <w:t>投资股票投资组合</w:t>
      </w:r>
    </w:p>
    <w:p w:rsidR="00376FEF" w:rsidRDefault="00C56B08">
      <w:pPr>
        <w:autoSpaceDE w:val="0"/>
        <w:autoSpaceDN w:val="0"/>
        <w:adjustRightInd w:val="0"/>
        <w:spacing w:before="29" w:line="288" w:lineRule="auto"/>
        <w:ind w:firstLineChars="100" w:firstLine="240"/>
        <w:jc w:val="left"/>
        <w:rPr>
          <w:sz w:val="24"/>
          <w:szCs w:val="24"/>
        </w:rPr>
      </w:pPr>
      <w:r>
        <w:rPr>
          <w:sz w:val="24"/>
          <w:szCs w:val="24"/>
        </w:rPr>
        <w:t>本基金本报告期末未持有港股通股票。</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5.3 </w:t>
      </w:r>
      <w:r>
        <w:rPr>
          <w:b/>
          <w:bCs/>
          <w:color w:val="000000"/>
          <w:kern w:val="0"/>
          <w:sz w:val="24"/>
          <w:szCs w:val="24"/>
        </w:rPr>
        <w:t>报告期末按公允价值占基金资产净值比例大小排序的前十名股票投资明细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376FEF" w:rsidRDefault="00376FEF">
      <w:pPr>
        <w:autoSpaceDE w:val="0"/>
        <w:autoSpaceDN w:val="0"/>
        <w:adjustRightInd w:val="0"/>
        <w:spacing w:before="29" w:line="288" w:lineRule="auto"/>
        <w:jc w:val="left"/>
        <w:rPr>
          <w:b/>
          <w:bCs/>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5.4 </w:t>
      </w:r>
      <w:r>
        <w:rPr>
          <w:b/>
          <w:bCs/>
          <w:color w:val="000000"/>
          <w:kern w:val="0"/>
          <w:sz w:val="24"/>
          <w:szCs w:val="24"/>
        </w:rPr>
        <w:t>报告期末按债券品种分类的债券投资组合</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5.5 </w:t>
      </w:r>
      <w:r>
        <w:rPr>
          <w:b/>
          <w:bCs/>
          <w:color w:val="000000"/>
          <w:kern w:val="0"/>
          <w:sz w:val="24"/>
          <w:szCs w:val="24"/>
        </w:rPr>
        <w:t>报告期末按公允价值占基金资产净值比例大小排序的前五名债券投资明细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376FEF" w:rsidRDefault="00376FEF">
      <w:pPr>
        <w:autoSpaceDE w:val="0"/>
        <w:autoSpaceDN w:val="0"/>
        <w:adjustRightInd w:val="0"/>
        <w:spacing w:before="29" w:line="288" w:lineRule="auto"/>
        <w:jc w:val="left"/>
        <w:rPr>
          <w:b/>
          <w:bCs/>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5.6 </w:t>
      </w:r>
      <w:r>
        <w:rPr>
          <w:b/>
          <w:bCs/>
          <w:color w:val="000000"/>
          <w:kern w:val="0"/>
          <w:sz w:val="24"/>
          <w:szCs w:val="24"/>
        </w:rPr>
        <w:t>报告期末按公允价值占基金资产净值比例大小排序的前十名资产支持证券投资明细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本基金本报告期末未持有资产支持证券。</w:t>
      </w:r>
    </w:p>
    <w:p w:rsidR="00376FEF" w:rsidRDefault="00376FEF">
      <w:pPr>
        <w:autoSpaceDE w:val="0"/>
        <w:autoSpaceDN w:val="0"/>
        <w:adjustRightInd w:val="0"/>
        <w:spacing w:before="29" w:line="288" w:lineRule="auto"/>
        <w:jc w:val="left"/>
        <w:rPr>
          <w:color w:val="000000"/>
          <w:sz w:val="24"/>
          <w:szCs w:val="24"/>
        </w:rPr>
      </w:pPr>
    </w:p>
    <w:p w:rsidR="00376FEF" w:rsidRDefault="00C56B08">
      <w:pPr>
        <w:autoSpaceDE w:val="0"/>
        <w:autoSpaceDN w:val="0"/>
        <w:adjustRightInd w:val="0"/>
        <w:spacing w:before="29" w:line="288" w:lineRule="auto"/>
        <w:jc w:val="left"/>
        <w:rPr>
          <w:color w:val="000000"/>
          <w:kern w:val="0"/>
          <w:sz w:val="24"/>
          <w:szCs w:val="24"/>
        </w:rPr>
      </w:pPr>
      <w:r>
        <w:rPr>
          <w:b/>
          <w:bCs/>
          <w:color w:val="000000"/>
          <w:kern w:val="0"/>
          <w:sz w:val="24"/>
          <w:szCs w:val="24"/>
        </w:rPr>
        <w:t>5.7</w:t>
      </w:r>
      <w:r>
        <w:rPr>
          <w:rFonts w:eastAsiaTheme="minorEastAsia"/>
          <w:b/>
          <w:bCs/>
          <w:color w:val="000000"/>
          <w:kern w:val="0"/>
          <w:sz w:val="24"/>
          <w:szCs w:val="24"/>
        </w:rPr>
        <w:t xml:space="preserve"> </w:t>
      </w:r>
      <w:r>
        <w:rPr>
          <w:rFonts w:hAnsi="宋体"/>
          <w:b/>
          <w:bCs/>
          <w:color w:val="000000"/>
          <w:kern w:val="0"/>
          <w:sz w:val="24"/>
          <w:szCs w:val="24"/>
        </w:rPr>
        <w:t>报告期末按公允价值占基金资产净值比例大小排序的前五名贵金属投资明细</w:t>
      </w:r>
    </w:p>
    <w:p w:rsidR="00376FEF" w:rsidRDefault="00C56B08">
      <w:pPr>
        <w:widowControl/>
        <w:spacing w:line="288" w:lineRule="auto"/>
        <w:jc w:val="left"/>
        <w:rPr>
          <w:sz w:val="24"/>
          <w:szCs w:val="24"/>
        </w:rPr>
      </w:pPr>
      <w:r>
        <w:rPr>
          <w:sz w:val="24"/>
          <w:szCs w:val="24"/>
        </w:rPr>
        <w:t>本基金本报告期末未持有贵金属。</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5.8 </w:t>
      </w:r>
      <w:r>
        <w:rPr>
          <w:b/>
          <w:bCs/>
          <w:color w:val="000000"/>
          <w:kern w:val="0"/>
          <w:sz w:val="24"/>
          <w:szCs w:val="24"/>
        </w:rPr>
        <w:t>报告期末按公允价值占基金资产净值比例大小排序的前五名权证投资明细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本基金本报告期末未持有权证。</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 </w:t>
      </w:r>
      <w:r>
        <w:rPr>
          <w:b/>
          <w:bCs/>
          <w:color w:val="000000"/>
          <w:kern w:val="0"/>
          <w:sz w:val="24"/>
          <w:szCs w:val="24"/>
        </w:rPr>
        <w:t>报告期末本基金投资的股指期货交易情况说明</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5.9.1 </w:t>
      </w:r>
      <w:r>
        <w:rPr>
          <w:b/>
          <w:bCs/>
          <w:color w:val="000000"/>
          <w:kern w:val="0"/>
          <w:sz w:val="24"/>
          <w:szCs w:val="24"/>
        </w:rPr>
        <w:t>报告期末本基金投资的股指期货持仓和损益明细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本基金本报告期末未持有股指期货。</w:t>
      </w:r>
    </w:p>
    <w:p w:rsidR="00376FEF" w:rsidRDefault="00376FEF">
      <w:pPr>
        <w:adjustRightInd w:val="0"/>
        <w:snapToGrid w:val="0"/>
        <w:spacing w:before="29" w:line="288" w:lineRule="auto"/>
        <w:rPr>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5.9.2 </w:t>
      </w:r>
      <w:r>
        <w:rPr>
          <w:b/>
          <w:bCs/>
          <w:color w:val="000000"/>
          <w:kern w:val="0"/>
          <w:sz w:val="24"/>
          <w:szCs w:val="24"/>
        </w:rPr>
        <w:t>本基金投资股指期货的投资政策</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根据基金合同，本基金暂不投资股指期货。</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 </w:t>
      </w:r>
      <w:r>
        <w:rPr>
          <w:b/>
          <w:bCs/>
          <w:color w:val="000000"/>
          <w:kern w:val="0"/>
          <w:sz w:val="24"/>
          <w:szCs w:val="24"/>
        </w:rPr>
        <w:t>报告期末本基金投资的国债期货交易情况说明</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5.10.1 </w:t>
      </w:r>
      <w:r>
        <w:rPr>
          <w:b/>
          <w:bCs/>
          <w:color w:val="000000"/>
          <w:kern w:val="0"/>
          <w:sz w:val="24"/>
          <w:szCs w:val="24"/>
        </w:rPr>
        <w:t>本期国债期货投资政策</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根据基金合同，本基金暂不投资国债期货。</w:t>
      </w:r>
    </w:p>
    <w:p w:rsidR="00376FEF" w:rsidRDefault="00376FEF">
      <w:pPr>
        <w:spacing w:before="29" w:line="288" w:lineRule="auto"/>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5.10.2 </w:t>
      </w:r>
      <w:r>
        <w:rPr>
          <w:b/>
          <w:bCs/>
          <w:color w:val="000000"/>
          <w:kern w:val="0"/>
          <w:sz w:val="24"/>
          <w:szCs w:val="24"/>
        </w:rPr>
        <w:t>报告期末本基金投资的国债期货持仓和损益明细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本基金本报告期末未持有国债期货。</w:t>
      </w:r>
    </w:p>
    <w:p w:rsidR="00376FEF" w:rsidRDefault="00376FEF">
      <w:pPr>
        <w:autoSpaceDE w:val="0"/>
        <w:autoSpaceDN w:val="0"/>
        <w:adjustRightInd w:val="0"/>
        <w:spacing w:before="29" w:line="288" w:lineRule="auto"/>
        <w:jc w:val="left"/>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5.10.3 </w:t>
      </w:r>
      <w:r>
        <w:rPr>
          <w:b/>
          <w:bCs/>
          <w:color w:val="000000"/>
          <w:kern w:val="0"/>
          <w:sz w:val="24"/>
          <w:szCs w:val="24"/>
        </w:rPr>
        <w:t>本期国债期货投资评价</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根据基金合同，本基金暂不投资国债期货。</w:t>
      </w:r>
    </w:p>
    <w:p w:rsidR="00376FEF" w:rsidRDefault="00376FEF">
      <w:pPr>
        <w:autoSpaceDE w:val="0"/>
        <w:autoSpaceDN w:val="0"/>
        <w:adjustRightInd w:val="0"/>
        <w:spacing w:before="29" w:line="288" w:lineRule="auto"/>
        <w:jc w:val="left"/>
        <w:rPr>
          <w:color w:val="000000"/>
          <w:kern w:val="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 </w:t>
      </w:r>
      <w:r>
        <w:rPr>
          <w:b/>
          <w:bCs/>
          <w:color w:val="000000"/>
          <w:kern w:val="0"/>
          <w:sz w:val="24"/>
          <w:szCs w:val="24"/>
        </w:rPr>
        <w:t>投资组合报告附注</w:t>
      </w:r>
    </w:p>
    <w:p w:rsidR="00376FEF" w:rsidRDefault="00C56B08">
      <w:pPr>
        <w:autoSpaceDE w:val="0"/>
        <w:autoSpaceDN w:val="0"/>
        <w:adjustRightInd w:val="0"/>
        <w:spacing w:before="29" w:line="288" w:lineRule="auto"/>
        <w:jc w:val="left"/>
        <w:rPr>
          <w:bCs/>
          <w:color w:val="000000"/>
          <w:kern w:val="0"/>
          <w:sz w:val="24"/>
          <w:szCs w:val="24"/>
        </w:rPr>
      </w:pPr>
      <w:r>
        <w:rPr>
          <w:bCs/>
          <w:color w:val="000000"/>
          <w:kern w:val="0"/>
          <w:sz w:val="24"/>
          <w:szCs w:val="24"/>
        </w:rPr>
        <w:t>5.11.1</w:t>
      </w:r>
      <w:r>
        <w:rPr>
          <w:bCs/>
          <w:color w:val="000000"/>
          <w:kern w:val="0"/>
          <w:sz w:val="24"/>
          <w:szCs w:val="24"/>
        </w:rPr>
        <w:t>报告期内，本基金投资的前十名证券的发行主体没有出现被监管部门立案调查</w:t>
      </w:r>
      <w:r>
        <w:rPr>
          <w:bCs/>
          <w:color w:val="000000"/>
          <w:kern w:val="0"/>
          <w:sz w:val="24"/>
          <w:szCs w:val="24"/>
        </w:rPr>
        <w:t>,</w:t>
      </w:r>
      <w:r>
        <w:rPr>
          <w:bCs/>
          <w:color w:val="000000"/>
          <w:kern w:val="0"/>
          <w:sz w:val="24"/>
          <w:szCs w:val="24"/>
        </w:rPr>
        <w:t>或在报告编制日</w:t>
      </w:r>
      <w:r>
        <w:rPr>
          <w:bCs/>
          <w:color w:val="000000"/>
          <w:kern w:val="0"/>
          <w:sz w:val="24"/>
          <w:szCs w:val="24"/>
        </w:rPr>
        <w:t>前一年内受到公开谴责、处罚的情形。</w:t>
      </w:r>
    </w:p>
    <w:p w:rsidR="00376FEF" w:rsidRDefault="00C56B08">
      <w:pPr>
        <w:autoSpaceDE w:val="0"/>
        <w:autoSpaceDN w:val="0"/>
        <w:adjustRightInd w:val="0"/>
        <w:spacing w:before="29" w:line="288" w:lineRule="auto"/>
        <w:jc w:val="left"/>
        <w:rPr>
          <w:bCs/>
          <w:color w:val="000000"/>
          <w:kern w:val="0"/>
          <w:sz w:val="24"/>
          <w:szCs w:val="24"/>
        </w:rPr>
      </w:pPr>
      <w:r>
        <w:rPr>
          <w:bCs/>
          <w:color w:val="000000"/>
          <w:kern w:val="0"/>
          <w:sz w:val="24"/>
          <w:szCs w:val="24"/>
        </w:rPr>
        <w:t>5.11.2</w:t>
      </w:r>
      <w:r>
        <w:rPr>
          <w:bCs/>
          <w:color w:val="000000"/>
          <w:kern w:val="0"/>
          <w:sz w:val="24"/>
          <w:szCs w:val="24"/>
        </w:rPr>
        <w:t>基金投资的前十名股票中，没有投资于超出基金合同规定备选股票库之外的股票。</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5.11.3 </w:t>
      </w:r>
      <w:r>
        <w:rPr>
          <w:b/>
          <w:bCs/>
          <w:color w:val="000000"/>
          <w:kern w:val="0"/>
          <w:sz w:val="24"/>
          <w:szCs w:val="24"/>
        </w:rPr>
        <w:t>其他资产构成</w:t>
      </w:r>
    </w:p>
    <w:tbl>
      <w:tblPr>
        <w:tblStyle w:val="af8"/>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376FEF">
        <w:trPr>
          <w:jc w:val="center"/>
        </w:trPr>
        <w:tc>
          <w:tcPr>
            <w:tcW w:w="1287"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序号</w:t>
            </w:r>
          </w:p>
        </w:tc>
        <w:tc>
          <w:tcPr>
            <w:tcW w:w="2573"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名称</w:t>
            </w:r>
          </w:p>
        </w:tc>
        <w:tc>
          <w:tcPr>
            <w:tcW w:w="5008" w:type="dxa"/>
            <w:vAlign w:val="center"/>
          </w:tcPr>
          <w:p w:rsidR="00376FEF" w:rsidRDefault="00C56B08">
            <w:pPr>
              <w:autoSpaceDE w:val="0"/>
              <w:autoSpaceDN w:val="0"/>
              <w:adjustRightInd w:val="0"/>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lastRenderedPageBreak/>
              <w:t>1</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存出保证金</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3,008.64</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2</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应收证券清算款</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3</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应收股利</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4</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应收利息</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528.00</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5</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应收申购款</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6</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其他应收款</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7</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待摊费用</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8</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其他</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376FEF">
        <w:trPr>
          <w:jc w:val="center"/>
        </w:trPr>
        <w:tc>
          <w:tcPr>
            <w:tcW w:w="1287" w:type="dxa"/>
            <w:vAlign w:val="center"/>
          </w:tcPr>
          <w:p w:rsidR="00376FEF" w:rsidRDefault="00C56B08">
            <w:pPr>
              <w:autoSpaceDE w:val="0"/>
              <w:autoSpaceDN w:val="0"/>
              <w:adjustRightInd w:val="0"/>
              <w:spacing w:before="29" w:line="288" w:lineRule="auto"/>
              <w:ind w:left="15"/>
              <w:jc w:val="center"/>
              <w:rPr>
                <w:color w:val="000000"/>
                <w:kern w:val="0"/>
                <w:sz w:val="24"/>
                <w:szCs w:val="24"/>
              </w:rPr>
            </w:pPr>
            <w:r>
              <w:rPr>
                <w:color w:val="000000"/>
                <w:kern w:val="0"/>
                <w:sz w:val="24"/>
                <w:szCs w:val="24"/>
              </w:rPr>
              <w:t>9</w:t>
            </w:r>
          </w:p>
        </w:tc>
        <w:tc>
          <w:tcPr>
            <w:tcW w:w="2573" w:type="dxa"/>
            <w:vAlign w:val="center"/>
          </w:tcPr>
          <w:p w:rsidR="00376FEF" w:rsidRDefault="00C56B08">
            <w:pPr>
              <w:autoSpaceDE w:val="0"/>
              <w:autoSpaceDN w:val="0"/>
              <w:adjustRightInd w:val="0"/>
              <w:spacing w:before="29" w:line="288" w:lineRule="auto"/>
              <w:ind w:left="15"/>
              <w:jc w:val="left"/>
              <w:rPr>
                <w:color w:val="000000"/>
                <w:kern w:val="0"/>
                <w:sz w:val="24"/>
                <w:szCs w:val="24"/>
              </w:rPr>
            </w:pPr>
            <w:r>
              <w:rPr>
                <w:color w:val="000000"/>
                <w:kern w:val="0"/>
                <w:sz w:val="24"/>
                <w:szCs w:val="24"/>
              </w:rPr>
              <w:t>合计</w:t>
            </w:r>
          </w:p>
        </w:tc>
        <w:tc>
          <w:tcPr>
            <w:tcW w:w="5008" w:type="dxa"/>
            <w:vAlign w:val="center"/>
          </w:tcPr>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3,536.64</w:t>
            </w:r>
          </w:p>
        </w:tc>
      </w:tr>
    </w:tbl>
    <w:p w:rsidR="00376FEF" w:rsidRDefault="00376FEF">
      <w:pPr>
        <w:autoSpaceDE w:val="0"/>
        <w:autoSpaceDN w:val="0"/>
        <w:adjustRightInd w:val="0"/>
        <w:spacing w:before="29" w:line="288" w:lineRule="auto"/>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5.11.4 </w:t>
      </w:r>
      <w:r>
        <w:rPr>
          <w:b/>
          <w:bCs/>
          <w:color w:val="000000"/>
          <w:kern w:val="0"/>
          <w:sz w:val="24"/>
          <w:szCs w:val="24"/>
        </w:rPr>
        <w:t>报告期末持有的处于转股期的可转换债券明细</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本基金本报告期末未持有处于转股期的可转换债券。</w:t>
      </w:r>
    </w:p>
    <w:p w:rsidR="00376FEF" w:rsidRDefault="00376FEF">
      <w:pPr>
        <w:autoSpaceDE w:val="0"/>
        <w:autoSpaceDN w:val="0"/>
        <w:adjustRightInd w:val="0"/>
        <w:spacing w:before="29" w:line="288" w:lineRule="auto"/>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5.11.5 </w:t>
      </w:r>
      <w:r>
        <w:rPr>
          <w:b/>
          <w:bCs/>
          <w:color w:val="000000"/>
          <w:kern w:val="0"/>
          <w:sz w:val="24"/>
          <w:szCs w:val="24"/>
        </w:rPr>
        <w:t>报告</w:t>
      </w:r>
      <w:proofErr w:type="gramStart"/>
      <w:r>
        <w:rPr>
          <w:b/>
          <w:bCs/>
          <w:color w:val="000000"/>
          <w:kern w:val="0"/>
          <w:sz w:val="24"/>
          <w:szCs w:val="24"/>
        </w:rPr>
        <w:t>期末前</w:t>
      </w:r>
      <w:proofErr w:type="gramEnd"/>
      <w:r>
        <w:rPr>
          <w:b/>
          <w:bCs/>
          <w:color w:val="000000"/>
          <w:kern w:val="0"/>
          <w:sz w:val="24"/>
          <w:szCs w:val="24"/>
        </w:rPr>
        <w:t>十名股票中存在流通受限情况的说明</w:t>
      </w:r>
    </w:p>
    <w:p w:rsidR="00376FEF" w:rsidRDefault="00C56B08">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376FEF" w:rsidRDefault="00376FEF">
      <w:pPr>
        <w:autoSpaceDE w:val="0"/>
        <w:autoSpaceDN w:val="0"/>
        <w:adjustRightInd w:val="0"/>
        <w:spacing w:before="29" w:line="288" w:lineRule="auto"/>
        <w:rPr>
          <w:color w:val="000000"/>
          <w:sz w:val="24"/>
          <w:szCs w:val="24"/>
        </w:rPr>
      </w:pPr>
    </w:p>
    <w:p w:rsidR="00376FEF" w:rsidRDefault="00C56B08">
      <w:pPr>
        <w:spacing w:before="29" w:line="288" w:lineRule="auto"/>
        <w:ind w:firstLineChars="200" w:firstLine="482"/>
        <w:jc w:val="center"/>
        <w:rPr>
          <w:b/>
          <w:color w:val="000000"/>
          <w:sz w:val="24"/>
          <w:szCs w:val="24"/>
        </w:rPr>
      </w:pPr>
      <w:r>
        <w:rPr>
          <w:b/>
          <w:color w:val="000000"/>
          <w:kern w:val="0"/>
          <w:sz w:val="24"/>
          <w:szCs w:val="24"/>
        </w:rPr>
        <w:t xml:space="preserve">§6  </w:t>
      </w:r>
      <w:r>
        <w:rPr>
          <w:b/>
          <w:color w:val="000000"/>
          <w:kern w:val="0"/>
          <w:sz w:val="24"/>
          <w:szCs w:val="24"/>
        </w:rPr>
        <w:t>开放式基金份额变动</w:t>
      </w:r>
    </w:p>
    <w:p w:rsidR="00376FEF" w:rsidRDefault="00C56B08">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单位：份</w:t>
      </w:r>
    </w:p>
    <w:tbl>
      <w:tblPr>
        <w:tblW w:w="8868" w:type="dxa"/>
        <w:jc w:val="center"/>
        <w:tblLayout w:type="fixed"/>
        <w:tblCellMar>
          <w:top w:w="-1" w:type="dxa"/>
          <w:bottom w:w="-1" w:type="dxa"/>
        </w:tblCellMar>
        <w:tblLook w:val="04A0" w:firstRow="1" w:lastRow="0" w:firstColumn="1" w:lastColumn="0" w:noHBand="0" w:noVBand="1"/>
      </w:tblPr>
      <w:tblGrid>
        <w:gridCol w:w="4734"/>
        <w:gridCol w:w="4134"/>
      </w:tblGrid>
      <w:tr w:rsidR="00376FEF">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w:t>
            </w:r>
            <w:proofErr w:type="gramStart"/>
            <w:r>
              <w:rPr>
                <w:color w:val="000000"/>
                <w:kern w:val="0"/>
                <w:sz w:val="24"/>
                <w:szCs w:val="24"/>
              </w:rPr>
              <w:t>初基金</w:t>
            </w:r>
            <w:proofErr w:type="gramEnd"/>
            <w:r>
              <w:rPr>
                <w:color w:val="000000"/>
                <w:kern w:val="0"/>
                <w:sz w:val="24"/>
                <w:szCs w:val="24"/>
              </w:rPr>
              <w:t>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right"/>
              <w:rPr>
                <w:color w:val="000000"/>
                <w:sz w:val="24"/>
                <w:szCs w:val="24"/>
              </w:rPr>
            </w:pPr>
            <w:r>
              <w:rPr>
                <w:color w:val="000000"/>
                <w:sz w:val="24"/>
                <w:szCs w:val="24"/>
              </w:rPr>
              <w:t>7,683,980.44</w:t>
            </w:r>
          </w:p>
        </w:tc>
      </w:tr>
      <w:tr w:rsidR="00376FEF">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w:t>
            </w:r>
            <w:proofErr w:type="gramStart"/>
            <w:r>
              <w:rPr>
                <w:color w:val="000000"/>
                <w:kern w:val="0"/>
                <w:sz w:val="24"/>
                <w:szCs w:val="24"/>
              </w:rPr>
              <w:t>期基金</w:t>
            </w:r>
            <w:proofErr w:type="gramEnd"/>
            <w:r>
              <w:rPr>
                <w:color w:val="000000"/>
                <w:kern w:val="0"/>
                <w:sz w:val="24"/>
                <w:szCs w:val="24"/>
              </w:rPr>
              <w:t>总申购份额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right"/>
              <w:rPr>
                <w:color w:val="000000"/>
                <w:sz w:val="24"/>
                <w:szCs w:val="24"/>
              </w:rPr>
            </w:pPr>
            <w:r>
              <w:rPr>
                <w:color w:val="000000"/>
                <w:sz w:val="24"/>
                <w:szCs w:val="24"/>
              </w:rPr>
              <w:t>-</w:t>
            </w:r>
          </w:p>
        </w:tc>
      </w:tr>
      <w:tr w:rsidR="00376FEF">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left"/>
              <w:rPr>
                <w:color w:val="000000"/>
                <w:kern w:val="0"/>
                <w:sz w:val="24"/>
                <w:szCs w:val="24"/>
              </w:rPr>
            </w:pPr>
            <w:r>
              <w:rPr>
                <w:color w:val="000000"/>
                <w:kern w:val="0"/>
                <w:sz w:val="24"/>
                <w:szCs w:val="24"/>
              </w:rPr>
              <w:t>减：本报告</w:t>
            </w:r>
            <w:proofErr w:type="gramStart"/>
            <w:r>
              <w:rPr>
                <w:color w:val="000000"/>
                <w:kern w:val="0"/>
                <w:sz w:val="24"/>
                <w:szCs w:val="24"/>
              </w:rPr>
              <w:t>期基金</w:t>
            </w:r>
            <w:proofErr w:type="gramEnd"/>
            <w:r>
              <w:rPr>
                <w:color w:val="000000"/>
                <w:kern w:val="0"/>
                <w:sz w:val="24"/>
                <w:szCs w:val="24"/>
              </w:rPr>
              <w:t>总赎回份额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right"/>
              <w:rPr>
                <w:color w:val="000000"/>
                <w:sz w:val="24"/>
                <w:szCs w:val="24"/>
              </w:rPr>
            </w:pPr>
            <w:r>
              <w:rPr>
                <w:color w:val="000000"/>
                <w:sz w:val="24"/>
                <w:szCs w:val="24"/>
              </w:rPr>
              <w:t>1,524,817.65</w:t>
            </w:r>
          </w:p>
        </w:tc>
      </w:tr>
      <w:tr w:rsidR="00376FEF">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w:t>
            </w:r>
            <w:proofErr w:type="gramStart"/>
            <w:r>
              <w:rPr>
                <w:color w:val="000000"/>
                <w:kern w:val="0"/>
                <w:sz w:val="24"/>
                <w:szCs w:val="24"/>
              </w:rPr>
              <w:t>期基金</w:t>
            </w:r>
            <w:proofErr w:type="gramEnd"/>
            <w:r>
              <w:rPr>
                <w:color w:val="000000"/>
                <w:kern w:val="0"/>
                <w:sz w:val="24"/>
                <w:szCs w:val="24"/>
              </w:rPr>
              <w:t>拆分变动份额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right"/>
              <w:rPr>
                <w:color w:val="000000"/>
                <w:sz w:val="24"/>
                <w:szCs w:val="24"/>
              </w:rPr>
            </w:pPr>
            <w:r>
              <w:rPr>
                <w:color w:val="000000"/>
                <w:sz w:val="24"/>
                <w:szCs w:val="24"/>
              </w:rPr>
              <w:t>-</w:t>
            </w:r>
          </w:p>
        </w:tc>
      </w:tr>
      <w:tr w:rsidR="00376FEF">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本报告期期末基金份额总额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376FEF" w:rsidRDefault="00C56B08">
            <w:pPr>
              <w:autoSpaceDE w:val="0"/>
              <w:autoSpaceDN w:val="0"/>
              <w:adjustRightInd w:val="0"/>
              <w:spacing w:before="29" w:line="288" w:lineRule="auto"/>
              <w:ind w:left="17"/>
              <w:jc w:val="right"/>
              <w:rPr>
                <w:color w:val="000000"/>
                <w:sz w:val="24"/>
                <w:szCs w:val="24"/>
              </w:rPr>
            </w:pPr>
            <w:r>
              <w:rPr>
                <w:color w:val="000000"/>
                <w:sz w:val="24"/>
                <w:szCs w:val="24"/>
              </w:rPr>
              <w:t>6,159,162.79</w:t>
            </w:r>
          </w:p>
        </w:tc>
      </w:tr>
    </w:tbl>
    <w:p w:rsidR="00376FEF" w:rsidRDefault="00C56B08">
      <w:pPr>
        <w:autoSpaceDE w:val="0"/>
        <w:autoSpaceDN w:val="0"/>
        <w:adjustRightInd w:val="0"/>
        <w:spacing w:before="29" w:line="288" w:lineRule="auto"/>
        <w:jc w:val="left"/>
        <w:rPr>
          <w:color w:val="000000"/>
          <w:sz w:val="24"/>
          <w:szCs w:val="24"/>
        </w:rPr>
      </w:pPr>
      <w:r>
        <w:rPr>
          <w:color w:val="000000"/>
          <w:sz w:val="24"/>
          <w:szCs w:val="24"/>
        </w:rPr>
        <w:t>注：海富通双利债券型证券投资基金报告期期间为</w:t>
      </w:r>
      <w:r>
        <w:rPr>
          <w:color w:val="000000"/>
          <w:sz w:val="24"/>
          <w:szCs w:val="24"/>
        </w:rPr>
        <w:t>2017</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2017</w:t>
      </w:r>
      <w:r>
        <w:rPr>
          <w:color w:val="000000"/>
          <w:sz w:val="24"/>
          <w:szCs w:val="24"/>
        </w:rPr>
        <w:t>年</w:t>
      </w:r>
      <w:r>
        <w:rPr>
          <w:color w:val="000000"/>
          <w:sz w:val="24"/>
          <w:szCs w:val="24"/>
        </w:rPr>
        <w:t>8</w:t>
      </w:r>
      <w:r>
        <w:rPr>
          <w:color w:val="000000"/>
          <w:sz w:val="24"/>
          <w:szCs w:val="24"/>
        </w:rPr>
        <w:t>月</w:t>
      </w:r>
      <w:r>
        <w:rPr>
          <w:color w:val="000000"/>
          <w:sz w:val="24"/>
          <w:szCs w:val="24"/>
        </w:rPr>
        <w:t>4</w:t>
      </w:r>
      <w:r>
        <w:rPr>
          <w:color w:val="000000"/>
          <w:sz w:val="24"/>
          <w:szCs w:val="24"/>
        </w:rPr>
        <w:t>日。</w:t>
      </w:r>
    </w:p>
    <w:p w:rsidR="00376FEF" w:rsidRDefault="00376FEF">
      <w:pPr>
        <w:autoSpaceDE w:val="0"/>
        <w:autoSpaceDN w:val="0"/>
        <w:adjustRightInd w:val="0"/>
        <w:spacing w:before="29" w:line="288" w:lineRule="auto"/>
        <w:jc w:val="left"/>
        <w:rPr>
          <w:color w:val="000000"/>
          <w:sz w:val="24"/>
          <w:szCs w:val="24"/>
        </w:rPr>
      </w:pPr>
    </w:p>
    <w:p w:rsidR="00376FEF" w:rsidRDefault="00C56B08" w:rsidP="00F26500">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Pr>
          <w:rFonts w:eastAsiaTheme="minorEastAsia"/>
          <w:color w:val="000000"/>
          <w:kern w:val="0"/>
          <w:sz w:val="24"/>
          <w:szCs w:val="24"/>
        </w:rPr>
        <w:t xml:space="preserve">7  </w:t>
      </w:r>
      <w:r>
        <w:rPr>
          <w:sz w:val="24"/>
          <w:szCs w:val="24"/>
        </w:rPr>
        <w:t>基金管理人运用</w:t>
      </w:r>
      <w:proofErr w:type="gramStart"/>
      <w:r>
        <w:rPr>
          <w:sz w:val="24"/>
          <w:szCs w:val="24"/>
        </w:rPr>
        <w:t>固有资金</w:t>
      </w:r>
      <w:proofErr w:type="gramEnd"/>
      <w:r>
        <w:rPr>
          <w:sz w:val="24"/>
          <w:szCs w:val="24"/>
        </w:rPr>
        <w:t>投资本基金情况</w:t>
      </w:r>
    </w:p>
    <w:p w:rsidR="00376FEF" w:rsidRDefault="00C56B08">
      <w:pPr>
        <w:spacing w:line="288" w:lineRule="auto"/>
        <w:jc w:val="left"/>
        <w:rPr>
          <w:sz w:val="24"/>
          <w:szCs w:val="24"/>
        </w:rPr>
      </w:pPr>
      <w:r>
        <w:rPr>
          <w:b/>
          <w:sz w:val="24"/>
        </w:rPr>
        <w:t xml:space="preserve">7.1 </w:t>
      </w:r>
      <w:r>
        <w:rPr>
          <w:b/>
          <w:sz w:val="24"/>
        </w:rPr>
        <w:t>基金管理人持有本基金份额变动情况</w:t>
      </w:r>
    </w:p>
    <w:p w:rsidR="00376FEF" w:rsidRDefault="00C56B0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本基金本报告</w:t>
      </w:r>
      <w:proofErr w:type="gramStart"/>
      <w:r>
        <w:rPr>
          <w:rFonts w:eastAsiaTheme="minorEastAsia"/>
          <w:color w:val="000000"/>
          <w:sz w:val="24"/>
        </w:rPr>
        <w:t>期基金</w:t>
      </w:r>
      <w:proofErr w:type="gramEnd"/>
      <w:r>
        <w:rPr>
          <w:rFonts w:eastAsiaTheme="minorEastAsia"/>
          <w:color w:val="000000"/>
          <w:sz w:val="24"/>
        </w:rPr>
        <w:t>管理人未持有本基金。</w:t>
      </w:r>
    </w:p>
    <w:p w:rsidR="00376FEF" w:rsidRDefault="00376FEF">
      <w:pPr>
        <w:autoSpaceDE w:val="0"/>
        <w:autoSpaceDN w:val="0"/>
        <w:adjustRightInd w:val="0"/>
        <w:spacing w:before="29" w:line="288" w:lineRule="auto"/>
        <w:jc w:val="left"/>
        <w:rPr>
          <w:rFonts w:eastAsiaTheme="minorEastAsia"/>
          <w:color w:val="000000"/>
          <w:sz w:val="24"/>
        </w:rPr>
      </w:pPr>
    </w:p>
    <w:p w:rsidR="00376FEF" w:rsidRDefault="00C56B08">
      <w:pPr>
        <w:spacing w:line="288" w:lineRule="auto"/>
        <w:jc w:val="left"/>
        <w:rPr>
          <w:b/>
          <w:sz w:val="24"/>
        </w:rPr>
      </w:pPr>
      <w:r>
        <w:rPr>
          <w:b/>
          <w:sz w:val="24"/>
        </w:rPr>
        <w:t>7.2</w:t>
      </w:r>
      <w:r>
        <w:rPr>
          <w:rFonts w:hint="eastAsia"/>
          <w:b/>
          <w:sz w:val="24"/>
        </w:rPr>
        <w:t xml:space="preserve"> </w:t>
      </w:r>
      <w:r>
        <w:rPr>
          <w:rFonts w:hint="eastAsia"/>
          <w:b/>
          <w:sz w:val="24"/>
        </w:rPr>
        <w:t>基金管理人运用</w:t>
      </w:r>
      <w:proofErr w:type="gramStart"/>
      <w:r>
        <w:rPr>
          <w:rFonts w:hint="eastAsia"/>
          <w:b/>
          <w:sz w:val="24"/>
        </w:rPr>
        <w:t>固有资金</w:t>
      </w:r>
      <w:proofErr w:type="gramEnd"/>
      <w:r>
        <w:rPr>
          <w:rFonts w:hint="eastAsia"/>
          <w:b/>
          <w:sz w:val="24"/>
        </w:rPr>
        <w:t>投资本基金交易明细</w:t>
      </w:r>
    </w:p>
    <w:p w:rsidR="00376FEF" w:rsidRDefault="00C56B08">
      <w:pPr>
        <w:autoSpaceDE w:val="0"/>
        <w:autoSpaceDN w:val="0"/>
        <w:adjustRightInd w:val="0"/>
        <w:spacing w:before="29" w:line="288" w:lineRule="auto"/>
        <w:jc w:val="left"/>
        <w:rPr>
          <w:color w:val="000000"/>
          <w:sz w:val="24"/>
        </w:rPr>
      </w:pPr>
      <w:r>
        <w:rPr>
          <w:color w:val="000000"/>
          <w:sz w:val="24"/>
        </w:rPr>
        <w:t>本基金本报告</w:t>
      </w:r>
      <w:proofErr w:type="gramStart"/>
      <w:r>
        <w:rPr>
          <w:color w:val="000000"/>
          <w:sz w:val="24"/>
        </w:rPr>
        <w:t>期基金</w:t>
      </w:r>
      <w:proofErr w:type="gramEnd"/>
      <w:r>
        <w:rPr>
          <w:color w:val="000000"/>
          <w:sz w:val="24"/>
        </w:rPr>
        <w:t>管理人未运用</w:t>
      </w:r>
      <w:proofErr w:type="gramStart"/>
      <w:r>
        <w:rPr>
          <w:color w:val="000000"/>
          <w:sz w:val="24"/>
        </w:rPr>
        <w:t>固有资金</w:t>
      </w:r>
      <w:proofErr w:type="gramEnd"/>
      <w:r>
        <w:rPr>
          <w:color w:val="000000"/>
          <w:sz w:val="24"/>
        </w:rPr>
        <w:t>投资本基金。</w:t>
      </w:r>
    </w:p>
    <w:p w:rsidR="00376FEF" w:rsidRDefault="00376FEF">
      <w:pPr>
        <w:autoSpaceDE w:val="0"/>
        <w:autoSpaceDN w:val="0"/>
        <w:adjustRightInd w:val="0"/>
        <w:spacing w:before="29" w:line="288" w:lineRule="auto"/>
        <w:jc w:val="left"/>
        <w:rPr>
          <w:color w:val="000000"/>
          <w:sz w:val="24"/>
        </w:rPr>
      </w:pPr>
    </w:p>
    <w:p w:rsidR="00376FEF" w:rsidRDefault="00C56B08" w:rsidP="00F26500">
      <w:pPr>
        <w:pStyle w:val="1"/>
        <w:spacing w:beforeLines="100" w:before="312" w:afterLines="100" w:after="312" w:line="288" w:lineRule="auto"/>
        <w:jc w:val="center"/>
        <w:rPr>
          <w:color w:val="000000"/>
          <w:kern w:val="0"/>
          <w:sz w:val="24"/>
          <w:szCs w:val="24"/>
        </w:rPr>
      </w:pPr>
      <w:r>
        <w:rPr>
          <w:color w:val="000000"/>
          <w:kern w:val="0"/>
          <w:sz w:val="24"/>
          <w:szCs w:val="24"/>
        </w:rPr>
        <w:lastRenderedPageBreak/>
        <w:t xml:space="preserve">§8 </w:t>
      </w:r>
      <w:r>
        <w:rPr>
          <w:color w:val="000000"/>
          <w:kern w:val="0"/>
          <w:sz w:val="24"/>
          <w:szCs w:val="24"/>
        </w:rPr>
        <w:t>影响投资者决策的其他重要信息</w:t>
      </w:r>
    </w:p>
    <w:p w:rsidR="00376FEF" w:rsidRDefault="00C56B08">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 xml:space="preserve">1 </w:t>
      </w:r>
      <w:r>
        <w:rPr>
          <w:rFonts w:ascii="宋体" w:hAnsi="宋体" w:hint="eastAsia"/>
          <w:b/>
          <w:bCs/>
          <w:color w:val="000000"/>
          <w:kern w:val="0"/>
          <w:sz w:val="24"/>
          <w:szCs w:val="24"/>
        </w:rPr>
        <w:t>报告期内单一投资者持有基金份额比例达到或超过</w:t>
      </w:r>
      <w:r>
        <w:rPr>
          <w:rFonts w:ascii="宋体" w:hAnsi="宋体" w:hint="eastAsia"/>
          <w:b/>
          <w:bCs/>
          <w:color w:val="000000"/>
          <w:kern w:val="0"/>
          <w:sz w:val="24"/>
          <w:szCs w:val="24"/>
        </w:rPr>
        <w:t>20%</w:t>
      </w:r>
      <w:r>
        <w:rPr>
          <w:rFonts w:ascii="宋体" w:hAnsi="宋体"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76FEF">
        <w:tc>
          <w:tcPr>
            <w:tcW w:w="993" w:type="dxa"/>
            <w:vMerge w:val="restart"/>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投资者类别</w:t>
            </w:r>
            <w:r>
              <w:rPr>
                <w:rFonts w:ascii="宋体" w:hAnsi="宋体"/>
                <w:color w:val="000000"/>
                <w:kern w:val="0"/>
                <w:sz w:val="24"/>
                <w:szCs w:val="24"/>
              </w:rPr>
              <w:t xml:space="preserve">  </w:t>
            </w:r>
          </w:p>
        </w:tc>
        <w:tc>
          <w:tcPr>
            <w:tcW w:w="5670" w:type="dxa"/>
            <w:gridSpan w:val="5"/>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报告期内持有基金份额变化情况</w:t>
            </w:r>
          </w:p>
        </w:tc>
        <w:tc>
          <w:tcPr>
            <w:tcW w:w="2549" w:type="dxa"/>
            <w:gridSpan w:val="2"/>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报告期末持有基金情况</w:t>
            </w:r>
          </w:p>
        </w:tc>
      </w:tr>
      <w:tr w:rsidR="00376FEF">
        <w:tc>
          <w:tcPr>
            <w:tcW w:w="993" w:type="dxa"/>
            <w:vMerge/>
            <w:vAlign w:val="center"/>
          </w:tcPr>
          <w:p w:rsidR="00376FEF" w:rsidRDefault="00376FEF">
            <w:pPr>
              <w:autoSpaceDE w:val="0"/>
              <w:autoSpaceDN w:val="0"/>
              <w:adjustRightInd w:val="0"/>
              <w:jc w:val="center"/>
              <w:rPr>
                <w:rFonts w:ascii="宋体" w:hAnsi="宋体"/>
                <w:b/>
                <w:bCs/>
                <w:color w:val="000000"/>
                <w:kern w:val="0"/>
                <w:sz w:val="24"/>
                <w:szCs w:val="24"/>
              </w:rPr>
            </w:pPr>
          </w:p>
        </w:tc>
        <w:tc>
          <w:tcPr>
            <w:tcW w:w="992" w:type="dxa"/>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序号</w:t>
            </w:r>
          </w:p>
        </w:tc>
        <w:tc>
          <w:tcPr>
            <w:tcW w:w="1843" w:type="dxa"/>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持有基金份额比例达到或者超过</w:t>
            </w:r>
            <w:r>
              <w:rPr>
                <w:rFonts w:ascii="宋体" w:hAnsi="宋体" w:hint="eastAsia"/>
                <w:color w:val="000000"/>
                <w:kern w:val="0"/>
                <w:sz w:val="24"/>
                <w:szCs w:val="24"/>
              </w:rPr>
              <w:t>20%</w:t>
            </w:r>
            <w:r>
              <w:rPr>
                <w:rFonts w:ascii="宋体" w:hAnsi="宋体" w:hint="eastAsia"/>
                <w:color w:val="000000"/>
                <w:kern w:val="0"/>
                <w:sz w:val="24"/>
                <w:szCs w:val="24"/>
              </w:rPr>
              <w:t>的时间区间</w:t>
            </w:r>
          </w:p>
        </w:tc>
        <w:tc>
          <w:tcPr>
            <w:tcW w:w="851" w:type="dxa"/>
            <w:vAlign w:val="center"/>
          </w:tcPr>
          <w:p w:rsidR="00376FEF" w:rsidRDefault="00C56B08">
            <w:pPr>
              <w:widowControl/>
              <w:jc w:val="center"/>
              <w:rPr>
                <w:rFonts w:ascii="宋体" w:hAnsi="宋体"/>
                <w:b/>
                <w:bCs/>
                <w:color w:val="000000"/>
                <w:kern w:val="0"/>
                <w:sz w:val="24"/>
                <w:szCs w:val="24"/>
              </w:rPr>
            </w:pPr>
            <w:r>
              <w:rPr>
                <w:rFonts w:ascii="宋体" w:hAnsi="宋体" w:hint="eastAsia"/>
                <w:color w:val="000000"/>
                <w:kern w:val="0"/>
                <w:sz w:val="24"/>
                <w:szCs w:val="24"/>
              </w:rPr>
              <w:t>期初份额</w:t>
            </w:r>
          </w:p>
        </w:tc>
        <w:tc>
          <w:tcPr>
            <w:tcW w:w="850" w:type="dxa"/>
            <w:vAlign w:val="center"/>
          </w:tcPr>
          <w:p w:rsidR="00376FEF" w:rsidRDefault="00C56B08">
            <w:pPr>
              <w:widowControl/>
              <w:jc w:val="center"/>
              <w:rPr>
                <w:rFonts w:ascii="宋体" w:hAnsi="宋体"/>
                <w:b/>
                <w:bCs/>
                <w:color w:val="000000"/>
                <w:kern w:val="0"/>
                <w:sz w:val="24"/>
                <w:szCs w:val="24"/>
              </w:rPr>
            </w:pPr>
            <w:r>
              <w:rPr>
                <w:rFonts w:ascii="宋体" w:hAnsi="宋体" w:hint="eastAsia"/>
                <w:color w:val="000000"/>
                <w:kern w:val="0"/>
                <w:sz w:val="24"/>
                <w:szCs w:val="24"/>
              </w:rPr>
              <w:t>申购份额</w:t>
            </w:r>
          </w:p>
        </w:tc>
        <w:tc>
          <w:tcPr>
            <w:tcW w:w="1134" w:type="dxa"/>
            <w:vAlign w:val="center"/>
          </w:tcPr>
          <w:p w:rsidR="00376FEF" w:rsidRDefault="00C56B08">
            <w:pPr>
              <w:widowControl/>
              <w:jc w:val="center"/>
              <w:rPr>
                <w:rFonts w:ascii="宋体" w:hAnsi="宋体"/>
                <w:b/>
                <w:bCs/>
                <w:color w:val="000000"/>
                <w:kern w:val="0"/>
                <w:sz w:val="24"/>
                <w:szCs w:val="24"/>
              </w:rPr>
            </w:pPr>
            <w:r>
              <w:rPr>
                <w:rFonts w:ascii="宋体" w:hAnsi="宋体" w:hint="eastAsia"/>
                <w:color w:val="000000"/>
                <w:kern w:val="0"/>
                <w:sz w:val="24"/>
                <w:szCs w:val="24"/>
              </w:rPr>
              <w:t>赎回份额</w:t>
            </w:r>
          </w:p>
        </w:tc>
        <w:tc>
          <w:tcPr>
            <w:tcW w:w="1419" w:type="dxa"/>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持有份额</w:t>
            </w:r>
          </w:p>
        </w:tc>
        <w:tc>
          <w:tcPr>
            <w:tcW w:w="1130" w:type="dxa"/>
            <w:vAlign w:val="center"/>
          </w:tcPr>
          <w:p w:rsidR="00376FEF" w:rsidRDefault="00C56B08">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份额占比</w:t>
            </w:r>
          </w:p>
        </w:tc>
      </w:tr>
      <w:tr w:rsidR="00376FEF">
        <w:tc>
          <w:tcPr>
            <w:tcW w:w="993" w:type="dxa"/>
            <w:vMerge w:val="restart"/>
          </w:tcPr>
          <w:p w:rsidR="00376FEF" w:rsidRDefault="00376FEF"/>
          <w:p w:rsidR="00376FEF" w:rsidRDefault="00C56B08">
            <w:r>
              <w:rPr>
                <w:rFonts w:ascii="宋体" w:hAnsi="宋体" w:hint="eastAsia"/>
                <w:bCs/>
                <w:color w:val="000000"/>
                <w:kern w:val="0"/>
                <w:sz w:val="24"/>
                <w:szCs w:val="24"/>
              </w:rPr>
              <w:t>机构</w:t>
            </w:r>
          </w:p>
        </w:tc>
        <w:tc>
          <w:tcPr>
            <w:tcW w:w="992" w:type="dxa"/>
            <w:vAlign w:val="center"/>
          </w:tcPr>
          <w:p w:rsidR="00376FEF" w:rsidRDefault="00C56B08">
            <w:pPr>
              <w:jc w:val="center"/>
            </w:pPr>
            <w:r>
              <w:rPr>
                <w:rFonts w:ascii="宋体" w:hAnsi="宋体"/>
                <w:color w:val="000000"/>
                <w:kern w:val="0"/>
                <w:sz w:val="24"/>
                <w:szCs w:val="24"/>
              </w:rPr>
              <w:t>1</w:t>
            </w:r>
          </w:p>
        </w:tc>
        <w:tc>
          <w:tcPr>
            <w:tcW w:w="1843" w:type="dxa"/>
            <w:vAlign w:val="center"/>
          </w:tcPr>
          <w:p w:rsidR="00376FEF" w:rsidRDefault="00C56B08">
            <w:pPr>
              <w:jc w:val="center"/>
            </w:pPr>
            <w:r>
              <w:rPr>
                <w:rFonts w:ascii="宋体" w:hAnsi="宋体"/>
                <w:color w:val="000000"/>
                <w:kern w:val="0"/>
                <w:sz w:val="24"/>
                <w:szCs w:val="24"/>
              </w:rPr>
              <w:t>2017/7/3-2017/8/4</w:t>
            </w:r>
          </w:p>
        </w:tc>
        <w:tc>
          <w:tcPr>
            <w:tcW w:w="851" w:type="dxa"/>
            <w:vAlign w:val="center"/>
          </w:tcPr>
          <w:p w:rsidR="00376FEF" w:rsidRDefault="00C56B08">
            <w:pPr>
              <w:jc w:val="center"/>
            </w:pPr>
            <w:r>
              <w:rPr>
                <w:rFonts w:ascii="宋体" w:hAnsi="宋体"/>
                <w:color w:val="000000"/>
                <w:kern w:val="0"/>
                <w:sz w:val="24"/>
                <w:szCs w:val="24"/>
              </w:rPr>
              <w:t>2,861,622.83</w:t>
            </w:r>
          </w:p>
        </w:tc>
        <w:tc>
          <w:tcPr>
            <w:tcW w:w="850" w:type="dxa"/>
            <w:vAlign w:val="center"/>
          </w:tcPr>
          <w:p w:rsidR="00376FEF" w:rsidRDefault="00C56B08">
            <w:pPr>
              <w:jc w:val="center"/>
            </w:pPr>
            <w:r>
              <w:rPr>
                <w:rFonts w:ascii="宋体" w:hAnsi="宋体"/>
                <w:color w:val="000000"/>
                <w:kern w:val="0"/>
                <w:sz w:val="24"/>
                <w:szCs w:val="24"/>
              </w:rPr>
              <w:t>-</w:t>
            </w:r>
          </w:p>
        </w:tc>
        <w:tc>
          <w:tcPr>
            <w:tcW w:w="1134" w:type="dxa"/>
            <w:vAlign w:val="center"/>
          </w:tcPr>
          <w:p w:rsidR="00376FEF" w:rsidRDefault="00C56B08">
            <w:pPr>
              <w:jc w:val="center"/>
            </w:pPr>
            <w:r>
              <w:rPr>
                <w:rFonts w:ascii="宋体" w:hAnsi="宋体"/>
                <w:color w:val="000000"/>
                <w:kern w:val="0"/>
                <w:sz w:val="24"/>
                <w:szCs w:val="24"/>
              </w:rPr>
              <w:t>-</w:t>
            </w:r>
          </w:p>
        </w:tc>
        <w:tc>
          <w:tcPr>
            <w:tcW w:w="1419" w:type="dxa"/>
            <w:vAlign w:val="center"/>
          </w:tcPr>
          <w:p w:rsidR="00376FEF" w:rsidRDefault="00C56B08">
            <w:pPr>
              <w:jc w:val="center"/>
            </w:pPr>
            <w:r>
              <w:rPr>
                <w:rFonts w:ascii="宋体" w:hAnsi="宋体"/>
                <w:color w:val="000000"/>
                <w:kern w:val="0"/>
                <w:sz w:val="24"/>
                <w:szCs w:val="24"/>
              </w:rPr>
              <w:t>2,861,622.83</w:t>
            </w:r>
          </w:p>
        </w:tc>
        <w:tc>
          <w:tcPr>
            <w:tcW w:w="1130" w:type="dxa"/>
            <w:vAlign w:val="center"/>
          </w:tcPr>
          <w:p w:rsidR="00376FEF" w:rsidRDefault="00C56B08">
            <w:pPr>
              <w:jc w:val="center"/>
            </w:pPr>
            <w:r>
              <w:rPr>
                <w:rFonts w:ascii="宋体" w:hAnsi="宋体"/>
                <w:color w:val="000000"/>
                <w:kern w:val="0"/>
                <w:sz w:val="24"/>
                <w:szCs w:val="24"/>
              </w:rPr>
              <w:t>46.79%</w:t>
            </w:r>
          </w:p>
        </w:tc>
      </w:tr>
      <w:tr w:rsidR="00376FEF">
        <w:tc>
          <w:tcPr>
            <w:tcW w:w="9212" w:type="dxa"/>
            <w:gridSpan w:val="8"/>
            <w:vAlign w:val="center"/>
          </w:tcPr>
          <w:p w:rsidR="00376FEF" w:rsidRDefault="00C56B08">
            <w:pPr>
              <w:autoSpaceDE w:val="0"/>
              <w:autoSpaceDN w:val="0"/>
              <w:adjustRightInd w:val="0"/>
              <w:jc w:val="center"/>
              <w:rPr>
                <w:rFonts w:ascii="宋体" w:hAnsi="宋体"/>
                <w:kern w:val="0"/>
                <w:sz w:val="24"/>
                <w:szCs w:val="24"/>
              </w:rPr>
            </w:pPr>
            <w:r>
              <w:rPr>
                <w:rFonts w:ascii="宋体" w:hAnsi="宋体"/>
                <w:color w:val="000000"/>
                <w:kern w:val="0"/>
                <w:sz w:val="24"/>
                <w:szCs w:val="24"/>
              </w:rPr>
              <w:t>产品特有风险</w:t>
            </w:r>
          </w:p>
        </w:tc>
      </w:tr>
      <w:tr w:rsidR="00376FEF">
        <w:tc>
          <w:tcPr>
            <w:tcW w:w="9212" w:type="dxa"/>
            <w:gridSpan w:val="8"/>
            <w:vAlign w:val="center"/>
          </w:tcPr>
          <w:p w:rsidR="00376FEF" w:rsidRDefault="00C56B08">
            <w:pPr>
              <w:autoSpaceDE w:val="0"/>
              <w:autoSpaceDN w:val="0"/>
              <w:adjustRightInd w:val="0"/>
              <w:jc w:val="left"/>
              <w:rPr>
                <w:rFonts w:ascii="宋体" w:hAnsi="宋体"/>
                <w:kern w:val="0"/>
                <w:sz w:val="24"/>
                <w:szCs w:val="24"/>
              </w:rPr>
            </w:pPr>
            <w:r>
              <w:rPr>
                <w:rFonts w:ascii="宋体" w:hAnsi="宋体" w:hint="eastAsia"/>
                <w:kern w:val="0"/>
                <w:sz w:val="24"/>
                <w:szCs w:val="24"/>
              </w:rPr>
              <w:t>报告期内，本基金存在单一投资者持有份额比例达到或超过</w:t>
            </w:r>
            <w:r>
              <w:rPr>
                <w:rFonts w:ascii="宋体" w:hAnsi="宋体" w:hint="eastAsia"/>
                <w:kern w:val="0"/>
                <w:sz w:val="24"/>
                <w:szCs w:val="24"/>
              </w:rPr>
              <w:t>20%</w:t>
            </w:r>
            <w:r>
              <w:rPr>
                <w:rFonts w:ascii="宋体" w:hAnsi="宋体" w:hint="eastAsia"/>
                <w:kern w:val="0"/>
                <w:sz w:val="24"/>
                <w:szCs w:val="24"/>
              </w:rPr>
              <w:t>的情况，由此可能导致的特有风险主要包括：</w:t>
            </w:r>
          </w:p>
          <w:p w:rsidR="00376FEF" w:rsidRDefault="00C56B08">
            <w:pPr>
              <w:autoSpaceDE w:val="0"/>
              <w:autoSpaceDN w:val="0"/>
              <w:adjustRightInd w:val="0"/>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、当基金份额持有人占比过于集中时，可能会因某</w:t>
            </w:r>
            <w:proofErr w:type="gramStart"/>
            <w:r>
              <w:rPr>
                <w:rFonts w:ascii="宋体" w:hAnsi="宋体" w:hint="eastAsia"/>
                <w:kern w:val="0"/>
                <w:sz w:val="24"/>
                <w:szCs w:val="24"/>
              </w:rPr>
              <w:t>单一基金</w:t>
            </w:r>
            <w:proofErr w:type="gramEnd"/>
            <w:r>
              <w:rPr>
                <w:rFonts w:ascii="宋体" w:hAnsi="宋体" w:hint="eastAsia"/>
                <w:kern w:val="0"/>
                <w:sz w:val="24"/>
                <w:szCs w:val="24"/>
              </w:rPr>
              <w:t>份额持有人大额赎回而引发基金净值剧烈波动的风险；</w:t>
            </w:r>
          </w:p>
          <w:p w:rsidR="00376FEF" w:rsidRDefault="00C56B08">
            <w:pPr>
              <w:autoSpaceDE w:val="0"/>
              <w:autoSpaceDN w:val="0"/>
              <w:adjustRightInd w:val="0"/>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、若某</w:t>
            </w:r>
            <w:proofErr w:type="gramStart"/>
            <w:r>
              <w:rPr>
                <w:rFonts w:ascii="宋体" w:hAnsi="宋体" w:hint="eastAsia"/>
                <w:kern w:val="0"/>
                <w:sz w:val="24"/>
                <w:szCs w:val="24"/>
              </w:rPr>
              <w:t>单一基金</w:t>
            </w:r>
            <w:proofErr w:type="gramEnd"/>
            <w:r>
              <w:rPr>
                <w:rFonts w:ascii="宋体" w:hAnsi="宋体" w:hint="eastAsia"/>
                <w:kern w:val="0"/>
                <w:sz w:val="24"/>
                <w:szCs w:val="24"/>
              </w:rPr>
              <w:t>份额持有人巨额赎回有可能引发基金的流动性风险，基金管理人可能无法及时变</w:t>
            </w:r>
            <w:proofErr w:type="gramStart"/>
            <w:r>
              <w:rPr>
                <w:rFonts w:ascii="宋体" w:hAnsi="宋体" w:hint="eastAsia"/>
                <w:kern w:val="0"/>
                <w:sz w:val="24"/>
                <w:szCs w:val="24"/>
              </w:rPr>
              <w:t>现基金</w:t>
            </w:r>
            <w:proofErr w:type="gramEnd"/>
            <w:r>
              <w:rPr>
                <w:rFonts w:ascii="宋体" w:hAnsi="宋体" w:hint="eastAsia"/>
                <w:kern w:val="0"/>
                <w:sz w:val="24"/>
                <w:szCs w:val="24"/>
              </w:rPr>
              <w:t>资产以应对基金份额持有人的赎回申请，基金份额持有人可能无法及时赎回持有的全部基金份额。</w:t>
            </w:r>
          </w:p>
          <w:p w:rsidR="00376FEF" w:rsidRDefault="00C56B08">
            <w:pPr>
              <w:autoSpaceDE w:val="0"/>
              <w:autoSpaceDN w:val="0"/>
              <w:adjustRightInd w:val="0"/>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、若个别投资者大额赎回后，可能会导致基金资产净值连续出现六十个工作日低于</w:t>
            </w:r>
            <w:r>
              <w:rPr>
                <w:rFonts w:ascii="宋体" w:hAnsi="宋体" w:hint="eastAsia"/>
                <w:kern w:val="0"/>
                <w:sz w:val="24"/>
                <w:szCs w:val="24"/>
              </w:rPr>
              <w:t>5000</w:t>
            </w:r>
            <w:r>
              <w:rPr>
                <w:rFonts w:ascii="宋体" w:hAnsi="宋体" w:hint="eastAsia"/>
                <w:kern w:val="0"/>
                <w:sz w:val="24"/>
                <w:szCs w:val="24"/>
              </w:rPr>
              <w:t>万元的风险，基金可能会面临转换运作方式、与其他基金合并或者终止基金合同等情形。</w:t>
            </w:r>
          </w:p>
          <w:p w:rsidR="00376FEF" w:rsidRDefault="00C56B08">
            <w:pPr>
              <w:autoSpaceDE w:val="0"/>
              <w:autoSpaceDN w:val="0"/>
              <w:adjustRightInd w:val="0"/>
              <w:jc w:val="left"/>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、其他可能的风险。</w:t>
            </w:r>
          </w:p>
          <w:p w:rsidR="00376FEF" w:rsidRDefault="00C56B08">
            <w:pPr>
              <w:autoSpaceDE w:val="0"/>
              <w:autoSpaceDN w:val="0"/>
              <w:adjustRightInd w:val="0"/>
              <w:jc w:val="left"/>
              <w:rPr>
                <w:rFonts w:ascii="宋体" w:hAnsi="宋体"/>
                <w:kern w:val="0"/>
                <w:sz w:val="24"/>
                <w:szCs w:val="24"/>
              </w:rPr>
            </w:pPr>
            <w:r>
              <w:rPr>
                <w:rFonts w:ascii="宋体" w:hAnsi="宋体" w:hint="eastAsia"/>
                <w:kern w:val="0"/>
                <w:sz w:val="24"/>
                <w:szCs w:val="24"/>
              </w:rPr>
              <w:t xml:space="preserve">   </w:t>
            </w:r>
            <w:r>
              <w:rPr>
                <w:rFonts w:ascii="宋体" w:hAnsi="宋体" w:hint="eastAsia"/>
                <w:kern w:val="0"/>
                <w:sz w:val="24"/>
                <w:szCs w:val="24"/>
              </w:rPr>
              <w:t>另外，当某</w:t>
            </w:r>
            <w:proofErr w:type="gramStart"/>
            <w:r>
              <w:rPr>
                <w:rFonts w:ascii="宋体" w:hAnsi="宋体" w:hint="eastAsia"/>
                <w:kern w:val="0"/>
                <w:sz w:val="24"/>
                <w:szCs w:val="24"/>
              </w:rPr>
              <w:t>单一基金</w:t>
            </w:r>
            <w:proofErr w:type="gramEnd"/>
            <w:r>
              <w:rPr>
                <w:rFonts w:ascii="宋体" w:hAnsi="宋体" w:hint="eastAsia"/>
                <w:kern w:val="0"/>
                <w:sz w:val="24"/>
                <w:szCs w:val="24"/>
              </w:rPr>
              <w:t>份额持有人所持有的基金份额已经达到或超过本基金规模的</w:t>
            </w:r>
            <w:r>
              <w:rPr>
                <w:rFonts w:ascii="宋体" w:hAnsi="宋体" w:hint="eastAsia"/>
                <w:kern w:val="0"/>
                <w:sz w:val="24"/>
                <w:szCs w:val="24"/>
              </w:rPr>
              <w:t>50%</w:t>
            </w:r>
            <w:r>
              <w:rPr>
                <w:rFonts w:ascii="宋体" w:hAnsi="宋体" w:hint="eastAsia"/>
                <w:kern w:val="0"/>
                <w:sz w:val="24"/>
                <w:szCs w:val="24"/>
              </w:rPr>
              <w:t>或者接受某笔或者某些申购或转换转入申请有可能导致单一投资者持有基金份额的比例达到或者超过</w:t>
            </w:r>
            <w:r>
              <w:rPr>
                <w:rFonts w:ascii="宋体" w:hAnsi="宋体" w:hint="eastAsia"/>
                <w:kern w:val="0"/>
                <w:sz w:val="24"/>
                <w:szCs w:val="24"/>
              </w:rPr>
              <w:t>50%</w:t>
            </w:r>
            <w:r>
              <w:rPr>
                <w:rFonts w:ascii="宋体" w:hAnsi="宋体" w:hint="eastAsia"/>
                <w:kern w:val="0"/>
                <w:sz w:val="24"/>
                <w:szCs w:val="24"/>
              </w:rPr>
              <w:t>时，本基金管理人可拒绝该持有人对本</w:t>
            </w:r>
            <w:proofErr w:type="gramStart"/>
            <w:r>
              <w:rPr>
                <w:rFonts w:ascii="宋体" w:hAnsi="宋体" w:hint="eastAsia"/>
                <w:kern w:val="0"/>
                <w:sz w:val="24"/>
                <w:szCs w:val="24"/>
              </w:rPr>
              <w:t>基金基金</w:t>
            </w:r>
            <w:proofErr w:type="gramEnd"/>
            <w:r>
              <w:rPr>
                <w:rFonts w:ascii="宋体" w:hAnsi="宋体" w:hint="eastAsia"/>
                <w:kern w:val="0"/>
                <w:sz w:val="24"/>
                <w:szCs w:val="24"/>
              </w:rPr>
              <w:t>份额提出的申购及转换转入申请。</w:t>
            </w:r>
          </w:p>
        </w:tc>
      </w:tr>
    </w:tbl>
    <w:p w:rsidR="00376FEF" w:rsidRDefault="00C56B08">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 xml:space="preserve">8.2 </w:t>
      </w:r>
      <w:r>
        <w:rPr>
          <w:rFonts w:ascii="宋体" w:hAnsi="宋体" w:hint="eastAsia"/>
          <w:b/>
          <w:bCs/>
          <w:color w:val="000000"/>
          <w:kern w:val="0"/>
          <w:sz w:val="24"/>
          <w:szCs w:val="24"/>
        </w:rPr>
        <w:t>影响投资者决策的其他重要信息</w:t>
      </w:r>
    </w:p>
    <w:p w:rsidR="00376FEF" w:rsidRDefault="00C56B08">
      <w:pPr>
        <w:spacing w:line="360" w:lineRule="auto"/>
        <w:ind w:firstLineChars="200" w:firstLine="480"/>
        <w:rPr>
          <w:rFonts w:ascii="宋体" w:hAnsi="宋体"/>
          <w:color w:val="000000"/>
          <w:sz w:val="24"/>
          <w:szCs w:val="24"/>
        </w:rPr>
      </w:pPr>
      <w:r>
        <w:rPr>
          <w:rFonts w:ascii="宋体" w:hAnsi="宋体"/>
          <w:color w:val="000000"/>
          <w:sz w:val="24"/>
          <w:szCs w:val="24"/>
        </w:rPr>
        <w:t>海富通基金管理有限公司成立于</w:t>
      </w:r>
      <w:r>
        <w:rPr>
          <w:rFonts w:ascii="宋体" w:hAnsi="宋体"/>
          <w:color w:val="000000"/>
          <w:sz w:val="24"/>
          <w:szCs w:val="24"/>
        </w:rPr>
        <w:t>2003</w:t>
      </w:r>
      <w:r>
        <w:rPr>
          <w:rFonts w:ascii="宋体" w:hAnsi="宋体"/>
          <w:color w:val="000000"/>
          <w:sz w:val="24"/>
          <w:szCs w:val="24"/>
        </w:rPr>
        <w:t>年</w:t>
      </w:r>
      <w:r>
        <w:rPr>
          <w:rFonts w:ascii="宋体" w:hAnsi="宋体"/>
          <w:color w:val="000000"/>
          <w:sz w:val="24"/>
          <w:szCs w:val="24"/>
        </w:rPr>
        <w:t>4</w:t>
      </w:r>
      <w:r>
        <w:rPr>
          <w:rFonts w:ascii="宋体" w:hAnsi="宋体"/>
          <w:color w:val="000000"/>
          <w:sz w:val="24"/>
          <w:szCs w:val="24"/>
        </w:rPr>
        <w:t>月，是中国首批获准成立的中外合资基金管理公司。</w:t>
      </w:r>
    </w:p>
    <w:p w:rsidR="00376FEF" w:rsidRDefault="00C56B08">
      <w:pPr>
        <w:spacing w:line="360" w:lineRule="auto"/>
        <w:ind w:firstLineChars="200" w:firstLine="480"/>
        <w:rPr>
          <w:rFonts w:ascii="宋体" w:hAnsi="宋体"/>
          <w:color w:val="000000"/>
          <w:sz w:val="24"/>
          <w:szCs w:val="24"/>
        </w:rPr>
      </w:pPr>
      <w:r>
        <w:rPr>
          <w:rFonts w:ascii="宋体" w:hAnsi="宋体"/>
          <w:color w:val="000000"/>
          <w:sz w:val="24"/>
          <w:szCs w:val="24"/>
        </w:rPr>
        <w:t>从</w:t>
      </w:r>
      <w:r>
        <w:rPr>
          <w:rFonts w:ascii="宋体" w:hAnsi="宋体"/>
          <w:color w:val="000000"/>
          <w:sz w:val="24"/>
          <w:szCs w:val="24"/>
        </w:rPr>
        <w:t>2003</w:t>
      </w:r>
      <w:r>
        <w:rPr>
          <w:rFonts w:ascii="宋体" w:hAnsi="宋体"/>
          <w:color w:val="000000"/>
          <w:sz w:val="24"/>
          <w:szCs w:val="24"/>
        </w:rPr>
        <w:t>年</w:t>
      </w:r>
      <w:r>
        <w:rPr>
          <w:rFonts w:ascii="宋体" w:hAnsi="宋体"/>
          <w:color w:val="000000"/>
          <w:sz w:val="24"/>
          <w:szCs w:val="24"/>
        </w:rPr>
        <w:t>8</w:t>
      </w:r>
      <w:r>
        <w:rPr>
          <w:rFonts w:ascii="宋体" w:hAnsi="宋体"/>
          <w:color w:val="000000"/>
          <w:sz w:val="24"/>
          <w:szCs w:val="24"/>
        </w:rPr>
        <w:t>月开始，海富通先后募集成立了</w:t>
      </w:r>
      <w:r>
        <w:rPr>
          <w:rFonts w:ascii="宋体" w:hAnsi="宋体"/>
          <w:color w:val="000000"/>
          <w:sz w:val="24"/>
          <w:szCs w:val="24"/>
        </w:rPr>
        <w:t>55</w:t>
      </w:r>
      <w:r>
        <w:rPr>
          <w:rFonts w:ascii="宋体" w:hAnsi="宋体"/>
          <w:color w:val="000000"/>
          <w:sz w:val="24"/>
          <w:szCs w:val="24"/>
        </w:rPr>
        <w:t>只公募基金。截至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日，海富通管理的公</w:t>
      </w:r>
      <w:proofErr w:type="gramStart"/>
      <w:r>
        <w:rPr>
          <w:rFonts w:ascii="宋体" w:hAnsi="宋体"/>
          <w:color w:val="000000"/>
          <w:sz w:val="24"/>
          <w:szCs w:val="24"/>
        </w:rPr>
        <w:t>募基金</w:t>
      </w:r>
      <w:proofErr w:type="gramEnd"/>
      <w:r>
        <w:rPr>
          <w:rFonts w:ascii="宋体" w:hAnsi="宋体"/>
          <w:color w:val="000000"/>
          <w:sz w:val="24"/>
          <w:szCs w:val="24"/>
        </w:rPr>
        <w:t>资产规模超过</w:t>
      </w:r>
      <w:r>
        <w:rPr>
          <w:rFonts w:ascii="宋体" w:hAnsi="宋体"/>
          <w:color w:val="000000"/>
          <w:sz w:val="24"/>
          <w:szCs w:val="24"/>
        </w:rPr>
        <w:t>500</w:t>
      </w:r>
      <w:r>
        <w:rPr>
          <w:rFonts w:ascii="宋体" w:hAnsi="宋体"/>
          <w:color w:val="000000"/>
          <w:sz w:val="24"/>
          <w:szCs w:val="24"/>
        </w:rPr>
        <w:t>亿元人民币。</w:t>
      </w:r>
    </w:p>
    <w:p w:rsidR="00376FEF" w:rsidRDefault="00C56B08">
      <w:pPr>
        <w:spacing w:line="360" w:lineRule="auto"/>
        <w:ind w:firstLineChars="200" w:firstLine="480"/>
        <w:rPr>
          <w:rFonts w:ascii="宋体" w:hAnsi="宋体"/>
          <w:color w:val="000000"/>
          <w:sz w:val="24"/>
          <w:szCs w:val="24"/>
        </w:rPr>
      </w:pPr>
      <w:r>
        <w:rPr>
          <w:rFonts w:ascii="宋体" w:hAnsi="宋体"/>
          <w:color w:val="000000"/>
          <w:sz w:val="24"/>
          <w:szCs w:val="24"/>
        </w:rPr>
        <w:t>2004</w:t>
      </w:r>
      <w:r>
        <w:rPr>
          <w:rFonts w:ascii="宋体" w:hAnsi="宋体"/>
          <w:color w:val="000000"/>
          <w:sz w:val="24"/>
          <w:szCs w:val="24"/>
        </w:rPr>
        <w:t>年末开始，海富通及子公司为</w:t>
      </w:r>
      <w:r>
        <w:rPr>
          <w:rFonts w:ascii="宋体" w:hAnsi="宋体"/>
          <w:color w:val="000000"/>
          <w:sz w:val="24"/>
          <w:szCs w:val="24"/>
        </w:rPr>
        <w:t>QFII</w:t>
      </w:r>
      <w:r>
        <w:rPr>
          <w:rFonts w:ascii="宋体" w:hAnsi="宋体"/>
          <w:color w:val="000000"/>
          <w:sz w:val="24"/>
          <w:szCs w:val="24"/>
        </w:rPr>
        <w:t>（合格境外机构投资者）及其他多个海内外投资组合担任投资咨询顾问，截至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日，投资咨询及海外业务规模超过</w:t>
      </w:r>
      <w:r>
        <w:rPr>
          <w:rFonts w:ascii="宋体" w:hAnsi="宋体"/>
          <w:color w:val="000000"/>
          <w:sz w:val="24"/>
          <w:szCs w:val="24"/>
        </w:rPr>
        <w:t>40</w:t>
      </w:r>
      <w:r>
        <w:rPr>
          <w:rFonts w:ascii="宋体" w:hAnsi="宋体"/>
          <w:color w:val="000000"/>
          <w:sz w:val="24"/>
          <w:szCs w:val="24"/>
        </w:rPr>
        <w:t>亿元人民币。</w:t>
      </w:r>
    </w:p>
    <w:p w:rsidR="00376FEF" w:rsidRDefault="00C56B08">
      <w:pPr>
        <w:spacing w:line="360" w:lineRule="auto"/>
        <w:ind w:firstLineChars="200" w:firstLine="480"/>
        <w:rPr>
          <w:rFonts w:ascii="宋体" w:hAnsi="宋体"/>
          <w:color w:val="000000"/>
          <w:sz w:val="24"/>
          <w:szCs w:val="24"/>
        </w:rPr>
      </w:pPr>
      <w:r>
        <w:rPr>
          <w:rFonts w:ascii="宋体" w:hAnsi="宋体"/>
          <w:color w:val="000000"/>
          <w:sz w:val="24"/>
          <w:szCs w:val="24"/>
        </w:rPr>
        <w:t>作为国家人力资源和社会保障部首批企业年金基金投资管理人，截至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日，海富通为近</w:t>
      </w:r>
      <w:r>
        <w:rPr>
          <w:rFonts w:ascii="宋体" w:hAnsi="宋体"/>
          <w:color w:val="000000"/>
          <w:sz w:val="24"/>
          <w:szCs w:val="24"/>
        </w:rPr>
        <w:t>80</w:t>
      </w:r>
      <w:r>
        <w:rPr>
          <w:rFonts w:ascii="宋体" w:hAnsi="宋体"/>
          <w:color w:val="000000"/>
          <w:sz w:val="24"/>
          <w:szCs w:val="24"/>
        </w:rPr>
        <w:t>家企业超过</w:t>
      </w:r>
      <w:r>
        <w:rPr>
          <w:rFonts w:ascii="宋体" w:hAnsi="宋体"/>
          <w:color w:val="000000"/>
          <w:sz w:val="24"/>
          <w:szCs w:val="24"/>
        </w:rPr>
        <w:t>368</w:t>
      </w:r>
      <w:r>
        <w:rPr>
          <w:rFonts w:ascii="宋体" w:hAnsi="宋体"/>
          <w:color w:val="000000"/>
          <w:sz w:val="24"/>
          <w:szCs w:val="24"/>
        </w:rPr>
        <w:t>亿元的企业年金基金担任了投资管理人。作为首</w:t>
      </w:r>
      <w:r>
        <w:rPr>
          <w:rFonts w:ascii="宋体" w:hAnsi="宋体"/>
          <w:color w:val="000000"/>
          <w:sz w:val="24"/>
          <w:szCs w:val="24"/>
        </w:rPr>
        <w:lastRenderedPageBreak/>
        <w:t>批特定客户资产管理业务资格的基金管理公司，截至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w:t>
      </w:r>
      <w:r>
        <w:rPr>
          <w:rFonts w:ascii="宋体" w:hAnsi="宋体"/>
          <w:color w:val="000000"/>
          <w:sz w:val="24"/>
          <w:szCs w:val="24"/>
        </w:rPr>
        <w:t>30</w:t>
      </w:r>
      <w:r>
        <w:rPr>
          <w:rFonts w:ascii="宋体" w:hAnsi="宋体"/>
          <w:color w:val="000000"/>
          <w:sz w:val="24"/>
          <w:szCs w:val="24"/>
        </w:rPr>
        <w:t>日，海富通管理的特定客户资产管理业务规模超过</w:t>
      </w:r>
      <w:r>
        <w:rPr>
          <w:rFonts w:ascii="宋体" w:hAnsi="宋体"/>
          <w:color w:val="000000"/>
          <w:sz w:val="24"/>
          <w:szCs w:val="24"/>
        </w:rPr>
        <w:t>403</w:t>
      </w:r>
      <w:r>
        <w:rPr>
          <w:rFonts w:ascii="宋体" w:hAnsi="宋体"/>
          <w:color w:val="000000"/>
          <w:sz w:val="24"/>
          <w:szCs w:val="24"/>
        </w:rPr>
        <w:t>亿元。</w:t>
      </w:r>
      <w:r>
        <w:rPr>
          <w:rFonts w:ascii="宋体" w:hAnsi="宋体"/>
          <w:color w:val="000000"/>
          <w:sz w:val="24"/>
          <w:szCs w:val="24"/>
        </w:rPr>
        <w:t>2010</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月，海富通基金管理有限公司被全国社会保障基金理事会选聘为境内委托投资管理人。</w:t>
      </w:r>
      <w:r>
        <w:rPr>
          <w:rFonts w:ascii="宋体" w:hAnsi="宋体"/>
          <w:color w:val="000000"/>
          <w:sz w:val="24"/>
          <w:szCs w:val="24"/>
        </w:rPr>
        <w:t>2011</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月，海富通全资子公司</w:t>
      </w:r>
      <w:r>
        <w:rPr>
          <w:rFonts w:ascii="宋体" w:hAnsi="宋体"/>
          <w:color w:val="000000"/>
          <w:sz w:val="24"/>
          <w:szCs w:val="24"/>
        </w:rPr>
        <w:t>——</w:t>
      </w:r>
      <w:r>
        <w:rPr>
          <w:rFonts w:ascii="宋体" w:hAnsi="宋体"/>
          <w:color w:val="000000"/>
          <w:sz w:val="24"/>
          <w:szCs w:val="24"/>
        </w:rPr>
        <w:t>海富通资产管理（香港）有限公司获得证监会核准批复</w:t>
      </w:r>
      <w:r>
        <w:rPr>
          <w:rFonts w:ascii="宋体" w:hAnsi="宋体"/>
          <w:color w:val="000000"/>
          <w:sz w:val="24"/>
          <w:szCs w:val="24"/>
        </w:rPr>
        <w:t>RQFII</w:t>
      </w:r>
      <w:r>
        <w:rPr>
          <w:rFonts w:ascii="宋体" w:hAnsi="宋体"/>
          <w:color w:val="000000"/>
          <w:sz w:val="24"/>
          <w:szCs w:val="24"/>
        </w:rPr>
        <w:t>（人民币合格境外机构投资者）业务资格，能够在香港筹集人民币资金投资境内证券市场。</w:t>
      </w:r>
      <w:r>
        <w:rPr>
          <w:rFonts w:ascii="宋体" w:hAnsi="宋体"/>
          <w:color w:val="000000"/>
          <w:sz w:val="24"/>
          <w:szCs w:val="24"/>
        </w:rPr>
        <w:t>2012</w:t>
      </w:r>
      <w:r>
        <w:rPr>
          <w:rFonts w:ascii="宋体" w:hAnsi="宋体"/>
          <w:color w:val="000000"/>
          <w:sz w:val="24"/>
          <w:szCs w:val="24"/>
        </w:rPr>
        <w:t>年</w:t>
      </w:r>
      <w:r>
        <w:rPr>
          <w:rFonts w:ascii="宋体" w:hAnsi="宋体"/>
          <w:color w:val="000000"/>
          <w:sz w:val="24"/>
          <w:szCs w:val="24"/>
        </w:rPr>
        <w:t>2</w:t>
      </w:r>
      <w:r>
        <w:rPr>
          <w:rFonts w:ascii="宋体" w:hAnsi="宋体"/>
          <w:color w:val="000000"/>
          <w:sz w:val="24"/>
          <w:szCs w:val="24"/>
        </w:rPr>
        <w:t>月，海富通资产管理（香港）有限公司已募集发行了首只</w:t>
      </w:r>
      <w:r>
        <w:rPr>
          <w:rFonts w:ascii="宋体" w:hAnsi="宋体"/>
          <w:color w:val="000000"/>
          <w:sz w:val="24"/>
          <w:szCs w:val="24"/>
        </w:rPr>
        <w:t>RQFII</w:t>
      </w:r>
      <w:r>
        <w:rPr>
          <w:rFonts w:ascii="宋体" w:hAnsi="宋体"/>
          <w:color w:val="000000"/>
          <w:sz w:val="24"/>
          <w:szCs w:val="24"/>
        </w:rPr>
        <w:t>产品。</w:t>
      </w:r>
      <w:r>
        <w:rPr>
          <w:rFonts w:ascii="宋体" w:hAnsi="宋体"/>
          <w:color w:val="000000"/>
          <w:sz w:val="24"/>
          <w:szCs w:val="24"/>
        </w:rPr>
        <w:t>201</w:t>
      </w:r>
      <w:r>
        <w:rPr>
          <w:rFonts w:ascii="宋体" w:hAnsi="宋体"/>
          <w:color w:val="000000"/>
          <w:sz w:val="24"/>
          <w:szCs w:val="24"/>
        </w:rPr>
        <w:t>2</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月，中国保监会公告确认海富通基金为首批保险资金投资管理人之一。</w:t>
      </w:r>
      <w:r>
        <w:rPr>
          <w:rFonts w:ascii="宋体" w:hAnsi="宋体"/>
          <w:color w:val="000000"/>
          <w:sz w:val="24"/>
          <w:szCs w:val="24"/>
        </w:rPr>
        <w:t>2014</w:t>
      </w:r>
      <w:r>
        <w:rPr>
          <w:rFonts w:ascii="宋体" w:hAnsi="宋体"/>
          <w:color w:val="000000"/>
          <w:sz w:val="24"/>
          <w:szCs w:val="24"/>
        </w:rPr>
        <w:t>年</w:t>
      </w:r>
      <w:r>
        <w:rPr>
          <w:rFonts w:ascii="宋体" w:hAnsi="宋体"/>
          <w:color w:val="000000"/>
          <w:sz w:val="24"/>
          <w:szCs w:val="24"/>
        </w:rPr>
        <w:t>8</w:t>
      </w:r>
      <w:r>
        <w:rPr>
          <w:rFonts w:ascii="宋体" w:hAnsi="宋体"/>
          <w:color w:val="000000"/>
          <w:sz w:val="24"/>
          <w:szCs w:val="24"/>
        </w:rPr>
        <w:t>月，海富通全资子公司上海富诚海富通资产管理公司正式开业，获准开展特定客户资产管理服务。</w:t>
      </w:r>
      <w:r>
        <w:rPr>
          <w:rFonts w:ascii="宋体" w:hAnsi="宋体"/>
          <w:color w:val="000000"/>
          <w:sz w:val="24"/>
          <w:szCs w:val="24"/>
        </w:rPr>
        <w:t>2016</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月，海富通基金管理有限公司被全国社会保障基金理事会选聘为首批基本养老保险基金投资管理人。</w:t>
      </w:r>
    </w:p>
    <w:p w:rsidR="00376FEF" w:rsidRDefault="00C56B08">
      <w:pPr>
        <w:spacing w:line="360" w:lineRule="auto"/>
        <w:ind w:firstLineChars="200" w:firstLine="480"/>
        <w:rPr>
          <w:rFonts w:ascii="宋体" w:hAnsi="宋体"/>
          <w:color w:val="000000"/>
          <w:sz w:val="24"/>
          <w:szCs w:val="24"/>
        </w:rPr>
      </w:pPr>
      <w:r>
        <w:rPr>
          <w:rFonts w:ascii="宋体" w:hAnsi="宋体"/>
          <w:color w:val="000000"/>
          <w:sz w:val="24"/>
          <w:szCs w:val="24"/>
        </w:rPr>
        <w:t>2016</w:t>
      </w:r>
      <w:r>
        <w:rPr>
          <w:rFonts w:ascii="宋体" w:hAnsi="宋体"/>
          <w:color w:val="000000"/>
          <w:sz w:val="24"/>
          <w:szCs w:val="24"/>
        </w:rPr>
        <w:t>年</w:t>
      </w:r>
      <w:r>
        <w:rPr>
          <w:rFonts w:ascii="宋体" w:hAnsi="宋体"/>
          <w:color w:val="000000"/>
          <w:sz w:val="24"/>
          <w:szCs w:val="24"/>
        </w:rPr>
        <w:t>3</w:t>
      </w:r>
      <w:r>
        <w:rPr>
          <w:rFonts w:ascii="宋体" w:hAnsi="宋体"/>
          <w:color w:val="000000"/>
          <w:sz w:val="24"/>
          <w:szCs w:val="24"/>
        </w:rPr>
        <w:t>月，国内权威财经媒体《中国证券报》授予海富通基金管理有限公司</w:t>
      </w:r>
      <w:r>
        <w:rPr>
          <w:rFonts w:ascii="宋体" w:hAnsi="宋体"/>
          <w:color w:val="000000"/>
          <w:sz w:val="24"/>
          <w:szCs w:val="24"/>
        </w:rPr>
        <w:t>“</w:t>
      </w:r>
      <w:r>
        <w:rPr>
          <w:rFonts w:ascii="宋体" w:hAnsi="宋体"/>
          <w:color w:val="000000"/>
          <w:sz w:val="24"/>
          <w:szCs w:val="24"/>
        </w:rPr>
        <w:t>固定收益投资金牛基金公司</w:t>
      </w:r>
      <w:r>
        <w:rPr>
          <w:rFonts w:ascii="宋体" w:hAnsi="宋体"/>
          <w:color w:val="000000"/>
          <w:sz w:val="24"/>
          <w:szCs w:val="24"/>
        </w:rPr>
        <w:t>”</w:t>
      </w:r>
      <w:r>
        <w:rPr>
          <w:rFonts w:ascii="宋体" w:hAnsi="宋体"/>
          <w:color w:val="000000"/>
          <w:sz w:val="24"/>
          <w:szCs w:val="24"/>
        </w:rPr>
        <w:t>。</w:t>
      </w:r>
    </w:p>
    <w:p w:rsidR="00376FEF" w:rsidRDefault="00376FEF">
      <w:pPr>
        <w:spacing w:before="29" w:line="288" w:lineRule="auto"/>
        <w:ind w:firstLineChars="200" w:firstLine="480"/>
        <w:rPr>
          <w:color w:val="000000"/>
          <w:sz w:val="24"/>
          <w:szCs w:val="24"/>
        </w:rPr>
      </w:pPr>
    </w:p>
    <w:p w:rsidR="00376FEF" w:rsidRDefault="00C56B08" w:rsidP="00F26500">
      <w:pPr>
        <w:pStyle w:val="1"/>
        <w:spacing w:beforeLines="100" w:before="312" w:afterLines="100" w:after="312" w:line="288" w:lineRule="auto"/>
        <w:jc w:val="center"/>
        <w:rPr>
          <w:color w:val="000000"/>
          <w:kern w:val="0"/>
          <w:sz w:val="24"/>
          <w:szCs w:val="24"/>
        </w:rPr>
      </w:pPr>
      <w:r>
        <w:rPr>
          <w:color w:val="000000"/>
          <w:kern w:val="0"/>
          <w:sz w:val="24"/>
          <w:szCs w:val="24"/>
        </w:rPr>
        <w:t xml:space="preserve">§9 </w:t>
      </w:r>
      <w:r>
        <w:rPr>
          <w:color w:val="000000"/>
          <w:kern w:val="0"/>
          <w:sz w:val="24"/>
          <w:szCs w:val="24"/>
        </w:rPr>
        <w:t>备查文件目录</w:t>
      </w: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9.1 </w:t>
      </w:r>
      <w:r>
        <w:rPr>
          <w:b/>
          <w:bCs/>
          <w:color w:val="000000"/>
          <w:kern w:val="0"/>
          <w:sz w:val="24"/>
          <w:szCs w:val="24"/>
        </w:rPr>
        <w:t>备查文件目录</w:t>
      </w:r>
    </w:p>
    <w:p w:rsidR="00376FEF" w:rsidRDefault="00C56B08">
      <w:pPr>
        <w:spacing w:before="29" w:line="288" w:lineRule="auto"/>
        <w:ind w:firstLineChars="200" w:firstLine="480"/>
        <w:rPr>
          <w:color w:val="000000"/>
          <w:sz w:val="24"/>
          <w:szCs w:val="24"/>
        </w:rPr>
      </w:pPr>
      <w:r>
        <w:rPr>
          <w:color w:val="000000"/>
          <w:sz w:val="24"/>
          <w:szCs w:val="24"/>
        </w:rPr>
        <w:t>（一）中国证监会批准设立海富通双利债券型证券投资基金的文件</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（二）海富通双利债券型证券投资</w:t>
      </w:r>
      <w:proofErr w:type="gramStart"/>
      <w:r>
        <w:rPr>
          <w:color w:val="000000"/>
          <w:sz w:val="24"/>
          <w:szCs w:val="24"/>
        </w:rPr>
        <w:t>基金基金</w:t>
      </w:r>
      <w:proofErr w:type="gramEnd"/>
      <w:r>
        <w:rPr>
          <w:color w:val="000000"/>
          <w:sz w:val="24"/>
          <w:szCs w:val="24"/>
        </w:rPr>
        <w:t>合同</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（三）海富通双利债券型证券投资基金招募说明书</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（四）海富通双利债券型证券投资基金托管协议</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（五）中国证监会批准设立海富通基金管理有限公司的文件</w:t>
      </w:r>
      <w:r>
        <w:rPr>
          <w:color w:val="000000"/>
          <w:sz w:val="24"/>
          <w:szCs w:val="24"/>
        </w:rPr>
        <w:t xml:space="preserve"> </w:t>
      </w:r>
    </w:p>
    <w:p w:rsidR="00376FEF" w:rsidRDefault="00C56B08">
      <w:pPr>
        <w:spacing w:before="29" w:line="288" w:lineRule="auto"/>
        <w:ind w:firstLineChars="200" w:firstLine="480"/>
        <w:rPr>
          <w:color w:val="000000"/>
          <w:sz w:val="24"/>
          <w:szCs w:val="24"/>
        </w:rPr>
      </w:pPr>
      <w:r>
        <w:rPr>
          <w:color w:val="000000"/>
          <w:sz w:val="24"/>
          <w:szCs w:val="24"/>
        </w:rPr>
        <w:t>（六）报告期内本基金在指定报刊上披露的各项公告</w:t>
      </w:r>
    </w:p>
    <w:p w:rsidR="00376FEF" w:rsidRDefault="00376FEF">
      <w:pPr>
        <w:spacing w:before="29" w:line="288" w:lineRule="auto"/>
        <w:ind w:firstLineChars="200" w:firstLine="480"/>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9.2 </w:t>
      </w:r>
      <w:r>
        <w:rPr>
          <w:b/>
          <w:bCs/>
          <w:color w:val="000000"/>
          <w:kern w:val="0"/>
          <w:sz w:val="24"/>
          <w:szCs w:val="24"/>
        </w:rPr>
        <w:t>存放地点</w:t>
      </w:r>
    </w:p>
    <w:p w:rsidR="00376FEF" w:rsidRDefault="00C56B08">
      <w:pPr>
        <w:spacing w:before="29" w:line="288" w:lineRule="auto"/>
        <w:ind w:firstLineChars="200" w:firstLine="480"/>
        <w:rPr>
          <w:color w:val="000000"/>
          <w:sz w:val="24"/>
          <w:szCs w:val="24"/>
        </w:rPr>
      </w:pPr>
      <w:r>
        <w:rPr>
          <w:color w:val="000000"/>
          <w:sz w:val="24"/>
          <w:szCs w:val="24"/>
        </w:rPr>
        <w:t>上海市浦东新区陆家嘴花园石桥路</w:t>
      </w:r>
      <w:r>
        <w:rPr>
          <w:color w:val="000000"/>
          <w:sz w:val="24"/>
          <w:szCs w:val="24"/>
        </w:rPr>
        <w:t>66</w:t>
      </w:r>
      <w:r>
        <w:rPr>
          <w:color w:val="000000"/>
          <w:sz w:val="24"/>
          <w:szCs w:val="24"/>
        </w:rPr>
        <w:t>号东亚银行金融大厦</w:t>
      </w:r>
      <w:r>
        <w:rPr>
          <w:color w:val="000000"/>
          <w:sz w:val="24"/>
          <w:szCs w:val="24"/>
        </w:rPr>
        <w:t>36</w:t>
      </w:r>
      <w:r>
        <w:rPr>
          <w:color w:val="000000"/>
          <w:sz w:val="24"/>
          <w:szCs w:val="24"/>
        </w:rPr>
        <w:t>－</w:t>
      </w:r>
      <w:r>
        <w:rPr>
          <w:color w:val="000000"/>
          <w:sz w:val="24"/>
          <w:szCs w:val="24"/>
        </w:rPr>
        <w:t>37</w:t>
      </w:r>
      <w:r>
        <w:rPr>
          <w:color w:val="000000"/>
          <w:sz w:val="24"/>
          <w:szCs w:val="24"/>
        </w:rPr>
        <w:t>层本基金管理人办公地址。</w:t>
      </w:r>
    </w:p>
    <w:p w:rsidR="00376FEF" w:rsidRDefault="00376FEF">
      <w:pPr>
        <w:spacing w:before="29" w:line="288" w:lineRule="auto"/>
        <w:ind w:firstLineChars="200" w:firstLine="480"/>
        <w:rPr>
          <w:color w:val="000000"/>
          <w:sz w:val="24"/>
          <w:szCs w:val="24"/>
        </w:rPr>
      </w:pPr>
    </w:p>
    <w:p w:rsidR="00376FEF" w:rsidRDefault="00C56B08">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9.3 </w:t>
      </w:r>
      <w:r>
        <w:rPr>
          <w:b/>
          <w:bCs/>
          <w:color w:val="000000"/>
          <w:kern w:val="0"/>
          <w:sz w:val="24"/>
          <w:szCs w:val="24"/>
        </w:rPr>
        <w:t>查阅方式</w:t>
      </w:r>
    </w:p>
    <w:p w:rsidR="00376FEF" w:rsidRDefault="00C56B08">
      <w:pPr>
        <w:spacing w:before="29" w:line="288" w:lineRule="auto"/>
        <w:ind w:firstLineChars="200" w:firstLine="480"/>
        <w:rPr>
          <w:color w:val="000000"/>
          <w:sz w:val="24"/>
          <w:szCs w:val="24"/>
        </w:rPr>
      </w:pPr>
      <w:r>
        <w:rPr>
          <w:color w:val="000000"/>
          <w:sz w:val="24"/>
          <w:szCs w:val="24"/>
        </w:rPr>
        <w:t>投资者可于本基金管理人办公时间预约查阅。</w:t>
      </w: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spacing w:before="29" w:line="288" w:lineRule="auto"/>
        <w:ind w:firstLineChars="200" w:firstLine="480"/>
        <w:rPr>
          <w:color w:val="000000"/>
          <w:sz w:val="24"/>
          <w:szCs w:val="24"/>
        </w:rPr>
      </w:pPr>
    </w:p>
    <w:p w:rsidR="00376FEF" w:rsidRDefault="00376FEF">
      <w:pPr>
        <w:tabs>
          <w:tab w:val="left" w:pos="5715"/>
        </w:tabs>
        <w:spacing w:before="29" w:line="288" w:lineRule="auto"/>
        <w:ind w:firstLineChars="200" w:firstLine="480"/>
        <w:rPr>
          <w:color w:val="000000"/>
          <w:sz w:val="24"/>
        </w:rPr>
      </w:pPr>
    </w:p>
    <w:p w:rsidR="00376FEF" w:rsidRDefault="00C56B08">
      <w:pPr>
        <w:tabs>
          <w:tab w:val="left" w:pos="5715"/>
        </w:tabs>
        <w:spacing w:before="29" w:line="288" w:lineRule="auto"/>
        <w:ind w:firstLineChars="200" w:firstLine="482"/>
        <w:jc w:val="right"/>
        <w:rPr>
          <w:b/>
          <w:color w:val="000000"/>
          <w:sz w:val="24"/>
        </w:rPr>
      </w:pPr>
      <w:r>
        <w:rPr>
          <w:b/>
          <w:color w:val="000000"/>
          <w:sz w:val="24"/>
        </w:rPr>
        <w:t>海富通基金管理有限公司</w:t>
      </w:r>
    </w:p>
    <w:p w:rsidR="00376FEF" w:rsidRDefault="00C56B08">
      <w:pPr>
        <w:tabs>
          <w:tab w:val="left" w:pos="5715"/>
        </w:tabs>
        <w:spacing w:before="29" w:line="288" w:lineRule="auto"/>
        <w:ind w:firstLineChars="200" w:firstLine="482"/>
        <w:jc w:val="right"/>
        <w:rPr>
          <w:b/>
          <w:color w:val="000000"/>
          <w:sz w:val="24"/>
        </w:rPr>
      </w:pPr>
      <w:r>
        <w:rPr>
          <w:b/>
          <w:color w:val="000000"/>
          <w:sz w:val="24"/>
        </w:rPr>
        <w:t>二〇一七年十月二十五日</w:t>
      </w:r>
    </w:p>
    <w:p w:rsidR="00376FEF" w:rsidRDefault="00376FEF">
      <w:pPr>
        <w:spacing w:before="29" w:line="288" w:lineRule="auto"/>
        <w:ind w:firstLineChars="200" w:firstLine="480"/>
        <w:rPr>
          <w:color w:val="000000"/>
          <w:sz w:val="24"/>
          <w:szCs w:val="24"/>
        </w:rPr>
      </w:pPr>
    </w:p>
    <w:sectPr w:rsidR="00376FEF">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08" w:rsidRDefault="00C56B08">
      <w:r>
        <w:separator/>
      </w:r>
    </w:p>
  </w:endnote>
  <w:endnote w:type="continuationSeparator" w:id="0">
    <w:p w:rsidR="00C56B08" w:rsidRDefault="00C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EF" w:rsidRDefault="00C56B08">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26500">
      <w:rPr>
        <w:noProof/>
        <w:kern w:val="0"/>
        <w:szCs w:val="21"/>
      </w:rPr>
      <w:t>5</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F26500">
      <w:rPr>
        <w:noProof/>
        <w:kern w:val="0"/>
        <w:szCs w:val="21"/>
      </w:rPr>
      <w:t>13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08" w:rsidRDefault="00C56B08">
      <w:r>
        <w:separator/>
      </w:r>
    </w:p>
  </w:footnote>
  <w:footnote w:type="continuationSeparator" w:id="0">
    <w:p w:rsidR="00C56B08" w:rsidRDefault="00C5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EF" w:rsidRDefault="00C56B08">
    <w:pPr>
      <w:pStyle w:val="ad"/>
      <w:pBdr>
        <w:bottom w:val="single" w:sz="6" w:space="0" w:color="auto"/>
      </w:pBdr>
      <w:jc w:val="right"/>
    </w:pPr>
    <w:r>
      <w:t>海富通双利债券型证券投资基金</w:t>
    </w:r>
    <w:r>
      <w:t>2017</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2B4B"/>
    <w:rsid w:val="00014099"/>
    <w:rsid w:val="000160C5"/>
    <w:rsid w:val="000210E7"/>
    <w:rsid w:val="000243BD"/>
    <w:rsid w:val="00024F7F"/>
    <w:rsid w:val="00031EBB"/>
    <w:rsid w:val="00033B8D"/>
    <w:rsid w:val="0004308C"/>
    <w:rsid w:val="00043852"/>
    <w:rsid w:val="000450DD"/>
    <w:rsid w:val="000463DE"/>
    <w:rsid w:val="000625ED"/>
    <w:rsid w:val="00064D40"/>
    <w:rsid w:val="000669E3"/>
    <w:rsid w:val="000815C0"/>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357D"/>
    <w:rsid w:val="000E7E5E"/>
    <w:rsid w:val="000F6CC8"/>
    <w:rsid w:val="00111261"/>
    <w:rsid w:val="00121FC4"/>
    <w:rsid w:val="00133015"/>
    <w:rsid w:val="00137452"/>
    <w:rsid w:val="00137B31"/>
    <w:rsid w:val="00144F93"/>
    <w:rsid w:val="00147376"/>
    <w:rsid w:val="0015450B"/>
    <w:rsid w:val="00154BE1"/>
    <w:rsid w:val="001563BB"/>
    <w:rsid w:val="0015710B"/>
    <w:rsid w:val="00160EDC"/>
    <w:rsid w:val="00162D61"/>
    <w:rsid w:val="001675CD"/>
    <w:rsid w:val="001717D5"/>
    <w:rsid w:val="00171EF0"/>
    <w:rsid w:val="001761D2"/>
    <w:rsid w:val="00176C21"/>
    <w:rsid w:val="001830D7"/>
    <w:rsid w:val="00185A34"/>
    <w:rsid w:val="001934F6"/>
    <w:rsid w:val="00194301"/>
    <w:rsid w:val="00196E6C"/>
    <w:rsid w:val="001A73E8"/>
    <w:rsid w:val="001B02BC"/>
    <w:rsid w:val="001B0A62"/>
    <w:rsid w:val="001B2F35"/>
    <w:rsid w:val="001C0993"/>
    <w:rsid w:val="001C79F2"/>
    <w:rsid w:val="001D2DEE"/>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65C9B"/>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2F6C96"/>
    <w:rsid w:val="00302816"/>
    <w:rsid w:val="003038AE"/>
    <w:rsid w:val="00304A12"/>
    <w:rsid w:val="00305636"/>
    <w:rsid w:val="00311662"/>
    <w:rsid w:val="00312A9F"/>
    <w:rsid w:val="00315D5D"/>
    <w:rsid w:val="00316484"/>
    <w:rsid w:val="00316E01"/>
    <w:rsid w:val="00320300"/>
    <w:rsid w:val="00320E90"/>
    <w:rsid w:val="00324508"/>
    <w:rsid w:val="003259C8"/>
    <w:rsid w:val="00327C0E"/>
    <w:rsid w:val="003307FE"/>
    <w:rsid w:val="00333AD0"/>
    <w:rsid w:val="00336EAF"/>
    <w:rsid w:val="003470E2"/>
    <w:rsid w:val="00352719"/>
    <w:rsid w:val="0035383E"/>
    <w:rsid w:val="00355364"/>
    <w:rsid w:val="0036152B"/>
    <w:rsid w:val="00364CCB"/>
    <w:rsid w:val="00365798"/>
    <w:rsid w:val="00376FEF"/>
    <w:rsid w:val="0039085F"/>
    <w:rsid w:val="00394069"/>
    <w:rsid w:val="00396809"/>
    <w:rsid w:val="003A6061"/>
    <w:rsid w:val="003B3494"/>
    <w:rsid w:val="003B6FBC"/>
    <w:rsid w:val="003D0AFF"/>
    <w:rsid w:val="003D2F6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087"/>
    <w:rsid w:val="004216D2"/>
    <w:rsid w:val="00426096"/>
    <w:rsid w:val="00427F58"/>
    <w:rsid w:val="00433805"/>
    <w:rsid w:val="00443869"/>
    <w:rsid w:val="00460575"/>
    <w:rsid w:val="00463EC0"/>
    <w:rsid w:val="00471408"/>
    <w:rsid w:val="00480B35"/>
    <w:rsid w:val="004858E0"/>
    <w:rsid w:val="00491C81"/>
    <w:rsid w:val="004934E9"/>
    <w:rsid w:val="004943C2"/>
    <w:rsid w:val="004949F3"/>
    <w:rsid w:val="004A11A7"/>
    <w:rsid w:val="004A459C"/>
    <w:rsid w:val="004A7B1D"/>
    <w:rsid w:val="004B3695"/>
    <w:rsid w:val="004B6D83"/>
    <w:rsid w:val="004C0914"/>
    <w:rsid w:val="004C702F"/>
    <w:rsid w:val="004D340C"/>
    <w:rsid w:val="004D495A"/>
    <w:rsid w:val="004E1298"/>
    <w:rsid w:val="004E5975"/>
    <w:rsid w:val="004E790A"/>
    <w:rsid w:val="004E7AD3"/>
    <w:rsid w:val="004F1A4E"/>
    <w:rsid w:val="004F50FD"/>
    <w:rsid w:val="00500A03"/>
    <w:rsid w:val="00506EE6"/>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E56E7"/>
    <w:rsid w:val="005F118D"/>
    <w:rsid w:val="005F2ABA"/>
    <w:rsid w:val="005F3996"/>
    <w:rsid w:val="005F6AF6"/>
    <w:rsid w:val="00604E50"/>
    <w:rsid w:val="006054CF"/>
    <w:rsid w:val="006066D2"/>
    <w:rsid w:val="006075E6"/>
    <w:rsid w:val="0061286A"/>
    <w:rsid w:val="00613BB8"/>
    <w:rsid w:val="00614CC4"/>
    <w:rsid w:val="0062025E"/>
    <w:rsid w:val="00625BFC"/>
    <w:rsid w:val="00626998"/>
    <w:rsid w:val="006269FB"/>
    <w:rsid w:val="00626EE5"/>
    <w:rsid w:val="00627E2D"/>
    <w:rsid w:val="00627EDE"/>
    <w:rsid w:val="00631ED8"/>
    <w:rsid w:val="00632B0F"/>
    <w:rsid w:val="00636DB7"/>
    <w:rsid w:val="0063783A"/>
    <w:rsid w:val="006423B9"/>
    <w:rsid w:val="00642FA0"/>
    <w:rsid w:val="00654B0D"/>
    <w:rsid w:val="0065599B"/>
    <w:rsid w:val="00655CD8"/>
    <w:rsid w:val="00655E1C"/>
    <w:rsid w:val="006571DC"/>
    <w:rsid w:val="00660D4B"/>
    <w:rsid w:val="00664ECC"/>
    <w:rsid w:val="00670547"/>
    <w:rsid w:val="00670989"/>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16F"/>
    <w:rsid w:val="006D39E9"/>
    <w:rsid w:val="006D3BE3"/>
    <w:rsid w:val="006D7004"/>
    <w:rsid w:val="006D789D"/>
    <w:rsid w:val="006D7FF8"/>
    <w:rsid w:val="006E042A"/>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8601C"/>
    <w:rsid w:val="0079369C"/>
    <w:rsid w:val="00794090"/>
    <w:rsid w:val="00796CA8"/>
    <w:rsid w:val="00797305"/>
    <w:rsid w:val="007B035B"/>
    <w:rsid w:val="007B4C04"/>
    <w:rsid w:val="007B4DDA"/>
    <w:rsid w:val="007B5AFB"/>
    <w:rsid w:val="007C395A"/>
    <w:rsid w:val="007C5862"/>
    <w:rsid w:val="007D0922"/>
    <w:rsid w:val="007D100C"/>
    <w:rsid w:val="007E2686"/>
    <w:rsid w:val="007E57C0"/>
    <w:rsid w:val="007F29B1"/>
    <w:rsid w:val="007F797B"/>
    <w:rsid w:val="008014F9"/>
    <w:rsid w:val="0080358B"/>
    <w:rsid w:val="008059BD"/>
    <w:rsid w:val="0081286B"/>
    <w:rsid w:val="00812D46"/>
    <w:rsid w:val="008148E0"/>
    <w:rsid w:val="00815A38"/>
    <w:rsid w:val="0082103F"/>
    <w:rsid w:val="00824239"/>
    <w:rsid w:val="008279FE"/>
    <w:rsid w:val="00831259"/>
    <w:rsid w:val="0083208A"/>
    <w:rsid w:val="0083218A"/>
    <w:rsid w:val="00832A00"/>
    <w:rsid w:val="00836618"/>
    <w:rsid w:val="00837635"/>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1677"/>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803"/>
    <w:rsid w:val="00921AC7"/>
    <w:rsid w:val="00924582"/>
    <w:rsid w:val="00931291"/>
    <w:rsid w:val="0093367D"/>
    <w:rsid w:val="009431FA"/>
    <w:rsid w:val="00945AF6"/>
    <w:rsid w:val="009550BE"/>
    <w:rsid w:val="00955531"/>
    <w:rsid w:val="00955BE8"/>
    <w:rsid w:val="00957594"/>
    <w:rsid w:val="00963F40"/>
    <w:rsid w:val="00970613"/>
    <w:rsid w:val="009730B8"/>
    <w:rsid w:val="0097424F"/>
    <w:rsid w:val="0098122D"/>
    <w:rsid w:val="00986596"/>
    <w:rsid w:val="00990685"/>
    <w:rsid w:val="009A0ABE"/>
    <w:rsid w:val="009A4E5D"/>
    <w:rsid w:val="009B2D4B"/>
    <w:rsid w:val="009C379B"/>
    <w:rsid w:val="009C5186"/>
    <w:rsid w:val="009C60F7"/>
    <w:rsid w:val="009D0952"/>
    <w:rsid w:val="009E19A9"/>
    <w:rsid w:val="009E31DA"/>
    <w:rsid w:val="009E402C"/>
    <w:rsid w:val="009E7C6A"/>
    <w:rsid w:val="009F0367"/>
    <w:rsid w:val="009F3659"/>
    <w:rsid w:val="009F4271"/>
    <w:rsid w:val="009F4861"/>
    <w:rsid w:val="009F61BE"/>
    <w:rsid w:val="009F7ED4"/>
    <w:rsid w:val="00A03AAC"/>
    <w:rsid w:val="00A047D1"/>
    <w:rsid w:val="00A17EEE"/>
    <w:rsid w:val="00A21300"/>
    <w:rsid w:val="00A22AD0"/>
    <w:rsid w:val="00A22DA8"/>
    <w:rsid w:val="00A3030E"/>
    <w:rsid w:val="00A31574"/>
    <w:rsid w:val="00A31671"/>
    <w:rsid w:val="00A324F4"/>
    <w:rsid w:val="00A36930"/>
    <w:rsid w:val="00A42DBD"/>
    <w:rsid w:val="00A45320"/>
    <w:rsid w:val="00A504C9"/>
    <w:rsid w:val="00A54C7D"/>
    <w:rsid w:val="00A5612C"/>
    <w:rsid w:val="00A5689C"/>
    <w:rsid w:val="00A575FF"/>
    <w:rsid w:val="00A57AE4"/>
    <w:rsid w:val="00A63F19"/>
    <w:rsid w:val="00A656BB"/>
    <w:rsid w:val="00A669FC"/>
    <w:rsid w:val="00A66F42"/>
    <w:rsid w:val="00A76625"/>
    <w:rsid w:val="00A81F53"/>
    <w:rsid w:val="00A83500"/>
    <w:rsid w:val="00A8721A"/>
    <w:rsid w:val="00A90049"/>
    <w:rsid w:val="00A90AED"/>
    <w:rsid w:val="00A917BF"/>
    <w:rsid w:val="00A96A94"/>
    <w:rsid w:val="00AA3A38"/>
    <w:rsid w:val="00AA4F94"/>
    <w:rsid w:val="00AA6513"/>
    <w:rsid w:val="00AB047E"/>
    <w:rsid w:val="00AB4DB6"/>
    <w:rsid w:val="00AC063D"/>
    <w:rsid w:val="00AC56B1"/>
    <w:rsid w:val="00AC592E"/>
    <w:rsid w:val="00AC6C10"/>
    <w:rsid w:val="00AC7BC6"/>
    <w:rsid w:val="00AD24AA"/>
    <w:rsid w:val="00AE7962"/>
    <w:rsid w:val="00AF0A7F"/>
    <w:rsid w:val="00AF3AB2"/>
    <w:rsid w:val="00B11BE5"/>
    <w:rsid w:val="00B12B7D"/>
    <w:rsid w:val="00B16985"/>
    <w:rsid w:val="00B22DEE"/>
    <w:rsid w:val="00B27479"/>
    <w:rsid w:val="00B32AA7"/>
    <w:rsid w:val="00B34678"/>
    <w:rsid w:val="00B35024"/>
    <w:rsid w:val="00B364DD"/>
    <w:rsid w:val="00B371B4"/>
    <w:rsid w:val="00B40F64"/>
    <w:rsid w:val="00B42A76"/>
    <w:rsid w:val="00B47982"/>
    <w:rsid w:val="00B56F53"/>
    <w:rsid w:val="00B64723"/>
    <w:rsid w:val="00B7378D"/>
    <w:rsid w:val="00B7444D"/>
    <w:rsid w:val="00B816A7"/>
    <w:rsid w:val="00B82413"/>
    <w:rsid w:val="00B85352"/>
    <w:rsid w:val="00B86CD8"/>
    <w:rsid w:val="00B87214"/>
    <w:rsid w:val="00B92FF5"/>
    <w:rsid w:val="00B959E6"/>
    <w:rsid w:val="00B97BFC"/>
    <w:rsid w:val="00BA604D"/>
    <w:rsid w:val="00BB51A0"/>
    <w:rsid w:val="00BB5DA7"/>
    <w:rsid w:val="00BB5E0E"/>
    <w:rsid w:val="00BB7F37"/>
    <w:rsid w:val="00BC14B3"/>
    <w:rsid w:val="00BC216C"/>
    <w:rsid w:val="00BC4585"/>
    <w:rsid w:val="00BC50F1"/>
    <w:rsid w:val="00BC73E5"/>
    <w:rsid w:val="00BD0031"/>
    <w:rsid w:val="00BD7473"/>
    <w:rsid w:val="00BD7703"/>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56B08"/>
    <w:rsid w:val="00C6002A"/>
    <w:rsid w:val="00C6209F"/>
    <w:rsid w:val="00C629B1"/>
    <w:rsid w:val="00C63554"/>
    <w:rsid w:val="00C66A75"/>
    <w:rsid w:val="00C678B0"/>
    <w:rsid w:val="00C7047C"/>
    <w:rsid w:val="00C71497"/>
    <w:rsid w:val="00C7221C"/>
    <w:rsid w:val="00C72F5B"/>
    <w:rsid w:val="00C73BCD"/>
    <w:rsid w:val="00C74E5E"/>
    <w:rsid w:val="00C77AEF"/>
    <w:rsid w:val="00C85A6E"/>
    <w:rsid w:val="00C87129"/>
    <w:rsid w:val="00C91E1B"/>
    <w:rsid w:val="00C9690F"/>
    <w:rsid w:val="00CA574C"/>
    <w:rsid w:val="00CA5FD5"/>
    <w:rsid w:val="00CA7703"/>
    <w:rsid w:val="00CB0F92"/>
    <w:rsid w:val="00CD4E6D"/>
    <w:rsid w:val="00CD4F19"/>
    <w:rsid w:val="00CD5707"/>
    <w:rsid w:val="00CD7702"/>
    <w:rsid w:val="00CE29EA"/>
    <w:rsid w:val="00CF04CF"/>
    <w:rsid w:val="00CF2D3E"/>
    <w:rsid w:val="00CF6572"/>
    <w:rsid w:val="00D01FE6"/>
    <w:rsid w:val="00D02347"/>
    <w:rsid w:val="00D046DB"/>
    <w:rsid w:val="00D04755"/>
    <w:rsid w:val="00D13737"/>
    <w:rsid w:val="00D1638E"/>
    <w:rsid w:val="00D2061C"/>
    <w:rsid w:val="00D21FFF"/>
    <w:rsid w:val="00D272A5"/>
    <w:rsid w:val="00D346D9"/>
    <w:rsid w:val="00D417A6"/>
    <w:rsid w:val="00D43AFB"/>
    <w:rsid w:val="00D44EE8"/>
    <w:rsid w:val="00D503FE"/>
    <w:rsid w:val="00D57B7C"/>
    <w:rsid w:val="00D6166F"/>
    <w:rsid w:val="00D65994"/>
    <w:rsid w:val="00D65B44"/>
    <w:rsid w:val="00D75E69"/>
    <w:rsid w:val="00D8099B"/>
    <w:rsid w:val="00D866A8"/>
    <w:rsid w:val="00D9082B"/>
    <w:rsid w:val="00D94B8D"/>
    <w:rsid w:val="00D96C8D"/>
    <w:rsid w:val="00D974EF"/>
    <w:rsid w:val="00DA0C61"/>
    <w:rsid w:val="00DA14B0"/>
    <w:rsid w:val="00DA2876"/>
    <w:rsid w:val="00DC0B51"/>
    <w:rsid w:val="00DC6B55"/>
    <w:rsid w:val="00DE08A7"/>
    <w:rsid w:val="00DE27F7"/>
    <w:rsid w:val="00DE39DD"/>
    <w:rsid w:val="00DE4B43"/>
    <w:rsid w:val="00DE4CFB"/>
    <w:rsid w:val="00E02660"/>
    <w:rsid w:val="00E02D1C"/>
    <w:rsid w:val="00E215BA"/>
    <w:rsid w:val="00E36549"/>
    <w:rsid w:val="00E40D31"/>
    <w:rsid w:val="00E41260"/>
    <w:rsid w:val="00E44E18"/>
    <w:rsid w:val="00E52DBC"/>
    <w:rsid w:val="00E54301"/>
    <w:rsid w:val="00E54BF5"/>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046CE"/>
    <w:rsid w:val="00F11104"/>
    <w:rsid w:val="00F11BB5"/>
    <w:rsid w:val="00F16E3F"/>
    <w:rsid w:val="00F22499"/>
    <w:rsid w:val="00F22B0F"/>
    <w:rsid w:val="00F24B42"/>
    <w:rsid w:val="00F24F73"/>
    <w:rsid w:val="00F26500"/>
    <w:rsid w:val="00F27299"/>
    <w:rsid w:val="00F31F6E"/>
    <w:rsid w:val="00F3389C"/>
    <w:rsid w:val="00F375F2"/>
    <w:rsid w:val="00F43802"/>
    <w:rsid w:val="00F45C47"/>
    <w:rsid w:val="00F53294"/>
    <w:rsid w:val="00F542E7"/>
    <w:rsid w:val="00F54EAE"/>
    <w:rsid w:val="00F66A51"/>
    <w:rsid w:val="00F71057"/>
    <w:rsid w:val="00F71A4B"/>
    <w:rsid w:val="00F728CF"/>
    <w:rsid w:val="00F743D4"/>
    <w:rsid w:val="00F80AC3"/>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469F"/>
    <w:rsid w:val="00FF5196"/>
    <w:rsid w:val="00FF6E8F"/>
    <w:rsid w:val="79736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qFormat="1"/>
    <w:lsdException w:name="Block Text" w:unhideWhenUsed="1"/>
    <w:lsdException w:name="Hyperlink" w:semiHidden="0" w:qFormat="1"/>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qFormat/>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qFormat/>
    <w:pPr>
      <w:spacing w:line="560" w:lineRule="exact"/>
      <w:ind w:firstLineChars="200" w:firstLine="420"/>
    </w:pPr>
    <w:rPr>
      <w:rFonts w:ascii="Arial" w:hAnsi="Arial" w:cs="Arial"/>
      <w:color w:val="FF000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qFormat/>
    <w:rPr>
      <w:color w:val="0000FF"/>
      <w:u w:val="single"/>
    </w:rPr>
  </w:style>
  <w:style w:type="character" w:styleId="af6">
    <w:name w:val="annotation reference"/>
    <w:basedOn w:val="a1"/>
    <w:uiPriority w:val="99"/>
    <w:semiHidden/>
    <w:rPr>
      <w:sz w:val="21"/>
      <w:szCs w:val="21"/>
    </w:rPr>
  </w:style>
  <w:style w:type="character" w:styleId="af7">
    <w:name w:val="footnote reference"/>
    <w:basedOn w:val="a1"/>
    <w:qFormat/>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qFormat/>
    <w:rPr>
      <w:rFonts w:ascii="Arial" w:eastAsia="宋体" w:hAnsi="Arial" w:cs="Arial"/>
      <w:color w:val="FF0000"/>
      <w:szCs w:val="21"/>
    </w:rPr>
  </w:style>
  <w:style w:type="character" w:customStyle="1" w:styleId="Char8">
    <w:name w:val="页眉 Char"/>
    <w:basedOn w:val="a1"/>
    <w:link w:val="ad"/>
    <w:uiPriority w:val="99"/>
    <w:qFormat/>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qFormat/>
    <w:rPr>
      <w:rFonts w:ascii="Times New Roman" w:eastAsia="宋体" w:hAnsi="Times New Roman" w:cs="Times New Roman"/>
      <w:szCs w:val="21"/>
      <w:shd w:val="clear" w:color="auto" w:fill="000080"/>
    </w:rPr>
  </w:style>
  <w:style w:type="paragraph" w:customStyle="1" w:styleId="af9">
    <w:name w:val="正文 + (符号) 宋体"/>
    <w:basedOn w:val="a"/>
    <w:uiPriority w:val="99"/>
    <w:qFormat/>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qFormat/>
    <w:rPr>
      <w:rFonts w:ascii="Times New Roman" w:eastAsia="宋体" w:hAnsi="Times New Roman" w:cs="Times New Roman"/>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qFormat/>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qFormat/>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qFormat/>
    <w:locked/>
    <w:rPr>
      <w:rFonts w:ascii="Calibri" w:eastAsia="宋体" w:hAnsi="Calibri" w:cs="Calibri"/>
      <w:kern w:val="0"/>
      <w:sz w:val="22"/>
    </w:rPr>
  </w:style>
  <w:style w:type="character" w:customStyle="1" w:styleId="t1">
    <w:name w:val="t1"/>
    <w:basedOn w:val="a1"/>
    <w:uiPriority w:val="99"/>
    <w:qFormat/>
    <w:rPr>
      <w:color w:val="auto"/>
    </w:rPr>
  </w:style>
  <w:style w:type="paragraph" w:customStyle="1" w:styleId="12">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28DDE-5546-439E-B192-E84698E4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6226</Characters>
  <Application>Microsoft Office Word</Application>
  <DocSecurity>0</DocSecurity>
  <Lines>51</Lines>
  <Paragraphs>14</Paragraphs>
  <ScaleCrop>false</ScaleCrop>
  <Company>Microsoft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徐启文</cp:lastModifiedBy>
  <cp:revision>572</cp:revision>
  <dcterms:created xsi:type="dcterms:W3CDTF">2012-10-16T06:07:00Z</dcterms:created>
  <dcterms:modified xsi:type="dcterms:W3CDTF">2017-10-20T09:06:00Z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