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交银施罗德丰泽收益债券型证券投资基金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2017年第3季度报告</w:t>
      </w:r>
    </w:p>
    <w:p w:rsidR="009A2283" w:rsidRPr="005858C2" w:rsidRDefault="00577209" w:rsidP="007C14DF">
      <w:pPr>
        <w:spacing w:before="29" w:line="288" w:lineRule="auto"/>
        <w:jc w:val="center"/>
        <w:rPr>
          <w:b/>
          <w:sz w:val="36"/>
          <w:szCs w:val="36"/>
        </w:rPr>
      </w:pPr>
      <w:r w:rsidRPr="005858C2">
        <w:rPr>
          <w:b/>
          <w:sz w:val="36"/>
          <w:szCs w:val="36"/>
        </w:rPr>
        <w:t/>
      </w:r>
      <w:r w:rsidR="00121533" w:rsidRPr="005858C2">
        <w:rPr>
          <w:b/>
          <w:sz w:val="36"/>
          <w:szCs w:val="36"/>
        </w:rPr>
        <w:t>2017年9月30日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二〇一七年十月二十五日</w:t>
      </w:r>
    </w:p>
    <w:p w:rsidR="009238DB" w:rsidRPr="007F52FA" w:rsidRDefault="009238DB" w:rsidP="00BE251D">
      <w:pPr>
        <w:pStyle w:val="1"/>
        <w:spacing w:beforeLines="100" w:after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Chars="200" w:firstLine="48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Chars="200" w:firstLine="480"/>
        <w:rPr>
          <w:rFonts w:eastAsiaTheme="minorEastAsia"/>
          <w:color w:val="000000"/>
          <w:sz w:val="24"/>
        </w:rPr>
      </w:pPr>
      <w:r>
        <w:rPr>
          <w:rFonts w:eastAsiaTheme="minorEastAsia"/>
          <w:color w:val="000000"/>
          <w:sz w:val="24"/>
        </w:rPr>
        <w:t xml:space="preserve">基金托管人中信银行股份有限公司根据本基金合同规定，于2017年10月24日复核了本报告中的财务指标、净值表现和投资组合报告等内容，保证复核内容不存在虚假记载、误导性陈述或者重大遗漏。 </w:t>
      </w:r>
    </w:p>
    <w:p>
      <w:pPr>
        <w:spacing w:before="29" w:line="288" w:lineRule="auto"/>
        <w:ind w:firstLineChars="200" w:firstLine="48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Chars="200" w:firstLine="48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本报告期自2017年7月1日起至9月30日止。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BE251D">
      <w:pPr>
        <w:pStyle w:val="1"/>
        <w:spacing w:beforeLines="100" w:after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交银丰泽收益债券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519749</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契约型，本基金在基金合同生效之日起两年（含两年）的期间内封闭式运作（按照基金合同的约定提前转换基金运作方式的除外），封闭期结束后转为开放式运作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2015年1月30日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10,259,434.21</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在严格控制风险的基础上,力争获取高于业绩比较基准的稳定收益。</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pPr>
              <w:adjustRightInd w:val="0"/>
              <w:spacing w:before="29" w:line="288" w:lineRule="auto"/>
              <w:ind w:left="17"/>
              <w:jc w:val="left"/>
              <w:rPr>
                <w:color w:val="000000"/>
                <w:sz w:val="24"/>
              </w:rPr>
            </w:pPr>
            <w:r>
              <w:rPr>
                <w:color w:val="000000"/>
                <w:kern w:val="0"/>
                <w:sz w:val="24"/>
              </w:rPr>
              <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pPr>
              <w:adjustRightInd w:val="0"/>
              <w:spacing w:before="29" w:line="288" w:lineRule="auto"/>
              <w:ind w:left="17"/>
              <w:jc w:val="left"/>
              <w:rPr>
                <w:color w:val="000000"/>
                <w:sz w:val="24"/>
              </w:rPr>
            </w:pPr>
            <w:r>
              <w:rPr>
                <w:color w:val="000000"/>
                <w:kern w:val="0"/>
                <w:sz w:val="24"/>
              </w:rPr>
              <w:t>封闭期内业绩比较基准：两年期银行定期存款税后收益率+1.25%</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color w:val="000000"/>
                <w:kern w:val="0"/>
                <w:sz w:val="24"/>
              </w:rPr>
              <w:t/>
            </w:r>
            <w:r w:rsidRPr="007F52FA">
              <w:rPr>
                <w:sz w:val="24"/>
              </w:rPr>
              <w:t xml:space="preserve">交银丰泽收益债券A </w:t>
            </w:r>
          </w:p>
        </w:tc>
        <w:tc>
          <w:tcPr>
            <w:tcW w:w="3048" w:type="dxa"/>
            <w:vAlign w:val="center"/>
          </w:tcPr>
          <w:p w:rsidR="008532F3" w:rsidRPr="007F52FA" w:rsidRDefault="008532F3" w:rsidP="007C14DF">
            <w:pPr>
              <w:spacing w:before="29" w:line="288" w:lineRule="auto"/>
              <w:jc w:val="left"/>
              <w:rPr>
                <w:sz w:val="24"/>
              </w:rPr>
            </w:pPr>
            <w:r w:rsidRPr="007F52FA">
              <w:rPr>
                <w:color w:val="000000"/>
                <w:kern w:val="0"/>
                <w:sz w:val="24"/>
              </w:rPr>
              <w:t/>
            </w:r>
            <w:r w:rsidRPr="007F52FA">
              <w:rPr>
                <w:sz w:val="24"/>
              </w:rPr>
              <w:t xml:space="preserve">交银丰泽收益债券C </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r w:rsidRPr="007F52FA">
              <w:rPr>
                <w:color w:val="000000" w:themeColor="text1"/>
                <w:sz w:val="24"/>
              </w:rPr>
              <w:t/>
            </w:r>
            <w:r w:rsidRPr="000E4C40">
              <w:rPr>
                <w:color w:val="000000"/>
                <w:kern w:val="0"/>
                <w:sz w:val="24"/>
              </w:rPr>
              <w:t/>
            </w:r>
            <w:r>
              <w:rPr>
                <w:rFonts w:hint="eastAsia"/>
                <w:color w:val="000000"/>
                <w:kern w:val="0"/>
                <w:sz w:val="24"/>
              </w:rPr>
              <w:t/>
            </w:r>
            <w:r w:rsidRPr="000E4C40">
              <w:rPr>
                <w:sz w:val="24"/>
              </w:rPr>
              <w:t/>
            </w:r>
          </w:p>
        </w:tc>
        <w:tc>
          <w:tcPr>
            <w:tcW w:w="2922" w:type="dxa"/>
            <w:vAlign w:val="center"/>
          </w:tcPr>
          <w:p w:rsidR="00C23B30" w:rsidRPr="000E4C40" w:rsidRDefault="00C23B30" w:rsidP="007F50FB">
            <w:pPr>
              <w:spacing w:before="29" w:line="288" w:lineRule="auto"/>
              <w:jc w:val="left"/>
              <w:rPr>
                <w:sz w:val="24"/>
              </w:rPr>
            </w:pPr>
            <w:r w:rsidRPr="007F52FA">
              <w:rPr>
                <w:color w:val="000000" w:themeColor="text1"/>
                <w:sz w:val="24"/>
              </w:rPr>
              <w:t/>
            </w:r>
            <w:r w:rsidRPr="000E4C40">
              <w:rPr>
                <w:color w:val="000000"/>
                <w:kern w:val="0"/>
                <w:sz w:val="24"/>
              </w:rPr>
              <w:t/>
            </w:r>
            <w:r w:rsidRPr="000E4C40">
              <w:rPr>
                <w:sz w:val="24"/>
              </w:rPr>
              <w:t>519749</w:t>
            </w:r>
          </w:p>
        </w:tc>
        <w:tc>
          <w:tcPr>
            <w:tcW w:w="3048" w:type="dxa"/>
            <w:vAlign w:val="center"/>
          </w:tcPr>
          <w:p w:rsidR="00C23B30" w:rsidRPr="000E4C40" w:rsidRDefault="00261F47" w:rsidP="00A52A9E">
            <w:pPr>
              <w:spacing w:before="29" w:line="288" w:lineRule="auto"/>
              <w:jc w:val="left"/>
              <w:rPr>
                <w:sz w:val="24"/>
              </w:rPr>
            </w:pPr>
            <w:r w:rsidRPr="007F52FA">
              <w:rPr>
                <w:color w:val="000000" w:themeColor="text1"/>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004711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w="2922" w:type="dxa"/>
            <w:vAlign w:val="center"/>
          </w:tcPr>
          <w:p w:rsidR="00C23B30" w:rsidRPr="007F52FA" w:rsidRDefault="00C23B30" w:rsidP="007C14DF">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10,259,194.48</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239.73</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注：本基金自2017年2月6日起转为开放式运作。</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BE251D">
      <w:pPr>
        <w:pStyle w:val="1"/>
        <w:spacing w:beforeLines="100" w:after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(2017年7月1日-2017年9月30日)</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color w:val="000000"/>
                <w:kern w:val="0"/>
                <w:sz w:val="24"/>
              </w:rPr>
              <w:t/>
            </w:r>
            <w:r w:rsidRPr="007F52FA">
              <w:rPr>
                <w:sz w:val="24"/>
              </w:rPr>
              <w:t xml:space="preserve">交银丰泽收益债券A </w:t>
            </w: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 xml:space="preserve">交银丰泽收益债券C </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-12,734.50</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-0.08</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-7,834.62</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0.04</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-0.0007</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0.0002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10,380,719.92</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240.58</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1.012</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1.004</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注：1、上述基金业绩指标不包括持有人认购或交易基金的各项费用，计入费用后的实际收益水平要低于所列数字；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 xml:space="preserve">    2、本期已实现收益指基金本期利息收入、投资收益、其他收入（不含公允价值变动收益）扣除相关费用后的余额，本期利润为本期已实现收益加上本期公允价值变动收益。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 xml:space="preserve">交银丰泽收益债券A </w:t>
      </w:r>
      <w:r w:rsidRPr="007F52FA">
        <w:rPr>
          <w:b/>
          <w:sz w:val="24"/>
        </w:rPr>
        <w:t>：</w:t>
      </w:r>
    </w:p>
    <w:tbl>
      <w:tblPr>
        <w:tblStyle w:val="af2"/>
        <w:tblW w:w="8868" w:type="dxa"/>
        <w:jc w:val="center"/>
        <w:tblLayout w:type="fixed"/>
        <w:tblCellMar>
          <w:top w:w="57" w:type="dxa"/>
          <w:bottom w:w="57" w:type="dxa"/>
        </w:tblCellMar>
        <w:tblLook w:val="04A0"/>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-0.10%</w:t>
            </w:r>
          </w:p>
        </w:tc>
        <w:tc>
          <w:tcPr>
            <w:vAlign w:val="center"/>
          </w:tcPr>
          <w:p>
            <w:pPr>
              <w:jc w:val="center"/>
            </w:pPr>
            <w:r>
              <w:rPr>
                <w:color w:val="000000"/>
                <w:sz w:val="24"/>
              </w:rPr>
              <w:t>0.05%</w:t>
            </w:r>
          </w:p>
        </w:tc>
        <w:tc>
          <w:tcPr>
            <w:vAlign w:val="center"/>
          </w:tcPr>
          <w:p>
            <w:pPr>
              <w:jc w:val="center"/>
            </w:pPr>
            <w:r>
              <w:rPr>
                <w:color w:val="000000"/>
                <w:sz w:val="24"/>
              </w:rPr>
              <w:t>-0.16%</w:t>
            </w:r>
          </w:p>
        </w:tc>
        <w:tc>
          <w:tcPr>
            <w:vAlign w:val="center"/>
          </w:tcPr>
          <w:p>
            <w:pPr>
              <w:jc w:val="center"/>
            </w:pPr>
            <w:r>
              <w:rPr>
                <w:color w:val="000000"/>
                <w:sz w:val="24"/>
              </w:rPr>
              <w:t>0.04%</w:t>
            </w:r>
          </w:p>
        </w:tc>
        <w:tc>
          <w:tcPr>
            <w:vAlign w:val="center"/>
          </w:tcPr>
          <w:p>
            <w:pPr>
              <w:jc w:val="center"/>
            </w:pPr>
            <w:r>
              <w:rPr>
                <w:color w:val="000000"/>
                <w:sz w:val="24"/>
              </w:rPr>
              <w:t>0.06%</w:t>
            </w:r>
          </w:p>
        </w:tc>
        <w:tc>
          <w:tcPr>
            <w:vAlign w:val="center"/>
          </w:tcPr>
          <w:p>
            <w:pPr>
              <w:jc w:val="center"/>
            </w:pPr>
            <w:r>
              <w:rPr>
                <w:color w:val="000000"/>
                <w:sz w:val="24"/>
              </w:rPr>
              <w:t>0.01%</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
      </w:r>
      <w:r w:rsidR="00243122" w:rsidRPr="007F52FA">
        <w:rPr>
          <w:color w:val="000000"/>
          <w:sz w:val="24"/>
        </w:rPr>
        <w:t/>
      </w:r>
      <w:r w:rsidR="0042785F" w:rsidRPr="007F52FA">
        <w:rPr>
          <w:color w:val="000000"/>
          <w:sz w:val="24"/>
        </w:rPr>
        <w:t/>
      </w:r>
      <w:r w:rsidR="00243122" w:rsidRPr="007F52FA">
        <w:rPr>
          <w:color w:val="000000"/>
          <w:sz w:val="24"/>
        </w:rPr>
        <w:t/>
      </w:r>
      <w:r w:rsidRPr="007F52FA">
        <w:rPr>
          <w:color w:val="000000"/>
          <w:sz w:val="24"/>
        </w:rPr>
        <w:t>注：本基金自2017年2月6日起转为开放式运作，本基金的业绩比较基准由“两年期银行定期存款税后收益率+1.25%”变更为“中债综合全价指数”，3.2.2同。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 xml:space="preserve">交银丰泽收益债券C </w:t>
      </w:r>
      <w:r w:rsidRPr="007F52FA">
        <w:rPr>
          <w:b/>
          <w:color w:val="000000"/>
          <w:kern w:val="0"/>
          <w:sz w:val="24"/>
        </w:rPr>
        <w:t>：</w:t>
      </w:r>
    </w:p>
    <w:tbl>
      <w:tblPr>
        <w:tblStyle w:val="af2"/>
        <w:tblW w:w="8868" w:type="dxa"/>
        <w:jc w:val="center"/>
        <w:tblLayout w:type="fixed"/>
        <w:tblCellMar>
          <w:top w:w="57" w:type="dxa"/>
          <w:bottom w:w="57" w:type="dxa"/>
        </w:tblCellMar>
        <w:tblLook w:val="04A0"/>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0.10%</w:t>
            </w:r>
          </w:p>
        </w:tc>
        <w:tc>
          <w:tcPr>
            <w:vAlign w:val="center"/>
          </w:tcPr>
          <w:p>
            <w:pPr>
              <w:jc w:val="center"/>
            </w:pPr>
            <w:r>
              <w:rPr>
                <w:color w:val="000000"/>
                <w:sz w:val="24"/>
              </w:rPr>
              <w:t>0.04%</w:t>
            </w:r>
          </w:p>
        </w:tc>
        <w:tc>
          <w:tcPr>
            <w:vAlign w:val="center"/>
          </w:tcPr>
          <w:p>
            <w:pPr>
              <w:jc w:val="center"/>
            </w:pPr>
            <w:r>
              <w:rPr>
                <w:color w:val="000000"/>
                <w:sz w:val="24"/>
              </w:rPr>
              <w:t>-0.16%</w:t>
            </w:r>
          </w:p>
        </w:tc>
        <w:tc>
          <w:tcPr>
            <w:vAlign w:val="center"/>
          </w:tcPr>
          <w:p>
            <w:pPr>
              <w:jc w:val="center"/>
            </w:pPr>
            <w:r>
              <w:rPr>
                <w:color w:val="000000"/>
                <w:sz w:val="24"/>
              </w:rPr>
              <w:t>0.04%</w:t>
            </w:r>
          </w:p>
        </w:tc>
        <w:tc>
          <w:tcPr>
            <w:vAlign w:val="center"/>
          </w:tcPr>
          <w:p>
            <w:pPr>
              <w:jc w:val="center"/>
            </w:pPr>
            <w:r>
              <w:rPr>
                <w:color w:val="000000"/>
                <w:sz w:val="24"/>
              </w:rPr>
              <w:t>0.26%</w:t>
            </w:r>
          </w:p>
        </w:tc>
        <w:tc>
          <w:tcPr>
            <w:vAlign w:val="center"/>
          </w:tcPr>
          <w:p>
            <w:pPr>
              <w:jc w:val="center"/>
            </w:pPr>
            <w:r>
              <w:rPr>
                <w:color w:val="000000"/>
                <w:sz w:val="24"/>
              </w:rPr>
              <w:t>0.00%</w:t>
            </w:r>
          </w:p>
        </w:tc>
      </w:tr>
    </w:tbl>
    <w:p w:rsidR="009238DB" w:rsidRPr="007F52FA" w:rsidRDefault="00973B57" w:rsidP="007C14DF">
      <w:pPr>
        <w:autoSpaceDE w:val="0"/>
        <w:autoSpaceDN w:val="0"/>
        <w:adjustRightInd w:val="0"/>
        <w:spacing w:before="29" w:line="288" w:lineRule="auto"/>
        <w:jc w:val="left"/>
        <w:rPr>
          <w:color w:val="000000"/>
          <w:sz w:val="24"/>
        </w:rPr>
      </w:pPr>
      <w:r w:rsidRPr="007F52FA">
        <w:rPr>
          <w:color w:val="000000"/>
          <w:sz w:val="24"/>
        </w:rPr>
        <w:t/>
      </w:r>
      <w:r w:rsidR="00FE7FBD" w:rsidRPr="007F52FA">
        <w:rPr>
          <w:color w:val="000000"/>
          <w:sz w:val="24"/>
        </w:rPr>
        <w:t/>
      </w:r>
      <w:r w:rsidRPr="007F52FA">
        <w:rPr>
          <w:color w:val="000000"/>
          <w:sz w:val="24"/>
        </w:rPr>
        <w:t>注：本基金自2017年2月6日起转为开放式运作，本基金的业绩比较基准由“两年期银行定期存款税后收益率+1.25%”变更为“中债综合全价指数”，3.2.2同。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交银施罗德丰泽收益债券型证券投资基金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2015年1月30日</w:t>
      </w:r>
      <w:r w:rsidR="009A045B" w:rsidRPr="007F52FA">
        <w:rPr>
          <w:rFonts w:ascii="Times New Roman" w:hAnsi="Times New Roman"/>
          <w:sz w:val="24"/>
          <w:szCs w:val="24"/>
        </w:rPr>
        <w:t>至</w:t>
      </w:r>
      <w:r w:rsidRPr="007F52FA">
        <w:rPr>
          <w:rFonts w:ascii="Times New Roman" w:hAnsi="Times New Roman"/>
          <w:sz w:val="24"/>
          <w:szCs w:val="24"/>
        </w:rPr>
        <w:t>2017年9月30日</w:t>
      </w:r>
      <w:r w:rsidRPr="007F52FA">
        <w:rPr>
          <w:rFonts w:ascii="Times New Roman" w:hAnsi="Times New Roman"/>
          <w:sz w:val="24"/>
          <w:szCs w:val="24"/>
        </w:rPr>
        <w:t>）</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 xml:space="preserve">交银丰泽收益债券A </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
      </w:r>
      <w:r w:rsidR="00973B57" w:rsidRPr="007F52FA">
        <w:rPr>
          <w:color w:val="000000"/>
          <w:sz w:val="24"/>
        </w:rPr>
        <w:t/>
      </w:r>
      <w:r w:rsidRPr="007F52FA">
        <w:rPr>
          <w:color w:val="000000"/>
          <w:sz w:val="24"/>
        </w:rPr>
        <w:t>注：本基金建仓期为自基金合同生效日起的6个月。截至建仓期结束，本基金各项资产配置比例符合基金合同及招募说明书有关投资比例的约定。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 xml:space="preserve">交银丰泽收益债券C </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42785F" w:rsidRPr="007F52FA" w:rsidRDefault="0042785F" w:rsidP="007C14DF">
      <w:pPr>
        <w:spacing w:before="29" w:line="288" w:lineRule="auto"/>
        <w:ind w:firstLineChars="200" w:firstLine="48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注：本基金自2017年5月19日起增加C类份额，投资者提交的申购申请于2017年5月22日被确认并将有效份额登记在册。图示日期为2017年5月22日至2017年9月30日。</w:t>
      </w:r>
    </w:p>
    <w:p w:rsidR="00757FD7" w:rsidRPr="007F52FA" w:rsidRDefault="00757FD7" w:rsidP="007C14DF">
      <w:pPr>
        <w:spacing w:before="29" w:line="288" w:lineRule="auto"/>
        <w:ind w:firstLineChars="200" w:firstLine="480"/>
        <w:rPr>
          <w:color w:val="000000"/>
          <w:sz w:val="24"/>
        </w:rPr>
      </w:pPr>
      <w:r w:rsidRPr="007F52FA">
        <w:rPr>
          <w:color w:val="000000"/>
          <w:sz w:val="24"/>
        </w:rPr>
        <w:t/>
      </w:r>
      <w:r w:rsidR="00FE7FBD" w:rsidRPr="007F52FA">
        <w:rPr>
          <w:color w:val="000000"/>
          <w:sz w:val="24"/>
        </w:rPr>
        <w:t/>
      </w:r>
      <w:r w:rsidRPr="007F52FA">
        <w:rPr>
          <w:color w:val="000000"/>
          <w:sz w:val="24"/>
        </w:rPr>
        <w:t/>
      </w: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BE251D">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货币、交银理财21天债券、交银现金宝货币、交银丰享收益债券、交银丰泽收益债券、交银裕通纯债债券、交银活期通货币、交银天利宝货币、交银裕隆纯债债券、交银天鑫宝货币、交银天益宝货币、交银境尚收益债券的基金经理</w:t>
            </w:r>
          </w:p>
        </w:tc>
        <w:tc>
          <w:tcPr>
            <w:vAlign w:val="center"/>
          </w:tcPr>
          <w:p>
            <w:pPr>
              <w:jc w:val="center"/>
            </w:pPr>
            <w:r>
              <w:rPr>
                <w:color w:val="000000"/>
                <w:sz w:val="24"/>
              </w:rPr>
              <w:t>2015-07-25</w:t>
            </w:r>
          </w:p>
        </w:tc>
        <w:tc>
          <w:tcPr>
            <w:vAlign w:val="center"/>
          </w:tcPr>
          <w:p>
            <w:pPr>
              <w:jc w:val="center"/>
            </w:pPr>
            <w:r>
              <w:rPr>
                <w:color w:val="000000"/>
                <w:sz w:val="24"/>
              </w:rPr>
              <w:t>-</w:t>
            </w:r>
          </w:p>
        </w:tc>
        <w:tc>
          <w:tcPr>
            <w:vAlign w:val="center"/>
          </w:tcPr>
          <w:p>
            <w:pPr>
              <w:jc w:val="center"/>
            </w:pPr>
            <w:r>
              <w:rPr>
                <w:color w:val="000000"/>
                <w:sz w:val="24"/>
              </w:rPr>
              <w:t>9年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Chars="200" w:firstLine="480"/>
        <w:rPr>
          <w:color w:val="000000"/>
          <w:sz w:val="24"/>
        </w:rPr>
      </w:pPr>
      <w:r>
        <w:rPr>
          <w:color w:val="000000"/>
          <w:sz w:val="24"/>
        </w:rPr>
        <w:t>本报告期内，经济数据连续低于预期，除了环保限产的政策影响，今年上半年支撑力较强的因素如房地产、基建和出口均显出一定的疲态。通胀方面，低于季节性周期变化的食品价格显著拉低CPI同比，但是非食品项持续高于其季节性周期变化，其中原油、服务类价格上涨是主因。货币政策稳健中性的基调不变，流动性总体紧平衡。</w:t>
      </w:r>
    </w:p>
    <w:p>
      <w:pPr>
        <w:spacing w:before="29" w:line="288" w:lineRule="auto"/>
        <w:ind w:firstLineChars="200" w:firstLine="480"/>
        <w:rPr>
          <w:color w:val="000000"/>
          <w:sz w:val="24"/>
        </w:rPr>
      </w:pPr>
      <w:r>
        <w:rPr>
          <w:color w:val="000000"/>
          <w:sz w:val="24"/>
        </w:rPr>
        <w:t>基金操作方面，本基金主要配置了流动性较好的利率债。</w:t>
      </w:r>
    </w:p>
    <w:p w:rsidR="00952A72" w:rsidRPr="007F52FA" w:rsidRDefault="00323F25" w:rsidP="007C14DF">
      <w:pPr>
        <w:spacing w:before="29" w:line="288" w:lineRule="auto"/>
        <w:ind w:firstLineChars="200" w:firstLine="480"/>
        <w:rPr>
          <w:color w:val="000000"/>
          <w:sz w:val="24"/>
        </w:rPr>
      </w:pPr>
      <w:r w:rsidRPr="007F52FA">
        <w:rPr>
          <w:color w:val="000000"/>
          <w:sz w:val="24"/>
        </w:rPr>
        <w:t>展望四季度，经济虽有韧性，但在出口、基建和房地产下行的拖累下，GDP名义增速逐步下行概率较大，市场对于通胀的预期逐渐抬升，后续需密切关注食品价格变化以及PPI向CPI的传导是否顺畅。此前快速增加的理财、同业存单规模已逐步降低增速，这表明金融去杠杆已经颇有成效,但是我们预计去杠杆政策仍将延续，货币政策将会保持不紧不松的状态，流动性压力会始终存在。组合管理方面，本基金预计将维持合理仓位，采用中短久期的票息策略，等待长期趋势性机会，努力为投资者创造稳健的收益回报。</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2017年9月30日，交银丰泽收益债券A份额净值为1.012元，本报告期份额净值增长率为-0.10%，同期业绩比较基准增长率为-0.16%；交银丰泽收益债券C份额净值为1.004元，本报告期份额净值增长率为0.10%，同期业绩比较基准增长率为-0.16%。</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曾连续六十个工作日以上出现基金资产净值低于5000万元、连续二十个工作日以上出现基金份额持有人数量不满200人的情形，截至本报告期末，本基金基金资产净值仍低于5000万元、基金份额持有人数量已高于200人，基金管理人已向中国证券监督管理委员会进行了报告，拟通过终止基金合同的方式解决。</w:t>
      </w:r>
    </w:p>
    <w:p w:rsidR="00400FA6" w:rsidRPr="007F52FA" w:rsidRDefault="00400FA6" w:rsidP="007C14DF">
      <w:pPr>
        <w:spacing w:before="29" w:line="288" w:lineRule="auto"/>
        <w:ind w:firstLineChars="200" w:firstLine="480"/>
        <w:rPr>
          <w:color w:val="000000"/>
          <w:sz w:val="24"/>
        </w:rPr>
      </w:pPr>
    </w:p>
    <w:p w:rsidR="009238DB" w:rsidRPr="007F52FA" w:rsidRDefault="00FF5FC7" w:rsidP="00BE251D">
      <w:pPr>
        <w:pStyle w:val="1"/>
        <w:tabs>
          <w:tab w:val="center" w:pos="4410"/>
        </w:tabs>
        <w:spacing w:beforeLines="100" w:afterLines="100" w:line="288" w:lineRule="auto"/>
        <w:rPr>
          <w:color w:val="000000"/>
          <w:kern w:val="0"/>
          <w:sz w:val="24"/>
          <w:szCs w:val="24"/>
        </w:rPr>
      </w:pPr>
      <w:r w:rsidRPr="007F52FA">
        <w:rPr>
          <w:color w:val="000000"/>
          <w:kern w:val="0"/>
          <w:sz w:val="24"/>
          <w:szCs w:val="24"/>
        </w:rPr>
        <w:lastRenderedPageBreak/>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10,292,800.00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96.45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10,292,800.00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96.45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autoSpaceDE w:val="0"/>
              <w:autoSpaceDN w:val="0"/>
              <w:adjustRightInd w:val="0"/>
              <w:spacing w:before="29" w:line="288" w:lineRule="auto"/>
              <w:ind w:leftChars="8" w:left="17" w:firstLineChars="250" w:firstLine="600"/>
              <w:jc w:val="left"/>
              <w:rPr>
                <w:color w:val="000000"/>
                <w:sz w:val="24"/>
              </w:rPr>
            </w:pPr>
            <w:r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
            </w:r>
            <w:r w:rsidRPr="007F52FA">
              <w:rPr>
                <w:rFonts w:eastAsiaTheme="minorEastAsia"/>
                <w:color w:val="000000"/>
                <w:sz w:val="24"/>
              </w:rPr>
              <w:lastRenderedPageBreak/>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lastRenderedPageBreak/>
              <w:t/>
            </w:r>
            <w:r w:rsidRPr="007F52FA">
              <w:rPr>
                <w:rFonts w:eastAsiaTheme="minorEastAsia"/>
                <w:color w:val="000000"/>
                <w:sz w:val="24"/>
              </w:rPr>
              <w:lastRenderedPageBreak/>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lastRenderedPageBreak/>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116,593.11</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1.09</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
            </w:r>
            <w:r w:rsidRPr="007F52FA">
              <w:rPr>
                <w:color w:val="000000"/>
                <w:sz w:val="24"/>
              </w:rPr>
              <w:lastRenderedPageBreak/>
              <w:t/>
            </w:r>
            <w:r w:rsidR="004170FA" w:rsidRPr="007F52FA">
              <w:rPr>
                <w:color w:val="000000"/>
                <w:sz w:val="24"/>
              </w:rPr>
              <w:t/>
            </w: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lastRenderedPageBreak/>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
            </w:r>
            <w:r w:rsidRPr="007F52FA">
              <w:rPr>
                <w:color w:val="000000"/>
                <w:sz w:val="24"/>
              </w:rPr>
              <w:lastRenderedPageBreak/>
              <w:t>261,997.23</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lastRenderedPageBreak/>
              <w:t/>
            </w:r>
            <w:r w:rsidRPr="007F52FA">
              <w:rPr>
                <w:color w:val="000000"/>
                <w:sz w:val="24"/>
              </w:rPr>
              <w:lastRenderedPageBreak/>
              <w:t>2.46</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lastRenderedPageBreak/>
              <w:t/>
            </w:r>
            <w:r w:rsidR="004170FA" w:rsidRPr="007F52FA">
              <w:rPr>
                <w:color w:val="000000"/>
                <w:sz w:val="24"/>
              </w:rPr>
              <w:t/>
            </w: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10,671,390.34</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b/>
          <w:color w:val="000000" w:themeColor="text1"/>
          <w:sz w:val="24"/>
        </w:rPr>
        <w:t/>
      </w: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b/>
          <w:bCs/>
          <w:color w:val="000000" w:themeColor="text1"/>
          <w:kern w:val="0"/>
          <w:sz w:val="24"/>
        </w:rPr>
        <w:t/>
      </w: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lastRenderedPageBreak/>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10,292,800.00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99.15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10,292,800.00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99.15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lastRenderedPageBreak/>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10,292,800.00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
            </w:r>
            <w:r w:rsidRPr="007F52FA">
              <w:rPr>
                <w:color w:val="000000"/>
                <w:sz w:val="24"/>
              </w:rPr>
              <w:lastRenderedPageBreak/>
              <w:t>99.15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160215</w:t>
            </w:r>
          </w:p>
        </w:tc>
        <w:tc>
          <w:tcPr>
            <w:vAlign w:val="center"/>
          </w:tcPr>
          <w:p>
            <w:pPr>
              <w:jc w:val="center"/>
            </w:pPr>
            <w:r>
              <w:rPr>
                <w:color w:val="000000"/>
                <w:sz w:val="24"/>
              </w:rPr>
              <w:t>16国开15</w:t>
            </w:r>
          </w:p>
        </w:tc>
        <w:tc>
          <w:tcPr>
            <w:vAlign w:val="center"/>
          </w:tcPr>
          <w:p>
            <w:pPr>
              <w:jc w:val="right"/>
            </w:pPr>
            <w:r>
              <w:rPr>
                <w:color w:val="000000"/>
                <w:sz w:val="24"/>
              </w:rPr>
              <w:t>100,000</w:t>
            </w:r>
          </w:p>
        </w:tc>
        <w:tc>
          <w:tcPr>
            <w:vAlign w:val="center"/>
          </w:tcPr>
          <w:p>
            <w:pPr>
              <w:jc w:val="right"/>
            </w:pPr>
            <w:r>
              <w:rPr>
                <w:color w:val="000000"/>
                <w:sz w:val="24"/>
              </w:rPr>
              <w:t>9,694,000.00</w:t>
            </w:r>
          </w:p>
        </w:tc>
        <w:tc>
          <w:tcPr>
            <w:vAlign w:val="center"/>
          </w:tcPr>
          <w:p>
            <w:pPr>
              <w:jc w:val="right"/>
            </w:pPr>
            <w:r>
              <w:rPr>
                <w:color w:val="000000"/>
                <w:sz w:val="24"/>
              </w:rPr>
              <w:t>93.38</w:t>
            </w:r>
          </w:p>
        </w:tc>
      </w:tr>
      <w:tr>
        <w:tc>
          <w:tcPr>
            <w:vAlign w:val="center"/>
          </w:tcPr>
          <w:p>
            <w:pPr>
              <w:jc w:val="center"/>
            </w:pPr>
            <w:r>
              <w:rPr>
                <w:color w:val="000000"/>
                <w:sz w:val="24"/>
              </w:rPr>
              <w:t>2</w:t>
            </w:r>
          </w:p>
        </w:tc>
        <w:tc>
          <w:tcPr>
            <w:vAlign w:val="center"/>
          </w:tcPr>
          <w:p>
            <w:pPr>
              <w:jc w:val="center"/>
            </w:pPr>
            <w:r>
              <w:rPr>
                <w:color w:val="000000"/>
                <w:sz w:val="24"/>
              </w:rPr>
              <w:t>108601</w:t>
            </w:r>
          </w:p>
        </w:tc>
        <w:tc>
          <w:tcPr>
            <w:vAlign w:val="center"/>
          </w:tcPr>
          <w:p>
            <w:pPr>
              <w:jc w:val="center"/>
            </w:pPr>
            <w:r>
              <w:rPr>
                <w:color w:val="000000"/>
                <w:sz w:val="24"/>
              </w:rPr>
              <w:t>国开1703</w:t>
            </w:r>
          </w:p>
        </w:tc>
        <w:tc>
          <w:tcPr>
            <w:vAlign w:val="center"/>
          </w:tcPr>
          <w:p>
            <w:pPr>
              <w:jc w:val="right"/>
            </w:pPr>
            <w:r>
              <w:rPr>
                <w:color w:val="000000"/>
                <w:sz w:val="24"/>
              </w:rPr>
              <w:t>6,000</w:t>
            </w:r>
          </w:p>
        </w:tc>
        <w:tc>
          <w:tcPr>
            <w:vAlign w:val="center"/>
          </w:tcPr>
          <w:p>
            <w:pPr>
              <w:jc w:val="right"/>
            </w:pPr>
            <w:r>
              <w:rPr>
                <w:color w:val="000000"/>
                <w:sz w:val="24"/>
              </w:rPr>
              <w:t>598,800.00</w:t>
            </w:r>
          </w:p>
        </w:tc>
        <w:tc>
          <w:tcPr>
            <w:vAlign w:val="center"/>
          </w:tcPr>
          <w:p>
            <w:pPr>
              <w:jc w:val="right"/>
            </w:pPr>
            <w:r>
              <w:rPr>
                <w:color w:val="000000"/>
                <w:sz w:val="24"/>
              </w:rPr>
              <w:t>5.77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lastRenderedPageBreak/>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A621E1" w:rsidP="007C14DF">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tblPr>
      <w:tblGrid>
        <w:gridCol w:w="1260"/>
        <w:gridCol w:w="2706"/>
        <w:gridCol w:w="4902"/>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lastRenderedPageBreak/>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1,353.92</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260,643.31</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261,997.23</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color w:val="000000"/>
          <w:kern w:val="0"/>
          <w:sz w:val="24"/>
        </w:rPr>
        <w:t/>
      </w: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BE251D">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 xml:space="preserve">交银丰泽收益债券A </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 xml:space="preserve">交银丰泽收益债券C </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B011B0"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13,710,259.69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B011B0"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250.00</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23,516.35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89.73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3,474,581.56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100.00</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Pr="007F52FA">
              <w:rPr>
                <w:rFonts w:eastAsiaTheme="minorEastAsia"/>
                <w:color w:val="000000"/>
                <w:sz w:val="24"/>
              </w:rPr>
              <w:lastRenderedPageBreak/>
              <w:t/>
            </w:r>
            <w:r w:rsidR="0042785F" w:rsidRPr="007F52FA">
              <w:rPr>
                <w:rFonts w:eastAsiaTheme="minorEastAsia"/>
                <w:color w:val="000000"/>
                <w:sz w:val="24"/>
              </w:rPr>
              <w:t>10,259,194.48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Pr="007F52FA">
              <w:rPr>
                <w:rFonts w:eastAsiaTheme="minorEastAsia"/>
                <w:color w:val="000000"/>
                <w:sz w:val="24"/>
              </w:rPr>
              <w:lastRenderedPageBreak/>
              <w:t/>
            </w:r>
            <w:r w:rsidR="004D614E" w:rsidRPr="007F52FA">
              <w:rPr>
                <w:rFonts w:eastAsiaTheme="minorEastAsia"/>
                <w:color w:val="000000"/>
                <w:sz w:val="24"/>
              </w:rPr>
              <w:t/>
            </w:r>
            <w:r w:rsidR="0042785F" w:rsidRPr="007F52FA">
              <w:rPr>
                <w:rFonts w:eastAsiaTheme="minorEastAsia"/>
                <w:color w:val="000000"/>
                <w:sz w:val="24"/>
              </w:rPr>
              <w:t>239.73</w:t>
            </w:r>
          </w:p>
        </w:tc>
      </w:tr>
    </w:tbl>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BE251D">
      <w:pPr>
        <w:pStyle w:val="1"/>
        <w:tabs>
          <w:tab w:val="center" w:pos="4156"/>
          <w:tab w:val="right" w:pos="8312"/>
        </w:tabs>
        <w:spacing w:beforeLines="100" w:afterLines="100"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lastRenderedPageBreak/>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175E3A" w:rsidRPr="007032A6" w:rsidRDefault="009238DB" w:rsidP="00BE251D">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8</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8.</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Chars="200" w:firstLine="480"/>
        <w:rPr>
          <w:rFonts w:eastAsiaTheme="minorEastAsia"/>
          <w:color w:val="000000"/>
          <w:sz w:val="24"/>
        </w:rPr>
      </w:pPr>
      <w:r>
        <w:rPr>
          <w:rFonts w:eastAsiaTheme="minorEastAsia"/>
          <w:color w:val="000000"/>
          <w:sz w:val="24"/>
        </w:rPr>
        <w:t xml:space="preserve">1、中国证监会准予交银施罗德丰泽收益债券型证券投资基金募集注册的文件； </w:t>
      </w:r>
    </w:p>
    <w:p>
      <w:pPr>
        <w:spacing w:before="29" w:line="288" w:lineRule="auto"/>
        <w:ind w:firstLineChars="200" w:firstLine="480"/>
        <w:rPr>
          <w:rFonts w:eastAsiaTheme="minorEastAsia"/>
          <w:color w:val="000000"/>
          <w:sz w:val="24"/>
        </w:rPr>
      </w:pPr>
      <w:r>
        <w:rPr>
          <w:rFonts w:eastAsiaTheme="minorEastAsia"/>
          <w:color w:val="000000"/>
          <w:sz w:val="24"/>
        </w:rPr>
        <w:t>2、《交银施罗德丰泽收益债券型证券投资基金基金合同》；</w:t>
      </w:r>
    </w:p>
    <w:p>
      <w:pPr>
        <w:spacing w:before="29" w:line="288" w:lineRule="auto"/>
        <w:ind w:firstLineChars="200" w:firstLine="480"/>
        <w:rPr>
          <w:rFonts w:eastAsiaTheme="minorEastAsia"/>
          <w:color w:val="000000"/>
          <w:sz w:val="24"/>
        </w:rPr>
      </w:pPr>
      <w:r>
        <w:rPr>
          <w:rFonts w:eastAsiaTheme="minorEastAsia"/>
          <w:color w:val="000000"/>
          <w:sz w:val="24"/>
        </w:rPr>
        <w:t xml:space="preserve">3、《交银施罗德丰泽收益债券型证券投资基金招募说明书》； </w:t>
      </w:r>
    </w:p>
    <w:p>
      <w:pPr>
        <w:spacing w:before="29" w:line="288" w:lineRule="auto"/>
        <w:ind w:firstLineChars="200" w:firstLine="480"/>
        <w:rPr>
          <w:rFonts w:eastAsiaTheme="minorEastAsia"/>
          <w:color w:val="000000"/>
          <w:sz w:val="24"/>
        </w:rPr>
      </w:pPr>
      <w:r>
        <w:rPr>
          <w:rFonts w:eastAsiaTheme="minorEastAsia"/>
          <w:color w:val="000000"/>
          <w:sz w:val="24"/>
        </w:rPr>
        <w:t xml:space="preserve">4、《交银施罗德丰泽收益债券型证券投资基金托管协议》； </w:t>
      </w:r>
    </w:p>
    <w:p>
      <w:pPr>
        <w:spacing w:before="29" w:line="288" w:lineRule="auto"/>
        <w:ind w:firstLineChars="200" w:firstLine="480"/>
        <w:rPr>
          <w:rFonts w:eastAsiaTheme="minorEastAsia"/>
          <w:color w:val="000000"/>
          <w:sz w:val="24"/>
        </w:rPr>
      </w:pPr>
      <w:r>
        <w:rPr>
          <w:rFonts w:eastAsiaTheme="minorEastAsia"/>
          <w:color w:val="000000"/>
          <w:sz w:val="24"/>
        </w:rPr>
        <w:t>5、基金管理人业务资格批件、营业执照；</w:t>
      </w:r>
    </w:p>
    <w:p>
      <w:pPr>
        <w:spacing w:before="29" w:line="288" w:lineRule="auto"/>
        <w:ind w:firstLineChars="200" w:firstLine="480"/>
        <w:rPr>
          <w:rFonts w:eastAsiaTheme="minorEastAsia"/>
          <w:color w:val="000000"/>
          <w:sz w:val="24"/>
        </w:rPr>
      </w:pPr>
      <w:r>
        <w:rPr>
          <w:rFonts w:eastAsiaTheme="minorEastAsia"/>
          <w:color w:val="000000"/>
          <w:sz w:val="24"/>
        </w:rPr>
        <w:t>6、基金托管人业务资格批件、营业执照；</w:t>
      </w:r>
    </w:p>
    <w:p>
      <w:pPr>
        <w:spacing w:before="29" w:line="288" w:lineRule="auto"/>
        <w:ind w:firstLineChars="200" w:firstLine="480"/>
        <w:rPr>
          <w:rFonts w:eastAsiaTheme="minorEastAsia"/>
          <w:color w:val="000000"/>
          <w:sz w:val="24"/>
        </w:rPr>
      </w:pPr>
      <w:r>
        <w:rPr>
          <w:rFonts w:eastAsiaTheme="minorEastAsia"/>
          <w:color w:val="000000"/>
          <w:sz w:val="24"/>
        </w:rPr>
        <w:t>7、关于申请募集注册交银施罗德丰泽收益债券型证券投资基金的法律意见书；</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8、报告期内交银施罗德丰泽收益债券型证券投资基金在指定报刊上各项公告的原稿。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8.3</w:t>
      </w:r>
      <w:r w:rsidR="00FB3C94" w:rsidRPr="007F52FA">
        <w:rPr>
          <w:rFonts w:eastAsiaTheme="minorEastAsia"/>
          <w:b/>
          <w:bCs/>
          <w:color w:val="000000"/>
          <w:kern w:val="0"/>
          <w:sz w:val="24"/>
        </w:rPr>
        <w:t>查阅方式</w:t>
      </w:r>
    </w:p>
    <w:p>
      <w:pPr>
        <w:spacing w:before="29" w:line="288" w:lineRule="auto"/>
        <w:ind w:firstLineChars="200" w:firstLine="48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投资者可在办公时间内至基金管理人的办公场所免费查阅备查文件，或者登录基金管理人的网站(www.fund001.com，www.bocomschroder.com)查阅。在支付工本费后，投资者可在合理时间内取得上述文件的复制件或复印件。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783" w:rsidRDefault="00307783">
      <w:r>
        <w:separator/>
      </w:r>
    </w:p>
  </w:endnote>
  <w:endnote w:type="continuationSeparator" w:id="1">
    <w:p w:rsidR="00307783" w:rsidRDefault="00307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Pr="001D0DB0" w:rsidRDefault="007F50FB" w:rsidP="00F7094A">
    <w:pPr>
      <w:pStyle w:val="a6"/>
      <w:jc w:val="center"/>
    </w:pPr>
    <w:r>
      <w:rPr>
        <w:rFonts w:hint="eastAsia"/>
        <w:kern w:val="0"/>
        <w:szCs w:val="21"/>
      </w:rPr>
      <w:t>第</w:t>
    </w:r>
    <w:r w:rsidR="007866A0">
      <w:rPr>
        <w:kern w:val="0"/>
        <w:szCs w:val="21"/>
      </w:rPr>
      <w:fldChar w:fldCharType="begin"/>
    </w:r>
    <w:r>
      <w:rPr>
        <w:kern w:val="0"/>
        <w:szCs w:val="21"/>
      </w:rPr>
      <w:instrText xml:space="preserve"> PAGE </w:instrText>
    </w:r>
    <w:r w:rsidR="007866A0">
      <w:rPr>
        <w:kern w:val="0"/>
        <w:szCs w:val="21"/>
      </w:rPr>
      <w:fldChar w:fldCharType="separate"/>
    </w:r>
    <w:r w:rsidR="00BE251D">
      <w:rPr>
        <w:noProof/>
        <w:kern w:val="0"/>
        <w:szCs w:val="21"/>
      </w:rPr>
      <w:t>13</w:t>
    </w:r>
    <w:r w:rsidR="007866A0">
      <w:rPr>
        <w:kern w:val="0"/>
        <w:szCs w:val="21"/>
      </w:rPr>
      <w:fldChar w:fldCharType="end"/>
    </w:r>
    <w:r>
      <w:rPr>
        <w:rFonts w:hint="eastAsia"/>
        <w:kern w:val="0"/>
        <w:szCs w:val="21"/>
      </w:rPr>
      <w:t>页共</w:t>
    </w:r>
    <w:r w:rsidR="007866A0">
      <w:rPr>
        <w:kern w:val="0"/>
        <w:szCs w:val="21"/>
      </w:rPr>
      <w:fldChar w:fldCharType="begin"/>
    </w:r>
    <w:r>
      <w:rPr>
        <w:kern w:val="0"/>
        <w:szCs w:val="21"/>
      </w:rPr>
      <w:instrText xml:space="preserve"> NUMPAGES </w:instrText>
    </w:r>
    <w:r w:rsidR="007866A0">
      <w:rPr>
        <w:kern w:val="0"/>
        <w:szCs w:val="21"/>
      </w:rPr>
      <w:fldChar w:fldCharType="separate"/>
    </w:r>
    <w:r w:rsidR="00BE251D">
      <w:rPr>
        <w:noProof/>
        <w:kern w:val="0"/>
        <w:szCs w:val="21"/>
      </w:rPr>
      <w:t>27</w:t>
    </w:r>
    <w:r w:rsidR="007866A0">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Default="007866A0">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783" w:rsidRDefault="00307783">
      <w:r>
        <w:separator/>
      </w:r>
    </w:p>
  </w:footnote>
  <w:footnote w:type="continuationSeparator" w:id="1">
    <w:p w:rsidR="00307783" w:rsidRDefault="00307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Pr="002567DB" w:rsidRDefault="007866A0"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jpeg" Type="http://schemas.openxmlformats.org/officeDocument/2006/relationships/image"/>
<Relationship Id="rId11" Target="media/image3.jpeg" Type="http://schemas.openxmlformats.org/officeDocument/2006/relationships/image"/>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15" Target="stylesWithEffects.xml" Type="http://schemas.microsoft.com/office/2007/relationships/stylesWithEffects"/>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0FB8-E59B-4A47-8590-67E2D705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196</TotalTime>
  <Pages>27</Pages>
  <Words>4246</Words>
  <Characters>24205</Characters>
  <Application>Microsoft Office Word</Application>
  <DocSecurity>0</DocSecurity>
  <Lines>201</Lines>
  <Paragraphs>56</Paragraphs>
  <ScaleCrop>false</ScaleCrop>
  <Company>TRT. Ltd. Co.</Company>
  <LinksUpToDate>false</LinksUpToDate>
  <CharactersWithSpaces>28395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China</cp:lastModifiedBy>
  <cp:lastPrinted>2007-07-19T00:46:00Z</cp:lastPrinted>
  <dcterms:modified xsi:type="dcterms:W3CDTF">2017-07-10T10:11:00Z</dcterms:modified>
  <cp:revision>369</cp:revision>
</cp:coreProperties>
</file>