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关于</w:t>
      </w:r>
      <w:r w:rsidR="00093F8C" w:rsidRPr="00DD205B">
        <w:rPr>
          <w:rFonts w:asciiTheme="minorEastAsia" w:hAnsiTheme="minorEastAsia" w:cs="宋体" w:hint="eastAsia"/>
          <w:b/>
          <w:kern w:val="0"/>
          <w:sz w:val="32"/>
          <w:szCs w:val="32"/>
        </w:rPr>
        <w:t>泰达宏利收益增强债券型</w:t>
      </w:r>
      <w:r w:rsidRPr="00DD205B">
        <w:rPr>
          <w:rFonts w:asciiTheme="minorEastAsia" w:hAnsiTheme="minorEastAsia" w:cs="宋体" w:hint="eastAsia"/>
          <w:b/>
          <w:kern w:val="0"/>
          <w:sz w:val="32"/>
          <w:szCs w:val="32"/>
        </w:rPr>
        <w:t>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根据《中华人民共和国证券投资基金法》、《公开募集证券投资基金运作管理办法》、</w:t>
      </w:r>
      <w:r w:rsidR="00093F8C" w:rsidRPr="00DD205B">
        <w:rPr>
          <w:rFonts w:asciiTheme="minorEastAsia" w:hAnsiTheme="minorEastAsia" w:cs="Times New Roman" w:hint="eastAsia"/>
        </w:rPr>
        <w:t>《泰达宏利收益增强债券型证券投资基金基金合同》</w:t>
      </w:r>
      <w:r w:rsidRPr="00DD205B">
        <w:rPr>
          <w:rFonts w:asciiTheme="minorEastAsia" w:hAnsiTheme="minorEastAsia" w:cs="Times New Roman" w:hint="eastAsia"/>
        </w:rPr>
        <w:t>（以下简称“《基金合同》”）的有关规定，</w:t>
      </w:r>
      <w:r w:rsidR="00093F8C" w:rsidRPr="00DD205B">
        <w:rPr>
          <w:rFonts w:asciiTheme="minorEastAsia" w:hAnsiTheme="minorEastAsia" w:cs="Times New Roman" w:hint="eastAsia"/>
        </w:rPr>
        <w:t>泰达宏利收益增强债券型</w:t>
      </w:r>
      <w:r w:rsidRPr="00DD205B">
        <w:rPr>
          <w:rFonts w:asciiTheme="minorEastAsia" w:hAnsiTheme="minorEastAsia" w:cs="Times New Roman" w:hint="eastAsia"/>
        </w:rPr>
        <w:t>证券投资基金（以下简称“本基金”）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2017</w:t>
      </w:r>
      <w:r w:rsidRPr="00DD205B">
        <w:rPr>
          <w:rFonts w:asciiTheme="minorEastAsia" w:hAnsiTheme="minorEastAsia" w:cs="Times New Roman" w:hint="eastAsia"/>
        </w:rPr>
        <w:t>年</w:t>
      </w:r>
      <w:r w:rsidR="00F30B85" w:rsidRPr="00DD205B">
        <w:rPr>
          <w:rFonts w:asciiTheme="minorEastAsia" w:hAnsiTheme="minorEastAsia" w:cs="Times New Roman" w:hint="eastAsia"/>
        </w:rPr>
        <w:t>10</w:t>
      </w:r>
      <w:r w:rsidR="00885926" w:rsidRPr="00DD205B">
        <w:rPr>
          <w:rFonts w:asciiTheme="minorEastAsia" w:hAnsiTheme="minorEastAsia" w:cs="Times New Roman" w:hint="eastAsia"/>
        </w:rPr>
        <w:t>月</w:t>
      </w:r>
      <w:r w:rsidR="00F30B85" w:rsidRPr="00DD205B">
        <w:rPr>
          <w:rFonts w:asciiTheme="minorEastAsia" w:hAnsiTheme="minorEastAsia" w:cs="Times New Roman" w:hint="eastAsia"/>
        </w:rPr>
        <w:t>1</w:t>
      </w:r>
      <w:r w:rsidR="006D72C3" w:rsidRPr="00DD205B">
        <w:rPr>
          <w:rFonts w:asciiTheme="minorEastAsia" w:hAnsiTheme="minorEastAsia" w:cs="Times New Roman" w:hint="eastAsia"/>
        </w:rPr>
        <w:t>1</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2017</w:t>
      </w:r>
      <w:r w:rsidRPr="00DD205B">
        <w:rPr>
          <w:rFonts w:asciiTheme="minorEastAsia" w:hAnsiTheme="minorEastAsia" w:cs="Times New Roman" w:hint="eastAsia"/>
        </w:rPr>
        <w:t>年</w:t>
      </w:r>
      <w:r w:rsidR="00F30B85" w:rsidRPr="00DD205B">
        <w:rPr>
          <w:rFonts w:asciiTheme="minorEastAsia" w:hAnsiTheme="minorEastAsia" w:cs="Times New Roman" w:hint="eastAsia"/>
        </w:rPr>
        <w:t>10</w:t>
      </w:r>
      <w:r w:rsidR="00885926" w:rsidRPr="00DD205B">
        <w:rPr>
          <w:rFonts w:asciiTheme="minorEastAsia" w:hAnsiTheme="minorEastAsia" w:cs="Times New Roman" w:hint="eastAsia"/>
        </w:rPr>
        <w:t>月</w:t>
      </w:r>
      <w:r w:rsidR="00F30B85" w:rsidRPr="00DD205B">
        <w:rPr>
          <w:rFonts w:asciiTheme="minorEastAsia" w:hAnsiTheme="minorEastAsia" w:cs="Times New Roman" w:hint="eastAsia"/>
        </w:rPr>
        <w:t>1</w:t>
      </w:r>
      <w:r w:rsidR="006D72C3" w:rsidRPr="00DD205B">
        <w:rPr>
          <w:rFonts w:asciiTheme="minorEastAsia" w:hAnsiTheme="minorEastAsia" w:cs="Times New Roman" w:hint="eastAsia"/>
        </w:rPr>
        <w:t>2</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093F8C" w:rsidRPr="00DD205B">
        <w:rPr>
          <w:rFonts w:asciiTheme="minorEastAsia" w:hAnsiTheme="minorEastAsia" w:cs="Times New Roman" w:hint="eastAsia"/>
          <w:sz w:val="24"/>
          <w:szCs w:val="24"/>
        </w:rPr>
        <w:t>泰达宏利收益增强债券型</w:t>
      </w:r>
      <w:r w:rsidRPr="00DD205B">
        <w:rPr>
          <w:rFonts w:asciiTheme="minorEastAsia" w:hAnsiTheme="minorEastAsia" w:cs="Times New Roman" w:hint="eastAsia"/>
          <w:sz w:val="24"/>
          <w:szCs w:val="24"/>
        </w:rPr>
        <w:t>证券投资基金</w:t>
      </w:r>
      <w:r w:rsidR="00C93AD2" w:rsidRPr="00DD205B">
        <w:rPr>
          <w:rFonts w:asciiTheme="minorEastAsia" w:hAnsiTheme="minorEastAsia" w:cs="Times New Roman" w:hint="eastAsia"/>
          <w:sz w:val="24"/>
          <w:szCs w:val="24"/>
        </w:rPr>
        <w:t>（由“泰达宏利高票息定期开放债券型证券投资基金”转型而来）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093F8C" w:rsidRPr="00DD205B">
        <w:rPr>
          <w:rFonts w:asciiTheme="minorEastAsia" w:hAnsiTheme="minorEastAsia" w:cs="Times New Roman"/>
          <w:sz w:val="24"/>
          <w:szCs w:val="24"/>
        </w:rPr>
        <w:t>00</w:t>
      </w:r>
      <w:r w:rsidR="00093F8C" w:rsidRPr="00DD205B">
        <w:rPr>
          <w:rFonts w:asciiTheme="minorEastAsia" w:hAnsiTheme="minorEastAsia" w:cs="Times New Roman" w:hint="eastAsia"/>
          <w:sz w:val="24"/>
          <w:szCs w:val="24"/>
        </w:rPr>
        <w:t>0</w:t>
      </w:r>
      <w:r w:rsidR="00093F8C" w:rsidRPr="00DD205B">
        <w:rPr>
          <w:rFonts w:asciiTheme="minorEastAsia" w:hAnsiTheme="minorEastAsia" w:cs="Times New Roman"/>
          <w:sz w:val="24"/>
          <w:szCs w:val="24"/>
        </w:rPr>
        <w:t>1</w:t>
      </w:r>
      <w:r w:rsidR="00093F8C" w:rsidRPr="00DD205B">
        <w:rPr>
          <w:rFonts w:asciiTheme="minorEastAsia" w:hAnsiTheme="minorEastAsia" w:cs="Times New Roman" w:hint="eastAsia"/>
          <w:sz w:val="24"/>
          <w:szCs w:val="24"/>
        </w:rPr>
        <w:t>69</w:t>
      </w:r>
      <w:r w:rsidR="00093F8C" w:rsidRPr="00DD205B">
        <w:rPr>
          <w:rFonts w:asciiTheme="minorEastAsia" w:hAnsiTheme="minorEastAsia" w:hint="eastAsia"/>
          <w:sz w:val="24"/>
          <w:szCs w:val="24"/>
        </w:rPr>
        <w:t>/</w:t>
      </w:r>
      <w:r w:rsidR="001E6E79" w:rsidRPr="00DD205B">
        <w:rPr>
          <w:rFonts w:asciiTheme="minorEastAsia" w:hAnsiTheme="minorEastAsia" w:hint="eastAsia"/>
          <w:sz w:val="24"/>
          <w:szCs w:val="24"/>
        </w:rPr>
        <w:t>B</w:t>
      </w:r>
      <w:r w:rsidR="008B45AC" w:rsidRPr="00DD205B">
        <w:rPr>
          <w:rFonts w:asciiTheme="minorEastAsia" w:hAnsiTheme="minorEastAsia" w:hint="eastAsia"/>
          <w:sz w:val="24"/>
          <w:szCs w:val="24"/>
        </w:rPr>
        <w:t>类</w:t>
      </w:r>
      <w:r w:rsidR="00093F8C" w:rsidRPr="00DD205B">
        <w:rPr>
          <w:rFonts w:asciiTheme="minorEastAsia" w:hAnsiTheme="minorEastAsia" w:cs="Times New Roman"/>
          <w:sz w:val="24"/>
          <w:szCs w:val="24"/>
        </w:rPr>
        <w:t>00</w:t>
      </w:r>
      <w:r w:rsidR="00093F8C" w:rsidRPr="00DD205B">
        <w:rPr>
          <w:rFonts w:asciiTheme="minorEastAsia" w:hAnsiTheme="minorEastAsia" w:cs="Times New Roman" w:hint="eastAsia"/>
          <w:sz w:val="24"/>
          <w:szCs w:val="24"/>
        </w:rPr>
        <w:t>0</w:t>
      </w:r>
      <w:r w:rsidR="00093F8C" w:rsidRPr="00DD205B">
        <w:rPr>
          <w:rFonts w:asciiTheme="minorEastAsia" w:hAnsiTheme="minorEastAsia" w:cs="Times New Roman"/>
          <w:sz w:val="24"/>
          <w:szCs w:val="24"/>
        </w:rPr>
        <w:t>1</w:t>
      </w:r>
      <w:r w:rsidR="00093F8C" w:rsidRPr="00DD205B">
        <w:rPr>
          <w:rFonts w:asciiTheme="minorEastAsia" w:hAnsiTheme="minorEastAsia" w:hint="eastAsia"/>
          <w:sz w:val="24"/>
          <w:szCs w:val="24"/>
        </w:rPr>
        <w:t>70</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基金运作方式：契约型</w:t>
      </w:r>
      <w:r w:rsidR="00093F8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开放式</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093F8C" w:rsidRPr="00DD205B">
        <w:rPr>
          <w:rFonts w:asciiTheme="minorEastAsia" w:hAnsiTheme="minorEastAsia" w:cs="Times New Roman"/>
          <w:sz w:val="24"/>
          <w:szCs w:val="24"/>
        </w:rPr>
        <w:t>201</w:t>
      </w:r>
      <w:r w:rsidR="00093F8C" w:rsidRPr="00DD205B">
        <w:rPr>
          <w:rFonts w:asciiTheme="minorEastAsia" w:hAnsiTheme="minorEastAsia" w:cs="Times New Roman" w:hint="eastAsia"/>
          <w:sz w:val="24"/>
          <w:szCs w:val="24"/>
        </w:rPr>
        <w:t>5</w:t>
      </w:r>
      <w:r w:rsidRPr="00DD205B">
        <w:rPr>
          <w:rFonts w:asciiTheme="minorEastAsia" w:hAnsiTheme="minorEastAsia" w:cs="Times New Roman" w:hint="eastAsia"/>
          <w:sz w:val="24"/>
          <w:szCs w:val="24"/>
        </w:rPr>
        <w:t>年</w:t>
      </w:r>
      <w:r w:rsidR="00093F8C" w:rsidRPr="00DD205B">
        <w:rPr>
          <w:rFonts w:asciiTheme="minorEastAsia" w:hAnsiTheme="minorEastAsia" w:cs="Times New Roman" w:hint="eastAsia"/>
          <w:sz w:val="24"/>
          <w:szCs w:val="24"/>
        </w:rPr>
        <w:t>9</w:t>
      </w:r>
      <w:r w:rsidRPr="00DD205B">
        <w:rPr>
          <w:rFonts w:asciiTheme="minorEastAsia" w:hAnsiTheme="minorEastAsia" w:cs="Times New Roman" w:hint="eastAsia"/>
          <w:sz w:val="24"/>
          <w:szCs w:val="24"/>
        </w:rPr>
        <w:t>月</w:t>
      </w:r>
      <w:r w:rsidR="00093F8C" w:rsidRPr="00DD205B">
        <w:rPr>
          <w:rFonts w:asciiTheme="minorEastAsia" w:hAnsiTheme="minorEastAsia" w:cs="Times New Roman" w:hint="eastAsia"/>
          <w:sz w:val="24"/>
          <w:szCs w:val="24"/>
        </w:rPr>
        <w:t>9</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基金托管人名称：中国银行股份有限公司</w:t>
      </w:r>
    </w:p>
    <w:p w:rsidR="00553082" w:rsidRPr="00DD205B" w:rsidRDefault="00007006" w:rsidP="00DD205B">
      <w:pPr>
        <w:spacing w:line="360" w:lineRule="auto"/>
        <w:ind w:firstLineChars="200" w:firstLine="480"/>
        <w:rPr>
          <w:rFonts w:asciiTheme="minorEastAsia" w:hAnsiTheme="minorEastAsia" w:cs="Times New Roman"/>
          <w:b/>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《泰达宏利收益增强债券型证券投资基金基金合同》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《泰达宏利收益增强债券型证券投资基金招募说明书》</w:t>
      </w:r>
      <w:r w:rsidRPr="00DD205B">
        <w:rPr>
          <w:rFonts w:asciiTheme="minorEastAsia" w:hAnsiTheme="minorEastAsia" w:cs="Times New Roman" w:hint="eastAsia"/>
          <w:sz w:val="24"/>
          <w:szCs w:val="24"/>
        </w:rPr>
        <w:t>。</w:t>
      </w: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AA77A5" w:rsidRPr="00DD205B">
        <w:rPr>
          <w:rFonts w:asciiTheme="minorEastAsia" w:hAnsiTheme="minorEastAsia" w:cs="Times New Roman" w:hint="eastAsia"/>
          <w:sz w:val="24"/>
          <w:szCs w:val="24"/>
        </w:rPr>
        <w:t>五</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AA77A5" w:rsidRPr="00DD205B">
        <w:rPr>
          <w:rFonts w:asciiTheme="minorEastAsia" w:hAnsiTheme="minorEastAsia" w:cs="Times New Roman" w:hint="eastAsia"/>
          <w:sz w:val="24"/>
          <w:szCs w:val="24"/>
        </w:rPr>
        <w:t>存续</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、第十九部分“基金合同的变更、终止与基金财产的清算”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w:t>
      </w:r>
      <w:r w:rsidR="00CF49D5" w:rsidRPr="00DD205B">
        <w:rPr>
          <w:rFonts w:asciiTheme="minorEastAsia" w:hAnsiTheme="minorEastAsia" w:cs="Times New Roman" w:hint="eastAsia"/>
          <w:sz w:val="24"/>
          <w:szCs w:val="24"/>
        </w:rPr>
        <w:t>基金资产净值自2017年6月29日起</w:t>
      </w:r>
      <w:r w:rsidR="008B45AC" w:rsidRPr="00DD205B">
        <w:rPr>
          <w:rFonts w:asciiTheme="minorEastAsia" w:hAnsiTheme="minorEastAsia" w:cs="Times New Roman" w:hint="eastAsia"/>
          <w:sz w:val="24"/>
          <w:szCs w:val="24"/>
        </w:rPr>
        <w:t>连续</w:t>
      </w:r>
      <w:r w:rsidR="00CF49D5" w:rsidRPr="00DD205B">
        <w:rPr>
          <w:rFonts w:asciiTheme="minorEastAsia" w:hAnsiTheme="minorEastAsia" w:cs="Times New Roman" w:hint="eastAsia"/>
          <w:sz w:val="24"/>
          <w:szCs w:val="24"/>
        </w:rPr>
        <w:t>低于5000万元，</w:t>
      </w:r>
      <w:r w:rsidR="008B45AC" w:rsidRPr="00DD205B">
        <w:rPr>
          <w:rFonts w:asciiTheme="minorEastAsia" w:hAnsiTheme="minorEastAsia" w:hint="eastAsia"/>
          <w:sz w:val="24"/>
        </w:rPr>
        <w:t>截至2017年9月20日，</w:t>
      </w:r>
      <w:r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Pr="00DD205B">
        <w:rPr>
          <w:rFonts w:asciiTheme="minorEastAsia" w:hAnsiTheme="minorEastAsia" w:cs="Times New Roman" w:hint="eastAsia"/>
          <w:sz w:val="24"/>
          <w:szCs w:val="24"/>
        </w:rPr>
        <w:t>连续</w:t>
      </w:r>
      <w:r w:rsidRPr="00DD205B">
        <w:rPr>
          <w:rFonts w:asciiTheme="minorEastAsia" w:hAnsiTheme="minorEastAsia" w:cs="Times New Roman"/>
          <w:sz w:val="24"/>
          <w:szCs w:val="24"/>
        </w:rPr>
        <w:t>60</w:t>
      </w:r>
      <w:r w:rsidRPr="00DD205B">
        <w:rPr>
          <w:rFonts w:asciiTheme="minorEastAsia" w:hAnsiTheme="minorEastAsia" w:cs="Times New Roman" w:hint="eastAsia"/>
          <w:sz w:val="24"/>
          <w:szCs w:val="24"/>
        </w:rPr>
        <w:t>个工作日基金资产净值低于</w:t>
      </w:r>
      <w:r w:rsidRPr="00DD205B">
        <w:rPr>
          <w:rFonts w:asciiTheme="minorEastAsia" w:hAnsiTheme="minorEastAsia" w:cs="Times New Roman"/>
          <w:sz w:val="24"/>
          <w:szCs w:val="24"/>
        </w:rPr>
        <w:t>5000</w:t>
      </w:r>
      <w:r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Pr="00DD205B">
        <w:rPr>
          <w:rFonts w:asciiTheme="minorEastAsia" w:hAnsiTheme="minorEastAsia" w:cs="Times New Roman" w:hint="eastAsia"/>
          <w:sz w:val="24"/>
          <w:szCs w:val="24"/>
        </w:rPr>
        <w:t>。为</w:t>
      </w:r>
      <w:r w:rsidRPr="00DD205B">
        <w:rPr>
          <w:rFonts w:asciiTheme="minorEastAsia" w:hAnsiTheme="minorEastAsia" w:cs="Times New Roman" w:hint="eastAsia"/>
          <w:sz w:val="24"/>
          <w:szCs w:val="24"/>
        </w:rPr>
        <w:lastRenderedPageBreak/>
        <w:t>维护基金份额持有人利益，根据</w:t>
      </w:r>
      <w:r w:rsidR="008B45A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约定，本基金管理人应终止本基金合同并依法履行基金财产清算程序</w:t>
      </w:r>
      <w:r w:rsidR="008B45AC" w:rsidRPr="00DD205B">
        <w:rPr>
          <w:rFonts w:asciiTheme="minorEastAsia" w:hAnsiTheme="minorEastAsia" w:hint="eastAsia"/>
          <w:sz w:val="24"/>
        </w:rPr>
        <w:t>，不需召开基金份额持有人大会</w:t>
      </w:r>
      <w:r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bookmarkStart w:id="0" w:name="_GoBack"/>
      <w:bookmarkEnd w:id="0"/>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2017年</w:t>
      </w:r>
      <w:r w:rsidR="00CA3939" w:rsidRPr="00DD205B">
        <w:rPr>
          <w:rFonts w:asciiTheme="minorEastAsia" w:hAnsiTheme="minorEastAsia" w:cs="Times New Roman" w:hint="eastAsia"/>
          <w:sz w:val="24"/>
          <w:szCs w:val="24"/>
        </w:rPr>
        <w:t>10月11日，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2017年</w:t>
      </w:r>
      <w:r w:rsidR="00F30B85" w:rsidRPr="00DD205B">
        <w:rPr>
          <w:rFonts w:asciiTheme="minorEastAsia" w:hAnsiTheme="minorEastAsia" w:cs="Times New Roman" w:hint="eastAsia"/>
          <w:sz w:val="24"/>
          <w:szCs w:val="24"/>
        </w:rPr>
        <w:t>10</w:t>
      </w:r>
      <w:r w:rsidRPr="00DD205B">
        <w:rPr>
          <w:rFonts w:asciiTheme="minorEastAsia" w:hAnsiTheme="minorEastAsia" w:cs="Times New Roman"/>
          <w:sz w:val="24"/>
          <w:szCs w:val="24"/>
        </w:rPr>
        <w:t>月</w:t>
      </w:r>
      <w:r w:rsidR="00F30B85" w:rsidRPr="00DD205B">
        <w:rPr>
          <w:rFonts w:asciiTheme="minorEastAsia" w:hAnsiTheme="minorEastAsia" w:cs="Times New Roman" w:hint="eastAsia"/>
          <w:sz w:val="24"/>
          <w:szCs w:val="24"/>
        </w:rPr>
        <w:t>1</w:t>
      </w:r>
      <w:r w:rsidR="006D72C3" w:rsidRPr="00DD205B">
        <w:rPr>
          <w:rFonts w:asciiTheme="minorEastAsia" w:hAnsiTheme="minorEastAsia" w:cs="Times New Roman" w:hint="eastAsia"/>
          <w:sz w:val="24"/>
          <w:szCs w:val="24"/>
        </w:rPr>
        <w:t>2</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CA3939" w:rsidRPr="00DD205B">
        <w:rPr>
          <w:rFonts w:asciiTheme="minorEastAsia" w:hAnsiTheme="minorEastAsia" w:cs="Times New Roman" w:hint="eastAsia"/>
          <w:sz w:val="24"/>
          <w:szCs w:val="24"/>
        </w:rPr>
        <w:t>、</w:t>
      </w:r>
      <w:r w:rsidR="00DC7F9F" w:rsidRPr="00DC7F9F">
        <w:rPr>
          <w:rFonts w:asciiTheme="minorEastAsia" w:hAnsiTheme="minorEastAsia" w:cs="Times New Roman" w:hint="eastAsia"/>
          <w:sz w:val="24"/>
          <w:szCs w:val="24"/>
        </w:rPr>
        <w:t>转托管、</w:t>
      </w:r>
      <w:r w:rsidR="00CA3939" w:rsidRPr="00DD205B">
        <w:rPr>
          <w:rFonts w:asciiTheme="minorEastAsia" w:hAnsiTheme="minorEastAsia" w:cs="Times New Roman" w:hint="eastAsia"/>
          <w:sz w:val="24"/>
          <w:szCs w:val="24"/>
        </w:rPr>
        <w:t>转换</w:t>
      </w:r>
      <w:r w:rsidR="00DC7F9F">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转入</w:t>
      </w:r>
      <w:r w:rsidR="00DC7F9F">
        <w:rPr>
          <w:rFonts w:asciiTheme="minorEastAsia" w:hAnsiTheme="minorEastAsia" w:cs="Times New Roman" w:hint="eastAsia"/>
          <w:sz w:val="24"/>
          <w:szCs w:val="24"/>
        </w:rPr>
        <w:t>及</w:t>
      </w:r>
      <w:r w:rsidR="0085623D" w:rsidRPr="00DD205B">
        <w:rPr>
          <w:rFonts w:asciiTheme="minorEastAsia" w:hAnsiTheme="minorEastAsia" w:cs="Times New Roman" w:hint="eastAsia"/>
          <w:sz w:val="24"/>
          <w:szCs w:val="24"/>
        </w:rPr>
        <w:t>转</w:t>
      </w:r>
      <w:r w:rsidR="000D1002">
        <w:rPr>
          <w:rFonts w:asciiTheme="minorEastAsia" w:hAnsiTheme="minorEastAsia" w:cs="Times New Roman" w:hint="eastAsia"/>
          <w:sz w:val="24"/>
          <w:szCs w:val="24"/>
        </w:rPr>
        <w:t>出</w:t>
      </w:r>
      <w:r w:rsidR="00DC7F9F">
        <w:rPr>
          <w:rFonts w:asciiTheme="minorEastAsia" w:hAnsiTheme="minorEastAsia" w:cs="Times New Roman" w:hint="eastAsia"/>
          <w:sz w:val="24"/>
          <w:szCs w:val="24"/>
        </w:rPr>
        <w:t>）</w:t>
      </w:r>
      <w:r w:rsidR="00DC5194">
        <w:rPr>
          <w:rFonts w:asciiTheme="minorEastAsia" w:hAnsiTheme="minorEastAsia" w:cs="Times New Roman" w:hint="eastAsia"/>
          <w:sz w:val="24"/>
          <w:szCs w:val="24"/>
        </w:rPr>
        <w:t>、</w:t>
      </w:r>
      <w:r w:rsidR="00DC5194">
        <w:rPr>
          <w:rFonts w:asciiTheme="minorEastAsia" w:hAnsiTheme="minorEastAsia" w:cs="Times New Roman"/>
          <w:sz w:val="24"/>
          <w:szCs w:val="24"/>
        </w:rPr>
        <w:t>定期定额投资</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 xml:space="preserve">停止收取基金管理费、基金托管费。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DC5194">
        <w:rPr>
          <w:rFonts w:asciiTheme="minorEastAsia" w:hAnsiTheme="minorEastAsia" w:cs="Times New Roman" w:hint="eastAsia"/>
          <w:sz w:val="24"/>
          <w:szCs w:val="24"/>
        </w:rPr>
        <w:t>法律法规</w:t>
      </w:r>
      <w:r w:rsidR="00DC5194">
        <w:rPr>
          <w:rFonts w:asciiTheme="minorEastAsia" w:hAnsiTheme="minorEastAsia" w:cs="Times New Roman"/>
          <w:sz w:val="24"/>
          <w:szCs w:val="24"/>
        </w:rPr>
        <w:t>规定的其他</w:t>
      </w:r>
      <w:r w:rsidRPr="00DD205B">
        <w:rPr>
          <w:rFonts w:asciiTheme="minorEastAsia" w:hAnsiTheme="minorEastAsia" w:cs="Times New Roman"/>
          <w:sz w:val="24"/>
          <w:szCs w:val="24"/>
        </w:rPr>
        <w:t xml:space="preserve">人员组成。基金财产清算小组可以聘用必要的工作人员。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5、基金财产清算的期限为6个月，但因所持证券的流动性受到限制而不能及时变现的，清算期限相应顺延。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C93AD2" w:rsidRPr="00DD205B" w:rsidRDefault="001558B2" w:rsidP="00EA1505">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lastRenderedPageBreak/>
        <w:t>考虑到本基金清算的实际情况，从保护基金份额持有人利益的角度出发</w:t>
      </w:r>
      <w:r w:rsidR="00C93AD2" w:rsidRPr="00DD205B">
        <w:rPr>
          <w:rFonts w:asciiTheme="minorEastAsia" w:hAnsiTheme="minorEastAsia" w:cs="Times New Roman"/>
          <w:sz w:val="24"/>
          <w:szCs w:val="24"/>
        </w:rPr>
        <w:t>，清算费用由基金</w:t>
      </w:r>
      <w:r w:rsidR="00F874EC" w:rsidRPr="00DD205B">
        <w:rPr>
          <w:rFonts w:asciiTheme="minorEastAsia" w:hAnsiTheme="minorEastAsia" w:cs="Times New Roman" w:hint="eastAsia"/>
          <w:sz w:val="24"/>
          <w:szCs w:val="24"/>
        </w:rPr>
        <w:t>管理人承担</w:t>
      </w:r>
      <w:r w:rsidR="00C93AD2" w:rsidRPr="00DD205B">
        <w:rPr>
          <w:rFonts w:asciiTheme="minorEastAsia" w:hAnsiTheme="minorEastAsia" w:cs="Times New Roman"/>
          <w:sz w:val="24"/>
          <w:szCs w:val="24"/>
        </w:rPr>
        <w:t xml:space="preserve">。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考虑到进入清算期后，</w:t>
      </w:r>
      <w:r w:rsidR="008471CA">
        <w:rPr>
          <w:rFonts w:asciiTheme="minorEastAsia" w:hAnsiTheme="minorEastAsia" w:cs="Times New Roman" w:hint="eastAsia"/>
          <w:sz w:val="24"/>
          <w:szCs w:val="24"/>
        </w:rPr>
        <w:t>部分</w:t>
      </w:r>
      <w:r w:rsidRPr="00DD205B">
        <w:rPr>
          <w:rFonts w:asciiTheme="minorEastAsia" w:hAnsiTheme="minorEastAsia" w:cs="Times New Roman"/>
          <w:sz w:val="24"/>
          <w:szCs w:val="24"/>
        </w:rPr>
        <w:t>资产不能完成变现或收回，可能影响基金份额持有人对剩余财产的及时取得，为提高清算效率，及时向基金份额持有人分配剩余财产，基金管理人将以自有资金对以下资产进行垫付，具体如下：</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如最后运作日交易时间结束仍有持仓证券停牌，基金进入清算程序后，为了最大</w:t>
      </w:r>
      <w:r w:rsidR="00DC5194">
        <w:rPr>
          <w:rFonts w:asciiTheme="minorEastAsia" w:hAnsiTheme="minorEastAsia" w:cs="Times New Roman" w:hint="eastAsia"/>
          <w:sz w:val="24"/>
          <w:szCs w:val="24"/>
        </w:rPr>
        <w:t>程度</w:t>
      </w:r>
      <w:r w:rsidRPr="00DD205B">
        <w:rPr>
          <w:rFonts w:asciiTheme="minorEastAsia" w:hAnsiTheme="minorEastAsia" w:cs="Times New Roman"/>
          <w:sz w:val="24"/>
          <w:szCs w:val="24"/>
        </w:rPr>
        <w:t>保护基金份额持有人利益，提高清算效率，基金管理人将以自有资金按照基金所持有证券资产最后运作日的估值价格垫付基金未能变现的证券资产，具体清算规则按照相关规定办理。待停牌证券复牌后，基金管理人将证券卖出变现。</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待全部停牌证券复牌并卖出变现后，若实际变现金额高于基金管理人垫付的金额，则将差额按基金份额持有人持有的基金份额比例分配给基金份额持有人；若实际变现金额小于基金管理人垫付的金额，则由基金管理人承担相应损失。</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lastRenderedPageBreak/>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2017</w:t>
      </w:r>
      <w:r w:rsidR="00007006" w:rsidRPr="00DD205B">
        <w:rPr>
          <w:rFonts w:ascii="宋体" w:eastAsia="宋体" w:hAnsi="宋体" w:cs="Times New Roman" w:hint="eastAsia"/>
          <w:sz w:val="24"/>
          <w:szCs w:val="24"/>
        </w:rPr>
        <w:t>年</w:t>
      </w:r>
      <w:r w:rsidR="007B134A" w:rsidRPr="00DD205B">
        <w:rPr>
          <w:rFonts w:ascii="宋体" w:eastAsia="宋体" w:hAnsi="宋体" w:cs="Times New Roman"/>
          <w:sz w:val="24"/>
          <w:szCs w:val="24"/>
        </w:rPr>
        <w:t>10</w:t>
      </w:r>
      <w:r w:rsidR="007B134A" w:rsidRPr="00DD205B">
        <w:rPr>
          <w:rFonts w:ascii="宋体" w:eastAsia="宋体" w:hAnsi="宋体" w:cs="Times New Roman" w:hint="eastAsia"/>
          <w:sz w:val="24"/>
          <w:szCs w:val="24"/>
        </w:rPr>
        <w:t>月</w:t>
      </w:r>
      <w:r w:rsidR="00EA1505" w:rsidRPr="00DD205B">
        <w:rPr>
          <w:rFonts w:ascii="宋体" w:eastAsia="宋体" w:hAnsi="宋体" w:cs="Times New Roman" w:hint="eastAsia"/>
          <w:sz w:val="24"/>
          <w:szCs w:val="24"/>
        </w:rPr>
        <w:t>12</w:t>
      </w:r>
      <w:r w:rsidR="007B134A" w:rsidRPr="00DD205B">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E23" w:rsidRDefault="00320E23" w:rsidP="004A00AA">
      <w:r>
        <w:separator/>
      </w:r>
    </w:p>
  </w:endnote>
  <w:endnote w:type="continuationSeparator" w:id="0">
    <w:p w:rsidR="00320E23" w:rsidRDefault="00320E23" w:rsidP="004A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E23" w:rsidRDefault="00320E23" w:rsidP="004A00AA">
      <w:r>
        <w:separator/>
      </w:r>
    </w:p>
  </w:footnote>
  <w:footnote w:type="continuationSeparator" w:id="0">
    <w:p w:rsidR="00320E23" w:rsidRDefault="00320E23" w:rsidP="004A0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74CB"/>
    <w:rsid w:val="00007006"/>
    <w:rsid w:val="0002302E"/>
    <w:rsid w:val="000264C6"/>
    <w:rsid w:val="00031D8A"/>
    <w:rsid w:val="000351AA"/>
    <w:rsid w:val="000405B9"/>
    <w:rsid w:val="00052D4B"/>
    <w:rsid w:val="00093F8C"/>
    <w:rsid w:val="000A610B"/>
    <w:rsid w:val="000B11CF"/>
    <w:rsid w:val="000C603B"/>
    <w:rsid w:val="000D1002"/>
    <w:rsid w:val="000F6AA5"/>
    <w:rsid w:val="0013027E"/>
    <w:rsid w:val="00146396"/>
    <w:rsid w:val="001529D8"/>
    <w:rsid w:val="001558B2"/>
    <w:rsid w:val="001931C8"/>
    <w:rsid w:val="001E6E79"/>
    <w:rsid w:val="00232088"/>
    <w:rsid w:val="002536FF"/>
    <w:rsid w:val="00276B6B"/>
    <w:rsid w:val="002809F9"/>
    <w:rsid w:val="0028393F"/>
    <w:rsid w:val="002908E7"/>
    <w:rsid w:val="002D3105"/>
    <w:rsid w:val="002D7E5A"/>
    <w:rsid w:val="00320E23"/>
    <w:rsid w:val="00376F37"/>
    <w:rsid w:val="00377BF4"/>
    <w:rsid w:val="0039367A"/>
    <w:rsid w:val="003A6821"/>
    <w:rsid w:val="003E52DA"/>
    <w:rsid w:val="00417AB8"/>
    <w:rsid w:val="00456BFD"/>
    <w:rsid w:val="00463450"/>
    <w:rsid w:val="00492652"/>
    <w:rsid w:val="00495416"/>
    <w:rsid w:val="004A00AA"/>
    <w:rsid w:val="004A6BD0"/>
    <w:rsid w:val="004B2286"/>
    <w:rsid w:val="004C5C75"/>
    <w:rsid w:val="004D7EB2"/>
    <w:rsid w:val="00517D1F"/>
    <w:rsid w:val="0053757C"/>
    <w:rsid w:val="00553082"/>
    <w:rsid w:val="00557A44"/>
    <w:rsid w:val="00585696"/>
    <w:rsid w:val="005B6B2B"/>
    <w:rsid w:val="005E59A8"/>
    <w:rsid w:val="00643C31"/>
    <w:rsid w:val="00660340"/>
    <w:rsid w:val="00662680"/>
    <w:rsid w:val="00663F39"/>
    <w:rsid w:val="006647D2"/>
    <w:rsid w:val="00671853"/>
    <w:rsid w:val="00677925"/>
    <w:rsid w:val="00693718"/>
    <w:rsid w:val="00693763"/>
    <w:rsid w:val="00693CC1"/>
    <w:rsid w:val="006A105E"/>
    <w:rsid w:val="006C01C3"/>
    <w:rsid w:val="006C3BF1"/>
    <w:rsid w:val="006D72C3"/>
    <w:rsid w:val="006E0790"/>
    <w:rsid w:val="006E45AF"/>
    <w:rsid w:val="0074529B"/>
    <w:rsid w:val="007518C7"/>
    <w:rsid w:val="0079078F"/>
    <w:rsid w:val="007A2BF5"/>
    <w:rsid w:val="007B134A"/>
    <w:rsid w:val="007B7E67"/>
    <w:rsid w:val="007D2B50"/>
    <w:rsid w:val="008004F6"/>
    <w:rsid w:val="00804B30"/>
    <w:rsid w:val="00810AA6"/>
    <w:rsid w:val="00836F39"/>
    <w:rsid w:val="008471CA"/>
    <w:rsid w:val="0085623D"/>
    <w:rsid w:val="00885926"/>
    <w:rsid w:val="008B45AC"/>
    <w:rsid w:val="008C265E"/>
    <w:rsid w:val="008C545B"/>
    <w:rsid w:val="008D643F"/>
    <w:rsid w:val="008D76E0"/>
    <w:rsid w:val="00942954"/>
    <w:rsid w:val="009471D8"/>
    <w:rsid w:val="00970D61"/>
    <w:rsid w:val="00981A0F"/>
    <w:rsid w:val="00990CBC"/>
    <w:rsid w:val="00997943"/>
    <w:rsid w:val="009C1B41"/>
    <w:rsid w:val="009C7A9F"/>
    <w:rsid w:val="009D2774"/>
    <w:rsid w:val="009E7725"/>
    <w:rsid w:val="009F74CB"/>
    <w:rsid w:val="00A22B94"/>
    <w:rsid w:val="00A47340"/>
    <w:rsid w:val="00A63A93"/>
    <w:rsid w:val="00A729CF"/>
    <w:rsid w:val="00A94E3E"/>
    <w:rsid w:val="00AA77A5"/>
    <w:rsid w:val="00AD1A3E"/>
    <w:rsid w:val="00AE1ECF"/>
    <w:rsid w:val="00B2367D"/>
    <w:rsid w:val="00B72C5E"/>
    <w:rsid w:val="00B7537C"/>
    <w:rsid w:val="00B755F2"/>
    <w:rsid w:val="00B95478"/>
    <w:rsid w:val="00BC69D7"/>
    <w:rsid w:val="00C10857"/>
    <w:rsid w:val="00C1245D"/>
    <w:rsid w:val="00C1661E"/>
    <w:rsid w:val="00C20474"/>
    <w:rsid w:val="00C2640E"/>
    <w:rsid w:val="00C27EA5"/>
    <w:rsid w:val="00C7340B"/>
    <w:rsid w:val="00C86924"/>
    <w:rsid w:val="00C93AD2"/>
    <w:rsid w:val="00CA3939"/>
    <w:rsid w:val="00CF49D5"/>
    <w:rsid w:val="00D0682C"/>
    <w:rsid w:val="00D10158"/>
    <w:rsid w:val="00D32AD7"/>
    <w:rsid w:val="00DB1B49"/>
    <w:rsid w:val="00DC0B88"/>
    <w:rsid w:val="00DC230B"/>
    <w:rsid w:val="00DC5194"/>
    <w:rsid w:val="00DC70F8"/>
    <w:rsid w:val="00DC7F9F"/>
    <w:rsid w:val="00DD205B"/>
    <w:rsid w:val="00DE15BC"/>
    <w:rsid w:val="00E02324"/>
    <w:rsid w:val="00E316EA"/>
    <w:rsid w:val="00E64A46"/>
    <w:rsid w:val="00E879CB"/>
    <w:rsid w:val="00EA1505"/>
    <w:rsid w:val="00EF717A"/>
    <w:rsid w:val="00F05EC9"/>
    <w:rsid w:val="00F07DC0"/>
    <w:rsid w:val="00F13A45"/>
    <w:rsid w:val="00F30B85"/>
    <w:rsid w:val="00F35312"/>
    <w:rsid w:val="00F45EBF"/>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CDA639-6211-4906-BC83-4F393621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0"/>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553082"/>
    <w:rPr>
      <w:b/>
      <w:bCs/>
    </w:rPr>
  </w:style>
  <w:style w:type="paragraph" w:styleId="a4">
    <w:name w:val="annotation text"/>
    <w:basedOn w:val="a"/>
    <w:link w:val="a6"/>
    <w:uiPriority w:val="99"/>
    <w:unhideWhenUsed/>
    <w:qFormat/>
    <w:rsid w:val="00553082"/>
    <w:pPr>
      <w:jc w:val="left"/>
    </w:pPr>
  </w:style>
  <w:style w:type="paragraph" w:styleId="a7">
    <w:name w:val="Balloon Text"/>
    <w:basedOn w:val="a"/>
    <w:link w:val="a8"/>
    <w:uiPriority w:val="99"/>
    <w:unhideWhenUsed/>
    <w:qFormat/>
    <w:rsid w:val="00553082"/>
    <w:rPr>
      <w:sz w:val="18"/>
      <w:szCs w:val="18"/>
    </w:rPr>
  </w:style>
  <w:style w:type="paragraph" w:styleId="a9">
    <w:name w:val="footer"/>
    <w:basedOn w:val="a"/>
    <w:link w:val="aa"/>
    <w:uiPriority w:val="99"/>
    <w:unhideWhenUsed/>
    <w:qFormat/>
    <w:rsid w:val="00553082"/>
    <w:pPr>
      <w:tabs>
        <w:tab w:val="center" w:pos="4153"/>
        <w:tab w:val="right" w:pos="8306"/>
      </w:tabs>
      <w:snapToGrid w:val="0"/>
      <w:jc w:val="left"/>
    </w:pPr>
    <w:rPr>
      <w:sz w:val="18"/>
      <w:szCs w:val="18"/>
    </w:rPr>
  </w:style>
  <w:style w:type="paragraph" w:styleId="ab">
    <w:name w:val="header"/>
    <w:basedOn w:val="a"/>
    <w:link w:val="ac"/>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unhideWhenUsed/>
    <w:qFormat/>
    <w:rsid w:val="00553082"/>
    <w:rPr>
      <w:sz w:val="21"/>
      <w:szCs w:val="21"/>
    </w:rPr>
  </w:style>
  <w:style w:type="character" w:customStyle="1" w:styleId="20">
    <w:name w:val="标题 2 字符"/>
    <w:basedOn w:val="a0"/>
    <w:link w:val="2"/>
    <w:uiPriority w:val="9"/>
    <w:rsid w:val="00553082"/>
    <w:rPr>
      <w:rFonts w:ascii="宋体" w:eastAsia="宋体" w:hAnsi="宋体" w:cs="宋体"/>
      <w:b/>
      <w:bCs/>
      <w:kern w:val="0"/>
      <w:sz w:val="36"/>
      <w:szCs w:val="36"/>
    </w:rPr>
  </w:style>
  <w:style w:type="character" w:customStyle="1" w:styleId="30">
    <w:name w:val="标题 3 字符"/>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ac">
    <w:name w:val="页眉 字符"/>
    <w:basedOn w:val="a0"/>
    <w:link w:val="ab"/>
    <w:uiPriority w:val="99"/>
    <w:semiHidden/>
    <w:qFormat/>
    <w:rsid w:val="00553082"/>
    <w:rPr>
      <w:sz w:val="18"/>
      <w:szCs w:val="18"/>
    </w:rPr>
  </w:style>
  <w:style w:type="character" w:customStyle="1" w:styleId="aa">
    <w:name w:val="页脚 字符"/>
    <w:basedOn w:val="a0"/>
    <w:link w:val="a9"/>
    <w:uiPriority w:val="99"/>
    <w:semiHidden/>
    <w:qFormat/>
    <w:rsid w:val="00553082"/>
    <w:rPr>
      <w:sz w:val="18"/>
      <w:szCs w:val="18"/>
    </w:rPr>
  </w:style>
  <w:style w:type="character" w:customStyle="1" w:styleId="a6">
    <w:name w:val="批注文字 字符"/>
    <w:basedOn w:val="a0"/>
    <w:link w:val="a4"/>
    <w:uiPriority w:val="99"/>
    <w:semiHidden/>
    <w:qFormat/>
    <w:rsid w:val="00553082"/>
  </w:style>
  <w:style w:type="character" w:customStyle="1" w:styleId="a5">
    <w:name w:val="批注主题 字符"/>
    <w:basedOn w:val="a6"/>
    <w:link w:val="a3"/>
    <w:uiPriority w:val="99"/>
    <w:semiHidden/>
    <w:qFormat/>
    <w:rsid w:val="00553082"/>
    <w:rPr>
      <w:b/>
      <w:bCs/>
    </w:rPr>
  </w:style>
  <w:style w:type="character" w:customStyle="1" w:styleId="a8">
    <w:name w:val="批注框文本 字符"/>
    <w:basedOn w:val="a0"/>
    <w:link w:val="a7"/>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f">
    <w:name w:val="Revision"/>
    <w:hidden/>
    <w:uiPriority w:val="99"/>
    <w:unhideWhenUsed/>
    <w:rsid w:val="008B45A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崔甜甜</cp:lastModifiedBy>
  <cp:revision>5</cp:revision>
  <dcterms:created xsi:type="dcterms:W3CDTF">2017-10-11T03:14:00Z</dcterms:created>
  <dcterms:modified xsi:type="dcterms:W3CDTF">2017-10-11T08:27:00Z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