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F5" w:rsidRPr="00924B9D" w:rsidRDefault="00F84682" w:rsidP="00924B9D">
      <w:pPr>
        <w:spacing w:line="276" w:lineRule="auto"/>
        <w:jc w:val="center"/>
        <w:rPr>
          <w:rFonts w:ascii="黑体" w:eastAsia="黑体" w:hAnsi="黑体"/>
          <w:b/>
          <w:sz w:val="28"/>
        </w:rPr>
      </w:pPr>
      <w:r w:rsidRPr="00924B9D">
        <w:rPr>
          <w:rFonts w:ascii="黑体" w:eastAsia="黑体" w:hAnsi="黑体" w:hint="eastAsia"/>
          <w:b/>
          <w:sz w:val="28"/>
        </w:rPr>
        <w:t>上证180高贝塔交易型开放式指数证券投资基金终止上市公告</w:t>
      </w:r>
    </w:p>
    <w:p w:rsidR="00924B9D" w:rsidRDefault="00924B9D" w:rsidP="00924B9D">
      <w:pPr>
        <w:spacing w:line="276" w:lineRule="auto"/>
        <w:ind w:firstLine="420"/>
        <w:jc w:val="left"/>
        <w:rPr>
          <w:sz w:val="24"/>
        </w:rPr>
      </w:pPr>
    </w:p>
    <w:p w:rsidR="00F84682" w:rsidRPr="00C25D9A" w:rsidRDefault="00F84682" w:rsidP="00924B9D">
      <w:pPr>
        <w:spacing w:line="276" w:lineRule="auto"/>
        <w:ind w:firstLine="420"/>
        <w:jc w:val="left"/>
        <w:rPr>
          <w:sz w:val="24"/>
        </w:rPr>
      </w:pPr>
      <w:r w:rsidRPr="00924B9D">
        <w:rPr>
          <w:rFonts w:hint="eastAsia"/>
          <w:sz w:val="24"/>
        </w:rPr>
        <w:t>根据《中华人民共和国证券投资基金法》、《公开募集证券投资基金运作管理办法》、《上证</w:t>
      </w:r>
      <w:r w:rsidRPr="00924B9D">
        <w:rPr>
          <w:rFonts w:hint="eastAsia"/>
          <w:sz w:val="24"/>
        </w:rPr>
        <w:t>180</w:t>
      </w:r>
      <w:r w:rsidRPr="00924B9D">
        <w:rPr>
          <w:rFonts w:hint="eastAsia"/>
          <w:sz w:val="24"/>
        </w:rPr>
        <w:t>高贝塔交易型开放式指数证券投资基金基金合同》（以下简称“《基金合同》”）、《上海证券交易所证券投资基金上市规则》等有关规定，上证</w:t>
      </w:r>
      <w:r w:rsidRPr="00924B9D">
        <w:rPr>
          <w:rFonts w:hint="eastAsia"/>
          <w:sz w:val="24"/>
        </w:rPr>
        <w:t>180</w:t>
      </w:r>
      <w:r w:rsidRPr="00924B9D">
        <w:rPr>
          <w:rFonts w:hint="eastAsia"/>
          <w:sz w:val="24"/>
        </w:rPr>
        <w:t>高贝塔交易型开放式指数证券投资基金（以下简称“</w:t>
      </w:r>
      <w:r w:rsidRPr="00924B9D">
        <w:rPr>
          <w:rFonts w:hint="eastAsia"/>
          <w:sz w:val="24"/>
        </w:rPr>
        <w:t>180ETF</w:t>
      </w:r>
      <w:r w:rsidRPr="00924B9D">
        <w:rPr>
          <w:rFonts w:hint="eastAsia"/>
          <w:sz w:val="24"/>
        </w:rPr>
        <w:t>”或“本基金”）基金管理人</w:t>
      </w:r>
      <w:r w:rsidR="00B717B5">
        <w:rPr>
          <w:rFonts w:hint="eastAsia"/>
          <w:sz w:val="24"/>
        </w:rPr>
        <w:t>上投摩根</w:t>
      </w:r>
      <w:r w:rsidRPr="00924B9D">
        <w:rPr>
          <w:rFonts w:hint="eastAsia"/>
          <w:sz w:val="24"/>
        </w:rPr>
        <w:t>基金管理有限公司向上海证券交易所申请</w:t>
      </w:r>
      <w:r w:rsidR="00B717B5">
        <w:rPr>
          <w:rFonts w:hint="eastAsia"/>
          <w:sz w:val="24"/>
        </w:rPr>
        <w:t>180</w:t>
      </w:r>
      <w:r w:rsidRPr="00924B9D">
        <w:rPr>
          <w:rFonts w:hint="eastAsia"/>
          <w:sz w:val="24"/>
        </w:rPr>
        <w:t>ETF</w:t>
      </w:r>
      <w:r w:rsidRPr="00924B9D">
        <w:rPr>
          <w:rFonts w:hint="eastAsia"/>
          <w:sz w:val="24"/>
        </w:rPr>
        <w:t>终止上市，</w:t>
      </w:r>
      <w:r w:rsidRPr="00C25D9A">
        <w:rPr>
          <w:rFonts w:hint="eastAsia"/>
          <w:sz w:val="24"/>
        </w:rPr>
        <w:t>并获得上海证券交易所《关于终止上证</w:t>
      </w:r>
      <w:r w:rsidRPr="00C25D9A">
        <w:rPr>
          <w:rFonts w:hint="eastAsia"/>
          <w:sz w:val="24"/>
        </w:rPr>
        <w:t>180</w:t>
      </w:r>
      <w:r w:rsidRPr="00C25D9A">
        <w:rPr>
          <w:rFonts w:hint="eastAsia"/>
          <w:sz w:val="24"/>
        </w:rPr>
        <w:t>高贝塔交易型开放式指数证券投资基金上市的决定》（上海证券交易所自律监管决定书【</w:t>
      </w:r>
      <w:r w:rsidRPr="00C25D9A">
        <w:rPr>
          <w:rFonts w:hint="eastAsia"/>
          <w:sz w:val="24"/>
        </w:rPr>
        <w:t>2016</w:t>
      </w:r>
      <w:r w:rsidRPr="00C25D9A">
        <w:rPr>
          <w:rFonts w:hint="eastAsia"/>
          <w:sz w:val="24"/>
        </w:rPr>
        <w:t>】</w:t>
      </w:r>
      <w:r w:rsidR="00C25D9A" w:rsidRPr="00C25D9A">
        <w:rPr>
          <w:rFonts w:hint="eastAsia"/>
          <w:sz w:val="24"/>
        </w:rPr>
        <w:t>213</w:t>
      </w:r>
      <w:r w:rsidRPr="00C25D9A">
        <w:rPr>
          <w:rFonts w:hint="eastAsia"/>
          <w:sz w:val="24"/>
        </w:rPr>
        <w:t>号）同意。现将</w:t>
      </w:r>
      <w:r w:rsidR="00B717B5" w:rsidRPr="00C25D9A">
        <w:rPr>
          <w:rFonts w:hint="eastAsia"/>
          <w:sz w:val="24"/>
        </w:rPr>
        <w:t>本基金</w:t>
      </w:r>
      <w:r w:rsidRPr="00C25D9A">
        <w:rPr>
          <w:rFonts w:hint="eastAsia"/>
          <w:sz w:val="24"/>
        </w:rPr>
        <w:t>终止上市相关内容公告如下：</w:t>
      </w:r>
    </w:p>
    <w:p w:rsidR="00432509" w:rsidRPr="00C25D9A" w:rsidRDefault="00432509" w:rsidP="00924B9D">
      <w:pPr>
        <w:spacing w:line="276" w:lineRule="auto"/>
        <w:jc w:val="left"/>
        <w:rPr>
          <w:sz w:val="24"/>
        </w:rPr>
      </w:pPr>
    </w:p>
    <w:p w:rsidR="00432509" w:rsidRPr="00C25D9A" w:rsidRDefault="00432509" w:rsidP="00924B9D">
      <w:pPr>
        <w:spacing w:line="276" w:lineRule="auto"/>
        <w:jc w:val="left"/>
        <w:rPr>
          <w:sz w:val="24"/>
        </w:rPr>
      </w:pPr>
      <w:r w:rsidRPr="00C25D9A">
        <w:rPr>
          <w:rFonts w:hint="eastAsia"/>
          <w:sz w:val="24"/>
        </w:rPr>
        <w:t>一、终止上市基金的基本信息</w:t>
      </w:r>
    </w:p>
    <w:p w:rsidR="00432509" w:rsidRPr="00C25D9A" w:rsidRDefault="00897E45" w:rsidP="00924B9D">
      <w:pPr>
        <w:spacing w:line="276" w:lineRule="auto"/>
        <w:ind w:firstLine="420"/>
        <w:jc w:val="left"/>
        <w:rPr>
          <w:sz w:val="24"/>
        </w:rPr>
      </w:pPr>
      <w:r w:rsidRPr="00C25D9A">
        <w:rPr>
          <w:rFonts w:hint="eastAsia"/>
          <w:sz w:val="24"/>
        </w:rPr>
        <w:t>1</w:t>
      </w:r>
      <w:r w:rsidRPr="00C25D9A">
        <w:rPr>
          <w:rFonts w:hint="eastAsia"/>
          <w:sz w:val="24"/>
        </w:rPr>
        <w:t>、基金名称：上证</w:t>
      </w:r>
      <w:r w:rsidRPr="00C25D9A">
        <w:rPr>
          <w:rFonts w:hint="eastAsia"/>
          <w:sz w:val="24"/>
        </w:rPr>
        <w:t>180</w:t>
      </w:r>
      <w:r w:rsidRPr="00C25D9A">
        <w:rPr>
          <w:rFonts w:hint="eastAsia"/>
          <w:sz w:val="24"/>
        </w:rPr>
        <w:t>高贝塔交易型开放式指数证券投资基金</w:t>
      </w:r>
    </w:p>
    <w:p w:rsidR="00897E45" w:rsidRPr="00C25D9A" w:rsidRDefault="00432509" w:rsidP="00924B9D">
      <w:pPr>
        <w:spacing w:line="276" w:lineRule="auto"/>
        <w:ind w:firstLine="420"/>
        <w:jc w:val="left"/>
        <w:rPr>
          <w:sz w:val="24"/>
        </w:rPr>
      </w:pPr>
      <w:r w:rsidRPr="00C25D9A">
        <w:rPr>
          <w:rFonts w:hint="eastAsia"/>
          <w:sz w:val="24"/>
        </w:rPr>
        <w:t>2</w:t>
      </w:r>
      <w:r w:rsidRPr="00C25D9A">
        <w:rPr>
          <w:rFonts w:hint="eastAsia"/>
          <w:sz w:val="24"/>
        </w:rPr>
        <w:t>、</w:t>
      </w:r>
      <w:r w:rsidR="00897E45" w:rsidRPr="00C25D9A">
        <w:rPr>
          <w:rFonts w:hint="eastAsia"/>
          <w:sz w:val="24"/>
        </w:rPr>
        <w:t>基金简称：</w:t>
      </w:r>
      <w:r w:rsidR="00897E45" w:rsidRPr="00C25D9A">
        <w:rPr>
          <w:rFonts w:hint="eastAsia"/>
          <w:sz w:val="24"/>
        </w:rPr>
        <w:t>180</w:t>
      </w:r>
      <w:r w:rsidR="00897E45" w:rsidRPr="00C25D9A">
        <w:rPr>
          <w:rFonts w:hint="eastAsia"/>
          <w:sz w:val="24"/>
        </w:rPr>
        <w:t>高</w:t>
      </w:r>
      <w:r w:rsidR="00897E45" w:rsidRPr="00C25D9A">
        <w:rPr>
          <w:rFonts w:hint="eastAsia"/>
          <w:sz w:val="24"/>
        </w:rPr>
        <w:t>ETF</w:t>
      </w:r>
      <w:r w:rsidR="00897E45" w:rsidRPr="00C25D9A">
        <w:rPr>
          <w:rFonts w:hint="eastAsia"/>
          <w:sz w:val="24"/>
        </w:rPr>
        <w:t>，场内简称：</w:t>
      </w:r>
      <w:r w:rsidR="00897E45" w:rsidRPr="00C25D9A">
        <w:rPr>
          <w:rFonts w:hint="eastAsia"/>
          <w:sz w:val="24"/>
        </w:rPr>
        <w:t>180</w:t>
      </w:r>
      <w:r w:rsidR="00897E45" w:rsidRPr="00C25D9A">
        <w:rPr>
          <w:rFonts w:hint="eastAsia"/>
          <w:sz w:val="24"/>
        </w:rPr>
        <w:t>高</w:t>
      </w:r>
      <w:r w:rsidR="00897E45" w:rsidRPr="00C25D9A">
        <w:rPr>
          <w:rFonts w:hint="eastAsia"/>
          <w:sz w:val="24"/>
        </w:rPr>
        <w:t>ETF</w:t>
      </w:r>
      <w:r w:rsidR="00897E45" w:rsidRPr="00C25D9A">
        <w:rPr>
          <w:rFonts w:hint="eastAsia"/>
          <w:sz w:val="24"/>
        </w:rPr>
        <w:t>，基金代码：</w:t>
      </w:r>
      <w:r w:rsidR="00897E45" w:rsidRPr="00C25D9A">
        <w:rPr>
          <w:rFonts w:hint="eastAsia"/>
          <w:sz w:val="24"/>
        </w:rPr>
        <w:t>510450</w:t>
      </w:r>
    </w:p>
    <w:p w:rsidR="00897E45" w:rsidRPr="00C25D9A" w:rsidRDefault="00897E45" w:rsidP="00924B9D">
      <w:pPr>
        <w:spacing w:line="276" w:lineRule="auto"/>
        <w:ind w:firstLine="420"/>
        <w:jc w:val="left"/>
        <w:rPr>
          <w:sz w:val="24"/>
        </w:rPr>
      </w:pPr>
      <w:r w:rsidRPr="00C25D9A">
        <w:rPr>
          <w:rFonts w:hint="eastAsia"/>
          <w:sz w:val="24"/>
        </w:rPr>
        <w:t>3</w:t>
      </w:r>
      <w:r w:rsidRPr="00C25D9A">
        <w:rPr>
          <w:rFonts w:hint="eastAsia"/>
          <w:sz w:val="24"/>
        </w:rPr>
        <w:t>、终止上市日：</w:t>
      </w:r>
      <w:r w:rsidRPr="00C25D9A">
        <w:rPr>
          <w:rFonts w:hint="eastAsia"/>
          <w:sz w:val="24"/>
        </w:rPr>
        <w:t>2016</w:t>
      </w:r>
      <w:r w:rsidRPr="00C25D9A">
        <w:rPr>
          <w:rFonts w:hint="eastAsia"/>
          <w:sz w:val="24"/>
        </w:rPr>
        <w:t>年</w:t>
      </w:r>
      <w:r w:rsidRPr="00C25D9A">
        <w:rPr>
          <w:rFonts w:hint="eastAsia"/>
          <w:sz w:val="24"/>
        </w:rPr>
        <w:t>8</w:t>
      </w:r>
      <w:r w:rsidRPr="00C25D9A">
        <w:rPr>
          <w:rFonts w:hint="eastAsia"/>
          <w:sz w:val="24"/>
        </w:rPr>
        <w:t>月</w:t>
      </w:r>
      <w:r w:rsidRPr="00C25D9A">
        <w:rPr>
          <w:rFonts w:hint="eastAsia"/>
          <w:sz w:val="24"/>
        </w:rPr>
        <w:t>24</w:t>
      </w:r>
      <w:r w:rsidRPr="00C25D9A">
        <w:rPr>
          <w:rFonts w:hint="eastAsia"/>
          <w:sz w:val="24"/>
        </w:rPr>
        <w:t>日</w:t>
      </w:r>
    </w:p>
    <w:p w:rsidR="00924B9D" w:rsidRPr="00C25D9A" w:rsidRDefault="00924B9D" w:rsidP="00924B9D">
      <w:pPr>
        <w:spacing w:line="276" w:lineRule="auto"/>
        <w:ind w:firstLine="420"/>
        <w:jc w:val="left"/>
        <w:rPr>
          <w:sz w:val="24"/>
        </w:rPr>
      </w:pPr>
    </w:p>
    <w:p w:rsidR="00924B9D" w:rsidRPr="00C25D9A" w:rsidRDefault="00924B9D" w:rsidP="00924B9D">
      <w:pPr>
        <w:spacing w:line="276" w:lineRule="auto"/>
        <w:jc w:val="left"/>
        <w:rPr>
          <w:sz w:val="24"/>
        </w:rPr>
      </w:pPr>
      <w:r w:rsidRPr="00C25D9A">
        <w:rPr>
          <w:rFonts w:hint="eastAsia"/>
          <w:sz w:val="24"/>
        </w:rPr>
        <w:t>二、有关基金终止上市决定的主要内容</w:t>
      </w:r>
    </w:p>
    <w:p w:rsidR="00924B9D" w:rsidRPr="00924B9D" w:rsidRDefault="00924B9D" w:rsidP="00924B9D">
      <w:pPr>
        <w:spacing w:line="276" w:lineRule="auto"/>
        <w:ind w:firstLine="420"/>
        <w:jc w:val="left"/>
        <w:rPr>
          <w:sz w:val="24"/>
        </w:rPr>
      </w:pPr>
      <w:r w:rsidRPr="00C25D9A">
        <w:rPr>
          <w:rFonts w:hint="eastAsia"/>
          <w:sz w:val="24"/>
        </w:rPr>
        <w:t>上证</w:t>
      </w:r>
      <w:r w:rsidRPr="00C25D9A">
        <w:rPr>
          <w:rFonts w:hint="eastAsia"/>
          <w:sz w:val="24"/>
        </w:rPr>
        <w:t>180</w:t>
      </w:r>
      <w:r w:rsidRPr="00C25D9A">
        <w:rPr>
          <w:rFonts w:hint="eastAsia"/>
          <w:sz w:val="24"/>
        </w:rPr>
        <w:t>高贝塔交易型开放式证券投资基金基金份额持有人大会已于</w:t>
      </w:r>
      <w:r w:rsidRPr="00C25D9A">
        <w:rPr>
          <w:rFonts w:hint="eastAsia"/>
          <w:sz w:val="24"/>
        </w:rPr>
        <w:t>2016</w:t>
      </w:r>
      <w:r w:rsidRPr="00C25D9A">
        <w:rPr>
          <w:rFonts w:hint="eastAsia"/>
          <w:sz w:val="24"/>
        </w:rPr>
        <w:t>年</w:t>
      </w:r>
      <w:r w:rsidRPr="00C25D9A">
        <w:rPr>
          <w:rFonts w:hint="eastAsia"/>
          <w:sz w:val="24"/>
        </w:rPr>
        <w:t>6</w:t>
      </w:r>
      <w:r w:rsidRPr="00C25D9A">
        <w:rPr>
          <w:rFonts w:hint="eastAsia"/>
          <w:sz w:val="24"/>
        </w:rPr>
        <w:t>月</w:t>
      </w:r>
      <w:r w:rsidRPr="00C25D9A">
        <w:rPr>
          <w:rFonts w:hint="eastAsia"/>
          <w:sz w:val="24"/>
        </w:rPr>
        <w:t>20</w:t>
      </w:r>
      <w:r w:rsidRPr="00C25D9A">
        <w:rPr>
          <w:rFonts w:hint="eastAsia"/>
          <w:sz w:val="24"/>
        </w:rPr>
        <w:t>日以现场开会方式在上海召开，会议表决通过了《关于上证</w:t>
      </w:r>
      <w:r w:rsidRPr="00C25D9A">
        <w:rPr>
          <w:rFonts w:hint="eastAsia"/>
          <w:sz w:val="24"/>
        </w:rPr>
        <w:t>180</w:t>
      </w:r>
      <w:r w:rsidRPr="00C25D9A">
        <w:rPr>
          <w:rFonts w:hint="eastAsia"/>
          <w:sz w:val="24"/>
        </w:rPr>
        <w:t>高贝塔交易型开放式指数证券投资基</w:t>
      </w:r>
      <w:bookmarkStart w:id="0" w:name="_GoBack"/>
      <w:bookmarkEnd w:id="0"/>
      <w:r w:rsidRPr="00C25D9A">
        <w:rPr>
          <w:rFonts w:hint="eastAsia"/>
          <w:sz w:val="24"/>
        </w:rPr>
        <w:t>金终止上市并终止基金合同有关事项的议案》。基金管理人向上海证券交易所申请</w:t>
      </w:r>
      <w:r w:rsidRPr="00C25D9A">
        <w:rPr>
          <w:rFonts w:hint="eastAsia"/>
          <w:sz w:val="24"/>
        </w:rPr>
        <w:t>180ETF</w:t>
      </w:r>
      <w:r w:rsidRPr="00C25D9A">
        <w:rPr>
          <w:rFonts w:hint="eastAsia"/>
          <w:sz w:val="24"/>
        </w:rPr>
        <w:t>终止上市，并获得上海证券交易所《关于终止上证</w:t>
      </w:r>
      <w:r w:rsidRPr="00C25D9A">
        <w:rPr>
          <w:rFonts w:hint="eastAsia"/>
          <w:sz w:val="24"/>
        </w:rPr>
        <w:t>180</w:t>
      </w:r>
      <w:r w:rsidRPr="00C25D9A">
        <w:rPr>
          <w:rFonts w:hint="eastAsia"/>
          <w:sz w:val="24"/>
        </w:rPr>
        <w:t>高贝塔交易型开放式指数证券投资基金上市的决定》（上海证券交易所自律监管决定书【</w:t>
      </w:r>
      <w:r w:rsidRPr="00C25D9A">
        <w:rPr>
          <w:rFonts w:hint="eastAsia"/>
          <w:sz w:val="24"/>
        </w:rPr>
        <w:t>2016</w:t>
      </w:r>
      <w:r w:rsidRPr="00C25D9A">
        <w:rPr>
          <w:rFonts w:hint="eastAsia"/>
          <w:sz w:val="24"/>
        </w:rPr>
        <w:t>】</w:t>
      </w:r>
      <w:r w:rsidR="00C25D9A" w:rsidRPr="00C25D9A">
        <w:rPr>
          <w:rFonts w:hint="eastAsia"/>
          <w:sz w:val="24"/>
        </w:rPr>
        <w:t>213</w:t>
      </w:r>
      <w:r w:rsidRPr="00C25D9A">
        <w:rPr>
          <w:rFonts w:hint="eastAsia"/>
          <w:sz w:val="24"/>
        </w:rPr>
        <w:t>号）同意。</w:t>
      </w:r>
      <w:r w:rsidRPr="00924B9D">
        <w:rPr>
          <w:rFonts w:hint="eastAsia"/>
          <w:sz w:val="24"/>
        </w:rPr>
        <w:t xml:space="preserve"> </w:t>
      </w:r>
    </w:p>
    <w:p w:rsidR="00924B9D" w:rsidRPr="00924B9D" w:rsidRDefault="00924B9D" w:rsidP="00924B9D">
      <w:pPr>
        <w:spacing w:line="276" w:lineRule="auto"/>
        <w:jc w:val="left"/>
        <w:rPr>
          <w:sz w:val="24"/>
        </w:rPr>
      </w:pPr>
    </w:p>
    <w:p w:rsidR="00924B9D" w:rsidRPr="00924B9D" w:rsidRDefault="00924B9D" w:rsidP="00924B9D">
      <w:pPr>
        <w:spacing w:line="276" w:lineRule="auto"/>
        <w:jc w:val="left"/>
        <w:rPr>
          <w:sz w:val="24"/>
        </w:rPr>
      </w:pPr>
      <w:r w:rsidRPr="00924B9D">
        <w:rPr>
          <w:rFonts w:hint="eastAsia"/>
          <w:sz w:val="24"/>
        </w:rPr>
        <w:t>三、基金终止上市后续事项说明</w:t>
      </w:r>
    </w:p>
    <w:p w:rsidR="00924B9D" w:rsidRPr="00924B9D" w:rsidRDefault="00924B9D" w:rsidP="00924B9D">
      <w:pPr>
        <w:spacing w:line="276" w:lineRule="auto"/>
        <w:ind w:firstLine="420"/>
        <w:jc w:val="left"/>
        <w:rPr>
          <w:sz w:val="24"/>
        </w:rPr>
      </w:pPr>
      <w:r w:rsidRPr="00924B9D">
        <w:rPr>
          <w:rFonts w:hint="eastAsia"/>
          <w:sz w:val="24"/>
        </w:rPr>
        <w:t>对于已经办理司法冻结、质押登记等措施的基金份额，有关登记机构及证券经营机构应依照有关规定办理该限制措施的转移手续。</w:t>
      </w:r>
      <w:r w:rsidRPr="00924B9D">
        <w:rPr>
          <w:rFonts w:hint="eastAsia"/>
          <w:sz w:val="24"/>
        </w:rPr>
        <w:t xml:space="preserve"> </w:t>
      </w:r>
    </w:p>
    <w:p w:rsidR="00924B9D" w:rsidRPr="00924B9D" w:rsidRDefault="00924B9D" w:rsidP="00924B9D">
      <w:pPr>
        <w:spacing w:line="276" w:lineRule="auto"/>
        <w:ind w:firstLine="420"/>
        <w:jc w:val="left"/>
        <w:rPr>
          <w:sz w:val="24"/>
        </w:rPr>
      </w:pPr>
      <w:r w:rsidRPr="00924B9D">
        <w:rPr>
          <w:rFonts w:hint="eastAsia"/>
          <w:sz w:val="24"/>
        </w:rPr>
        <w:t>投资者欲了解详细情况，可登陆公司网站（</w:t>
      </w:r>
      <w:r w:rsidRPr="00924B9D">
        <w:rPr>
          <w:rFonts w:hint="eastAsia"/>
          <w:sz w:val="24"/>
        </w:rPr>
        <w:t>www.cifm.com</w:t>
      </w:r>
      <w:r w:rsidRPr="00924B9D">
        <w:rPr>
          <w:rFonts w:hint="eastAsia"/>
          <w:sz w:val="24"/>
        </w:rPr>
        <w:t>）或者拨打本公司的客户服务电话（</w:t>
      </w:r>
      <w:r w:rsidRPr="00924B9D">
        <w:rPr>
          <w:sz w:val="24"/>
        </w:rPr>
        <w:t>400-889-4888</w:t>
      </w:r>
      <w:r w:rsidRPr="00924B9D">
        <w:rPr>
          <w:rFonts w:hint="eastAsia"/>
          <w:sz w:val="24"/>
        </w:rPr>
        <w:t>或</w:t>
      </w:r>
      <w:r w:rsidRPr="00924B9D">
        <w:rPr>
          <w:sz w:val="24"/>
        </w:rPr>
        <w:t>021-38794888</w:t>
      </w:r>
      <w:r w:rsidRPr="00924B9D">
        <w:rPr>
          <w:rFonts w:hint="eastAsia"/>
          <w:sz w:val="24"/>
        </w:rPr>
        <w:t>）垂询相关事宜。</w:t>
      </w:r>
    </w:p>
    <w:p w:rsidR="00924B9D" w:rsidRPr="00924B9D" w:rsidRDefault="00924B9D" w:rsidP="00924B9D">
      <w:pPr>
        <w:spacing w:line="276" w:lineRule="auto"/>
        <w:ind w:firstLine="420"/>
        <w:jc w:val="left"/>
        <w:rPr>
          <w:sz w:val="24"/>
        </w:rPr>
      </w:pPr>
      <w:r w:rsidRPr="00924B9D">
        <w:rPr>
          <w:rFonts w:hint="eastAsia"/>
          <w:sz w:val="24"/>
        </w:rPr>
        <w:t>特此公告。</w:t>
      </w:r>
    </w:p>
    <w:p w:rsidR="00924B9D" w:rsidRPr="00924B9D" w:rsidRDefault="00924B9D" w:rsidP="00924B9D">
      <w:pPr>
        <w:spacing w:line="276" w:lineRule="auto"/>
        <w:ind w:firstLine="420"/>
        <w:jc w:val="left"/>
        <w:rPr>
          <w:sz w:val="24"/>
        </w:rPr>
      </w:pPr>
    </w:p>
    <w:p w:rsidR="00924B9D" w:rsidRPr="00924B9D" w:rsidRDefault="00924B9D" w:rsidP="00924B9D">
      <w:pPr>
        <w:spacing w:line="276" w:lineRule="auto"/>
        <w:ind w:firstLine="420"/>
        <w:jc w:val="left"/>
        <w:rPr>
          <w:sz w:val="24"/>
        </w:rPr>
      </w:pPr>
    </w:p>
    <w:p w:rsidR="00924B9D" w:rsidRPr="00924B9D" w:rsidRDefault="00924B9D" w:rsidP="00924B9D">
      <w:pPr>
        <w:spacing w:line="276" w:lineRule="auto"/>
        <w:ind w:firstLine="420"/>
        <w:jc w:val="left"/>
        <w:rPr>
          <w:sz w:val="24"/>
        </w:rPr>
      </w:pPr>
    </w:p>
    <w:p w:rsidR="00924B9D" w:rsidRPr="00924B9D" w:rsidRDefault="00924B9D" w:rsidP="00924B9D">
      <w:pPr>
        <w:spacing w:line="276" w:lineRule="auto"/>
        <w:ind w:firstLine="420"/>
        <w:jc w:val="right"/>
        <w:rPr>
          <w:sz w:val="24"/>
        </w:rPr>
      </w:pPr>
      <w:r w:rsidRPr="00924B9D">
        <w:rPr>
          <w:rFonts w:hint="eastAsia"/>
          <w:sz w:val="24"/>
        </w:rPr>
        <w:t>上投摩根基金管理有限公司</w:t>
      </w:r>
    </w:p>
    <w:p w:rsidR="00924B9D" w:rsidRPr="00924B9D" w:rsidRDefault="00924B9D" w:rsidP="00924B9D">
      <w:pPr>
        <w:spacing w:line="276" w:lineRule="auto"/>
        <w:ind w:firstLine="420"/>
        <w:jc w:val="right"/>
        <w:rPr>
          <w:sz w:val="24"/>
        </w:rPr>
      </w:pPr>
      <w:r w:rsidRPr="00924B9D">
        <w:rPr>
          <w:rFonts w:hint="eastAsia"/>
          <w:sz w:val="24"/>
        </w:rPr>
        <w:t>2016</w:t>
      </w:r>
      <w:r w:rsidRPr="00924B9D">
        <w:rPr>
          <w:rFonts w:hint="eastAsia"/>
          <w:sz w:val="24"/>
        </w:rPr>
        <w:t>年</w:t>
      </w:r>
      <w:r w:rsidRPr="00924B9D">
        <w:rPr>
          <w:rFonts w:hint="eastAsia"/>
          <w:sz w:val="24"/>
        </w:rPr>
        <w:t>8</w:t>
      </w:r>
      <w:r w:rsidRPr="00924B9D">
        <w:rPr>
          <w:rFonts w:hint="eastAsia"/>
          <w:sz w:val="24"/>
        </w:rPr>
        <w:t>月</w:t>
      </w:r>
      <w:r w:rsidRPr="00924B9D">
        <w:rPr>
          <w:rFonts w:hint="eastAsia"/>
          <w:sz w:val="24"/>
        </w:rPr>
        <w:t>22</w:t>
      </w:r>
      <w:r w:rsidRPr="00924B9D">
        <w:rPr>
          <w:rFonts w:hint="eastAsia"/>
          <w:sz w:val="24"/>
        </w:rPr>
        <w:t>日</w:t>
      </w:r>
    </w:p>
    <w:sectPr w:rsidR="00924B9D" w:rsidRPr="00924B9D" w:rsidSect="007C25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7B5" w:rsidRDefault="00B717B5" w:rsidP="00B717B5">
      <w:r>
        <w:separator/>
      </w:r>
    </w:p>
  </w:endnote>
  <w:endnote w:type="continuationSeparator" w:id="0">
    <w:p w:rsidR="00B717B5" w:rsidRDefault="00B717B5" w:rsidP="00B717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7B5" w:rsidRDefault="00B717B5" w:rsidP="00B717B5">
      <w:r>
        <w:separator/>
      </w:r>
    </w:p>
  </w:footnote>
  <w:footnote w:type="continuationSeparator" w:id="0">
    <w:p w:rsidR="00B717B5" w:rsidRDefault="00B717B5" w:rsidP="00B717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682"/>
    <w:rsid w:val="00246653"/>
    <w:rsid w:val="00432509"/>
    <w:rsid w:val="004572F5"/>
    <w:rsid w:val="007C2542"/>
    <w:rsid w:val="00897E45"/>
    <w:rsid w:val="00924B9D"/>
    <w:rsid w:val="00B717B5"/>
    <w:rsid w:val="00C25D9A"/>
    <w:rsid w:val="00F84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7B5"/>
    <w:rPr>
      <w:sz w:val="18"/>
      <w:szCs w:val="18"/>
    </w:rPr>
  </w:style>
  <w:style w:type="paragraph" w:styleId="a4">
    <w:name w:val="footer"/>
    <w:basedOn w:val="a"/>
    <w:link w:val="Char0"/>
    <w:uiPriority w:val="99"/>
    <w:unhideWhenUsed/>
    <w:rsid w:val="00B717B5"/>
    <w:pPr>
      <w:tabs>
        <w:tab w:val="center" w:pos="4153"/>
        <w:tab w:val="right" w:pos="8306"/>
      </w:tabs>
      <w:snapToGrid w:val="0"/>
      <w:jc w:val="left"/>
    </w:pPr>
    <w:rPr>
      <w:sz w:val="18"/>
      <w:szCs w:val="18"/>
    </w:rPr>
  </w:style>
  <w:style w:type="character" w:customStyle="1" w:styleId="Char0">
    <w:name w:val="页脚 Char"/>
    <w:basedOn w:val="a0"/>
    <w:link w:val="a4"/>
    <w:uiPriority w:val="99"/>
    <w:rsid w:val="00B717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7B5"/>
    <w:rPr>
      <w:sz w:val="18"/>
      <w:szCs w:val="18"/>
    </w:rPr>
  </w:style>
  <w:style w:type="paragraph" w:styleId="a4">
    <w:name w:val="footer"/>
    <w:basedOn w:val="a"/>
    <w:link w:val="Char0"/>
    <w:uiPriority w:val="99"/>
    <w:unhideWhenUsed/>
    <w:rsid w:val="00B717B5"/>
    <w:pPr>
      <w:tabs>
        <w:tab w:val="center" w:pos="4153"/>
        <w:tab w:val="right" w:pos="8306"/>
      </w:tabs>
      <w:snapToGrid w:val="0"/>
      <w:jc w:val="left"/>
    </w:pPr>
    <w:rPr>
      <w:sz w:val="18"/>
      <w:szCs w:val="18"/>
    </w:rPr>
  </w:style>
  <w:style w:type="character" w:customStyle="1" w:styleId="Char0">
    <w:name w:val="页脚 Char"/>
    <w:basedOn w:val="a0"/>
    <w:link w:val="a4"/>
    <w:uiPriority w:val="99"/>
    <w:rsid w:val="00B717B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4</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Patrick.Jin@Risk</dc:creator>
  <cp:lastModifiedBy>cnstock</cp:lastModifiedBy>
  <cp:revision>2</cp:revision>
  <dcterms:created xsi:type="dcterms:W3CDTF">2016-08-21T16:22:00Z</dcterms:created>
  <dcterms:modified xsi:type="dcterms:W3CDTF">2016-08-21T16:22:00Z</dcterms:modified>
</cp:coreProperties>
</file>