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E8" w:rsidRPr="005B7BE8" w:rsidRDefault="00E24CA8" w:rsidP="005B7BE8">
      <w:pPr>
        <w:widowControl/>
        <w:spacing w:line="230" w:lineRule="atLeast"/>
        <w:jc w:val="center"/>
        <w:rPr>
          <w:rFonts w:ascii="宋体" w:eastAsia="宋体" w:hAnsi="宋体" w:cs="宋体"/>
          <w:b/>
          <w:bCs/>
          <w:color w:val="014E9E"/>
          <w:kern w:val="0"/>
          <w:sz w:val="18"/>
          <w:szCs w:val="18"/>
        </w:rPr>
      </w:pPr>
      <w:r>
        <w:rPr>
          <w:rFonts w:ascii="宋体" w:eastAsia="宋体" w:hAnsi="宋体" w:cs="宋体" w:hint="eastAsia"/>
          <w:b/>
          <w:bCs/>
          <w:color w:val="014E9E"/>
          <w:kern w:val="0"/>
          <w:sz w:val="18"/>
          <w:szCs w:val="18"/>
        </w:rPr>
        <w:t>泰达宏利聚利</w:t>
      </w:r>
      <w:r w:rsidR="005B7BE8" w:rsidRPr="005B7BE8">
        <w:rPr>
          <w:rFonts w:ascii="宋体" w:eastAsia="宋体" w:hAnsi="宋体" w:cs="宋体" w:hint="eastAsia"/>
          <w:b/>
          <w:bCs/>
          <w:color w:val="014E9E"/>
          <w:kern w:val="0"/>
          <w:sz w:val="18"/>
          <w:szCs w:val="18"/>
        </w:rPr>
        <w:t>分级债券型证券投资基金份额转换结果的公告</w:t>
      </w:r>
    </w:p>
    <w:p w:rsidR="005B7BE8" w:rsidRPr="005B7BE8" w:rsidRDefault="005B7BE8" w:rsidP="005B7BE8">
      <w:pPr>
        <w:widowControl/>
        <w:spacing w:line="230" w:lineRule="atLeast"/>
        <w:jc w:val="center"/>
        <w:rPr>
          <w:rFonts w:ascii="宋体" w:eastAsia="宋体" w:hAnsi="宋体" w:cs="宋体"/>
          <w:color w:val="58595B"/>
          <w:kern w:val="0"/>
          <w:sz w:val="14"/>
          <w:szCs w:val="14"/>
        </w:rPr>
      </w:pPr>
    </w:p>
    <w:p w:rsidR="005B7BE8" w:rsidRPr="005B7BE8" w:rsidRDefault="005B7BE8" w:rsidP="005B7BE8">
      <w:pPr>
        <w:widowControl/>
        <w:spacing w:line="207" w:lineRule="atLeast"/>
        <w:jc w:val="center"/>
        <w:rPr>
          <w:rFonts w:ascii="宋体" w:eastAsia="宋体" w:hAnsi="宋体" w:cs="宋体"/>
          <w:color w:val="58595B"/>
          <w:kern w:val="0"/>
          <w:sz w:val="14"/>
          <w:szCs w:val="14"/>
        </w:rPr>
      </w:pPr>
    </w:p>
    <w:p w:rsidR="005B7BE8" w:rsidRPr="005B7BE8" w:rsidRDefault="00BB7886" w:rsidP="005B7BE8">
      <w:pPr>
        <w:widowControl/>
        <w:spacing w:line="360" w:lineRule="atLeast"/>
        <w:ind w:firstLine="360"/>
        <w:jc w:val="left"/>
        <w:rPr>
          <w:rFonts w:ascii="宋体" w:eastAsia="宋体" w:hAnsi="宋体" w:cs="宋体"/>
          <w:color w:val="58595B"/>
          <w:kern w:val="0"/>
          <w:sz w:val="14"/>
          <w:szCs w:val="14"/>
        </w:rPr>
      </w:pPr>
      <w:r>
        <w:rPr>
          <w:rFonts w:ascii="宋体" w:eastAsia="宋体" w:hAnsi="宋体" w:cs="宋体" w:hint="eastAsia"/>
          <w:color w:val="58595B"/>
          <w:kern w:val="0"/>
          <w:sz w:val="18"/>
          <w:szCs w:val="18"/>
        </w:rPr>
        <w:t>《泰达宏利聚利</w:t>
      </w:r>
      <w:r w:rsidR="005B7BE8" w:rsidRPr="005B7BE8">
        <w:rPr>
          <w:rFonts w:ascii="宋体" w:eastAsia="宋体" w:hAnsi="宋体" w:cs="宋体" w:hint="eastAsia"/>
          <w:color w:val="58595B"/>
          <w:kern w:val="0"/>
          <w:sz w:val="18"/>
          <w:szCs w:val="18"/>
        </w:rPr>
        <w:t>分级债券型证券投资基金基金合同》（以下简称“基金合同”）于</w:t>
      </w:r>
      <w:r>
        <w:rPr>
          <w:rFonts w:ascii="宋体" w:eastAsia="宋体" w:hAnsi="宋体" w:cs="宋体" w:hint="eastAsia"/>
          <w:color w:val="58595B"/>
          <w:kern w:val="0"/>
          <w:sz w:val="18"/>
          <w:szCs w:val="18"/>
        </w:rPr>
        <w:t>2011</w:t>
      </w:r>
      <w:r w:rsidR="005B7BE8" w:rsidRPr="005B7BE8">
        <w:rPr>
          <w:rFonts w:ascii="宋体" w:eastAsia="宋体" w:hAnsi="宋体" w:cs="宋体" w:hint="eastAsia"/>
          <w:color w:val="58595B"/>
          <w:kern w:val="0"/>
          <w:sz w:val="18"/>
          <w:szCs w:val="18"/>
        </w:rPr>
        <w:t>年</w:t>
      </w:r>
      <w:r>
        <w:rPr>
          <w:rFonts w:ascii="宋体" w:eastAsia="宋体" w:hAnsi="宋体" w:cs="宋体" w:hint="eastAsia"/>
          <w:color w:val="58595B"/>
          <w:kern w:val="0"/>
          <w:sz w:val="18"/>
          <w:szCs w:val="18"/>
        </w:rPr>
        <w:t>5</w:t>
      </w:r>
      <w:r w:rsidR="005B7BE8" w:rsidRPr="005B7BE8">
        <w:rPr>
          <w:rFonts w:ascii="宋体" w:eastAsia="宋体" w:hAnsi="宋体" w:cs="宋体" w:hint="eastAsia"/>
          <w:color w:val="58595B"/>
          <w:kern w:val="0"/>
          <w:sz w:val="18"/>
          <w:szCs w:val="18"/>
        </w:rPr>
        <w:t>月1</w:t>
      </w:r>
      <w:r>
        <w:rPr>
          <w:rFonts w:ascii="宋体" w:eastAsia="宋体" w:hAnsi="宋体" w:cs="宋体" w:hint="eastAsia"/>
          <w:color w:val="58595B"/>
          <w:kern w:val="0"/>
          <w:sz w:val="18"/>
          <w:szCs w:val="18"/>
        </w:rPr>
        <w:t>3</w:t>
      </w:r>
      <w:r w:rsidR="005B7BE8" w:rsidRPr="005B7BE8">
        <w:rPr>
          <w:rFonts w:ascii="宋体" w:eastAsia="宋体" w:hAnsi="宋体" w:cs="宋体" w:hint="eastAsia"/>
          <w:color w:val="58595B"/>
          <w:kern w:val="0"/>
          <w:sz w:val="18"/>
          <w:szCs w:val="18"/>
        </w:rPr>
        <w:t>日生效，根据基金合同的有关规定，</w:t>
      </w:r>
      <w:r>
        <w:rPr>
          <w:rFonts w:ascii="宋体" w:eastAsia="宋体" w:hAnsi="宋体" w:cs="宋体" w:hint="eastAsia"/>
          <w:color w:val="58595B"/>
          <w:kern w:val="0"/>
          <w:sz w:val="18"/>
          <w:szCs w:val="18"/>
        </w:rPr>
        <w:t>泰达宏利聚利</w:t>
      </w:r>
      <w:r w:rsidRPr="005B7BE8">
        <w:rPr>
          <w:rFonts w:ascii="宋体" w:eastAsia="宋体" w:hAnsi="宋体" w:cs="宋体" w:hint="eastAsia"/>
          <w:color w:val="58595B"/>
          <w:kern w:val="0"/>
          <w:sz w:val="18"/>
          <w:szCs w:val="18"/>
        </w:rPr>
        <w:t>分级债券型</w:t>
      </w:r>
      <w:r w:rsidR="005B7BE8" w:rsidRPr="005B7BE8">
        <w:rPr>
          <w:rFonts w:ascii="宋体" w:eastAsia="宋体" w:hAnsi="宋体" w:cs="宋体" w:hint="eastAsia"/>
          <w:color w:val="58595B"/>
          <w:kern w:val="0"/>
          <w:sz w:val="18"/>
          <w:szCs w:val="18"/>
        </w:rPr>
        <w:t>证券投资基金（以下简称“本基金”）的基金合同</w:t>
      </w:r>
      <w:r w:rsidRPr="00BB7886">
        <w:rPr>
          <w:rFonts w:ascii="宋体" w:eastAsia="宋体" w:hAnsi="宋体" w:cs="宋体" w:hint="eastAsia"/>
          <w:color w:val="58595B"/>
          <w:kern w:val="0"/>
          <w:sz w:val="18"/>
          <w:szCs w:val="18"/>
        </w:rPr>
        <w:t>生效满五年后封闭期届满，满足基金合同约定的存续条件，本基金无需召开基金份额持有人大会，自动转换成契约型上市开放式基金（</w:t>
      </w:r>
      <w:r w:rsidRPr="00BB7886">
        <w:rPr>
          <w:rFonts w:ascii="宋体" w:eastAsia="宋体" w:hAnsi="宋体" w:cs="宋体"/>
          <w:color w:val="58595B"/>
          <w:kern w:val="0"/>
          <w:sz w:val="18"/>
          <w:szCs w:val="18"/>
        </w:rPr>
        <w:t>LOF</w:t>
      </w:r>
      <w:r w:rsidRPr="00BB7886">
        <w:rPr>
          <w:rFonts w:ascii="宋体" w:eastAsia="宋体" w:hAnsi="宋体" w:cs="宋体" w:hint="eastAsia"/>
          <w:color w:val="58595B"/>
          <w:kern w:val="0"/>
          <w:sz w:val="18"/>
          <w:szCs w:val="18"/>
        </w:rPr>
        <w:t>）。</w:t>
      </w:r>
    </w:p>
    <w:p w:rsidR="005B7BE8" w:rsidRPr="00BE14DF" w:rsidRDefault="005B7BE8" w:rsidP="00BE56B6">
      <w:pPr>
        <w:widowControl/>
        <w:spacing w:line="360" w:lineRule="atLeast"/>
        <w:ind w:firstLine="360"/>
        <w:jc w:val="left"/>
        <w:rPr>
          <w:rFonts w:ascii="宋体" w:eastAsia="宋体" w:hAnsi="宋体" w:cs="宋体"/>
          <w:color w:val="58595B"/>
          <w:kern w:val="0"/>
          <w:sz w:val="18"/>
          <w:szCs w:val="18"/>
        </w:rPr>
      </w:pPr>
      <w:r w:rsidRPr="005B7BE8">
        <w:rPr>
          <w:rFonts w:ascii="宋体" w:eastAsia="宋体" w:hAnsi="宋体" w:cs="宋体" w:hint="eastAsia"/>
          <w:color w:val="58595B"/>
          <w:kern w:val="0"/>
          <w:sz w:val="18"/>
          <w:szCs w:val="18"/>
        </w:rPr>
        <w:t>根据基金合同以及</w:t>
      </w:r>
      <w:r w:rsidR="001614C2">
        <w:rPr>
          <w:rFonts w:ascii="宋体" w:eastAsia="宋体" w:hAnsi="宋体" w:cs="宋体" w:hint="eastAsia"/>
          <w:color w:val="58595B"/>
          <w:kern w:val="0"/>
          <w:sz w:val="18"/>
          <w:szCs w:val="18"/>
        </w:rPr>
        <w:t>泰达宏利</w:t>
      </w:r>
      <w:r w:rsidRPr="005B7BE8">
        <w:rPr>
          <w:rFonts w:ascii="宋体" w:eastAsia="宋体" w:hAnsi="宋体" w:cs="宋体" w:hint="eastAsia"/>
          <w:color w:val="58595B"/>
          <w:kern w:val="0"/>
          <w:sz w:val="18"/>
          <w:szCs w:val="18"/>
        </w:rPr>
        <w:t>基金管理有限公司（以下简称“本基金管理人”）披露的《</w:t>
      </w:r>
      <w:r w:rsidR="001614C2">
        <w:rPr>
          <w:rFonts w:ascii="宋体" w:eastAsia="宋体" w:hAnsi="宋体" w:cs="宋体" w:hint="eastAsia"/>
          <w:color w:val="58595B"/>
          <w:kern w:val="0"/>
          <w:sz w:val="18"/>
          <w:szCs w:val="18"/>
        </w:rPr>
        <w:t>泰达宏利聚利</w:t>
      </w:r>
      <w:r w:rsidRPr="005B7BE8">
        <w:rPr>
          <w:rFonts w:ascii="宋体" w:eastAsia="宋体" w:hAnsi="宋体" w:cs="宋体" w:hint="eastAsia"/>
          <w:color w:val="58595B"/>
          <w:kern w:val="0"/>
          <w:sz w:val="18"/>
          <w:szCs w:val="18"/>
        </w:rPr>
        <w:t>分级债券型证券投资基金封闭</w:t>
      </w:r>
      <w:r w:rsidR="001614C2">
        <w:rPr>
          <w:rFonts w:ascii="宋体" w:eastAsia="宋体" w:hAnsi="宋体" w:cs="宋体" w:hint="eastAsia"/>
          <w:color w:val="58595B"/>
          <w:kern w:val="0"/>
          <w:sz w:val="18"/>
          <w:szCs w:val="18"/>
        </w:rPr>
        <w:t>运作期届满并进行</w:t>
      </w:r>
      <w:r w:rsidRPr="005B7BE8">
        <w:rPr>
          <w:rFonts w:ascii="宋体" w:eastAsia="宋体" w:hAnsi="宋体" w:cs="宋体" w:hint="eastAsia"/>
          <w:color w:val="58595B"/>
          <w:kern w:val="0"/>
          <w:sz w:val="18"/>
          <w:szCs w:val="18"/>
        </w:rPr>
        <w:t>基金份额转换的公告》，投资者认购或通过上市交易购买并持有到期的每一份</w:t>
      </w:r>
      <w:r w:rsidR="001614C2">
        <w:rPr>
          <w:rFonts w:ascii="宋体" w:eastAsia="宋体" w:hAnsi="宋体" w:cs="宋体" w:hint="eastAsia"/>
          <w:color w:val="58595B"/>
          <w:kern w:val="0"/>
          <w:sz w:val="18"/>
          <w:szCs w:val="18"/>
        </w:rPr>
        <w:t>聚利</w:t>
      </w:r>
      <w:r w:rsidRPr="005B7BE8">
        <w:rPr>
          <w:rFonts w:ascii="宋体" w:eastAsia="宋体" w:hAnsi="宋体" w:cs="宋体" w:hint="eastAsia"/>
          <w:color w:val="58595B"/>
          <w:kern w:val="0"/>
          <w:sz w:val="18"/>
          <w:szCs w:val="18"/>
        </w:rPr>
        <w:t>A</w:t>
      </w:r>
      <w:r w:rsidR="001614C2">
        <w:rPr>
          <w:rFonts w:ascii="宋体" w:eastAsia="宋体" w:hAnsi="宋体" w:cs="宋体" w:hint="eastAsia"/>
          <w:color w:val="58595B"/>
          <w:kern w:val="0"/>
          <w:sz w:val="18"/>
          <w:szCs w:val="18"/>
        </w:rPr>
        <w:t>和聚</w:t>
      </w:r>
      <w:r w:rsidRPr="005B7BE8">
        <w:rPr>
          <w:rFonts w:ascii="宋体" w:eastAsia="宋体" w:hAnsi="宋体" w:cs="宋体" w:hint="eastAsia"/>
          <w:color w:val="58595B"/>
          <w:kern w:val="0"/>
          <w:sz w:val="18"/>
          <w:szCs w:val="18"/>
        </w:rPr>
        <w:t>利B基金份额，在本基金份额转换日（即</w:t>
      </w:r>
      <w:r w:rsidR="001614C2">
        <w:rPr>
          <w:rFonts w:ascii="宋体" w:eastAsia="宋体" w:hAnsi="宋体" w:cs="宋体" w:hint="eastAsia"/>
          <w:color w:val="58595B"/>
          <w:kern w:val="0"/>
          <w:sz w:val="18"/>
          <w:szCs w:val="18"/>
        </w:rPr>
        <w:t>2016</w:t>
      </w:r>
      <w:r w:rsidRPr="005B7BE8">
        <w:rPr>
          <w:rFonts w:ascii="宋体" w:eastAsia="宋体" w:hAnsi="宋体" w:cs="宋体" w:hint="eastAsia"/>
          <w:color w:val="58595B"/>
          <w:kern w:val="0"/>
          <w:sz w:val="18"/>
          <w:szCs w:val="18"/>
        </w:rPr>
        <w:t>年</w:t>
      </w:r>
      <w:r w:rsidR="001614C2">
        <w:rPr>
          <w:rFonts w:ascii="宋体" w:eastAsia="宋体" w:hAnsi="宋体" w:cs="宋体" w:hint="eastAsia"/>
          <w:color w:val="58595B"/>
          <w:kern w:val="0"/>
          <w:sz w:val="18"/>
          <w:szCs w:val="18"/>
        </w:rPr>
        <w:t>5</w:t>
      </w:r>
      <w:r w:rsidRPr="005B7BE8">
        <w:rPr>
          <w:rFonts w:ascii="宋体" w:eastAsia="宋体" w:hAnsi="宋体" w:cs="宋体" w:hint="eastAsia"/>
          <w:color w:val="58595B"/>
          <w:kern w:val="0"/>
          <w:sz w:val="18"/>
          <w:szCs w:val="18"/>
        </w:rPr>
        <w:t>月</w:t>
      </w:r>
      <w:r w:rsidR="001614C2">
        <w:rPr>
          <w:rFonts w:ascii="宋体" w:eastAsia="宋体" w:hAnsi="宋体" w:cs="宋体" w:hint="eastAsia"/>
          <w:color w:val="58595B"/>
          <w:kern w:val="0"/>
          <w:sz w:val="18"/>
          <w:szCs w:val="18"/>
        </w:rPr>
        <w:t>13</w:t>
      </w:r>
      <w:r w:rsidRPr="005B7BE8">
        <w:rPr>
          <w:rFonts w:ascii="宋体" w:eastAsia="宋体" w:hAnsi="宋体" w:cs="宋体" w:hint="eastAsia"/>
          <w:color w:val="58595B"/>
          <w:kern w:val="0"/>
          <w:sz w:val="18"/>
          <w:szCs w:val="18"/>
        </w:rPr>
        <w:t>日）日终,</w:t>
      </w:r>
      <w:r w:rsidR="001614C2" w:rsidRPr="001614C2">
        <w:rPr>
          <w:rFonts w:ascii="宋体" w:eastAsia="宋体" w:hAnsi="宋体" w:cs="宋体" w:hint="eastAsia"/>
          <w:color w:val="58595B"/>
          <w:kern w:val="0"/>
          <w:sz w:val="18"/>
          <w:szCs w:val="18"/>
        </w:rPr>
        <w:t>以份额转换后</w:t>
      </w:r>
      <w:r w:rsidR="001614C2" w:rsidRPr="001614C2">
        <w:rPr>
          <w:rFonts w:ascii="宋体" w:eastAsia="宋体" w:hAnsi="宋体" w:cs="宋体"/>
          <w:color w:val="58595B"/>
          <w:kern w:val="0"/>
          <w:sz w:val="18"/>
          <w:szCs w:val="18"/>
        </w:rPr>
        <w:t xml:space="preserve">1.000 </w:t>
      </w:r>
      <w:r w:rsidR="001614C2" w:rsidRPr="001614C2">
        <w:rPr>
          <w:rFonts w:ascii="宋体" w:eastAsia="宋体" w:hAnsi="宋体" w:cs="宋体" w:hint="eastAsia"/>
          <w:color w:val="58595B"/>
          <w:kern w:val="0"/>
          <w:sz w:val="18"/>
          <w:szCs w:val="18"/>
        </w:rPr>
        <w:t>元的基金份额净值为基准，聚利</w:t>
      </w:r>
      <w:r w:rsidR="001614C2" w:rsidRPr="001614C2">
        <w:rPr>
          <w:rFonts w:ascii="宋体" w:eastAsia="宋体" w:hAnsi="宋体" w:cs="宋体"/>
          <w:color w:val="58595B"/>
          <w:kern w:val="0"/>
          <w:sz w:val="18"/>
          <w:szCs w:val="18"/>
        </w:rPr>
        <w:t>A</w:t>
      </w:r>
      <w:r w:rsidR="001614C2" w:rsidRPr="001614C2">
        <w:rPr>
          <w:rFonts w:ascii="宋体" w:eastAsia="宋体" w:hAnsi="宋体" w:cs="宋体" w:hint="eastAsia"/>
          <w:color w:val="58595B"/>
          <w:kern w:val="0"/>
          <w:sz w:val="18"/>
          <w:szCs w:val="18"/>
        </w:rPr>
        <w:t>、聚利</w:t>
      </w:r>
      <w:r w:rsidR="001614C2" w:rsidRPr="001614C2">
        <w:rPr>
          <w:rFonts w:ascii="宋体" w:eastAsia="宋体" w:hAnsi="宋体" w:cs="宋体"/>
          <w:color w:val="58595B"/>
          <w:kern w:val="0"/>
          <w:sz w:val="18"/>
          <w:szCs w:val="18"/>
        </w:rPr>
        <w:t xml:space="preserve">B </w:t>
      </w:r>
      <w:r w:rsidR="001614C2" w:rsidRPr="001614C2">
        <w:rPr>
          <w:rFonts w:ascii="宋体" w:eastAsia="宋体" w:hAnsi="宋体" w:cs="宋体" w:hint="eastAsia"/>
          <w:color w:val="58595B"/>
          <w:kern w:val="0"/>
          <w:sz w:val="18"/>
          <w:szCs w:val="18"/>
        </w:rPr>
        <w:t>按照各自的基金份额净值转换成上市开放式基金（</w:t>
      </w:r>
      <w:r w:rsidR="001614C2" w:rsidRPr="001614C2">
        <w:rPr>
          <w:rFonts w:ascii="宋体" w:eastAsia="宋体" w:hAnsi="宋体" w:cs="宋体"/>
          <w:color w:val="58595B"/>
          <w:kern w:val="0"/>
          <w:sz w:val="18"/>
          <w:szCs w:val="18"/>
        </w:rPr>
        <w:t>LOF</w:t>
      </w:r>
      <w:r w:rsidR="001614C2" w:rsidRPr="001614C2">
        <w:rPr>
          <w:rFonts w:ascii="宋体" w:eastAsia="宋体" w:hAnsi="宋体" w:cs="宋体" w:hint="eastAsia"/>
          <w:color w:val="58595B"/>
          <w:kern w:val="0"/>
          <w:sz w:val="18"/>
          <w:szCs w:val="18"/>
        </w:rPr>
        <w:t>）份额。</w:t>
      </w:r>
      <w:r w:rsidR="001614C2" w:rsidRPr="001614C2">
        <w:rPr>
          <w:rFonts w:ascii="宋体" w:eastAsia="宋体" w:hAnsi="宋体" w:cs="宋体"/>
          <w:color w:val="58595B"/>
          <w:kern w:val="0"/>
          <w:sz w:val="18"/>
          <w:szCs w:val="18"/>
        </w:rPr>
        <w:t xml:space="preserve"> </w:t>
      </w:r>
      <w:r w:rsidRPr="005B7BE8">
        <w:rPr>
          <w:rFonts w:ascii="宋体" w:eastAsia="宋体" w:hAnsi="宋体" w:cs="宋体" w:hint="eastAsia"/>
          <w:color w:val="58595B"/>
          <w:kern w:val="0"/>
          <w:sz w:val="18"/>
          <w:szCs w:val="18"/>
        </w:rPr>
        <w:t>无论基金份额持</w:t>
      </w:r>
      <w:r w:rsidR="001614C2">
        <w:rPr>
          <w:rFonts w:ascii="宋体" w:eastAsia="宋体" w:hAnsi="宋体" w:cs="宋体" w:hint="eastAsia"/>
          <w:color w:val="58595B"/>
          <w:kern w:val="0"/>
          <w:sz w:val="18"/>
          <w:szCs w:val="18"/>
        </w:rPr>
        <w:t>有人单独持有或同时持有聚</w:t>
      </w:r>
      <w:r w:rsidRPr="005B7BE8">
        <w:rPr>
          <w:rFonts w:ascii="宋体" w:eastAsia="宋体" w:hAnsi="宋体" w:cs="宋体" w:hint="eastAsia"/>
          <w:color w:val="58595B"/>
          <w:kern w:val="0"/>
          <w:sz w:val="18"/>
          <w:szCs w:val="18"/>
        </w:rPr>
        <w:t>利A</w:t>
      </w:r>
      <w:r w:rsidR="001614C2">
        <w:rPr>
          <w:rFonts w:ascii="宋体" w:eastAsia="宋体" w:hAnsi="宋体" w:cs="宋体" w:hint="eastAsia"/>
          <w:color w:val="58595B"/>
          <w:kern w:val="0"/>
          <w:sz w:val="18"/>
          <w:szCs w:val="18"/>
        </w:rPr>
        <w:t>和聚</w:t>
      </w:r>
      <w:r w:rsidRPr="005B7BE8">
        <w:rPr>
          <w:rFonts w:ascii="宋体" w:eastAsia="宋体" w:hAnsi="宋体" w:cs="宋体" w:hint="eastAsia"/>
          <w:color w:val="58595B"/>
          <w:kern w:val="0"/>
          <w:sz w:val="18"/>
          <w:szCs w:val="18"/>
        </w:rPr>
        <w:t>利B份额，均无需支付转换基金份额的费用。</w:t>
      </w:r>
    </w:p>
    <w:p w:rsidR="005B7BE8" w:rsidRPr="005B7BE8" w:rsidRDefault="005B7BE8" w:rsidP="005B7BE8">
      <w:pPr>
        <w:widowControl/>
        <w:spacing w:line="360" w:lineRule="atLeast"/>
        <w:ind w:firstLine="360"/>
        <w:jc w:val="left"/>
        <w:rPr>
          <w:rFonts w:ascii="宋体" w:eastAsia="宋体" w:hAnsi="宋体" w:cs="宋体"/>
          <w:color w:val="58595B"/>
          <w:kern w:val="0"/>
          <w:sz w:val="14"/>
          <w:szCs w:val="14"/>
        </w:rPr>
      </w:pPr>
      <w:r w:rsidRPr="005B7BE8">
        <w:rPr>
          <w:rFonts w:ascii="宋体" w:eastAsia="宋体" w:hAnsi="宋体" w:cs="宋体" w:hint="eastAsia"/>
          <w:color w:val="58595B"/>
          <w:kern w:val="0"/>
          <w:sz w:val="14"/>
          <w:szCs w:val="14"/>
        </w:rPr>
        <w:t> </w:t>
      </w:r>
    </w:p>
    <w:tbl>
      <w:tblPr>
        <w:tblW w:w="0" w:type="auto"/>
        <w:tblInd w:w="1" w:type="dxa"/>
        <w:tblCellMar>
          <w:left w:w="0" w:type="dxa"/>
          <w:right w:w="0" w:type="dxa"/>
        </w:tblCellMar>
        <w:tblLook w:val="04A0"/>
      </w:tblPr>
      <w:tblGrid>
        <w:gridCol w:w="1328"/>
        <w:gridCol w:w="1656"/>
        <w:gridCol w:w="1426"/>
        <w:gridCol w:w="1389"/>
        <w:gridCol w:w="1656"/>
      </w:tblGrid>
      <w:tr w:rsidR="00D639C4" w:rsidRPr="005B7BE8" w:rsidTr="00D639C4">
        <w:tc>
          <w:tcPr>
            <w:tcW w:w="13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639C4" w:rsidRPr="005B7BE8" w:rsidRDefault="00D639C4" w:rsidP="005B7BE8">
            <w:pPr>
              <w:widowControl/>
              <w:spacing w:line="360" w:lineRule="atLeast"/>
              <w:jc w:val="left"/>
              <w:rPr>
                <w:rFonts w:ascii="宋体" w:eastAsia="宋体" w:hAnsi="宋体" w:cs="宋体"/>
                <w:color w:val="58595B"/>
                <w:kern w:val="0"/>
                <w:sz w:val="14"/>
                <w:szCs w:val="14"/>
              </w:rPr>
            </w:pPr>
            <w:r w:rsidRPr="005B7BE8">
              <w:rPr>
                <w:rFonts w:ascii="宋体" w:eastAsia="宋体" w:hAnsi="宋体" w:cs="宋体" w:hint="eastAsia"/>
                <w:color w:val="58595B"/>
                <w:kern w:val="0"/>
                <w:sz w:val="18"/>
                <w:szCs w:val="18"/>
              </w:rPr>
              <w:t>转换前的基金份额</w:t>
            </w:r>
          </w:p>
        </w:tc>
        <w:tc>
          <w:tcPr>
            <w:tcW w:w="1476"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639C4" w:rsidRPr="005B7BE8" w:rsidRDefault="00D639C4" w:rsidP="005B7BE8">
            <w:pPr>
              <w:widowControl/>
              <w:spacing w:line="360" w:lineRule="atLeast"/>
              <w:jc w:val="left"/>
              <w:rPr>
                <w:rFonts w:ascii="宋体" w:eastAsia="宋体" w:hAnsi="宋体" w:cs="宋体"/>
                <w:color w:val="58595B"/>
                <w:kern w:val="0"/>
                <w:sz w:val="14"/>
                <w:szCs w:val="14"/>
              </w:rPr>
            </w:pPr>
            <w:r w:rsidRPr="005B7BE8">
              <w:rPr>
                <w:rFonts w:ascii="宋体" w:eastAsia="宋体" w:hAnsi="宋体" w:cs="宋体" w:hint="eastAsia"/>
                <w:color w:val="58595B"/>
                <w:kern w:val="0"/>
                <w:sz w:val="18"/>
                <w:szCs w:val="18"/>
              </w:rPr>
              <w:t>转换前份额数（份）</w:t>
            </w:r>
          </w:p>
        </w:tc>
        <w:tc>
          <w:tcPr>
            <w:tcW w:w="1426"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639C4" w:rsidRPr="005B7BE8" w:rsidRDefault="00D639C4" w:rsidP="005B7BE8">
            <w:pPr>
              <w:widowControl/>
              <w:spacing w:line="360" w:lineRule="atLeast"/>
              <w:jc w:val="left"/>
              <w:rPr>
                <w:rFonts w:ascii="宋体" w:eastAsia="宋体" w:hAnsi="宋体" w:cs="宋体"/>
                <w:color w:val="58595B"/>
                <w:kern w:val="0"/>
                <w:sz w:val="14"/>
                <w:szCs w:val="14"/>
              </w:rPr>
            </w:pPr>
            <w:r w:rsidRPr="005B7BE8">
              <w:rPr>
                <w:rFonts w:ascii="宋体" w:eastAsia="宋体" w:hAnsi="宋体" w:cs="宋体" w:hint="eastAsia"/>
                <w:color w:val="58595B"/>
                <w:kern w:val="0"/>
                <w:sz w:val="18"/>
                <w:szCs w:val="18"/>
              </w:rPr>
              <w:t>转换比例</w:t>
            </w:r>
          </w:p>
        </w:tc>
        <w:tc>
          <w:tcPr>
            <w:tcW w:w="1389"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639C4" w:rsidRPr="005B7BE8" w:rsidRDefault="00D639C4" w:rsidP="005B7BE8">
            <w:pPr>
              <w:widowControl/>
              <w:spacing w:line="360" w:lineRule="atLeast"/>
              <w:jc w:val="left"/>
              <w:rPr>
                <w:rFonts w:ascii="宋体" w:eastAsia="宋体" w:hAnsi="宋体" w:cs="宋体"/>
                <w:color w:val="58595B"/>
                <w:kern w:val="0"/>
                <w:sz w:val="14"/>
                <w:szCs w:val="14"/>
              </w:rPr>
            </w:pPr>
            <w:r w:rsidRPr="005B7BE8">
              <w:rPr>
                <w:rFonts w:ascii="宋体" w:eastAsia="宋体" w:hAnsi="宋体" w:cs="宋体" w:hint="eastAsia"/>
                <w:color w:val="58595B"/>
                <w:kern w:val="0"/>
                <w:sz w:val="18"/>
                <w:szCs w:val="18"/>
              </w:rPr>
              <w:t>转换后的基金份额</w:t>
            </w:r>
          </w:p>
        </w:tc>
        <w:tc>
          <w:tcPr>
            <w:tcW w:w="1656"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639C4" w:rsidRPr="005B7BE8" w:rsidRDefault="00D639C4" w:rsidP="005B7BE8">
            <w:pPr>
              <w:widowControl/>
              <w:spacing w:line="360" w:lineRule="atLeast"/>
              <w:jc w:val="left"/>
              <w:rPr>
                <w:rFonts w:ascii="宋体" w:eastAsia="宋体" w:hAnsi="宋体" w:cs="宋体"/>
                <w:color w:val="58595B"/>
                <w:kern w:val="0"/>
                <w:sz w:val="14"/>
                <w:szCs w:val="14"/>
              </w:rPr>
            </w:pPr>
            <w:r w:rsidRPr="005B7BE8">
              <w:rPr>
                <w:rFonts w:ascii="宋体" w:eastAsia="宋体" w:hAnsi="宋体" w:cs="宋体" w:hint="eastAsia"/>
                <w:color w:val="58595B"/>
                <w:kern w:val="0"/>
                <w:sz w:val="18"/>
                <w:szCs w:val="18"/>
              </w:rPr>
              <w:t>转换后份额数（份）</w:t>
            </w:r>
          </w:p>
        </w:tc>
      </w:tr>
      <w:tr w:rsidR="00D639C4" w:rsidRPr="005B7BE8" w:rsidTr="00D639C4">
        <w:trPr>
          <w:trHeight w:val="1060"/>
        </w:trPr>
        <w:tc>
          <w:tcPr>
            <w:tcW w:w="13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639C4" w:rsidRPr="005B7BE8" w:rsidRDefault="00D639C4" w:rsidP="005B7BE8">
            <w:pPr>
              <w:widowControl/>
              <w:spacing w:line="360" w:lineRule="atLeast"/>
              <w:jc w:val="center"/>
              <w:rPr>
                <w:rFonts w:ascii="宋体" w:eastAsia="宋体" w:hAnsi="宋体" w:cs="宋体"/>
                <w:color w:val="58595B"/>
                <w:kern w:val="0"/>
                <w:sz w:val="14"/>
                <w:szCs w:val="14"/>
              </w:rPr>
            </w:pPr>
            <w:r>
              <w:rPr>
                <w:rFonts w:ascii="宋体" w:eastAsia="宋体" w:hAnsi="宋体" w:cs="宋体" w:hint="eastAsia"/>
                <w:color w:val="58595B"/>
                <w:kern w:val="0"/>
                <w:sz w:val="18"/>
                <w:szCs w:val="18"/>
              </w:rPr>
              <w:t>聚</w:t>
            </w:r>
            <w:r w:rsidRPr="005B7BE8">
              <w:rPr>
                <w:rFonts w:ascii="宋体" w:eastAsia="宋体" w:hAnsi="宋体" w:cs="宋体" w:hint="eastAsia"/>
                <w:color w:val="58595B"/>
                <w:kern w:val="0"/>
                <w:sz w:val="18"/>
                <w:szCs w:val="18"/>
              </w:rPr>
              <w:t>利A</w:t>
            </w:r>
          </w:p>
        </w:tc>
        <w:tc>
          <w:tcPr>
            <w:tcW w:w="147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639C4" w:rsidRPr="005B7BE8" w:rsidRDefault="006E3B99" w:rsidP="005B7BE8">
            <w:pPr>
              <w:widowControl/>
              <w:spacing w:line="360" w:lineRule="atLeast"/>
              <w:jc w:val="left"/>
              <w:rPr>
                <w:rFonts w:ascii="宋体" w:eastAsia="宋体" w:hAnsi="宋体" w:cs="宋体"/>
                <w:color w:val="58595B"/>
                <w:kern w:val="0"/>
                <w:sz w:val="14"/>
                <w:szCs w:val="14"/>
              </w:rPr>
            </w:pPr>
            <w:r>
              <w:rPr>
                <w:rFonts w:ascii="宋体" w:eastAsia="宋体" w:hAnsi="宋体" w:cs="宋体" w:hint="eastAsia"/>
                <w:color w:val="58595B"/>
                <w:kern w:val="0"/>
                <w:sz w:val="18"/>
                <w:szCs w:val="18"/>
              </w:rPr>
              <w:t>1,107,473,410</w:t>
            </w:r>
            <w:r w:rsidR="00D639C4">
              <w:rPr>
                <w:rFonts w:ascii="宋体" w:eastAsia="宋体" w:hAnsi="宋体" w:cs="宋体" w:hint="eastAsia"/>
                <w:color w:val="58595B"/>
                <w:kern w:val="0"/>
                <w:sz w:val="18"/>
                <w:szCs w:val="18"/>
              </w:rPr>
              <w:t>.</w:t>
            </w:r>
            <w:r>
              <w:rPr>
                <w:rFonts w:ascii="宋体" w:eastAsia="宋体" w:hAnsi="宋体" w:cs="宋体" w:hint="eastAsia"/>
                <w:color w:val="58595B"/>
                <w:kern w:val="0"/>
                <w:sz w:val="18"/>
                <w:szCs w:val="18"/>
              </w:rPr>
              <w:t>47</w:t>
            </w:r>
          </w:p>
        </w:tc>
        <w:tc>
          <w:tcPr>
            <w:tcW w:w="14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639C4" w:rsidRPr="005B7BE8" w:rsidRDefault="00D639C4" w:rsidP="005B7BE8">
            <w:pPr>
              <w:widowControl/>
              <w:spacing w:line="360" w:lineRule="atLeast"/>
              <w:jc w:val="left"/>
              <w:rPr>
                <w:rFonts w:ascii="宋体" w:eastAsia="宋体" w:hAnsi="宋体" w:cs="宋体"/>
                <w:color w:val="58595B"/>
                <w:kern w:val="0"/>
                <w:sz w:val="14"/>
                <w:szCs w:val="14"/>
              </w:rPr>
            </w:pPr>
            <w:r>
              <w:rPr>
                <w:rFonts w:ascii="宋体" w:eastAsia="宋体" w:hAnsi="宋体" w:cs="宋体" w:hint="eastAsia"/>
                <w:color w:val="58595B"/>
                <w:kern w:val="0"/>
                <w:sz w:val="18"/>
                <w:szCs w:val="18"/>
              </w:rPr>
              <w:t>1.22382167</w:t>
            </w:r>
          </w:p>
        </w:tc>
        <w:tc>
          <w:tcPr>
            <w:tcW w:w="13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639C4" w:rsidRPr="005B7BE8" w:rsidRDefault="006E3B99" w:rsidP="005B7BE8">
            <w:pPr>
              <w:widowControl/>
              <w:spacing w:line="360" w:lineRule="atLeast"/>
              <w:jc w:val="center"/>
              <w:rPr>
                <w:rFonts w:ascii="宋体" w:eastAsia="宋体" w:hAnsi="宋体" w:cs="宋体"/>
                <w:color w:val="58595B"/>
                <w:kern w:val="0"/>
                <w:sz w:val="14"/>
                <w:szCs w:val="14"/>
              </w:rPr>
            </w:pPr>
            <w:r>
              <w:rPr>
                <w:rFonts w:ascii="宋体" w:eastAsia="宋体" w:hAnsi="宋体" w:cs="宋体" w:hint="eastAsia"/>
                <w:color w:val="58595B"/>
                <w:kern w:val="0"/>
                <w:sz w:val="18"/>
                <w:szCs w:val="18"/>
              </w:rPr>
              <w:t>泰达宏利聚利</w:t>
            </w:r>
            <w:r w:rsidR="00D639C4" w:rsidRPr="005B7BE8">
              <w:rPr>
                <w:rFonts w:ascii="宋体" w:eastAsia="宋体" w:hAnsi="宋体" w:cs="宋体" w:hint="eastAsia"/>
                <w:color w:val="58595B"/>
                <w:kern w:val="0"/>
                <w:sz w:val="18"/>
                <w:szCs w:val="18"/>
              </w:rPr>
              <w:t>债券（LOF）</w:t>
            </w:r>
          </w:p>
        </w:tc>
        <w:tc>
          <w:tcPr>
            <w:tcW w:w="16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639C4" w:rsidRPr="005B7BE8" w:rsidRDefault="00D639C4" w:rsidP="005B7BE8">
            <w:pPr>
              <w:widowControl/>
              <w:spacing w:line="360" w:lineRule="atLeast"/>
              <w:jc w:val="left"/>
              <w:rPr>
                <w:rFonts w:ascii="宋体" w:eastAsia="宋体" w:hAnsi="宋体" w:cs="宋体"/>
                <w:color w:val="58595B"/>
                <w:kern w:val="0"/>
                <w:sz w:val="14"/>
                <w:szCs w:val="14"/>
              </w:rPr>
            </w:pPr>
            <w:r>
              <w:rPr>
                <w:rFonts w:ascii="宋体" w:eastAsia="宋体" w:hAnsi="宋体" w:cs="宋体" w:hint="eastAsia"/>
                <w:color w:val="58595B"/>
                <w:kern w:val="0"/>
                <w:sz w:val="18"/>
                <w:szCs w:val="18"/>
              </w:rPr>
              <w:t>1,</w:t>
            </w:r>
            <w:r w:rsidR="006E3B99">
              <w:rPr>
                <w:rFonts w:ascii="宋体" w:eastAsia="宋体" w:hAnsi="宋体" w:cs="宋体" w:hint="eastAsia"/>
                <w:color w:val="58595B"/>
                <w:kern w:val="0"/>
                <w:sz w:val="18"/>
                <w:szCs w:val="18"/>
              </w:rPr>
              <w:t>355</w:t>
            </w:r>
            <w:r>
              <w:rPr>
                <w:rFonts w:ascii="宋体" w:eastAsia="宋体" w:hAnsi="宋体" w:cs="宋体" w:hint="eastAsia"/>
                <w:color w:val="58595B"/>
                <w:kern w:val="0"/>
                <w:sz w:val="18"/>
                <w:szCs w:val="18"/>
              </w:rPr>
              <w:t>,</w:t>
            </w:r>
            <w:r w:rsidR="006E3B99">
              <w:rPr>
                <w:rFonts w:ascii="宋体" w:eastAsia="宋体" w:hAnsi="宋体" w:cs="宋体" w:hint="eastAsia"/>
                <w:color w:val="58595B"/>
                <w:kern w:val="0"/>
                <w:sz w:val="18"/>
                <w:szCs w:val="18"/>
              </w:rPr>
              <w:t>349</w:t>
            </w:r>
            <w:r>
              <w:rPr>
                <w:rFonts w:ascii="宋体" w:eastAsia="宋体" w:hAnsi="宋体" w:cs="宋体" w:hint="eastAsia"/>
                <w:color w:val="58595B"/>
                <w:kern w:val="0"/>
                <w:sz w:val="18"/>
                <w:szCs w:val="18"/>
              </w:rPr>
              <w:t>,</w:t>
            </w:r>
            <w:r w:rsidR="006E3B99">
              <w:rPr>
                <w:rFonts w:ascii="宋体" w:eastAsia="宋体" w:hAnsi="宋体" w:cs="宋体" w:hint="eastAsia"/>
                <w:color w:val="58595B"/>
                <w:kern w:val="0"/>
                <w:sz w:val="18"/>
                <w:szCs w:val="18"/>
              </w:rPr>
              <w:t>958</w:t>
            </w:r>
            <w:r>
              <w:rPr>
                <w:rFonts w:ascii="宋体" w:eastAsia="宋体" w:hAnsi="宋体" w:cs="宋体" w:hint="eastAsia"/>
                <w:color w:val="58595B"/>
                <w:kern w:val="0"/>
                <w:sz w:val="18"/>
                <w:szCs w:val="18"/>
              </w:rPr>
              <w:t>.</w:t>
            </w:r>
            <w:r w:rsidR="006E3B99">
              <w:rPr>
                <w:rFonts w:ascii="宋体" w:eastAsia="宋体" w:hAnsi="宋体" w:cs="宋体" w:hint="eastAsia"/>
                <w:color w:val="58595B"/>
                <w:kern w:val="0"/>
                <w:sz w:val="18"/>
                <w:szCs w:val="18"/>
              </w:rPr>
              <w:t>68</w:t>
            </w:r>
          </w:p>
        </w:tc>
      </w:tr>
      <w:tr w:rsidR="00D639C4" w:rsidRPr="005B7BE8" w:rsidTr="00D639C4">
        <w:tc>
          <w:tcPr>
            <w:tcW w:w="1328" w:type="dxa"/>
            <w:tcBorders>
              <w:top w:val="outset" w:sz="6" w:space="0" w:color="ECE9D8"/>
              <w:left w:val="single" w:sz="8" w:space="0" w:color="auto"/>
              <w:bottom w:val="outset" w:sz="6" w:space="0" w:color="ECE9D8"/>
              <w:right w:val="single" w:sz="8" w:space="0" w:color="auto"/>
            </w:tcBorders>
            <w:shd w:val="clear" w:color="auto" w:fill="auto"/>
            <w:tcMar>
              <w:top w:w="0" w:type="dxa"/>
              <w:left w:w="108" w:type="dxa"/>
              <w:bottom w:w="0" w:type="dxa"/>
              <w:right w:w="108" w:type="dxa"/>
            </w:tcMar>
            <w:vAlign w:val="center"/>
            <w:hideMark/>
          </w:tcPr>
          <w:p w:rsidR="00D639C4" w:rsidRPr="005B7BE8" w:rsidRDefault="00D639C4" w:rsidP="005B7BE8">
            <w:pPr>
              <w:widowControl/>
              <w:spacing w:line="360" w:lineRule="atLeast"/>
              <w:jc w:val="center"/>
              <w:rPr>
                <w:rFonts w:ascii="宋体" w:eastAsia="宋体" w:hAnsi="宋体" w:cs="宋体"/>
                <w:color w:val="58595B"/>
                <w:kern w:val="0"/>
                <w:sz w:val="14"/>
                <w:szCs w:val="14"/>
              </w:rPr>
            </w:pPr>
            <w:r>
              <w:rPr>
                <w:rFonts w:ascii="宋体" w:eastAsia="宋体" w:hAnsi="宋体" w:cs="宋体" w:hint="eastAsia"/>
                <w:color w:val="58595B"/>
                <w:kern w:val="0"/>
                <w:sz w:val="18"/>
                <w:szCs w:val="18"/>
              </w:rPr>
              <w:t>聚</w:t>
            </w:r>
            <w:r w:rsidRPr="005B7BE8">
              <w:rPr>
                <w:rFonts w:ascii="宋体" w:eastAsia="宋体" w:hAnsi="宋体" w:cs="宋体" w:hint="eastAsia"/>
                <w:color w:val="58595B"/>
                <w:kern w:val="0"/>
                <w:sz w:val="18"/>
                <w:szCs w:val="18"/>
              </w:rPr>
              <w:t>利B</w:t>
            </w:r>
          </w:p>
        </w:tc>
        <w:tc>
          <w:tcPr>
            <w:tcW w:w="1476"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vAlign w:val="center"/>
            <w:hideMark/>
          </w:tcPr>
          <w:p w:rsidR="00D639C4" w:rsidRPr="005B7BE8" w:rsidRDefault="006E3B99" w:rsidP="005B7BE8">
            <w:pPr>
              <w:widowControl/>
              <w:spacing w:line="360" w:lineRule="atLeast"/>
              <w:jc w:val="center"/>
              <w:rPr>
                <w:rFonts w:ascii="宋体" w:eastAsia="宋体" w:hAnsi="宋体" w:cs="宋体"/>
                <w:color w:val="58595B"/>
                <w:kern w:val="0"/>
                <w:sz w:val="14"/>
                <w:szCs w:val="14"/>
              </w:rPr>
            </w:pPr>
            <w:r>
              <w:rPr>
                <w:rFonts w:ascii="宋体" w:eastAsia="宋体" w:hAnsi="宋体" w:cs="宋体" w:hint="eastAsia"/>
                <w:color w:val="58595B"/>
                <w:kern w:val="0"/>
                <w:sz w:val="18"/>
                <w:szCs w:val="18"/>
              </w:rPr>
              <w:t>474</w:t>
            </w:r>
            <w:r w:rsidR="00D639C4">
              <w:rPr>
                <w:rFonts w:ascii="宋体" w:eastAsia="宋体" w:hAnsi="宋体" w:cs="宋体" w:hint="eastAsia"/>
                <w:color w:val="58595B"/>
                <w:kern w:val="0"/>
                <w:sz w:val="18"/>
                <w:szCs w:val="18"/>
              </w:rPr>
              <w:t>,</w:t>
            </w:r>
            <w:r>
              <w:rPr>
                <w:rFonts w:ascii="宋体" w:eastAsia="宋体" w:hAnsi="宋体" w:cs="宋体" w:hint="eastAsia"/>
                <w:color w:val="58595B"/>
                <w:kern w:val="0"/>
                <w:sz w:val="18"/>
                <w:szCs w:val="18"/>
              </w:rPr>
              <w:t>631</w:t>
            </w:r>
            <w:r w:rsidR="00D639C4">
              <w:rPr>
                <w:rFonts w:ascii="宋体" w:eastAsia="宋体" w:hAnsi="宋体" w:cs="宋体" w:hint="eastAsia"/>
                <w:color w:val="58595B"/>
                <w:kern w:val="0"/>
                <w:sz w:val="18"/>
                <w:szCs w:val="18"/>
              </w:rPr>
              <w:t>,</w:t>
            </w:r>
            <w:r>
              <w:rPr>
                <w:rFonts w:ascii="宋体" w:eastAsia="宋体" w:hAnsi="宋体" w:cs="宋体" w:hint="eastAsia"/>
                <w:color w:val="58595B"/>
                <w:kern w:val="0"/>
                <w:sz w:val="18"/>
                <w:szCs w:val="18"/>
              </w:rPr>
              <w:t>460</w:t>
            </w:r>
            <w:r w:rsidR="00D639C4" w:rsidRPr="005B7BE8">
              <w:rPr>
                <w:rFonts w:ascii="宋体" w:eastAsia="宋体" w:hAnsi="宋体" w:cs="宋体" w:hint="eastAsia"/>
                <w:color w:val="58595B"/>
                <w:kern w:val="0"/>
                <w:sz w:val="18"/>
                <w:szCs w:val="18"/>
              </w:rPr>
              <w:t>.</w:t>
            </w:r>
            <w:r>
              <w:rPr>
                <w:rFonts w:ascii="宋体" w:eastAsia="宋体" w:hAnsi="宋体" w:cs="宋体" w:hint="eastAsia"/>
                <w:color w:val="58595B"/>
                <w:kern w:val="0"/>
                <w:sz w:val="18"/>
                <w:szCs w:val="18"/>
              </w:rPr>
              <w:t>03</w:t>
            </w:r>
          </w:p>
        </w:tc>
        <w:tc>
          <w:tcPr>
            <w:tcW w:w="1426"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vAlign w:val="center"/>
            <w:hideMark/>
          </w:tcPr>
          <w:p w:rsidR="00D639C4" w:rsidRPr="005B7BE8" w:rsidRDefault="006E3B99" w:rsidP="005B7BE8">
            <w:pPr>
              <w:widowControl/>
              <w:spacing w:line="360" w:lineRule="atLeast"/>
              <w:jc w:val="left"/>
              <w:rPr>
                <w:rFonts w:ascii="宋体" w:eastAsia="宋体" w:hAnsi="宋体" w:cs="宋体"/>
                <w:color w:val="58595B"/>
                <w:kern w:val="0"/>
                <w:sz w:val="14"/>
                <w:szCs w:val="14"/>
              </w:rPr>
            </w:pPr>
            <w:r>
              <w:rPr>
                <w:rFonts w:ascii="宋体" w:eastAsia="宋体" w:hAnsi="宋体" w:cs="宋体" w:hint="eastAsia"/>
                <w:color w:val="58595B"/>
                <w:kern w:val="0"/>
                <w:sz w:val="18"/>
                <w:szCs w:val="18"/>
              </w:rPr>
              <w:t>2</w:t>
            </w:r>
            <w:r w:rsidR="00D639C4" w:rsidRPr="005B7BE8">
              <w:rPr>
                <w:rFonts w:ascii="宋体" w:eastAsia="宋体" w:hAnsi="宋体" w:cs="宋体" w:hint="eastAsia"/>
                <w:color w:val="58595B"/>
                <w:kern w:val="0"/>
                <w:sz w:val="18"/>
                <w:szCs w:val="18"/>
              </w:rPr>
              <w:t>.</w:t>
            </w:r>
            <w:r>
              <w:rPr>
                <w:rFonts w:ascii="宋体" w:eastAsia="宋体" w:hAnsi="宋体" w:cs="宋体" w:hint="eastAsia"/>
                <w:color w:val="58595B"/>
                <w:kern w:val="0"/>
                <w:sz w:val="18"/>
                <w:szCs w:val="18"/>
              </w:rPr>
              <w:t>21558229</w:t>
            </w:r>
          </w:p>
        </w:tc>
        <w:tc>
          <w:tcPr>
            <w:tcW w:w="1389"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vAlign w:val="center"/>
            <w:hideMark/>
          </w:tcPr>
          <w:p w:rsidR="00D639C4" w:rsidRPr="005B7BE8" w:rsidRDefault="006E3B99" w:rsidP="005B7BE8">
            <w:pPr>
              <w:widowControl/>
              <w:spacing w:line="360" w:lineRule="atLeast"/>
              <w:jc w:val="center"/>
              <w:rPr>
                <w:rFonts w:ascii="宋体" w:eastAsia="宋体" w:hAnsi="宋体" w:cs="宋体"/>
                <w:color w:val="58595B"/>
                <w:kern w:val="0"/>
                <w:sz w:val="14"/>
                <w:szCs w:val="14"/>
              </w:rPr>
            </w:pPr>
            <w:r>
              <w:rPr>
                <w:rFonts w:ascii="宋体" w:eastAsia="宋体" w:hAnsi="宋体" w:cs="宋体" w:hint="eastAsia"/>
                <w:color w:val="58595B"/>
                <w:kern w:val="0"/>
                <w:sz w:val="18"/>
                <w:szCs w:val="18"/>
              </w:rPr>
              <w:t>泰达宏利聚利</w:t>
            </w:r>
            <w:r w:rsidR="00D639C4" w:rsidRPr="005B7BE8">
              <w:rPr>
                <w:rFonts w:ascii="宋体" w:eastAsia="宋体" w:hAnsi="宋体" w:cs="宋体" w:hint="eastAsia"/>
                <w:color w:val="58595B"/>
                <w:kern w:val="0"/>
                <w:sz w:val="18"/>
                <w:szCs w:val="18"/>
              </w:rPr>
              <w:t>债券（LOF）</w:t>
            </w:r>
          </w:p>
        </w:tc>
        <w:tc>
          <w:tcPr>
            <w:tcW w:w="1656"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vAlign w:val="center"/>
            <w:hideMark/>
          </w:tcPr>
          <w:p w:rsidR="00D639C4" w:rsidRPr="005B7BE8" w:rsidRDefault="006E3B99" w:rsidP="005B7BE8">
            <w:pPr>
              <w:widowControl/>
              <w:spacing w:line="360" w:lineRule="atLeast"/>
              <w:jc w:val="left"/>
              <w:rPr>
                <w:rFonts w:ascii="宋体" w:eastAsia="宋体" w:hAnsi="宋体" w:cs="宋体"/>
                <w:color w:val="58595B"/>
                <w:kern w:val="0"/>
                <w:sz w:val="14"/>
                <w:szCs w:val="14"/>
              </w:rPr>
            </w:pPr>
            <w:r>
              <w:rPr>
                <w:rFonts w:ascii="宋体" w:eastAsia="宋体" w:hAnsi="宋体" w:cs="宋体" w:hint="eastAsia"/>
                <w:color w:val="58595B"/>
                <w:kern w:val="0"/>
                <w:sz w:val="18"/>
                <w:szCs w:val="18"/>
              </w:rPr>
              <w:t>1,051</w:t>
            </w:r>
            <w:r w:rsidR="00D639C4">
              <w:rPr>
                <w:rFonts w:ascii="宋体" w:eastAsia="宋体" w:hAnsi="宋体" w:cs="宋体" w:hint="eastAsia"/>
                <w:color w:val="58595B"/>
                <w:kern w:val="0"/>
                <w:sz w:val="18"/>
                <w:szCs w:val="18"/>
              </w:rPr>
              <w:t>,</w:t>
            </w:r>
            <w:r>
              <w:rPr>
                <w:rFonts w:ascii="宋体" w:eastAsia="宋体" w:hAnsi="宋体" w:cs="宋体" w:hint="eastAsia"/>
                <w:color w:val="58595B"/>
                <w:kern w:val="0"/>
                <w:sz w:val="18"/>
                <w:szCs w:val="18"/>
              </w:rPr>
              <w:t>585</w:t>
            </w:r>
            <w:r w:rsidR="00D639C4">
              <w:rPr>
                <w:rFonts w:ascii="宋体" w:eastAsia="宋体" w:hAnsi="宋体" w:cs="宋体" w:hint="eastAsia"/>
                <w:color w:val="58595B"/>
                <w:kern w:val="0"/>
                <w:sz w:val="18"/>
                <w:szCs w:val="18"/>
              </w:rPr>
              <w:t>,</w:t>
            </w:r>
            <w:r>
              <w:rPr>
                <w:rFonts w:ascii="宋体" w:eastAsia="宋体" w:hAnsi="宋体" w:cs="宋体" w:hint="eastAsia"/>
                <w:color w:val="58595B"/>
                <w:kern w:val="0"/>
                <w:sz w:val="18"/>
                <w:szCs w:val="18"/>
              </w:rPr>
              <w:t>056</w:t>
            </w:r>
            <w:r w:rsidR="00D639C4" w:rsidRPr="005B7BE8">
              <w:rPr>
                <w:rFonts w:ascii="宋体" w:eastAsia="宋体" w:hAnsi="宋体" w:cs="宋体" w:hint="eastAsia"/>
                <w:color w:val="58595B"/>
                <w:kern w:val="0"/>
                <w:sz w:val="18"/>
                <w:szCs w:val="18"/>
              </w:rPr>
              <w:t>.</w:t>
            </w:r>
            <w:r>
              <w:rPr>
                <w:rFonts w:ascii="宋体" w:eastAsia="宋体" w:hAnsi="宋体" w:cs="宋体" w:hint="eastAsia"/>
                <w:color w:val="58595B"/>
                <w:kern w:val="0"/>
                <w:sz w:val="18"/>
                <w:szCs w:val="18"/>
              </w:rPr>
              <w:t>23</w:t>
            </w:r>
          </w:p>
        </w:tc>
      </w:tr>
      <w:tr w:rsidR="00D639C4" w:rsidRPr="005B7BE8" w:rsidTr="00D639C4">
        <w:tc>
          <w:tcPr>
            <w:tcW w:w="13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639C4" w:rsidRDefault="00D639C4" w:rsidP="005B7BE8">
            <w:pPr>
              <w:widowControl/>
              <w:spacing w:line="360" w:lineRule="atLeast"/>
              <w:jc w:val="center"/>
              <w:rPr>
                <w:rFonts w:ascii="宋体" w:eastAsia="宋体" w:hAnsi="宋体" w:cs="宋体"/>
                <w:color w:val="58595B"/>
                <w:kern w:val="0"/>
                <w:sz w:val="18"/>
                <w:szCs w:val="18"/>
              </w:rPr>
            </w:pPr>
          </w:p>
        </w:tc>
        <w:tc>
          <w:tcPr>
            <w:tcW w:w="147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639C4" w:rsidRDefault="00D639C4" w:rsidP="005B7BE8">
            <w:pPr>
              <w:widowControl/>
              <w:spacing w:line="360" w:lineRule="atLeast"/>
              <w:jc w:val="center"/>
              <w:rPr>
                <w:rFonts w:ascii="宋体" w:eastAsia="宋体" w:hAnsi="宋体" w:cs="宋体"/>
                <w:color w:val="58595B"/>
                <w:kern w:val="0"/>
                <w:sz w:val="18"/>
                <w:szCs w:val="18"/>
              </w:rPr>
            </w:pPr>
          </w:p>
        </w:tc>
        <w:tc>
          <w:tcPr>
            <w:tcW w:w="14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639C4" w:rsidRPr="005B7BE8" w:rsidRDefault="00D639C4" w:rsidP="005B7BE8">
            <w:pPr>
              <w:widowControl/>
              <w:spacing w:line="360" w:lineRule="atLeast"/>
              <w:jc w:val="left"/>
              <w:rPr>
                <w:rFonts w:ascii="宋体" w:eastAsia="宋体" w:hAnsi="宋体" w:cs="宋体"/>
                <w:color w:val="58595B"/>
                <w:kern w:val="0"/>
                <w:sz w:val="18"/>
                <w:szCs w:val="18"/>
              </w:rPr>
            </w:pPr>
          </w:p>
        </w:tc>
        <w:tc>
          <w:tcPr>
            <w:tcW w:w="13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639C4" w:rsidRPr="005B7BE8" w:rsidRDefault="00D639C4" w:rsidP="005B7BE8">
            <w:pPr>
              <w:widowControl/>
              <w:spacing w:line="360" w:lineRule="atLeast"/>
              <w:jc w:val="center"/>
              <w:rPr>
                <w:rFonts w:ascii="宋体" w:eastAsia="宋体" w:hAnsi="宋体" w:cs="宋体"/>
                <w:color w:val="58595B"/>
                <w:kern w:val="0"/>
                <w:sz w:val="18"/>
                <w:szCs w:val="18"/>
              </w:rPr>
            </w:pPr>
          </w:p>
        </w:tc>
        <w:tc>
          <w:tcPr>
            <w:tcW w:w="16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639C4" w:rsidRDefault="00D639C4" w:rsidP="005B7BE8">
            <w:pPr>
              <w:widowControl/>
              <w:spacing w:line="360" w:lineRule="atLeast"/>
              <w:jc w:val="left"/>
              <w:rPr>
                <w:rFonts w:ascii="宋体" w:eastAsia="宋体" w:hAnsi="宋体" w:cs="宋体"/>
                <w:color w:val="58595B"/>
                <w:kern w:val="0"/>
                <w:sz w:val="18"/>
                <w:szCs w:val="18"/>
              </w:rPr>
            </w:pPr>
          </w:p>
        </w:tc>
      </w:tr>
    </w:tbl>
    <w:p w:rsidR="005B7BE8" w:rsidRPr="005B7BE8" w:rsidRDefault="005B7BE8" w:rsidP="005B7BE8">
      <w:pPr>
        <w:widowControl/>
        <w:spacing w:line="360" w:lineRule="atLeast"/>
        <w:ind w:firstLine="360"/>
        <w:jc w:val="left"/>
        <w:rPr>
          <w:rFonts w:ascii="宋体" w:eastAsia="宋体" w:hAnsi="宋体" w:cs="宋体"/>
          <w:color w:val="58595B"/>
          <w:kern w:val="0"/>
          <w:sz w:val="14"/>
          <w:szCs w:val="14"/>
        </w:rPr>
      </w:pPr>
      <w:r w:rsidRPr="005B7BE8">
        <w:rPr>
          <w:rFonts w:ascii="宋体" w:eastAsia="宋体" w:hAnsi="宋体" w:cs="宋体" w:hint="eastAsia"/>
          <w:color w:val="58595B"/>
          <w:kern w:val="0"/>
          <w:sz w:val="14"/>
          <w:szCs w:val="14"/>
        </w:rPr>
        <w:t> </w:t>
      </w:r>
    </w:p>
    <w:p w:rsidR="005B7BE8" w:rsidRPr="00BE56B6" w:rsidRDefault="00ED1B3D" w:rsidP="005B7BE8">
      <w:pPr>
        <w:widowControl/>
        <w:spacing w:line="360" w:lineRule="atLeast"/>
        <w:ind w:firstLine="360"/>
        <w:jc w:val="left"/>
        <w:rPr>
          <w:rFonts w:ascii="宋体" w:eastAsia="宋体" w:hAnsi="宋体" w:cs="宋体"/>
          <w:color w:val="58595B"/>
          <w:kern w:val="0"/>
          <w:sz w:val="18"/>
          <w:szCs w:val="18"/>
        </w:rPr>
      </w:pPr>
      <w:r>
        <w:rPr>
          <w:rFonts w:ascii="宋体" w:eastAsia="宋体" w:hAnsi="宋体" w:cs="宋体" w:hint="eastAsia"/>
          <w:color w:val="58595B"/>
          <w:kern w:val="0"/>
          <w:sz w:val="18"/>
          <w:szCs w:val="18"/>
        </w:rPr>
        <w:t>注：本基金管理人已根据合同约定，对聚</w:t>
      </w:r>
      <w:r w:rsidR="005B7BE8" w:rsidRPr="005B7BE8">
        <w:rPr>
          <w:rFonts w:ascii="宋体" w:eastAsia="宋体" w:hAnsi="宋体" w:cs="宋体" w:hint="eastAsia"/>
          <w:color w:val="58595B"/>
          <w:kern w:val="0"/>
          <w:sz w:val="18"/>
          <w:szCs w:val="18"/>
        </w:rPr>
        <w:t>利A</w:t>
      </w:r>
      <w:r>
        <w:rPr>
          <w:rFonts w:ascii="宋体" w:eastAsia="宋体" w:hAnsi="宋体" w:cs="宋体" w:hint="eastAsia"/>
          <w:color w:val="58595B"/>
          <w:kern w:val="0"/>
          <w:sz w:val="18"/>
          <w:szCs w:val="18"/>
        </w:rPr>
        <w:t>、聚</w:t>
      </w:r>
      <w:r w:rsidR="005B7BE8" w:rsidRPr="005B7BE8">
        <w:rPr>
          <w:rFonts w:ascii="宋体" w:eastAsia="宋体" w:hAnsi="宋体" w:cs="宋体" w:hint="eastAsia"/>
          <w:color w:val="58595B"/>
          <w:kern w:val="0"/>
          <w:sz w:val="18"/>
          <w:szCs w:val="18"/>
        </w:rPr>
        <w:t>利B的份额持有人的基金份额进行了计算，并由本基金管理人向中国证券登记结算有限责任公司提交份额变更登记申请。</w:t>
      </w:r>
    </w:p>
    <w:p w:rsidR="00A626F3" w:rsidRPr="00BE56B6" w:rsidRDefault="005B7BE8" w:rsidP="00A626F3">
      <w:pPr>
        <w:widowControl/>
        <w:spacing w:line="360" w:lineRule="atLeast"/>
        <w:ind w:firstLine="360"/>
        <w:jc w:val="left"/>
        <w:rPr>
          <w:rFonts w:ascii="宋体" w:eastAsia="宋体" w:hAnsi="宋体" w:cs="宋体"/>
          <w:color w:val="58595B"/>
          <w:kern w:val="0"/>
          <w:sz w:val="18"/>
          <w:szCs w:val="18"/>
        </w:rPr>
      </w:pPr>
      <w:r w:rsidRPr="005B7BE8">
        <w:rPr>
          <w:rFonts w:ascii="宋体" w:eastAsia="宋体" w:hAnsi="宋体" w:cs="宋体" w:hint="eastAsia"/>
          <w:color w:val="58595B"/>
          <w:kern w:val="0"/>
          <w:sz w:val="18"/>
          <w:szCs w:val="18"/>
        </w:rPr>
        <w:t>投资者可于</w:t>
      </w:r>
      <w:r w:rsidR="00ED1B3D">
        <w:rPr>
          <w:rFonts w:ascii="宋体" w:eastAsia="宋体" w:hAnsi="宋体" w:cs="宋体" w:hint="eastAsia"/>
          <w:color w:val="58595B"/>
          <w:kern w:val="0"/>
          <w:sz w:val="18"/>
          <w:szCs w:val="18"/>
        </w:rPr>
        <w:t>2016</w:t>
      </w:r>
      <w:r w:rsidRPr="005B7BE8">
        <w:rPr>
          <w:rFonts w:ascii="宋体" w:eastAsia="宋体" w:hAnsi="宋体" w:cs="宋体" w:hint="eastAsia"/>
          <w:color w:val="58595B"/>
          <w:kern w:val="0"/>
          <w:sz w:val="18"/>
          <w:szCs w:val="18"/>
        </w:rPr>
        <w:t>年</w:t>
      </w:r>
      <w:r w:rsidR="00ED1B3D">
        <w:rPr>
          <w:rFonts w:ascii="宋体" w:eastAsia="宋体" w:hAnsi="宋体" w:cs="宋体" w:hint="eastAsia"/>
          <w:color w:val="58595B"/>
          <w:kern w:val="0"/>
          <w:sz w:val="18"/>
          <w:szCs w:val="18"/>
        </w:rPr>
        <w:t>5</w:t>
      </w:r>
      <w:r w:rsidRPr="005B7BE8">
        <w:rPr>
          <w:rFonts w:ascii="宋体" w:eastAsia="宋体" w:hAnsi="宋体" w:cs="宋体" w:hint="eastAsia"/>
          <w:color w:val="58595B"/>
          <w:kern w:val="0"/>
          <w:sz w:val="18"/>
          <w:szCs w:val="18"/>
        </w:rPr>
        <w:t>月</w:t>
      </w:r>
      <w:r w:rsidR="00ED1B3D">
        <w:rPr>
          <w:rFonts w:ascii="宋体" w:eastAsia="宋体" w:hAnsi="宋体" w:cs="宋体" w:hint="eastAsia"/>
          <w:color w:val="58595B"/>
          <w:kern w:val="0"/>
          <w:sz w:val="18"/>
          <w:szCs w:val="18"/>
        </w:rPr>
        <w:t>17</w:t>
      </w:r>
      <w:r w:rsidRPr="005B7BE8">
        <w:rPr>
          <w:rFonts w:ascii="宋体" w:eastAsia="宋体" w:hAnsi="宋体" w:cs="宋体" w:hint="eastAsia"/>
          <w:color w:val="58595B"/>
          <w:kern w:val="0"/>
          <w:sz w:val="18"/>
          <w:szCs w:val="18"/>
        </w:rPr>
        <w:t>日起（含该日）在相关证券公司和各销售网点查询转换后的份额。</w:t>
      </w:r>
      <w:r w:rsidR="00A626F3" w:rsidRPr="00BE56B6">
        <w:rPr>
          <w:rFonts w:ascii="宋体" w:eastAsia="宋体" w:hAnsi="宋体" w:cs="宋体" w:hint="eastAsia"/>
          <w:color w:val="58595B"/>
          <w:kern w:val="0"/>
          <w:sz w:val="18"/>
          <w:szCs w:val="18"/>
        </w:rPr>
        <w:t>投资者若希望了解泰达宏利聚利分级债券型证券投资基金份额转换结果详情</w:t>
      </w:r>
      <w:r w:rsidR="00A626F3" w:rsidRPr="00BE56B6">
        <w:rPr>
          <w:rFonts w:ascii="宋体" w:eastAsia="宋体" w:hAnsi="宋体" w:cs="宋体"/>
          <w:color w:val="58595B"/>
          <w:kern w:val="0"/>
          <w:sz w:val="18"/>
          <w:szCs w:val="18"/>
        </w:rPr>
        <w:t>,</w:t>
      </w:r>
      <w:r w:rsidR="00A626F3" w:rsidRPr="00BE56B6">
        <w:rPr>
          <w:rFonts w:ascii="宋体" w:eastAsia="宋体" w:hAnsi="宋体" w:cs="宋体" w:hint="eastAsia"/>
          <w:color w:val="58595B"/>
          <w:kern w:val="0"/>
          <w:sz w:val="18"/>
          <w:szCs w:val="18"/>
        </w:rPr>
        <w:t>请登陆本公司网站：www.mfcteda.com或者拨打本公司客服电话：</w:t>
      </w:r>
      <w:r w:rsidR="00A626F3" w:rsidRPr="00BE56B6">
        <w:rPr>
          <w:rFonts w:ascii="宋体" w:eastAsia="宋体" w:hAnsi="宋体" w:cs="宋体"/>
          <w:color w:val="58595B"/>
          <w:kern w:val="0"/>
          <w:sz w:val="18"/>
          <w:szCs w:val="18"/>
        </w:rPr>
        <w:t>400</w:t>
      </w:r>
      <w:r w:rsidR="00A626F3" w:rsidRPr="00BE56B6">
        <w:rPr>
          <w:rFonts w:ascii="宋体" w:eastAsia="宋体" w:hAnsi="宋体" w:cs="宋体" w:hint="eastAsia"/>
          <w:color w:val="58595B"/>
          <w:kern w:val="0"/>
          <w:sz w:val="18"/>
          <w:szCs w:val="18"/>
        </w:rPr>
        <w:t>－</w:t>
      </w:r>
      <w:r w:rsidR="00A626F3" w:rsidRPr="00BE56B6">
        <w:rPr>
          <w:rFonts w:ascii="宋体" w:eastAsia="宋体" w:hAnsi="宋体" w:cs="宋体"/>
          <w:color w:val="58595B"/>
          <w:kern w:val="0"/>
          <w:sz w:val="18"/>
          <w:szCs w:val="18"/>
        </w:rPr>
        <w:t>6</w:t>
      </w:r>
      <w:r w:rsidR="00A626F3" w:rsidRPr="00BE56B6">
        <w:rPr>
          <w:rFonts w:ascii="宋体" w:eastAsia="宋体" w:hAnsi="宋体" w:cs="宋体" w:hint="eastAsia"/>
          <w:color w:val="58595B"/>
          <w:kern w:val="0"/>
          <w:sz w:val="18"/>
          <w:szCs w:val="18"/>
        </w:rPr>
        <w:t>98－8888。</w:t>
      </w:r>
    </w:p>
    <w:p w:rsidR="005B7BE8" w:rsidRPr="00A626F3" w:rsidRDefault="00A626F3" w:rsidP="00A626F3">
      <w:pPr>
        <w:widowControl/>
        <w:spacing w:line="360" w:lineRule="atLeast"/>
        <w:ind w:firstLine="360"/>
        <w:jc w:val="left"/>
        <w:rPr>
          <w:rFonts w:ascii="宋体" w:eastAsia="宋体" w:hAnsi="宋体" w:cs="宋体"/>
          <w:color w:val="58595B"/>
          <w:kern w:val="0"/>
          <w:sz w:val="18"/>
          <w:szCs w:val="18"/>
        </w:rPr>
      </w:pPr>
      <w:r w:rsidRPr="00A626F3">
        <w:rPr>
          <w:rFonts w:ascii="宋体" w:eastAsia="宋体" w:hAnsi="宋体" w:cs="宋体" w:hint="eastAsia"/>
          <w:color w:val="58595B"/>
          <w:kern w:val="0"/>
          <w:sz w:val="18"/>
          <w:szCs w:val="18"/>
        </w:rPr>
        <w:t>本公司承诺以诚实信用、勤勉尽责的原则管理和运用基金资产</w:t>
      </w:r>
      <w:r w:rsidRPr="00A626F3">
        <w:rPr>
          <w:rFonts w:ascii="宋体" w:eastAsia="宋体" w:hAnsi="宋体" w:cs="宋体"/>
          <w:color w:val="58595B"/>
          <w:kern w:val="0"/>
          <w:sz w:val="18"/>
          <w:szCs w:val="18"/>
        </w:rPr>
        <w:t>,</w:t>
      </w:r>
      <w:r w:rsidRPr="00A626F3">
        <w:rPr>
          <w:rFonts w:ascii="宋体" w:eastAsia="宋体" w:hAnsi="宋体" w:cs="宋体" w:hint="eastAsia"/>
          <w:color w:val="58595B"/>
          <w:kern w:val="0"/>
          <w:sz w:val="18"/>
          <w:szCs w:val="18"/>
        </w:rPr>
        <w:t>但不保证基金一定盈利</w:t>
      </w:r>
      <w:r w:rsidRPr="00A626F3">
        <w:rPr>
          <w:rFonts w:ascii="宋体" w:eastAsia="宋体" w:hAnsi="宋体" w:cs="宋体"/>
          <w:color w:val="58595B"/>
          <w:kern w:val="0"/>
          <w:sz w:val="18"/>
          <w:szCs w:val="18"/>
        </w:rPr>
        <w:t>,</w:t>
      </w:r>
      <w:r w:rsidRPr="00A626F3">
        <w:rPr>
          <w:rFonts w:ascii="宋体" w:eastAsia="宋体" w:hAnsi="宋体" w:cs="宋体" w:hint="eastAsia"/>
          <w:color w:val="58595B"/>
          <w:kern w:val="0"/>
          <w:sz w:val="18"/>
          <w:szCs w:val="18"/>
        </w:rPr>
        <w:t>也不保证最低收益。投资者投资于基金前应认真阅读基金的基金合同、招募说明书等文件。敬请投资者注意投资风险。</w:t>
      </w:r>
    </w:p>
    <w:p w:rsidR="005B7BE8" w:rsidRPr="00BE56B6" w:rsidRDefault="005B7BE8" w:rsidP="005B7BE8">
      <w:pPr>
        <w:widowControl/>
        <w:spacing w:line="360" w:lineRule="atLeast"/>
        <w:ind w:firstLine="360"/>
        <w:jc w:val="left"/>
        <w:rPr>
          <w:rFonts w:ascii="宋体" w:eastAsia="宋体" w:hAnsi="宋体" w:cs="宋体"/>
          <w:color w:val="58595B"/>
          <w:kern w:val="0"/>
          <w:sz w:val="18"/>
          <w:szCs w:val="18"/>
        </w:rPr>
      </w:pPr>
      <w:r w:rsidRPr="00BE56B6">
        <w:rPr>
          <w:rFonts w:ascii="宋体" w:eastAsia="宋体" w:hAnsi="宋体" w:cs="宋体" w:hint="eastAsia"/>
          <w:color w:val="58595B"/>
          <w:kern w:val="0"/>
          <w:sz w:val="18"/>
          <w:szCs w:val="18"/>
        </w:rPr>
        <w:t> </w:t>
      </w:r>
    </w:p>
    <w:p w:rsidR="005B7BE8" w:rsidRPr="00BE56B6" w:rsidRDefault="005B7BE8" w:rsidP="005B7BE8">
      <w:pPr>
        <w:widowControl/>
        <w:spacing w:line="360" w:lineRule="atLeast"/>
        <w:ind w:firstLine="360"/>
        <w:jc w:val="left"/>
        <w:rPr>
          <w:rFonts w:ascii="宋体" w:eastAsia="宋体" w:hAnsi="宋体" w:cs="宋体"/>
          <w:color w:val="58595B"/>
          <w:kern w:val="0"/>
          <w:sz w:val="18"/>
          <w:szCs w:val="18"/>
        </w:rPr>
      </w:pPr>
      <w:r w:rsidRPr="005B7BE8">
        <w:rPr>
          <w:rFonts w:ascii="宋体" w:eastAsia="宋体" w:hAnsi="宋体" w:cs="宋体" w:hint="eastAsia"/>
          <w:color w:val="58595B"/>
          <w:kern w:val="0"/>
          <w:sz w:val="18"/>
          <w:szCs w:val="18"/>
        </w:rPr>
        <w:t>特此公告。</w:t>
      </w:r>
    </w:p>
    <w:p w:rsidR="005B7BE8" w:rsidRPr="005B7BE8" w:rsidRDefault="005B7BE8" w:rsidP="005B7BE8">
      <w:pPr>
        <w:widowControl/>
        <w:spacing w:line="360" w:lineRule="atLeast"/>
        <w:ind w:firstLine="360"/>
        <w:jc w:val="left"/>
        <w:rPr>
          <w:rFonts w:ascii="宋体" w:eastAsia="宋体" w:hAnsi="宋体" w:cs="宋体"/>
          <w:color w:val="58595B"/>
          <w:kern w:val="0"/>
          <w:sz w:val="14"/>
          <w:szCs w:val="14"/>
        </w:rPr>
      </w:pPr>
      <w:r w:rsidRPr="005B7BE8">
        <w:rPr>
          <w:rFonts w:ascii="宋体" w:eastAsia="宋体" w:hAnsi="宋体" w:cs="宋体" w:hint="eastAsia"/>
          <w:color w:val="58595B"/>
          <w:kern w:val="0"/>
          <w:sz w:val="14"/>
          <w:szCs w:val="14"/>
        </w:rPr>
        <w:t> </w:t>
      </w:r>
    </w:p>
    <w:p w:rsidR="005B7BE8" w:rsidRPr="005B7BE8" w:rsidRDefault="005B7BE8" w:rsidP="005B7BE8">
      <w:pPr>
        <w:widowControl/>
        <w:spacing w:line="360" w:lineRule="atLeast"/>
        <w:ind w:firstLine="360"/>
        <w:jc w:val="left"/>
        <w:rPr>
          <w:rFonts w:ascii="宋体" w:eastAsia="宋体" w:hAnsi="宋体" w:cs="宋体"/>
          <w:color w:val="58595B"/>
          <w:kern w:val="0"/>
          <w:sz w:val="14"/>
          <w:szCs w:val="14"/>
        </w:rPr>
      </w:pPr>
      <w:r w:rsidRPr="005B7BE8">
        <w:rPr>
          <w:rFonts w:ascii="宋体" w:eastAsia="宋体" w:hAnsi="宋体" w:cs="宋体" w:hint="eastAsia"/>
          <w:color w:val="58595B"/>
          <w:kern w:val="0"/>
          <w:sz w:val="14"/>
          <w:szCs w:val="14"/>
        </w:rPr>
        <w:t> </w:t>
      </w:r>
    </w:p>
    <w:p w:rsidR="005B7BE8" w:rsidRPr="005B7BE8" w:rsidRDefault="00E24CA8" w:rsidP="005B7BE8">
      <w:pPr>
        <w:widowControl/>
        <w:spacing w:line="360" w:lineRule="atLeast"/>
        <w:ind w:firstLine="360"/>
        <w:jc w:val="right"/>
        <w:rPr>
          <w:rFonts w:ascii="宋体" w:eastAsia="宋体" w:hAnsi="宋体" w:cs="宋体"/>
          <w:color w:val="58595B"/>
          <w:kern w:val="0"/>
          <w:sz w:val="14"/>
          <w:szCs w:val="14"/>
        </w:rPr>
      </w:pPr>
      <w:r>
        <w:rPr>
          <w:rFonts w:ascii="宋体" w:eastAsia="宋体" w:hAnsi="宋体" w:cs="宋体" w:hint="eastAsia"/>
          <w:color w:val="58595B"/>
          <w:kern w:val="0"/>
          <w:sz w:val="18"/>
          <w:szCs w:val="18"/>
        </w:rPr>
        <w:t>泰达宏利</w:t>
      </w:r>
      <w:r w:rsidR="005B7BE8" w:rsidRPr="005B7BE8">
        <w:rPr>
          <w:rFonts w:ascii="宋体" w:eastAsia="宋体" w:hAnsi="宋体" w:cs="宋体" w:hint="eastAsia"/>
          <w:color w:val="58595B"/>
          <w:kern w:val="0"/>
          <w:sz w:val="18"/>
          <w:szCs w:val="18"/>
        </w:rPr>
        <w:t>基金管理有限公司</w:t>
      </w:r>
    </w:p>
    <w:p w:rsidR="005B7BE8" w:rsidRPr="005B7BE8" w:rsidRDefault="00E24CA8" w:rsidP="005B7BE8">
      <w:pPr>
        <w:widowControl/>
        <w:spacing w:line="360" w:lineRule="atLeast"/>
        <w:ind w:firstLine="360"/>
        <w:jc w:val="right"/>
        <w:rPr>
          <w:rFonts w:ascii="宋体" w:eastAsia="宋体" w:hAnsi="宋体" w:cs="宋体"/>
          <w:color w:val="58595B"/>
          <w:kern w:val="0"/>
          <w:sz w:val="14"/>
          <w:szCs w:val="14"/>
        </w:rPr>
      </w:pPr>
      <w:r>
        <w:rPr>
          <w:rFonts w:ascii="宋体" w:eastAsia="宋体" w:hAnsi="宋体" w:cs="宋体" w:hint="eastAsia"/>
          <w:color w:val="000000"/>
          <w:kern w:val="0"/>
          <w:sz w:val="18"/>
          <w:szCs w:val="18"/>
        </w:rPr>
        <w:t>2016</w:t>
      </w:r>
      <w:r w:rsidR="005B7BE8" w:rsidRPr="005B7BE8">
        <w:rPr>
          <w:rFonts w:ascii="宋体" w:eastAsia="宋体" w:hAnsi="宋体" w:cs="宋体" w:hint="eastAsia"/>
          <w:color w:val="000000"/>
          <w:kern w:val="0"/>
          <w:sz w:val="18"/>
          <w:szCs w:val="18"/>
        </w:rPr>
        <w:t>年</w:t>
      </w:r>
      <w:r>
        <w:rPr>
          <w:rFonts w:ascii="宋体" w:eastAsia="宋体" w:hAnsi="宋体" w:cs="宋体" w:hint="eastAsia"/>
          <w:color w:val="000000"/>
          <w:kern w:val="0"/>
          <w:sz w:val="18"/>
          <w:szCs w:val="18"/>
        </w:rPr>
        <w:t>5</w:t>
      </w:r>
      <w:r w:rsidR="005B7BE8" w:rsidRPr="005B7BE8">
        <w:rPr>
          <w:rFonts w:ascii="宋体" w:eastAsia="宋体" w:hAnsi="宋体" w:cs="宋体" w:hint="eastAsia"/>
          <w:color w:val="000000"/>
          <w:kern w:val="0"/>
          <w:sz w:val="18"/>
          <w:szCs w:val="18"/>
        </w:rPr>
        <w:t>月</w:t>
      </w:r>
      <w:r>
        <w:rPr>
          <w:rFonts w:ascii="宋体" w:eastAsia="宋体" w:hAnsi="宋体" w:cs="宋体" w:hint="eastAsia"/>
          <w:color w:val="000000"/>
          <w:kern w:val="0"/>
          <w:sz w:val="18"/>
          <w:szCs w:val="18"/>
        </w:rPr>
        <w:t>17</w:t>
      </w:r>
      <w:r w:rsidR="005B7BE8" w:rsidRPr="005B7BE8">
        <w:rPr>
          <w:rFonts w:ascii="宋体" w:eastAsia="宋体" w:hAnsi="宋体" w:cs="宋体" w:hint="eastAsia"/>
          <w:color w:val="000000"/>
          <w:kern w:val="0"/>
          <w:sz w:val="18"/>
          <w:szCs w:val="18"/>
        </w:rPr>
        <w:t>日</w:t>
      </w:r>
    </w:p>
    <w:p w:rsidR="003E35C3" w:rsidRDefault="003E35C3">
      <w:pPr>
        <w:rPr>
          <w:rFonts w:hint="eastAsia"/>
        </w:rPr>
      </w:pPr>
    </w:p>
    <w:sectPr w:rsidR="003E35C3" w:rsidSect="003E35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933" w:rsidRDefault="00882933" w:rsidP="005B7BE8">
      <w:pPr>
        <w:rPr>
          <w:rFonts w:hint="eastAsia"/>
        </w:rPr>
      </w:pPr>
      <w:r>
        <w:separator/>
      </w:r>
    </w:p>
  </w:endnote>
  <w:endnote w:type="continuationSeparator" w:id="0">
    <w:p w:rsidR="00882933" w:rsidRDefault="00882933" w:rsidP="005B7BE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933" w:rsidRDefault="00882933" w:rsidP="005B7BE8">
      <w:pPr>
        <w:rPr>
          <w:rFonts w:hint="eastAsia"/>
        </w:rPr>
      </w:pPr>
      <w:r>
        <w:separator/>
      </w:r>
    </w:p>
  </w:footnote>
  <w:footnote w:type="continuationSeparator" w:id="0">
    <w:p w:rsidR="00882933" w:rsidRDefault="00882933" w:rsidP="005B7BE8">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BE8"/>
    <w:rsid w:val="001614C2"/>
    <w:rsid w:val="00177317"/>
    <w:rsid w:val="002165BC"/>
    <w:rsid w:val="002865FE"/>
    <w:rsid w:val="003E35C3"/>
    <w:rsid w:val="005B7BE8"/>
    <w:rsid w:val="006E3B99"/>
    <w:rsid w:val="008377EC"/>
    <w:rsid w:val="00857D05"/>
    <w:rsid w:val="00882933"/>
    <w:rsid w:val="00921B2A"/>
    <w:rsid w:val="00A626F3"/>
    <w:rsid w:val="00BB7886"/>
    <w:rsid w:val="00BE14DF"/>
    <w:rsid w:val="00BE56B6"/>
    <w:rsid w:val="00C32031"/>
    <w:rsid w:val="00D474E8"/>
    <w:rsid w:val="00D639C4"/>
    <w:rsid w:val="00E24CA8"/>
    <w:rsid w:val="00ED1B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5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7B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7BE8"/>
    <w:rPr>
      <w:sz w:val="18"/>
      <w:szCs w:val="18"/>
    </w:rPr>
  </w:style>
  <w:style w:type="paragraph" w:styleId="a4">
    <w:name w:val="footer"/>
    <w:basedOn w:val="a"/>
    <w:link w:val="Char0"/>
    <w:uiPriority w:val="99"/>
    <w:semiHidden/>
    <w:unhideWhenUsed/>
    <w:rsid w:val="005B7B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7BE8"/>
    <w:rPr>
      <w:sz w:val="18"/>
      <w:szCs w:val="18"/>
    </w:rPr>
  </w:style>
  <w:style w:type="character" w:styleId="a5">
    <w:name w:val="Hyperlink"/>
    <w:basedOn w:val="a0"/>
    <w:uiPriority w:val="99"/>
    <w:semiHidden/>
    <w:unhideWhenUsed/>
    <w:rsid w:val="005B7BE8"/>
    <w:rPr>
      <w:color w:val="0000FF"/>
      <w:u w:val="single"/>
    </w:rPr>
  </w:style>
  <w:style w:type="paragraph" w:customStyle="1" w:styleId="Default">
    <w:name w:val="Default"/>
    <w:rsid w:val="00A626F3"/>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262689744">
      <w:bodyDiv w:val="1"/>
      <w:marLeft w:val="0"/>
      <w:marRight w:val="0"/>
      <w:marTop w:val="0"/>
      <w:marBottom w:val="0"/>
      <w:divBdr>
        <w:top w:val="none" w:sz="0" w:space="0" w:color="auto"/>
        <w:left w:val="none" w:sz="0" w:space="0" w:color="auto"/>
        <w:bottom w:val="none" w:sz="0" w:space="0" w:color="auto"/>
        <w:right w:val="none" w:sz="0" w:space="0" w:color="auto"/>
      </w:divBdr>
      <w:divsChild>
        <w:div w:id="392314952">
          <w:marLeft w:val="0"/>
          <w:marRight w:val="0"/>
          <w:marTop w:val="0"/>
          <w:marBottom w:val="0"/>
          <w:divBdr>
            <w:top w:val="none" w:sz="0" w:space="0" w:color="auto"/>
            <w:left w:val="none" w:sz="0" w:space="0" w:color="auto"/>
            <w:bottom w:val="double" w:sz="2" w:space="0" w:color="DCDDDE"/>
            <w:right w:val="none" w:sz="0" w:space="0" w:color="auto"/>
          </w:divBdr>
        </w:div>
        <w:div w:id="637224840">
          <w:marLeft w:val="0"/>
          <w:marRight w:val="0"/>
          <w:marTop w:val="0"/>
          <w:marBottom w:val="0"/>
          <w:divBdr>
            <w:top w:val="none" w:sz="0" w:space="0" w:color="auto"/>
            <w:left w:val="none" w:sz="0" w:space="0" w:color="auto"/>
            <w:bottom w:val="single" w:sz="4" w:space="12" w:color="DCDDDE"/>
            <w:right w:val="none" w:sz="0" w:space="0" w:color="auto"/>
          </w:divBdr>
          <w:divsChild>
            <w:div w:id="664165129">
              <w:marLeft w:val="0"/>
              <w:marRight w:val="0"/>
              <w:marTop w:val="0"/>
              <w:marBottom w:val="0"/>
              <w:divBdr>
                <w:top w:val="none" w:sz="0" w:space="0" w:color="auto"/>
                <w:left w:val="none" w:sz="0" w:space="0" w:color="auto"/>
                <w:bottom w:val="none" w:sz="0" w:space="0" w:color="auto"/>
                <w:right w:val="none" w:sz="0" w:space="0" w:color="auto"/>
              </w:divBdr>
            </w:div>
            <w:div w:id="362752822">
              <w:marLeft w:val="0"/>
              <w:marRight w:val="0"/>
              <w:marTop w:val="0"/>
              <w:marBottom w:val="0"/>
              <w:divBdr>
                <w:top w:val="none" w:sz="0" w:space="0" w:color="auto"/>
                <w:left w:val="none" w:sz="0" w:space="0" w:color="auto"/>
                <w:bottom w:val="none" w:sz="0" w:space="0" w:color="auto"/>
                <w:right w:val="none" w:sz="0" w:space="0" w:color="auto"/>
              </w:divBdr>
            </w:div>
            <w:div w:id="1268540938">
              <w:marLeft w:val="0"/>
              <w:marRight w:val="0"/>
              <w:marTop w:val="0"/>
              <w:marBottom w:val="0"/>
              <w:divBdr>
                <w:top w:val="none" w:sz="0" w:space="0" w:color="auto"/>
                <w:left w:val="none" w:sz="0" w:space="0" w:color="auto"/>
                <w:bottom w:val="none" w:sz="0" w:space="0" w:color="auto"/>
                <w:right w:val="none" w:sz="0" w:space="0" w:color="auto"/>
              </w:divBdr>
            </w:div>
            <w:div w:id="800150876">
              <w:marLeft w:val="0"/>
              <w:marRight w:val="0"/>
              <w:marTop w:val="0"/>
              <w:marBottom w:val="0"/>
              <w:divBdr>
                <w:top w:val="none" w:sz="0" w:space="0" w:color="auto"/>
                <w:left w:val="none" w:sz="0" w:space="0" w:color="auto"/>
                <w:bottom w:val="none" w:sz="0" w:space="0" w:color="auto"/>
                <w:right w:val="none" w:sz="0" w:space="0" w:color="auto"/>
              </w:divBdr>
            </w:div>
            <w:div w:id="1128354619">
              <w:marLeft w:val="0"/>
              <w:marRight w:val="0"/>
              <w:marTop w:val="0"/>
              <w:marBottom w:val="0"/>
              <w:divBdr>
                <w:top w:val="none" w:sz="0" w:space="0" w:color="auto"/>
                <w:left w:val="none" w:sz="0" w:space="0" w:color="auto"/>
                <w:bottom w:val="none" w:sz="0" w:space="0" w:color="auto"/>
                <w:right w:val="none" w:sz="0" w:space="0" w:color="auto"/>
              </w:divBdr>
            </w:div>
            <w:div w:id="670832863">
              <w:marLeft w:val="0"/>
              <w:marRight w:val="0"/>
              <w:marTop w:val="0"/>
              <w:marBottom w:val="0"/>
              <w:divBdr>
                <w:top w:val="none" w:sz="0" w:space="0" w:color="auto"/>
                <w:left w:val="none" w:sz="0" w:space="0" w:color="auto"/>
                <w:bottom w:val="none" w:sz="0" w:space="0" w:color="auto"/>
                <w:right w:val="none" w:sz="0" w:space="0" w:color="auto"/>
              </w:divBdr>
            </w:div>
            <w:div w:id="900362644">
              <w:marLeft w:val="0"/>
              <w:marRight w:val="0"/>
              <w:marTop w:val="0"/>
              <w:marBottom w:val="0"/>
              <w:divBdr>
                <w:top w:val="none" w:sz="0" w:space="0" w:color="auto"/>
                <w:left w:val="none" w:sz="0" w:space="0" w:color="auto"/>
                <w:bottom w:val="none" w:sz="0" w:space="0" w:color="auto"/>
                <w:right w:val="none" w:sz="0" w:space="0" w:color="auto"/>
              </w:divBdr>
            </w:div>
            <w:div w:id="1924562549">
              <w:marLeft w:val="0"/>
              <w:marRight w:val="0"/>
              <w:marTop w:val="0"/>
              <w:marBottom w:val="0"/>
              <w:divBdr>
                <w:top w:val="none" w:sz="0" w:space="0" w:color="auto"/>
                <w:left w:val="none" w:sz="0" w:space="0" w:color="auto"/>
                <w:bottom w:val="none" w:sz="0" w:space="0" w:color="auto"/>
                <w:right w:val="none" w:sz="0" w:space="0" w:color="auto"/>
              </w:divBdr>
            </w:div>
            <w:div w:id="2007857397">
              <w:marLeft w:val="0"/>
              <w:marRight w:val="0"/>
              <w:marTop w:val="0"/>
              <w:marBottom w:val="0"/>
              <w:divBdr>
                <w:top w:val="none" w:sz="0" w:space="0" w:color="auto"/>
                <w:left w:val="none" w:sz="0" w:space="0" w:color="auto"/>
                <w:bottom w:val="none" w:sz="0" w:space="0" w:color="auto"/>
                <w:right w:val="none" w:sz="0" w:space="0" w:color="auto"/>
              </w:divBdr>
            </w:div>
            <w:div w:id="1752195310">
              <w:marLeft w:val="0"/>
              <w:marRight w:val="0"/>
              <w:marTop w:val="0"/>
              <w:marBottom w:val="0"/>
              <w:divBdr>
                <w:top w:val="none" w:sz="0" w:space="0" w:color="auto"/>
                <w:left w:val="none" w:sz="0" w:space="0" w:color="auto"/>
                <w:bottom w:val="none" w:sz="0" w:space="0" w:color="auto"/>
                <w:right w:val="none" w:sz="0" w:space="0" w:color="auto"/>
              </w:divBdr>
            </w:div>
            <w:div w:id="650015370">
              <w:marLeft w:val="0"/>
              <w:marRight w:val="0"/>
              <w:marTop w:val="0"/>
              <w:marBottom w:val="0"/>
              <w:divBdr>
                <w:top w:val="none" w:sz="0" w:space="0" w:color="auto"/>
                <w:left w:val="none" w:sz="0" w:space="0" w:color="auto"/>
                <w:bottom w:val="none" w:sz="0" w:space="0" w:color="auto"/>
                <w:right w:val="none" w:sz="0" w:space="0" w:color="auto"/>
              </w:divBdr>
            </w:div>
            <w:div w:id="1218127550">
              <w:marLeft w:val="0"/>
              <w:marRight w:val="0"/>
              <w:marTop w:val="0"/>
              <w:marBottom w:val="0"/>
              <w:divBdr>
                <w:top w:val="none" w:sz="0" w:space="0" w:color="auto"/>
                <w:left w:val="none" w:sz="0" w:space="0" w:color="auto"/>
                <w:bottom w:val="none" w:sz="0" w:space="0" w:color="auto"/>
                <w:right w:val="none" w:sz="0" w:space="0" w:color="auto"/>
              </w:divBdr>
            </w:div>
            <w:div w:id="1335379255">
              <w:marLeft w:val="0"/>
              <w:marRight w:val="0"/>
              <w:marTop w:val="0"/>
              <w:marBottom w:val="0"/>
              <w:divBdr>
                <w:top w:val="none" w:sz="0" w:space="0" w:color="auto"/>
                <w:left w:val="none" w:sz="0" w:space="0" w:color="auto"/>
                <w:bottom w:val="none" w:sz="0" w:space="0" w:color="auto"/>
                <w:right w:val="none" w:sz="0" w:space="0" w:color="auto"/>
              </w:divBdr>
            </w:div>
            <w:div w:id="1627421356">
              <w:marLeft w:val="0"/>
              <w:marRight w:val="0"/>
              <w:marTop w:val="0"/>
              <w:marBottom w:val="0"/>
              <w:divBdr>
                <w:top w:val="none" w:sz="0" w:space="0" w:color="auto"/>
                <w:left w:val="none" w:sz="0" w:space="0" w:color="auto"/>
                <w:bottom w:val="none" w:sz="0" w:space="0" w:color="auto"/>
                <w:right w:val="none" w:sz="0" w:space="0" w:color="auto"/>
              </w:divBdr>
            </w:div>
            <w:div w:id="1463959741">
              <w:marLeft w:val="0"/>
              <w:marRight w:val="0"/>
              <w:marTop w:val="0"/>
              <w:marBottom w:val="0"/>
              <w:divBdr>
                <w:top w:val="none" w:sz="0" w:space="0" w:color="auto"/>
                <w:left w:val="none" w:sz="0" w:space="0" w:color="auto"/>
                <w:bottom w:val="none" w:sz="0" w:space="0" w:color="auto"/>
                <w:right w:val="none" w:sz="0" w:space="0" w:color="auto"/>
              </w:divBdr>
            </w:div>
            <w:div w:id="618680230">
              <w:marLeft w:val="0"/>
              <w:marRight w:val="0"/>
              <w:marTop w:val="0"/>
              <w:marBottom w:val="0"/>
              <w:divBdr>
                <w:top w:val="none" w:sz="0" w:space="0" w:color="auto"/>
                <w:left w:val="none" w:sz="0" w:space="0" w:color="auto"/>
                <w:bottom w:val="none" w:sz="0" w:space="0" w:color="auto"/>
                <w:right w:val="none" w:sz="0" w:space="0" w:color="auto"/>
              </w:divBdr>
            </w:div>
            <w:div w:id="619648573">
              <w:marLeft w:val="0"/>
              <w:marRight w:val="0"/>
              <w:marTop w:val="0"/>
              <w:marBottom w:val="0"/>
              <w:divBdr>
                <w:top w:val="none" w:sz="0" w:space="0" w:color="auto"/>
                <w:left w:val="none" w:sz="0" w:space="0" w:color="auto"/>
                <w:bottom w:val="none" w:sz="0" w:space="0" w:color="auto"/>
                <w:right w:val="none" w:sz="0" w:space="0" w:color="auto"/>
              </w:divBdr>
            </w:div>
            <w:div w:id="1079980134">
              <w:marLeft w:val="0"/>
              <w:marRight w:val="0"/>
              <w:marTop w:val="0"/>
              <w:marBottom w:val="0"/>
              <w:divBdr>
                <w:top w:val="none" w:sz="0" w:space="0" w:color="auto"/>
                <w:left w:val="none" w:sz="0" w:space="0" w:color="auto"/>
                <w:bottom w:val="none" w:sz="0" w:space="0" w:color="auto"/>
                <w:right w:val="none" w:sz="0" w:space="0" w:color="auto"/>
              </w:divBdr>
            </w:div>
            <w:div w:id="1597789380">
              <w:marLeft w:val="0"/>
              <w:marRight w:val="0"/>
              <w:marTop w:val="0"/>
              <w:marBottom w:val="0"/>
              <w:divBdr>
                <w:top w:val="none" w:sz="0" w:space="0" w:color="auto"/>
                <w:left w:val="none" w:sz="0" w:space="0" w:color="auto"/>
                <w:bottom w:val="none" w:sz="0" w:space="0" w:color="auto"/>
                <w:right w:val="none" w:sz="0" w:space="0" w:color="auto"/>
              </w:divBdr>
            </w:div>
            <w:div w:id="335226184">
              <w:marLeft w:val="0"/>
              <w:marRight w:val="0"/>
              <w:marTop w:val="0"/>
              <w:marBottom w:val="0"/>
              <w:divBdr>
                <w:top w:val="none" w:sz="0" w:space="0" w:color="auto"/>
                <w:left w:val="none" w:sz="0" w:space="0" w:color="auto"/>
                <w:bottom w:val="none" w:sz="0" w:space="0" w:color="auto"/>
                <w:right w:val="none" w:sz="0" w:space="0" w:color="auto"/>
              </w:divBdr>
            </w:div>
            <w:div w:id="1433285565">
              <w:marLeft w:val="0"/>
              <w:marRight w:val="0"/>
              <w:marTop w:val="0"/>
              <w:marBottom w:val="0"/>
              <w:divBdr>
                <w:top w:val="none" w:sz="0" w:space="0" w:color="auto"/>
                <w:left w:val="none" w:sz="0" w:space="0" w:color="auto"/>
                <w:bottom w:val="none" w:sz="0" w:space="0" w:color="auto"/>
                <w:right w:val="none" w:sz="0" w:space="0" w:color="auto"/>
              </w:divBdr>
            </w:div>
            <w:div w:id="1812476328">
              <w:marLeft w:val="0"/>
              <w:marRight w:val="0"/>
              <w:marTop w:val="0"/>
              <w:marBottom w:val="0"/>
              <w:divBdr>
                <w:top w:val="none" w:sz="0" w:space="0" w:color="auto"/>
                <w:left w:val="none" w:sz="0" w:space="0" w:color="auto"/>
                <w:bottom w:val="none" w:sz="0" w:space="0" w:color="auto"/>
                <w:right w:val="none" w:sz="0" w:space="0" w:color="auto"/>
              </w:divBdr>
            </w:div>
            <w:div w:id="426654331">
              <w:marLeft w:val="0"/>
              <w:marRight w:val="0"/>
              <w:marTop w:val="0"/>
              <w:marBottom w:val="0"/>
              <w:divBdr>
                <w:top w:val="none" w:sz="0" w:space="0" w:color="auto"/>
                <w:left w:val="none" w:sz="0" w:space="0" w:color="auto"/>
                <w:bottom w:val="none" w:sz="0" w:space="0" w:color="auto"/>
                <w:right w:val="none" w:sz="0" w:space="0" w:color="auto"/>
              </w:divBdr>
            </w:div>
            <w:div w:id="258831642">
              <w:marLeft w:val="0"/>
              <w:marRight w:val="0"/>
              <w:marTop w:val="0"/>
              <w:marBottom w:val="0"/>
              <w:divBdr>
                <w:top w:val="none" w:sz="0" w:space="0" w:color="auto"/>
                <w:left w:val="none" w:sz="0" w:space="0" w:color="auto"/>
                <w:bottom w:val="none" w:sz="0" w:space="0" w:color="auto"/>
                <w:right w:val="none" w:sz="0" w:space="0" w:color="auto"/>
              </w:divBdr>
            </w:div>
            <w:div w:id="21332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4</DocSecurity>
  <Lines>6</Lines>
  <Paragraphs>1</Paragraphs>
  <ScaleCrop>false</ScaleCrop>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zhaoqingling</dc:creator>
  <cp:lastModifiedBy>cnstock</cp:lastModifiedBy>
  <cp:revision>2</cp:revision>
  <dcterms:created xsi:type="dcterms:W3CDTF">2016-05-16T16:26:00Z</dcterms:created>
  <dcterms:modified xsi:type="dcterms:W3CDTF">2016-05-16T16:26:00Z</dcterms:modified>
</cp:coreProperties>
</file>