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CB6" w:rsidRPr="00754CB6" w:rsidRDefault="00D93FE4" w:rsidP="00754CB6">
      <w:pPr>
        <w:jc w:val="center"/>
        <w:rPr>
          <w:rFonts w:ascii="Verdana" w:eastAsia="宋体" w:hAnsi="Verdana" w:cs="Times New Roman"/>
          <w:b/>
          <w:bCs/>
          <w:sz w:val="28"/>
          <w:szCs w:val="28"/>
        </w:rPr>
      </w:pPr>
      <w:r>
        <w:rPr>
          <w:rFonts w:ascii="Verdana" w:eastAsia="宋体" w:hAnsi="Verdana" w:cs="Times New Roman" w:hint="eastAsia"/>
          <w:b/>
          <w:bCs/>
          <w:sz w:val="28"/>
          <w:szCs w:val="28"/>
        </w:rPr>
        <w:t>鹏华丰利分级债券型发起式证券投资基金</w:t>
      </w:r>
      <w:r w:rsidR="00B63F2B">
        <w:rPr>
          <w:rFonts w:ascii="Verdana" w:eastAsia="宋体" w:hAnsi="Verdana" w:cs="Times New Roman" w:hint="eastAsia"/>
          <w:b/>
          <w:bCs/>
          <w:sz w:val="28"/>
          <w:szCs w:val="28"/>
        </w:rPr>
        <w:t>分级</w:t>
      </w:r>
    </w:p>
    <w:p w:rsidR="00754CB6" w:rsidRPr="00754CB6" w:rsidRDefault="0093690E" w:rsidP="00754CB6">
      <w:pPr>
        <w:jc w:val="center"/>
        <w:rPr>
          <w:rFonts w:ascii="Verdana" w:eastAsia="宋体" w:hAnsi="Verdana" w:cs="Times New Roman"/>
          <w:b/>
          <w:bCs/>
          <w:sz w:val="28"/>
          <w:szCs w:val="28"/>
        </w:rPr>
      </w:pPr>
      <w:r w:rsidRPr="0093690E">
        <w:rPr>
          <w:rFonts w:ascii="Verdana" w:eastAsia="宋体" w:hAnsi="Verdana" w:cs="Times New Roman" w:hint="eastAsia"/>
          <w:b/>
          <w:bCs/>
          <w:sz w:val="28"/>
          <w:szCs w:val="28"/>
        </w:rPr>
        <w:t>运作期届满</w:t>
      </w:r>
      <w:r w:rsidR="00754CB6" w:rsidRPr="00754CB6">
        <w:rPr>
          <w:rFonts w:ascii="Verdana" w:eastAsia="宋体" w:hAnsi="Verdana" w:cs="Times New Roman" w:hint="eastAsia"/>
          <w:b/>
          <w:bCs/>
          <w:sz w:val="28"/>
          <w:szCs w:val="28"/>
        </w:rPr>
        <w:t>基金份额转换结果公告</w:t>
      </w:r>
    </w:p>
    <w:p w:rsidR="00754CB6" w:rsidRPr="00754CB6" w:rsidRDefault="00754CB6" w:rsidP="00754CB6">
      <w:pPr>
        <w:widowControl/>
        <w:spacing w:line="360" w:lineRule="auto"/>
        <w:ind w:firstLine="360"/>
        <w:jc w:val="left"/>
        <w:rPr>
          <w:rFonts w:ascii="Verdana" w:eastAsia="宋体" w:hAnsi="Verdana" w:cs="宋体"/>
          <w:kern w:val="0"/>
          <w:sz w:val="24"/>
          <w:szCs w:val="24"/>
        </w:rPr>
      </w:pPr>
      <w:r w:rsidRPr="00754CB6">
        <w:rPr>
          <w:rFonts w:ascii="Verdana" w:eastAsia="宋体" w:hAnsi="Verdana" w:cs="宋体" w:hint="eastAsia"/>
          <w:kern w:val="0"/>
          <w:sz w:val="24"/>
          <w:szCs w:val="24"/>
        </w:rPr>
        <w:t>《</w:t>
      </w:r>
      <w:r w:rsidR="00D93FE4">
        <w:rPr>
          <w:rFonts w:ascii="Verdana" w:eastAsia="宋体" w:hAnsi="Verdana" w:cs="宋体" w:hint="eastAsia"/>
          <w:kern w:val="0"/>
          <w:sz w:val="24"/>
          <w:szCs w:val="24"/>
        </w:rPr>
        <w:t>鹏华丰利分级债券型发起式证券投资基金</w:t>
      </w:r>
      <w:r w:rsidRPr="00754CB6">
        <w:rPr>
          <w:rFonts w:ascii="Verdana" w:eastAsia="宋体" w:hAnsi="Verdana" w:cs="宋体" w:hint="eastAsia"/>
          <w:kern w:val="0"/>
          <w:sz w:val="24"/>
          <w:szCs w:val="24"/>
        </w:rPr>
        <w:t>基金合同》（以下简称“基金合同”）于</w:t>
      </w:r>
      <w:r w:rsidR="00CD25F8">
        <w:rPr>
          <w:rFonts w:ascii="Verdana" w:eastAsia="宋体" w:hAnsi="Verdana" w:cs="宋体" w:hint="eastAsia"/>
          <w:kern w:val="0"/>
          <w:sz w:val="24"/>
          <w:szCs w:val="24"/>
        </w:rPr>
        <w:t>2013</w:t>
      </w:r>
      <w:r w:rsidRPr="00754CB6">
        <w:rPr>
          <w:rFonts w:ascii="Verdana" w:eastAsia="宋体" w:hAnsi="Verdana" w:cs="宋体" w:hint="eastAsia"/>
          <w:kern w:val="0"/>
          <w:sz w:val="24"/>
          <w:szCs w:val="24"/>
        </w:rPr>
        <w:t>年</w:t>
      </w:r>
      <w:r w:rsidR="00CD25F8">
        <w:rPr>
          <w:rFonts w:ascii="Verdana" w:eastAsia="宋体" w:hAnsi="Verdana" w:cs="宋体" w:hint="eastAsia"/>
          <w:kern w:val="0"/>
          <w:sz w:val="24"/>
          <w:szCs w:val="24"/>
        </w:rPr>
        <w:t>4</w:t>
      </w:r>
      <w:r w:rsidRPr="00754CB6">
        <w:rPr>
          <w:rFonts w:ascii="Verdana" w:eastAsia="宋体" w:hAnsi="Verdana" w:cs="宋体" w:hint="eastAsia"/>
          <w:kern w:val="0"/>
          <w:sz w:val="24"/>
          <w:szCs w:val="24"/>
        </w:rPr>
        <w:t>月</w:t>
      </w:r>
      <w:r w:rsidR="00CD25F8">
        <w:rPr>
          <w:rFonts w:ascii="Verdana" w:eastAsia="宋体" w:hAnsi="Verdana" w:cs="宋体" w:hint="eastAsia"/>
          <w:kern w:val="0"/>
          <w:sz w:val="24"/>
          <w:szCs w:val="24"/>
        </w:rPr>
        <w:t>23</w:t>
      </w:r>
      <w:r w:rsidRPr="00754CB6">
        <w:rPr>
          <w:rFonts w:ascii="Verdana" w:eastAsia="宋体" w:hAnsi="Verdana" w:cs="宋体" w:hint="eastAsia"/>
          <w:kern w:val="0"/>
          <w:sz w:val="24"/>
          <w:szCs w:val="24"/>
        </w:rPr>
        <w:t>日生效，根据《基金合同》的有关规定，</w:t>
      </w:r>
      <w:r w:rsidR="00D93FE4">
        <w:rPr>
          <w:rFonts w:ascii="Verdana" w:eastAsia="宋体" w:hAnsi="Verdana" w:cs="宋体" w:hint="eastAsia"/>
          <w:kern w:val="0"/>
          <w:sz w:val="24"/>
          <w:szCs w:val="24"/>
        </w:rPr>
        <w:t>鹏华丰利分级债券型发起式证券投资基金</w:t>
      </w:r>
      <w:r w:rsidRPr="00754CB6">
        <w:rPr>
          <w:rFonts w:ascii="Verdana" w:eastAsia="宋体" w:hAnsi="Verdana" w:cs="宋体" w:hint="eastAsia"/>
          <w:kern w:val="0"/>
          <w:sz w:val="24"/>
          <w:szCs w:val="24"/>
        </w:rPr>
        <w:t>（以下简称“本基金”）《基金合同》生效后三年基金分级运作期届满，在满足基金合同约定的存续条件下，本基金无需召开基金份额持有人大会，自动转换为上市开放式基金（</w:t>
      </w:r>
      <w:r w:rsidRPr="00754CB6">
        <w:rPr>
          <w:rFonts w:ascii="Verdana" w:eastAsia="宋体" w:hAnsi="Verdana" w:cs="宋体" w:hint="eastAsia"/>
          <w:kern w:val="0"/>
          <w:sz w:val="24"/>
          <w:szCs w:val="24"/>
        </w:rPr>
        <w:t>LOF</w:t>
      </w:r>
      <w:r w:rsidRPr="00754CB6">
        <w:rPr>
          <w:rFonts w:ascii="Verdana" w:eastAsia="宋体" w:hAnsi="Verdana" w:cs="宋体" w:hint="eastAsia"/>
          <w:kern w:val="0"/>
          <w:sz w:val="24"/>
          <w:szCs w:val="24"/>
        </w:rPr>
        <w:t>）。</w:t>
      </w:r>
    </w:p>
    <w:p w:rsidR="00754CB6" w:rsidRPr="00754CB6" w:rsidRDefault="00754CB6" w:rsidP="00754CB6">
      <w:pPr>
        <w:widowControl/>
        <w:spacing w:line="360" w:lineRule="auto"/>
        <w:ind w:firstLine="360"/>
        <w:jc w:val="left"/>
        <w:rPr>
          <w:rFonts w:ascii="Verdana" w:eastAsia="宋体" w:hAnsi="Verdana" w:cs="宋体"/>
          <w:kern w:val="0"/>
          <w:sz w:val="24"/>
          <w:szCs w:val="24"/>
        </w:rPr>
      </w:pPr>
      <w:r w:rsidRPr="00754CB6">
        <w:rPr>
          <w:rFonts w:ascii="Verdana" w:eastAsia="宋体" w:hAnsi="Verdana" w:cs="宋体" w:hint="eastAsia"/>
          <w:kern w:val="0"/>
          <w:sz w:val="24"/>
          <w:szCs w:val="24"/>
        </w:rPr>
        <w:t>根据基金合同以及鹏华基金管理有限公司（以下简称“本基金管理人”）披露的《</w:t>
      </w:r>
      <w:r w:rsidR="00D93FE4">
        <w:rPr>
          <w:rFonts w:ascii="Verdana" w:eastAsia="宋体" w:hAnsi="Verdana" w:cs="宋体" w:hint="eastAsia"/>
          <w:kern w:val="0"/>
          <w:sz w:val="24"/>
          <w:szCs w:val="24"/>
        </w:rPr>
        <w:t>鹏华丰利分级债券型发起式证券投资基金</w:t>
      </w:r>
      <w:r w:rsidRPr="00B63F2B">
        <w:rPr>
          <w:rFonts w:ascii="Verdana" w:eastAsia="宋体" w:hAnsi="Verdana" w:cs="宋体" w:hint="eastAsia"/>
          <w:kern w:val="0"/>
          <w:sz w:val="24"/>
          <w:szCs w:val="24"/>
        </w:rPr>
        <w:t>分级</w:t>
      </w:r>
      <w:r w:rsidRPr="00754CB6">
        <w:rPr>
          <w:rFonts w:ascii="Verdana" w:eastAsia="宋体" w:hAnsi="Verdana" w:cs="宋体" w:hint="eastAsia"/>
          <w:kern w:val="0"/>
          <w:sz w:val="24"/>
          <w:szCs w:val="24"/>
        </w:rPr>
        <w:t>运作期届满与基金份额转换的公告》，</w:t>
      </w:r>
      <w:r w:rsidRPr="00754CB6">
        <w:rPr>
          <w:rFonts w:ascii="Verdana" w:eastAsia="宋体" w:hAnsi="Verdana" w:cs="宋体" w:hint="eastAsia"/>
          <w:kern w:val="0"/>
          <w:sz w:val="24"/>
          <w:szCs w:val="24"/>
        </w:rPr>
        <w:t xml:space="preserve"> </w:t>
      </w:r>
      <w:r w:rsidRPr="00754CB6">
        <w:rPr>
          <w:rFonts w:ascii="Verdana" w:eastAsia="宋体" w:hAnsi="Verdana" w:cs="宋体" w:hint="eastAsia"/>
          <w:kern w:val="0"/>
          <w:sz w:val="24"/>
          <w:szCs w:val="24"/>
        </w:rPr>
        <w:t>在本基金基金份额转换日（即</w:t>
      </w:r>
      <w:r w:rsidR="00D93FE4">
        <w:rPr>
          <w:rFonts w:ascii="Verdana" w:eastAsia="宋体" w:hAnsi="Verdana" w:cs="宋体" w:hint="eastAsia"/>
          <w:kern w:val="0"/>
          <w:sz w:val="24"/>
          <w:szCs w:val="24"/>
        </w:rPr>
        <w:t>2016</w:t>
      </w:r>
      <w:r w:rsidRPr="00754CB6">
        <w:rPr>
          <w:rFonts w:ascii="Verdana" w:eastAsia="宋体" w:hAnsi="Verdana" w:cs="宋体" w:hint="eastAsia"/>
          <w:kern w:val="0"/>
          <w:sz w:val="24"/>
          <w:szCs w:val="24"/>
        </w:rPr>
        <w:t>年</w:t>
      </w:r>
      <w:r w:rsidR="00D93FE4">
        <w:rPr>
          <w:rFonts w:ascii="Verdana" w:eastAsia="宋体" w:hAnsi="Verdana" w:cs="宋体" w:hint="eastAsia"/>
          <w:kern w:val="0"/>
          <w:sz w:val="24"/>
          <w:szCs w:val="24"/>
        </w:rPr>
        <w:t>4</w:t>
      </w:r>
      <w:r w:rsidRPr="00754CB6">
        <w:rPr>
          <w:rFonts w:ascii="Verdana" w:eastAsia="宋体" w:hAnsi="Verdana" w:cs="宋体" w:hint="eastAsia"/>
          <w:kern w:val="0"/>
          <w:sz w:val="24"/>
          <w:szCs w:val="24"/>
        </w:rPr>
        <w:t>月</w:t>
      </w:r>
      <w:r w:rsidR="00D93FE4">
        <w:rPr>
          <w:rFonts w:ascii="Verdana" w:eastAsia="宋体" w:hAnsi="Verdana" w:cs="宋体" w:hint="eastAsia"/>
          <w:kern w:val="0"/>
          <w:sz w:val="24"/>
          <w:szCs w:val="24"/>
        </w:rPr>
        <w:t>25</w:t>
      </w:r>
      <w:r w:rsidRPr="00754CB6">
        <w:rPr>
          <w:rFonts w:ascii="Verdana" w:eastAsia="宋体" w:hAnsi="Verdana" w:cs="宋体" w:hint="eastAsia"/>
          <w:kern w:val="0"/>
          <w:sz w:val="24"/>
          <w:szCs w:val="24"/>
        </w:rPr>
        <w:t>日），本基金转换成上市开放式基金（</w:t>
      </w:r>
      <w:r w:rsidRPr="00754CB6">
        <w:rPr>
          <w:rFonts w:ascii="Verdana" w:eastAsia="宋体" w:hAnsi="Verdana" w:cs="宋体" w:hint="eastAsia"/>
          <w:kern w:val="0"/>
          <w:sz w:val="24"/>
          <w:szCs w:val="24"/>
        </w:rPr>
        <w:t>LOF</w:t>
      </w:r>
      <w:r w:rsidRPr="00754CB6">
        <w:rPr>
          <w:rFonts w:ascii="Verdana" w:eastAsia="宋体" w:hAnsi="Verdana" w:cs="宋体" w:hint="eastAsia"/>
          <w:kern w:val="0"/>
          <w:sz w:val="24"/>
          <w:szCs w:val="24"/>
        </w:rPr>
        <w:t>）后的基金份额净值调整为</w:t>
      </w:r>
      <w:r w:rsidRPr="00754CB6">
        <w:rPr>
          <w:rFonts w:ascii="Verdana" w:eastAsia="宋体" w:hAnsi="Verdana" w:cs="宋体" w:hint="eastAsia"/>
          <w:kern w:val="0"/>
          <w:sz w:val="24"/>
          <w:szCs w:val="24"/>
        </w:rPr>
        <w:t xml:space="preserve"> 1.000</w:t>
      </w:r>
      <w:r w:rsidRPr="00754CB6">
        <w:rPr>
          <w:rFonts w:ascii="Verdana" w:eastAsia="宋体" w:hAnsi="Verdana" w:cs="宋体" w:hint="eastAsia"/>
          <w:kern w:val="0"/>
          <w:sz w:val="24"/>
          <w:szCs w:val="24"/>
        </w:rPr>
        <w:t>元。</w:t>
      </w:r>
    </w:p>
    <w:p w:rsidR="00754CB6" w:rsidRPr="00754CB6" w:rsidRDefault="00754CB6" w:rsidP="00754CB6">
      <w:pPr>
        <w:widowControl/>
        <w:spacing w:line="360" w:lineRule="auto"/>
        <w:ind w:firstLine="360"/>
        <w:jc w:val="left"/>
        <w:rPr>
          <w:rFonts w:ascii="Verdana" w:eastAsia="宋体" w:hAnsi="Verdana" w:cs="宋体"/>
          <w:kern w:val="0"/>
          <w:sz w:val="24"/>
          <w:szCs w:val="24"/>
        </w:rPr>
      </w:pPr>
      <w:r w:rsidRPr="00754CB6">
        <w:rPr>
          <w:rFonts w:ascii="Verdana" w:eastAsia="宋体" w:hAnsi="Verdana" w:cs="宋体" w:hint="eastAsia"/>
          <w:kern w:val="0"/>
          <w:sz w:val="24"/>
          <w:szCs w:val="24"/>
        </w:rPr>
        <w:t>本基金基金份额转换日日终，基金管理人将根据</w:t>
      </w:r>
      <w:r w:rsidR="00041FA0">
        <w:rPr>
          <w:rFonts w:ascii="Verdana" w:eastAsia="宋体" w:hAnsi="Verdana" w:cs="宋体" w:hint="eastAsia"/>
          <w:kern w:val="0"/>
          <w:sz w:val="24"/>
          <w:szCs w:val="24"/>
        </w:rPr>
        <w:t>丰利</w:t>
      </w:r>
      <w:r w:rsidRPr="00754CB6">
        <w:rPr>
          <w:rFonts w:ascii="Verdana" w:eastAsia="宋体" w:hAnsi="Verdana" w:cs="宋体" w:hint="eastAsia"/>
          <w:kern w:val="0"/>
          <w:sz w:val="24"/>
          <w:szCs w:val="24"/>
        </w:rPr>
        <w:t xml:space="preserve"> A </w:t>
      </w:r>
      <w:r w:rsidRPr="00754CB6">
        <w:rPr>
          <w:rFonts w:ascii="Verdana" w:eastAsia="宋体" w:hAnsi="Verdana" w:cs="宋体" w:hint="eastAsia"/>
          <w:kern w:val="0"/>
          <w:sz w:val="24"/>
          <w:szCs w:val="24"/>
        </w:rPr>
        <w:t>和</w:t>
      </w:r>
      <w:r w:rsidR="00041FA0">
        <w:rPr>
          <w:rFonts w:ascii="Verdana" w:eastAsia="宋体" w:hAnsi="Verdana" w:cs="宋体" w:hint="eastAsia"/>
          <w:kern w:val="0"/>
          <w:sz w:val="24"/>
          <w:szCs w:val="24"/>
        </w:rPr>
        <w:t>丰利</w:t>
      </w:r>
      <w:r w:rsidRPr="00754CB6">
        <w:rPr>
          <w:rFonts w:ascii="Verdana" w:eastAsia="宋体" w:hAnsi="Verdana" w:cs="宋体" w:hint="eastAsia"/>
          <w:kern w:val="0"/>
          <w:sz w:val="24"/>
          <w:szCs w:val="24"/>
        </w:rPr>
        <w:t xml:space="preserve"> B </w:t>
      </w:r>
      <w:r w:rsidRPr="00754CB6">
        <w:rPr>
          <w:rFonts w:ascii="Verdana" w:eastAsia="宋体" w:hAnsi="Verdana" w:cs="宋体" w:hint="eastAsia"/>
          <w:kern w:val="0"/>
          <w:sz w:val="24"/>
          <w:szCs w:val="24"/>
        </w:rPr>
        <w:t>基金份额转</w:t>
      </w:r>
      <w:r w:rsidR="00041FA0">
        <w:rPr>
          <w:rFonts w:ascii="Verdana" w:eastAsia="宋体" w:hAnsi="Verdana" w:cs="宋体" w:hint="eastAsia"/>
          <w:kern w:val="0"/>
          <w:sz w:val="24"/>
          <w:szCs w:val="24"/>
        </w:rPr>
        <w:t>换比例对基金份额持有人基金份额转换日登记在册的基金份额实施转换。</w:t>
      </w:r>
      <w:r w:rsidRPr="00754CB6">
        <w:rPr>
          <w:rFonts w:ascii="Verdana" w:eastAsia="宋体" w:hAnsi="Verdana" w:cs="宋体" w:hint="eastAsia"/>
          <w:kern w:val="0"/>
          <w:sz w:val="24"/>
          <w:szCs w:val="24"/>
        </w:rPr>
        <w:t>以份额转换后</w:t>
      </w:r>
      <w:r w:rsidRPr="00754CB6">
        <w:rPr>
          <w:rFonts w:ascii="Verdana" w:eastAsia="宋体" w:hAnsi="Verdana" w:cs="宋体" w:hint="eastAsia"/>
          <w:kern w:val="0"/>
          <w:sz w:val="24"/>
          <w:szCs w:val="24"/>
        </w:rPr>
        <w:t xml:space="preserve"> 1.000 </w:t>
      </w:r>
      <w:r w:rsidRPr="00754CB6">
        <w:rPr>
          <w:rFonts w:ascii="Verdana" w:eastAsia="宋体" w:hAnsi="Verdana" w:cs="宋体" w:hint="eastAsia"/>
          <w:kern w:val="0"/>
          <w:sz w:val="24"/>
          <w:szCs w:val="24"/>
        </w:rPr>
        <w:t>元的基金份额净值为基准，</w:t>
      </w:r>
      <w:r w:rsidR="00041FA0">
        <w:rPr>
          <w:rFonts w:ascii="Verdana" w:eastAsia="宋体" w:hAnsi="Verdana" w:cs="宋体" w:hint="eastAsia"/>
          <w:kern w:val="0"/>
          <w:sz w:val="24"/>
          <w:szCs w:val="24"/>
        </w:rPr>
        <w:t>丰利</w:t>
      </w:r>
      <w:r w:rsidRPr="00754CB6">
        <w:rPr>
          <w:rFonts w:ascii="Verdana" w:eastAsia="宋体" w:hAnsi="Verdana" w:cs="宋体" w:hint="eastAsia"/>
          <w:kern w:val="0"/>
          <w:sz w:val="24"/>
          <w:szCs w:val="24"/>
        </w:rPr>
        <w:t xml:space="preserve"> A</w:t>
      </w:r>
      <w:r w:rsidRPr="00754CB6">
        <w:rPr>
          <w:rFonts w:ascii="Verdana" w:eastAsia="宋体" w:hAnsi="Verdana" w:cs="宋体" w:hint="eastAsia"/>
          <w:kern w:val="0"/>
          <w:sz w:val="24"/>
          <w:szCs w:val="24"/>
        </w:rPr>
        <w:t>、</w:t>
      </w:r>
      <w:r w:rsidR="00041FA0">
        <w:rPr>
          <w:rFonts w:ascii="Verdana" w:eastAsia="宋体" w:hAnsi="Verdana" w:cs="宋体" w:hint="eastAsia"/>
          <w:kern w:val="0"/>
          <w:sz w:val="24"/>
          <w:szCs w:val="24"/>
        </w:rPr>
        <w:t>丰利</w:t>
      </w:r>
      <w:r w:rsidRPr="00754CB6">
        <w:rPr>
          <w:rFonts w:ascii="Verdana" w:eastAsia="宋体" w:hAnsi="Verdana" w:cs="宋体" w:hint="eastAsia"/>
          <w:kern w:val="0"/>
          <w:sz w:val="24"/>
          <w:szCs w:val="24"/>
        </w:rPr>
        <w:t xml:space="preserve"> B </w:t>
      </w:r>
      <w:r w:rsidRPr="00754CB6">
        <w:rPr>
          <w:rFonts w:ascii="Verdana" w:eastAsia="宋体" w:hAnsi="Verdana" w:cs="宋体" w:hint="eastAsia"/>
          <w:kern w:val="0"/>
          <w:sz w:val="24"/>
          <w:szCs w:val="24"/>
        </w:rPr>
        <w:t>按照各自的基金份额净值转换成上市开放式基金（</w:t>
      </w:r>
      <w:r w:rsidRPr="00754CB6">
        <w:rPr>
          <w:rFonts w:ascii="Verdana" w:eastAsia="宋体" w:hAnsi="Verdana" w:cs="宋体" w:hint="eastAsia"/>
          <w:kern w:val="0"/>
          <w:sz w:val="24"/>
          <w:szCs w:val="24"/>
        </w:rPr>
        <w:t>LOF</w:t>
      </w:r>
      <w:r w:rsidRPr="00754CB6">
        <w:rPr>
          <w:rFonts w:ascii="Verdana" w:eastAsia="宋体" w:hAnsi="Verdana" w:cs="宋体" w:hint="eastAsia"/>
          <w:kern w:val="0"/>
          <w:sz w:val="24"/>
          <w:szCs w:val="24"/>
        </w:rPr>
        <w:t>）份额。</w:t>
      </w:r>
      <w:r w:rsidR="00041FA0">
        <w:rPr>
          <w:rFonts w:ascii="Verdana" w:eastAsia="宋体" w:hAnsi="Verdana" w:cs="宋体" w:hint="eastAsia"/>
          <w:kern w:val="0"/>
          <w:sz w:val="24"/>
          <w:szCs w:val="24"/>
        </w:rPr>
        <w:t>丰利</w:t>
      </w:r>
      <w:r w:rsidRPr="00754CB6">
        <w:rPr>
          <w:rFonts w:ascii="Verdana" w:eastAsia="宋体" w:hAnsi="Verdana" w:cs="宋体" w:hint="eastAsia"/>
          <w:kern w:val="0"/>
          <w:sz w:val="24"/>
          <w:szCs w:val="24"/>
        </w:rPr>
        <w:t xml:space="preserve"> A</w:t>
      </w:r>
      <w:r w:rsidR="0024341A" w:rsidRPr="00754CB6">
        <w:rPr>
          <w:rFonts w:ascii="Verdana" w:eastAsia="宋体" w:hAnsi="Verdana" w:cs="宋体" w:hint="eastAsia"/>
          <w:kern w:val="0"/>
          <w:sz w:val="24"/>
          <w:szCs w:val="24"/>
        </w:rPr>
        <w:t>、</w:t>
      </w:r>
      <w:r w:rsidR="0024341A">
        <w:rPr>
          <w:rFonts w:ascii="Verdana" w:eastAsia="宋体" w:hAnsi="Verdana" w:cs="宋体" w:hint="eastAsia"/>
          <w:kern w:val="0"/>
          <w:sz w:val="24"/>
          <w:szCs w:val="24"/>
        </w:rPr>
        <w:t>丰利</w:t>
      </w:r>
      <w:r w:rsidR="0024341A" w:rsidRPr="00754CB6">
        <w:rPr>
          <w:rFonts w:ascii="Verdana" w:eastAsia="宋体" w:hAnsi="Verdana" w:cs="宋体" w:hint="eastAsia"/>
          <w:kern w:val="0"/>
          <w:sz w:val="24"/>
          <w:szCs w:val="24"/>
        </w:rPr>
        <w:t xml:space="preserve"> B</w:t>
      </w:r>
      <w:r w:rsidR="0024341A">
        <w:rPr>
          <w:rFonts w:ascii="Verdana" w:eastAsia="宋体" w:hAnsi="Verdana" w:cs="宋体" w:hint="eastAsia"/>
          <w:kern w:val="0"/>
          <w:sz w:val="24"/>
          <w:szCs w:val="24"/>
        </w:rPr>
        <w:t>的场外</w:t>
      </w:r>
      <w:r w:rsidRPr="00754CB6">
        <w:rPr>
          <w:rFonts w:ascii="Verdana" w:eastAsia="宋体" w:hAnsi="Verdana" w:cs="宋体" w:hint="eastAsia"/>
          <w:kern w:val="0"/>
          <w:sz w:val="24"/>
          <w:szCs w:val="24"/>
        </w:rPr>
        <w:t>份额将转换为上市开放式基金（</w:t>
      </w:r>
      <w:r w:rsidRPr="00754CB6">
        <w:rPr>
          <w:rFonts w:ascii="Verdana" w:eastAsia="宋体" w:hAnsi="Verdana" w:cs="宋体" w:hint="eastAsia"/>
          <w:kern w:val="0"/>
          <w:sz w:val="24"/>
          <w:szCs w:val="24"/>
        </w:rPr>
        <w:t>LOF</w:t>
      </w:r>
      <w:r w:rsidRPr="00754CB6">
        <w:rPr>
          <w:rFonts w:ascii="Verdana" w:eastAsia="宋体" w:hAnsi="Verdana" w:cs="宋体" w:hint="eastAsia"/>
          <w:kern w:val="0"/>
          <w:sz w:val="24"/>
          <w:szCs w:val="24"/>
        </w:rPr>
        <w:t>）场外份额，</w:t>
      </w:r>
      <w:r w:rsidR="00041FA0">
        <w:rPr>
          <w:rFonts w:ascii="Verdana" w:eastAsia="宋体" w:hAnsi="Verdana" w:cs="宋体" w:hint="eastAsia"/>
          <w:kern w:val="0"/>
          <w:sz w:val="24"/>
          <w:szCs w:val="24"/>
        </w:rPr>
        <w:t>丰利</w:t>
      </w:r>
      <w:r w:rsidRPr="00754CB6">
        <w:rPr>
          <w:rFonts w:ascii="Verdana" w:eastAsia="宋体" w:hAnsi="Verdana" w:cs="宋体" w:hint="eastAsia"/>
          <w:kern w:val="0"/>
          <w:sz w:val="24"/>
          <w:szCs w:val="24"/>
        </w:rPr>
        <w:t xml:space="preserve"> B </w:t>
      </w:r>
      <w:r w:rsidR="0024341A">
        <w:rPr>
          <w:rFonts w:ascii="Verdana" w:eastAsia="宋体" w:hAnsi="Verdana" w:cs="宋体" w:hint="eastAsia"/>
          <w:kern w:val="0"/>
          <w:sz w:val="24"/>
          <w:szCs w:val="24"/>
        </w:rPr>
        <w:t>的</w:t>
      </w:r>
      <w:r w:rsidR="0024341A" w:rsidRPr="00754CB6">
        <w:rPr>
          <w:rFonts w:ascii="Verdana" w:eastAsia="宋体" w:hAnsi="Verdana" w:cs="宋体" w:hint="eastAsia"/>
          <w:kern w:val="0"/>
          <w:sz w:val="24"/>
          <w:szCs w:val="24"/>
        </w:rPr>
        <w:t>场内</w:t>
      </w:r>
      <w:r w:rsidRPr="00754CB6">
        <w:rPr>
          <w:rFonts w:ascii="Verdana" w:eastAsia="宋体" w:hAnsi="Verdana" w:cs="宋体" w:hint="eastAsia"/>
          <w:kern w:val="0"/>
          <w:sz w:val="24"/>
          <w:szCs w:val="24"/>
        </w:rPr>
        <w:t>份额将转换为上市开放式基金（</w:t>
      </w:r>
      <w:r w:rsidRPr="00754CB6">
        <w:rPr>
          <w:rFonts w:ascii="Verdana" w:eastAsia="宋体" w:hAnsi="Verdana" w:cs="宋体" w:hint="eastAsia"/>
          <w:kern w:val="0"/>
          <w:sz w:val="24"/>
          <w:szCs w:val="24"/>
        </w:rPr>
        <w:t>LOF</w:t>
      </w:r>
      <w:r w:rsidRPr="00754CB6">
        <w:rPr>
          <w:rFonts w:ascii="Verdana" w:eastAsia="宋体" w:hAnsi="Verdana" w:cs="宋体" w:hint="eastAsia"/>
          <w:kern w:val="0"/>
          <w:sz w:val="24"/>
          <w:szCs w:val="24"/>
        </w:rPr>
        <w:t>）场内份额。转换后，基金份额持有人持有的基金份额数将按照转换规则相应增加或减少。</w:t>
      </w:r>
    </w:p>
    <w:p w:rsidR="00754CB6" w:rsidRDefault="00754CB6" w:rsidP="00754CB6">
      <w:pPr>
        <w:widowControl/>
        <w:spacing w:line="360" w:lineRule="auto"/>
        <w:ind w:firstLine="360"/>
        <w:jc w:val="left"/>
        <w:rPr>
          <w:rFonts w:ascii="Verdana" w:eastAsia="宋体" w:hAnsi="Verdana" w:cs="宋体"/>
          <w:kern w:val="0"/>
          <w:sz w:val="24"/>
          <w:szCs w:val="24"/>
        </w:rPr>
      </w:pPr>
      <w:r w:rsidRPr="00754CB6">
        <w:rPr>
          <w:rFonts w:ascii="Verdana" w:eastAsia="宋体" w:hAnsi="Verdana" w:cs="宋体" w:hint="eastAsia"/>
          <w:kern w:val="0"/>
          <w:sz w:val="24"/>
          <w:szCs w:val="24"/>
        </w:rPr>
        <w:t>现将份额转换结果公告如下表：</w:t>
      </w:r>
    </w:p>
    <w:tbl>
      <w:tblPr>
        <w:tblStyle w:val="a5"/>
        <w:tblW w:w="6321" w:type="pct"/>
        <w:tblInd w:w="-1026" w:type="dxa"/>
        <w:tblLook w:val="04A0"/>
      </w:tblPr>
      <w:tblGrid>
        <w:gridCol w:w="1247"/>
        <w:gridCol w:w="1387"/>
        <w:gridCol w:w="2094"/>
        <w:gridCol w:w="1529"/>
        <w:gridCol w:w="2381"/>
        <w:gridCol w:w="2136"/>
      </w:tblGrid>
      <w:tr w:rsidR="00D64F8E" w:rsidTr="00CF1061">
        <w:trPr>
          <w:trHeight w:val="702"/>
        </w:trPr>
        <w:tc>
          <w:tcPr>
            <w:tcW w:w="593" w:type="pct"/>
            <w:vAlign w:val="center"/>
          </w:tcPr>
          <w:p w:rsidR="00E855A7" w:rsidRPr="00D64F8E" w:rsidRDefault="00E855A7" w:rsidP="00D64F8E">
            <w:pPr>
              <w:jc w:val="center"/>
              <w:rPr>
                <w:rFonts w:ascii="Verdana" w:eastAsia="宋体" w:hAnsi="Verdana" w:cs="宋体"/>
                <w:b/>
                <w:kern w:val="0"/>
                <w:sz w:val="24"/>
                <w:szCs w:val="24"/>
              </w:rPr>
            </w:pPr>
            <w:r w:rsidRPr="00D64F8E">
              <w:rPr>
                <w:rFonts w:ascii="Verdana" w:eastAsia="宋体" w:hAnsi="Verdana" w:cs="宋体" w:hint="eastAsia"/>
                <w:b/>
                <w:kern w:val="0"/>
                <w:sz w:val="24"/>
                <w:szCs w:val="24"/>
              </w:rPr>
              <w:t>转换前的基金份额</w:t>
            </w:r>
          </w:p>
        </w:tc>
        <w:tc>
          <w:tcPr>
            <w:tcW w:w="658" w:type="pct"/>
            <w:vAlign w:val="center"/>
          </w:tcPr>
          <w:p w:rsidR="00E855A7" w:rsidRPr="00D64F8E" w:rsidRDefault="00E855A7" w:rsidP="00D64F8E">
            <w:pPr>
              <w:jc w:val="center"/>
              <w:rPr>
                <w:rFonts w:ascii="Verdana" w:eastAsia="宋体" w:hAnsi="Verdana" w:cs="宋体"/>
                <w:b/>
                <w:kern w:val="0"/>
                <w:sz w:val="24"/>
                <w:szCs w:val="24"/>
              </w:rPr>
            </w:pPr>
            <w:r w:rsidRPr="00D64F8E">
              <w:rPr>
                <w:rFonts w:ascii="Verdana" w:eastAsia="宋体" w:hAnsi="Verdana" w:cs="宋体" w:hint="eastAsia"/>
                <w:b/>
                <w:kern w:val="0"/>
                <w:sz w:val="24"/>
                <w:szCs w:val="24"/>
              </w:rPr>
              <w:t>转换前份额净值（元）</w:t>
            </w:r>
          </w:p>
        </w:tc>
        <w:tc>
          <w:tcPr>
            <w:tcW w:w="986" w:type="pct"/>
            <w:vAlign w:val="center"/>
          </w:tcPr>
          <w:p w:rsidR="00E855A7" w:rsidRPr="00D64F8E" w:rsidRDefault="00E855A7" w:rsidP="00D64F8E">
            <w:pPr>
              <w:jc w:val="center"/>
              <w:rPr>
                <w:rFonts w:ascii="Verdana" w:eastAsia="宋体" w:hAnsi="Verdana" w:cs="宋体"/>
                <w:b/>
                <w:kern w:val="0"/>
                <w:sz w:val="24"/>
                <w:szCs w:val="24"/>
              </w:rPr>
            </w:pPr>
            <w:r w:rsidRPr="00D64F8E">
              <w:rPr>
                <w:rFonts w:ascii="Verdana" w:eastAsia="宋体" w:hAnsi="Verdana" w:cs="宋体" w:hint="eastAsia"/>
                <w:b/>
                <w:kern w:val="0"/>
                <w:sz w:val="24"/>
                <w:szCs w:val="24"/>
              </w:rPr>
              <w:t>转换前基金份额数量（份）</w:t>
            </w:r>
          </w:p>
        </w:tc>
        <w:tc>
          <w:tcPr>
            <w:tcW w:w="724" w:type="pct"/>
            <w:vAlign w:val="center"/>
          </w:tcPr>
          <w:p w:rsidR="00E855A7" w:rsidRPr="00D64F8E" w:rsidRDefault="00911557" w:rsidP="00D64F8E">
            <w:pPr>
              <w:jc w:val="center"/>
              <w:rPr>
                <w:rFonts w:ascii="Verdana" w:eastAsia="宋体" w:hAnsi="Verdana" w:cs="宋体"/>
                <w:b/>
                <w:kern w:val="0"/>
                <w:sz w:val="24"/>
                <w:szCs w:val="24"/>
              </w:rPr>
            </w:pPr>
            <w:r w:rsidRPr="00D64F8E">
              <w:rPr>
                <w:rFonts w:ascii="Verdana" w:eastAsia="宋体" w:hAnsi="Verdana" w:cs="宋体" w:hint="eastAsia"/>
                <w:b/>
                <w:kern w:val="0"/>
                <w:sz w:val="24"/>
                <w:szCs w:val="24"/>
              </w:rPr>
              <w:t>转</w:t>
            </w:r>
            <w:r w:rsidR="00E855A7" w:rsidRPr="00D64F8E">
              <w:rPr>
                <w:rFonts w:ascii="Verdana" w:eastAsia="宋体" w:hAnsi="Verdana" w:cs="宋体" w:hint="eastAsia"/>
                <w:b/>
                <w:kern w:val="0"/>
                <w:sz w:val="24"/>
                <w:szCs w:val="24"/>
              </w:rPr>
              <w:t>换比例</w:t>
            </w:r>
          </w:p>
        </w:tc>
        <w:tc>
          <w:tcPr>
            <w:tcW w:w="1119" w:type="pct"/>
            <w:vAlign w:val="center"/>
          </w:tcPr>
          <w:p w:rsidR="00E855A7" w:rsidRPr="00D64F8E" w:rsidRDefault="00D966A1" w:rsidP="00D64F8E">
            <w:pPr>
              <w:jc w:val="center"/>
              <w:rPr>
                <w:rFonts w:ascii="Verdana" w:eastAsia="宋体" w:hAnsi="Verdana" w:cs="宋体"/>
                <w:b/>
                <w:kern w:val="0"/>
                <w:sz w:val="24"/>
                <w:szCs w:val="24"/>
              </w:rPr>
            </w:pPr>
            <w:r w:rsidRPr="00D64F8E">
              <w:rPr>
                <w:rFonts w:ascii="Verdana" w:eastAsia="宋体" w:hAnsi="Verdana" w:cs="宋体" w:hint="eastAsia"/>
                <w:b/>
                <w:kern w:val="0"/>
                <w:sz w:val="24"/>
                <w:szCs w:val="24"/>
              </w:rPr>
              <w:t>转</w:t>
            </w:r>
            <w:r w:rsidR="00E855A7" w:rsidRPr="00D64F8E">
              <w:rPr>
                <w:rFonts w:ascii="Verdana" w:eastAsia="宋体" w:hAnsi="Verdana" w:cs="宋体" w:hint="eastAsia"/>
                <w:b/>
                <w:kern w:val="0"/>
                <w:sz w:val="24"/>
                <w:szCs w:val="24"/>
              </w:rPr>
              <w:t>换后的基金份额</w:t>
            </w:r>
          </w:p>
        </w:tc>
        <w:tc>
          <w:tcPr>
            <w:tcW w:w="920" w:type="pct"/>
            <w:vAlign w:val="center"/>
          </w:tcPr>
          <w:p w:rsidR="00E855A7" w:rsidRPr="00D64F8E" w:rsidRDefault="00E855A7" w:rsidP="00D64F8E">
            <w:pPr>
              <w:jc w:val="center"/>
              <w:rPr>
                <w:rFonts w:ascii="Verdana" w:eastAsia="宋体" w:hAnsi="Verdana" w:cs="宋体"/>
                <w:b/>
                <w:kern w:val="0"/>
                <w:sz w:val="24"/>
                <w:szCs w:val="24"/>
              </w:rPr>
            </w:pPr>
            <w:r w:rsidRPr="00D64F8E">
              <w:rPr>
                <w:rFonts w:ascii="Verdana" w:eastAsia="宋体" w:hAnsi="Verdana" w:cs="宋体" w:hint="eastAsia"/>
                <w:b/>
                <w:kern w:val="0"/>
                <w:sz w:val="24"/>
                <w:szCs w:val="24"/>
              </w:rPr>
              <w:t>转换后基金份额数量（份）</w:t>
            </w:r>
          </w:p>
        </w:tc>
      </w:tr>
      <w:tr w:rsidR="00D64F8E" w:rsidTr="00CF1061">
        <w:tc>
          <w:tcPr>
            <w:tcW w:w="593" w:type="pct"/>
          </w:tcPr>
          <w:p w:rsidR="00E855A7" w:rsidRPr="00E81CD2" w:rsidRDefault="00911557" w:rsidP="00754CB6">
            <w:pPr>
              <w:widowControl/>
              <w:spacing w:line="360" w:lineRule="auto"/>
              <w:jc w:val="left"/>
              <w:rPr>
                <w:rFonts w:asciiTheme="minorEastAsia" w:hAnsiTheme="minorEastAsia" w:cs="宋体"/>
                <w:kern w:val="0"/>
                <w:sz w:val="24"/>
                <w:szCs w:val="24"/>
              </w:rPr>
            </w:pPr>
            <w:r w:rsidRPr="00E81CD2">
              <w:rPr>
                <w:rFonts w:asciiTheme="minorEastAsia" w:hAnsiTheme="minorEastAsia" w:cs="宋体" w:hint="eastAsia"/>
                <w:kern w:val="0"/>
                <w:sz w:val="24"/>
                <w:szCs w:val="24"/>
              </w:rPr>
              <w:t>丰利A</w:t>
            </w:r>
          </w:p>
        </w:tc>
        <w:tc>
          <w:tcPr>
            <w:tcW w:w="658" w:type="pct"/>
          </w:tcPr>
          <w:p w:rsidR="00E855A7" w:rsidRPr="00E81CD2" w:rsidRDefault="00DE3A80" w:rsidP="00754CB6">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1.000</w:t>
            </w:r>
          </w:p>
        </w:tc>
        <w:tc>
          <w:tcPr>
            <w:tcW w:w="986" w:type="pct"/>
          </w:tcPr>
          <w:p w:rsidR="00E855A7" w:rsidRPr="00E81CD2" w:rsidRDefault="00A36286" w:rsidP="005E69CE">
            <w:pPr>
              <w:widowControl/>
              <w:spacing w:line="360" w:lineRule="auto"/>
              <w:jc w:val="right"/>
              <w:rPr>
                <w:rFonts w:asciiTheme="minorEastAsia" w:hAnsiTheme="minorEastAsia" w:cs="宋体"/>
                <w:kern w:val="0"/>
                <w:sz w:val="24"/>
                <w:szCs w:val="24"/>
              </w:rPr>
            </w:pPr>
            <w:r w:rsidRPr="00E81CD2">
              <w:rPr>
                <w:rFonts w:asciiTheme="minorEastAsia" w:hAnsiTheme="minorEastAsia" w:cs="宋体"/>
                <w:kern w:val="0"/>
                <w:sz w:val="24"/>
                <w:szCs w:val="24"/>
              </w:rPr>
              <w:t>31</w:t>
            </w:r>
            <w:r w:rsidRPr="00E81CD2">
              <w:rPr>
                <w:rFonts w:asciiTheme="minorEastAsia" w:hAnsiTheme="minorEastAsia" w:cs="宋体" w:hint="eastAsia"/>
                <w:kern w:val="0"/>
                <w:sz w:val="24"/>
                <w:szCs w:val="24"/>
              </w:rPr>
              <w:t>,</w:t>
            </w:r>
            <w:r w:rsidRPr="00E81CD2">
              <w:rPr>
                <w:rFonts w:asciiTheme="minorEastAsia" w:hAnsiTheme="minorEastAsia" w:cs="宋体"/>
                <w:kern w:val="0"/>
                <w:sz w:val="24"/>
                <w:szCs w:val="24"/>
              </w:rPr>
              <w:t>436</w:t>
            </w:r>
            <w:r w:rsidRPr="00E81CD2">
              <w:rPr>
                <w:rFonts w:asciiTheme="minorEastAsia" w:hAnsiTheme="minorEastAsia" w:cs="宋体" w:hint="eastAsia"/>
                <w:kern w:val="0"/>
                <w:sz w:val="24"/>
                <w:szCs w:val="24"/>
              </w:rPr>
              <w:t>,</w:t>
            </w:r>
            <w:r w:rsidRPr="00E81CD2">
              <w:rPr>
                <w:rFonts w:asciiTheme="minorEastAsia" w:hAnsiTheme="minorEastAsia" w:cs="宋体"/>
                <w:kern w:val="0"/>
                <w:sz w:val="24"/>
                <w:szCs w:val="24"/>
              </w:rPr>
              <w:t>555.08</w:t>
            </w:r>
          </w:p>
        </w:tc>
        <w:tc>
          <w:tcPr>
            <w:tcW w:w="724" w:type="pct"/>
          </w:tcPr>
          <w:p w:rsidR="00E855A7" w:rsidRPr="00E81CD2" w:rsidRDefault="00D54A6F" w:rsidP="00754CB6">
            <w:pPr>
              <w:widowControl/>
              <w:spacing w:line="360" w:lineRule="auto"/>
              <w:jc w:val="left"/>
              <w:rPr>
                <w:rFonts w:asciiTheme="minorEastAsia" w:hAnsiTheme="minorEastAsia" w:cs="宋体"/>
                <w:kern w:val="0"/>
                <w:sz w:val="24"/>
                <w:szCs w:val="24"/>
              </w:rPr>
            </w:pPr>
            <w:r w:rsidRPr="00E81CD2">
              <w:rPr>
                <w:rFonts w:asciiTheme="minorEastAsia" w:hAnsiTheme="minorEastAsia"/>
                <w:sz w:val="24"/>
                <w:szCs w:val="24"/>
              </w:rPr>
              <w:t>1.00023770</w:t>
            </w:r>
          </w:p>
        </w:tc>
        <w:tc>
          <w:tcPr>
            <w:tcW w:w="1119" w:type="pct"/>
          </w:tcPr>
          <w:p w:rsidR="00E855A7" w:rsidRPr="00E81CD2" w:rsidRDefault="00D64F8E" w:rsidP="00422060">
            <w:pPr>
              <w:widowControl/>
              <w:spacing w:line="360" w:lineRule="auto"/>
              <w:jc w:val="left"/>
              <w:rPr>
                <w:rFonts w:asciiTheme="minorEastAsia" w:hAnsiTheme="minorEastAsia" w:cs="宋体"/>
                <w:kern w:val="0"/>
                <w:sz w:val="24"/>
                <w:szCs w:val="24"/>
              </w:rPr>
            </w:pPr>
            <w:r w:rsidRPr="00E81CD2">
              <w:rPr>
                <w:rFonts w:asciiTheme="minorEastAsia" w:hAnsiTheme="minorEastAsia" w:cs="宋体" w:hint="eastAsia"/>
                <w:kern w:val="0"/>
                <w:sz w:val="24"/>
                <w:szCs w:val="24"/>
              </w:rPr>
              <w:t>鹏华丰利</w:t>
            </w:r>
            <w:r w:rsidR="005E69CE">
              <w:rPr>
                <w:rFonts w:asciiTheme="minorEastAsia" w:hAnsiTheme="minorEastAsia" w:cs="宋体" w:hint="eastAsia"/>
                <w:kern w:val="0"/>
                <w:sz w:val="24"/>
                <w:szCs w:val="24"/>
              </w:rPr>
              <w:t>债券</w:t>
            </w:r>
            <w:r w:rsidRPr="00E81CD2">
              <w:rPr>
                <w:rFonts w:asciiTheme="minorEastAsia" w:hAnsiTheme="minorEastAsia" w:cs="宋体" w:hint="eastAsia"/>
                <w:kern w:val="0"/>
                <w:sz w:val="24"/>
                <w:szCs w:val="24"/>
              </w:rPr>
              <w:t>（LOF）</w:t>
            </w:r>
          </w:p>
        </w:tc>
        <w:tc>
          <w:tcPr>
            <w:tcW w:w="920" w:type="pct"/>
          </w:tcPr>
          <w:p w:rsidR="00E855A7" w:rsidRPr="00E81CD2" w:rsidRDefault="00A36286" w:rsidP="005E69CE">
            <w:pPr>
              <w:widowControl/>
              <w:spacing w:line="360" w:lineRule="auto"/>
              <w:jc w:val="right"/>
              <w:rPr>
                <w:rFonts w:asciiTheme="minorEastAsia" w:hAnsiTheme="minorEastAsia" w:cs="宋体"/>
                <w:kern w:val="0"/>
                <w:sz w:val="24"/>
                <w:szCs w:val="24"/>
              </w:rPr>
            </w:pPr>
            <w:r w:rsidRPr="00E81CD2">
              <w:rPr>
                <w:rFonts w:asciiTheme="minorEastAsia" w:hAnsiTheme="minorEastAsia" w:cs="宋体"/>
                <w:kern w:val="0"/>
                <w:sz w:val="24"/>
                <w:szCs w:val="24"/>
              </w:rPr>
              <w:t>31</w:t>
            </w:r>
            <w:r w:rsidRPr="00E81CD2">
              <w:rPr>
                <w:rFonts w:asciiTheme="minorEastAsia" w:hAnsiTheme="minorEastAsia" w:cs="宋体" w:hint="eastAsia"/>
                <w:kern w:val="0"/>
                <w:sz w:val="24"/>
                <w:szCs w:val="24"/>
              </w:rPr>
              <w:t>,</w:t>
            </w:r>
            <w:r w:rsidRPr="00E81CD2">
              <w:rPr>
                <w:rFonts w:asciiTheme="minorEastAsia" w:hAnsiTheme="minorEastAsia" w:cs="宋体"/>
                <w:kern w:val="0"/>
                <w:sz w:val="24"/>
                <w:szCs w:val="24"/>
              </w:rPr>
              <w:t>444</w:t>
            </w:r>
            <w:r w:rsidRPr="00E81CD2">
              <w:rPr>
                <w:rFonts w:asciiTheme="minorEastAsia" w:hAnsiTheme="minorEastAsia" w:cs="宋体" w:hint="eastAsia"/>
                <w:kern w:val="0"/>
                <w:sz w:val="24"/>
                <w:szCs w:val="24"/>
              </w:rPr>
              <w:t>,</w:t>
            </w:r>
            <w:r w:rsidRPr="00E81CD2">
              <w:rPr>
                <w:rFonts w:asciiTheme="minorEastAsia" w:hAnsiTheme="minorEastAsia" w:cs="宋体"/>
                <w:kern w:val="0"/>
                <w:sz w:val="24"/>
                <w:szCs w:val="24"/>
              </w:rPr>
              <w:t>027.55</w:t>
            </w:r>
          </w:p>
        </w:tc>
      </w:tr>
      <w:tr w:rsidR="00D64F8E" w:rsidTr="00CF1061">
        <w:tc>
          <w:tcPr>
            <w:tcW w:w="593" w:type="pct"/>
          </w:tcPr>
          <w:p w:rsidR="00E855A7" w:rsidRPr="00E81CD2" w:rsidRDefault="00911557" w:rsidP="00754CB6">
            <w:pPr>
              <w:widowControl/>
              <w:spacing w:line="360" w:lineRule="auto"/>
              <w:jc w:val="left"/>
              <w:rPr>
                <w:rFonts w:asciiTheme="minorEastAsia" w:hAnsiTheme="minorEastAsia" w:cs="宋体"/>
                <w:kern w:val="0"/>
                <w:sz w:val="24"/>
                <w:szCs w:val="24"/>
              </w:rPr>
            </w:pPr>
            <w:r w:rsidRPr="00E81CD2">
              <w:rPr>
                <w:rFonts w:asciiTheme="minorEastAsia" w:hAnsiTheme="minorEastAsia" w:cs="宋体" w:hint="eastAsia"/>
                <w:kern w:val="0"/>
                <w:sz w:val="24"/>
                <w:szCs w:val="24"/>
              </w:rPr>
              <w:t>丰利B</w:t>
            </w:r>
          </w:p>
        </w:tc>
        <w:tc>
          <w:tcPr>
            <w:tcW w:w="658" w:type="pct"/>
          </w:tcPr>
          <w:p w:rsidR="00E855A7" w:rsidRPr="00E81CD2" w:rsidRDefault="00DE3A80" w:rsidP="00754CB6">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1.163</w:t>
            </w:r>
            <w:r w:rsidR="00357ED7">
              <w:rPr>
                <w:rFonts w:asciiTheme="minorEastAsia" w:hAnsiTheme="minorEastAsia" w:cs="宋体" w:hint="eastAsia"/>
                <w:kern w:val="0"/>
                <w:sz w:val="24"/>
                <w:szCs w:val="24"/>
              </w:rPr>
              <w:t xml:space="preserve"> </w:t>
            </w:r>
          </w:p>
        </w:tc>
        <w:tc>
          <w:tcPr>
            <w:tcW w:w="986" w:type="pct"/>
          </w:tcPr>
          <w:p w:rsidR="00E855A7" w:rsidRPr="00E81CD2" w:rsidRDefault="00A36286" w:rsidP="005E69CE">
            <w:pPr>
              <w:widowControl/>
              <w:spacing w:line="360" w:lineRule="auto"/>
              <w:jc w:val="right"/>
              <w:rPr>
                <w:rFonts w:asciiTheme="minorEastAsia" w:hAnsiTheme="minorEastAsia" w:cs="宋体"/>
                <w:kern w:val="0"/>
                <w:sz w:val="24"/>
                <w:szCs w:val="24"/>
              </w:rPr>
            </w:pPr>
            <w:r w:rsidRPr="00E81CD2">
              <w:rPr>
                <w:rFonts w:asciiTheme="minorEastAsia" w:hAnsiTheme="minorEastAsia" w:cs="宋体"/>
                <w:kern w:val="0"/>
                <w:sz w:val="24"/>
                <w:szCs w:val="24"/>
              </w:rPr>
              <w:t>899</w:t>
            </w:r>
            <w:r w:rsidRPr="00E81CD2">
              <w:rPr>
                <w:rFonts w:asciiTheme="minorEastAsia" w:hAnsiTheme="minorEastAsia" w:cs="宋体" w:hint="eastAsia"/>
                <w:kern w:val="0"/>
                <w:sz w:val="24"/>
                <w:szCs w:val="24"/>
              </w:rPr>
              <w:t>,</w:t>
            </w:r>
            <w:r w:rsidRPr="00E81CD2">
              <w:rPr>
                <w:rFonts w:asciiTheme="minorEastAsia" w:hAnsiTheme="minorEastAsia" w:cs="宋体"/>
                <w:kern w:val="0"/>
                <w:sz w:val="24"/>
                <w:szCs w:val="24"/>
              </w:rPr>
              <w:t>854</w:t>
            </w:r>
            <w:r w:rsidRPr="00E81CD2">
              <w:rPr>
                <w:rFonts w:asciiTheme="minorEastAsia" w:hAnsiTheme="minorEastAsia" w:cs="宋体" w:hint="eastAsia"/>
                <w:kern w:val="0"/>
                <w:sz w:val="24"/>
                <w:szCs w:val="24"/>
              </w:rPr>
              <w:t>,</w:t>
            </w:r>
            <w:r w:rsidRPr="00E81CD2">
              <w:rPr>
                <w:rFonts w:asciiTheme="minorEastAsia" w:hAnsiTheme="minorEastAsia" w:cs="宋体"/>
                <w:kern w:val="0"/>
                <w:sz w:val="24"/>
                <w:szCs w:val="24"/>
              </w:rPr>
              <w:t>638.73</w:t>
            </w:r>
          </w:p>
        </w:tc>
        <w:tc>
          <w:tcPr>
            <w:tcW w:w="724" w:type="pct"/>
          </w:tcPr>
          <w:p w:rsidR="00E855A7" w:rsidRPr="00E81CD2" w:rsidRDefault="00D54A6F" w:rsidP="00754CB6">
            <w:pPr>
              <w:widowControl/>
              <w:spacing w:line="360" w:lineRule="auto"/>
              <w:jc w:val="left"/>
              <w:rPr>
                <w:rFonts w:asciiTheme="minorEastAsia" w:hAnsiTheme="minorEastAsia" w:cs="宋体"/>
                <w:kern w:val="0"/>
                <w:sz w:val="24"/>
                <w:szCs w:val="24"/>
              </w:rPr>
            </w:pPr>
            <w:r w:rsidRPr="00E81CD2">
              <w:rPr>
                <w:rFonts w:asciiTheme="minorEastAsia" w:hAnsiTheme="minorEastAsia"/>
                <w:sz w:val="24"/>
                <w:szCs w:val="24"/>
              </w:rPr>
              <w:t>1.16266658</w:t>
            </w:r>
          </w:p>
        </w:tc>
        <w:tc>
          <w:tcPr>
            <w:tcW w:w="1119" w:type="pct"/>
          </w:tcPr>
          <w:p w:rsidR="00E855A7" w:rsidRPr="00E81CD2" w:rsidRDefault="00D64F8E" w:rsidP="0067056B">
            <w:pPr>
              <w:widowControl/>
              <w:spacing w:line="360" w:lineRule="auto"/>
              <w:jc w:val="left"/>
              <w:rPr>
                <w:rFonts w:asciiTheme="minorEastAsia" w:hAnsiTheme="minorEastAsia" w:cs="宋体"/>
                <w:kern w:val="0"/>
                <w:sz w:val="24"/>
                <w:szCs w:val="24"/>
              </w:rPr>
            </w:pPr>
            <w:r w:rsidRPr="00E81CD2">
              <w:rPr>
                <w:rFonts w:asciiTheme="minorEastAsia" w:hAnsiTheme="minorEastAsia" w:cs="宋体" w:hint="eastAsia"/>
                <w:kern w:val="0"/>
                <w:sz w:val="24"/>
                <w:szCs w:val="24"/>
              </w:rPr>
              <w:t>鹏华丰利</w:t>
            </w:r>
            <w:r w:rsidR="005E69CE">
              <w:rPr>
                <w:rFonts w:asciiTheme="minorEastAsia" w:hAnsiTheme="minorEastAsia" w:cs="宋体" w:hint="eastAsia"/>
                <w:kern w:val="0"/>
                <w:sz w:val="24"/>
                <w:szCs w:val="24"/>
              </w:rPr>
              <w:t>债券</w:t>
            </w:r>
            <w:r w:rsidRPr="00E81CD2">
              <w:rPr>
                <w:rFonts w:asciiTheme="minorEastAsia" w:hAnsiTheme="minorEastAsia" w:cs="宋体" w:hint="eastAsia"/>
                <w:kern w:val="0"/>
                <w:sz w:val="24"/>
                <w:szCs w:val="24"/>
              </w:rPr>
              <w:t>（LOF）</w:t>
            </w:r>
          </w:p>
        </w:tc>
        <w:tc>
          <w:tcPr>
            <w:tcW w:w="920" w:type="pct"/>
          </w:tcPr>
          <w:p w:rsidR="007854E1" w:rsidRPr="00E81CD2" w:rsidRDefault="00A36286" w:rsidP="005E69CE">
            <w:pPr>
              <w:widowControl/>
              <w:spacing w:line="360" w:lineRule="auto"/>
              <w:jc w:val="right"/>
              <w:rPr>
                <w:rFonts w:asciiTheme="minorEastAsia" w:hAnsiTheme="minorEastAsia" w:cs="宋体"/>
                <w:kern w:val="0"/>
                <w:sz w:val="24"/>
                <w:szCs w:val="24"/>
              </w:rPr>
            </w:pPr>
            <w:r w:rsidRPr="00E81CD2">
              <w:rPr>
                <w:rFonts w:asciiTheme="minorEastAsia" w:hAnsiTheme="minorEastAsia" w:cs="宋体"/>
                <w:kern w:val="0"/>
                <w:sz w:val="24"/>
                <w:szCs w:val="24"/>
              </w:rPr>
              <w:t>1</w:t>
            </w:r>
            <w:r w:rsidRPr="00E81CD2">
              <w:rPr>
                <w:rFonts w:asciiTheme="minorEastAsia" w:hAnsiTheme="minorEastAsia" w:cs="宋体" w:hint="eastAsia"/>
                <w:kern w:val="0"/>
                <w:sz w:val="24"/>
                <w:szCs w:val="24"/>
              </w:rPr>
              <w:t>,</w:t>
            </w:r>
            <w:r w:rsidRPr="00E81CD2">
              <w:rPr>
                <w:rFonts w:asciiTheme="minorEastAsia" w:hAnsiTheme="minorEastAsia" w:cs="宋体"/>
                <w:kern w:val="0"/>
                <w:sz w:val="24"/>
                <w:szCs w:val="24"/>
              </w:rPr>
              <w:t>046</w:t>
            </w:r>
            <w:r w:rsidRPr="00E81CD2">
              <w:rPr>
                <w:rFonts w:asciiTheme="minorEastAsia" w:hAnsiTheme="minorEastAsia" w:cs="宋体" w:hint="eastAsia"/>
                <w:kern w:val="0"/>
                <w:sz w:val="24"/>
                <w:szCs w:val="24"/>
              </w:rPr>
              <w:t>,</w:t>
            </w:r>
            <w:r w:rsidRPr="00E81CD2">
              <w:rPr>
                <w:rFonts w:asciiTheme="minorEastAsia" w:hAnsiTheme="minorEastAsia" w:cs="宋体"/>
                <w:kern w:val="0"/>
                <w:sz w:val="24"/>
                <w:szCs w:val="24"/>
              </w:rPr>
              <w:t>230</w:t>
            </w:r>
            <w:r w:rsidRPr="00E81CD2">
              <w:rPr>
                <w:rFonts w:asciiTheme="minorEastAsia" w:hAnsiTheme="minorEastAsia" w:cs="宋体" w:hint="eastAsia"/>
                <w:kern w:val="0"/>
                <w:sz w:val="24"/>
                <w:szCs w:val="24"/>
              </w:rPr>
              <w:t>,</w:t>
            </w:r>
            <w:r w:rsidRPr="00E81CD2">
              <w:rPr>
                <w:rFonts w:asciiTheme="minorEastAsia" w:hAnsiTheme="minorEastAsia" w:cs="宋体"/>
                <w:kern w:val="0"/>
                <w:sz w:val="24"/>
                <w:szCs w:val="24"/>
              </w:rPr>
              <w:t>91</w:t>
            </w:r>
            <w:r w:rsidR="0067056B">
              <w:rPr>
                <w:rFonts w:asciiTheme="minorEastAsia" w:hAnsiTheme="minorEastAsia" w:cs="宋体" w:hint="eastAsia"/>
                <w:kern w:val="0"/>
                <w:sz w:val="24"/>
                <w:szCs w:val="24"/>
              </w:rPr>
              <w:t>4</w:t>
            </w:r>
            <w:r w:rsidRPr="00E81CD2">
              <w:rPr>
                <w:rFonts w:asciiTheme="minorEastAsia" w:hAnsiTheme="minorEastAsia" w:cs="宋体"/>
                <w:kern w:val="0"/>
                <w:sz w:val="24"/>
                <w:szCs w:val="24"/>
              </w:rPr>
              <w:t>.</w:t>
            </w:r>
            <w:r w:rsidR="0067056B">
              <w:rPr>
                <w:rFonts w:asciiTheme="minorEastAsia" w:hAnsiTheme="minorEastAsia" w:cs="宋体" w:hint="eastAsia"/>
                <w:kern w:val="0"/>
                <w:sz w:val="24"/>
                <w:szCs w:val="24"/>
              </w:rPr>
              <w:t>43</w:t>
            </w:r>
          </w:p>
        </w:tc>
      </w:tr>
    </w:tbl>
    <w:p w:rsidR="00754CB6" w:rsidRPr="00754CB6" w:rsidRDefault="00754CB6" w:rsidP="00754CB6">
      <w:pPr>
        <w:widowControl/>
        <w:spacing w:line="360" w:lineRule="auto"/>
        <w:ind w:firstLine="360"/>
        <w:jc w:val="left"/>
        <w:rPr>
          <w:rFonts w:ascii="Verdana" w:eastAsia="宋体" w:hAnsi="Verdana" w:cs="宋体"/>
          <w:kern w:val="0"/>
          <w:sz w:val="24"/>
          <w:szCs w:val="24"/>
        </w:rPr>
      </w:pPr>
      <w:r w:rsidRPr="00754CB6">
        <w:rPr>
          <w:rFonts w:ascii="Verdana" w:eastAsia="宋体" w:hAnsi="Verdana" w:cs="宋体" w:hint="eastAsia"/>
          <w:kern w:val="0"/>
          <w:sz w:val="24"/>
          <w:szCs w:val="24"/>
        </w:rPr>
        <w:t>注：本基金管理人已根据基金合同约定，对</w:t>
      </w:r>
      <w:r w:rsidR="00041FA0">
        <w:rPr>
          <w:rFonts w:ascii="Verdana" w:eastAsia="宋体" w:hAnsi="Verdana" w:cs="宋体" w:hint="eastAsia"/>
          <w:kern w:val="0"/>
          <w:sz w:val="24"/>
          <w:szCs w:val="24"/>
        </w:rPr>
        <w:t>丰利</w:t>
      </w:r>
      <w:r w:rsidRPr="00754CB6">
        <w:rPr>
          <w:rFonts w:ascii="Verdana" w:eastAsia="宋体" w:hAnsi="Verdana" w:cs="宋体" w:hint="eastAsia"/>
          <w:kern w:val="0"/>
          <w:sz w:val="24"/>
          <w:szCs w:val="24"/>
        </w:rPr>
        <w:t xml:space="preserve"> A</w:t>
      </w:r>
      <w:r w:rsidRPr="00754CB6">
        <w:rPr>
          <w:rFonts w:ascii="Verdana" w:eastAsia="宋体" w:hAnsi="Verdana" w:cs="宋体" w:hint="eastAsia"/>
          <w:kern w:val="0"/>
          <w:sz w:val="24"/>
          <w:szCs w:val="24"/>
        </w:rPr>
        <w:t>、</w:t>
      </w:r>
      <w:r w:rsidR="00041FA0">
        <w:rPr>
          <w:rFonts w:ascii="Verdana" w:eastAsia="宋体" w:hAnsi="Verdana" w:cs="宋体" w:hint="eastAsia"/>
          <w:kern w:val="0"/>
          <w:sz w:val="24"/>
          <w:szCs w:val="24"/>
        </w:rPr>
        <w:t>丰利</w:t>
      </w:r>
      <w:r w:rsidRPr="00754CB6">
        <w:rPr>
          <w:rFonts w:ascii="Verdana" w:eastAsia="宋体" w:hAnsi="Verdana" w:cs="宋体" w:hint="eastAsia"/>
          <w:kern w:val="0"/>
          <w:sz w:val="24"/>
          <w:szCs w:val="24"/>
        </w:rPr>
        <w:t xml:space="preserve"> B </w:t>
      </w:r>
      <w:r w:rsidRPr="00754CB6">
        <w:rPr>
          <w:rFonts w:ascii="Verdana" w:eastAsia="宋体" w:hAnsi="Verdana" w:cs="宋体" w:hint="eastAsia"/>
          <w:kern w:val="0"/>
          <w:sz w:val="24"/>
          <w:szCs w:val="24"/>
        </w:rPr>
        <w:t>的份额持有人的基金份额进行了计算，并由本基金管理人向中国证券登记结算有限责任公司提交份额变更登记申请。</w:t>
      </w:r>
      <w:bookmarkStart w:id="0" w:name="_GoBack"/>
      <w:bookmarkEnd w:id="0"/>
    </w:p>
    <w:p w:rsidR="00754CB6" w:rsidRPr="00754CB6" w:rsidRDefault="00754CB6" w:rsidP="00754CB6">
      <w:pPr>
        <w:widowControl/>
        <w:spacing w:line="360" w:lineRule="auto"/>
        <w:ind w:firstLine="360"/>
        <w:jc w:val="left"/>
        <w:rPr>
          <w:rFonts w:ascii="Verdana" w:eastAsia="宋体" w:hAnsi="Verdana" w:cs="宋体"/>
          <w:kern w:val="0"/>
          <w:sz w:val="24"/>
          <w:szCs w:val="24"/>
        </w:rPr>
      </w:pPr>
      <w:r w:rsidRPr="00754CB6">
        <w:rPr>
          <w:rFonts w:ascii="Verdana" w:eastAsia="宋体" w:hAnsi="Verdana" w:cs="宋体" w:hint="eastAsia"/>
          <w:kern w:val="0"/>
          <w:sz w:val="24"/>
          <w:szCs w:val="24"/>
        </w:rPr>
        <w:t>投资者可于</w:t>
      </w:r>
      <w:r w:rsidRPr="00754CB6">
        <w:rPr>
          <w:rFonts w:ascii="Verdana" w:eastAsia="宋体" w:hAnsi="Verdana" w:cs="宋体" w:hint="eastAsia"/>
          <w:kern w:val="0"/>
          <w:sz w:val="24"/>
          <w:szCs w:val="24"/>
        </w:rPr>
        <w:t xml:space="preserve"> 201</w:t>
      </w:r>
      <w:r w:rsidR="00041FA0">
        <w:rPr>
          <w:rFonts w:ascii="Verdana" w:eastAsia="宋体" w:hAnsi="Verdana" w:cs="宋体" w:hint="eastAsia"/>
          <w:kern w:val="0"/>
          <w:sz w:val="24"/>
          <w:szCs w:val="24"/>
        </w:rPr>
        <w:t>6</w:t>
      </w:r>
      <w:r w:rsidRPr="00754CB6">
        <w:rPr>
          <w:rFonts w:ascii="Verdana" w:eastAsia="宋体" w:hAnsi="Verdana" w:cs="宋体" w:hint="eastAsia"/>
          <w:kern w:val="0"/>
          <w:sz w:val="24"/>
          <w:szCs w:val="24"/>
        </w:rPr>
        <w:t xml:space="preserve"> </w:t>
      </w:r>
      <w:r w:rsidRPr="00754CB6">
        <w:rPr>
          <w:rFonts w:ascii="Verdana" w:eastAsia="宋体" w:hAnsi="Verdana" w:cs="宋体" w:hint="eastAsia"/>
          <w:kern w:val="0"/>
          <w:sz w:val="24"/>
          <w:szCs w:val="24"/>
        </w:rPr>
        <w:t>年</w:t>
      </w:r>
      <w:r w:rsidRPr="00754CB6">
        <w:rPr>
          <w:rFonts w:ascii="Verdana" w:eastAsia="宋体" w:hAnsi="Verdana" w:cs="宋体" w:hint="eastAsia"/>
          <w:kern w:val="0"/>
          <w:sz w:val="24"/>
          <w:szCs w:val="24"/>
        </w:rPr>
        <w:t xml:space="preserve"> </w:t>
      </w:r>
      <w:r w:rsidR="00041FA0">
        <w:rPr>
          <w:rFonts w:ascii="Verdana" w:eastAsia="宋体" w:hAnsi="Verdana" w:cs="宋体" w:hint="eastAsia"/>
          <w:kern w:val="0"/>
          <w:sz w:val="24"/>
          <w:szCs w:val="24"/>
        </w:rPr>
        <w:t>4</w:t>
      </w:r>
      <w:r w:rsidRPr="00754CB6">
        <w:rPr>
          <w:rFonts w:ascii="Verdana" w:eastAsia="宋体" w:hAnsi="Verdana" w:cs="宋体" w:hint="eastAsia"/>
          <w:kern w:val="0"/>
          <w:sz w:val="24"/>
          <w:szCs w:val="24"/>
        </w:rPr>
        <w:t>月</w:t>
      </w:r>
      <w:r w:rsidR="00041FA0">
        <w:rPr>
          <w:rFonts w:ascii="Verdana" w:eastAsia="宋体" w:hAnsi="Verdana" w:cs="宋体" w:hint="eastAsia"/>
          <w:kern w:val="0"/>
          <w:sz w:val="24"/>
          <w:szCs w:val="24"/>
        </w:rPr>
        <w:t>27</w:t>
      </w:r>
      <w:r w:rsidRPr="00754CB6">
        <w:rPr>
          <w:rFonts w:ascii="Verdana" w:eastAsia="宋体" w:hAnsi="Verdana" w:cs="宋体" w:hint="eastAsia"/>
          <w:kern w:val="0"/>
          <w:sz w:val="24"/>
          <w:szCs w:val="24"/>
        </w:rPr>
        <w:t>日起（含该日）在相关证券公司和各销售网点查询转换后的份额。</w:t>
      </w:r>
    </w:p>
    <w:p w:rsidR="00754CB6" w:rsidRPr="00754CB6" w:rsidRDefault="00754CB6" w:rsidP="00754CB6">
      <w:pPr>
        <w:widowControl/>
        <w:spacing w:line="360" w:lineRule="auto"/>
        <w:ind w:firstLine="360"/>
        <w:jc w:val="left"/>
        <w:rPr>
          <w:rFonts w:ascii="Verdana" w:eastAsia="宋体" w:hAnsi="Verdana" w:cs="宋体"/>
          <w:kern w:val="0"/>
          <w:sz w:val="24"/>
          <w:szCs w:val="24"/>
        </w:rPr>
      </w:pPr>
      <w:r w:rsidRPr="00754CB6">
        <w:rPr>
          <w:rFonts w:ascii="Verdana" w:eastAsia="宋体" w:hAnsi="Verdana" w:cs="宋体" w:hint="eastAsia"/>
          <w:kern w:val="0"/>
          <w:sz w:val="24"/>
          <w:szCs w:val="24"/>
        </w:rPr>
        <w:lastRenderedPageBreak/>
        <w:t>投资者欲了解详情，请登陆基金管理人网站：</w:t>
      </w:r>
      <w:r w:rsidRPr="00754CB6">
        <w:rPr>
          <w:rFonts w:ascii="Verdana" w:eastAsia="宋体" w:hAnsi="Verdana" w:cs="宋体" w:hint="eastAsia"/>
          <w:kern w:val="0"/>
          <w:sz w:val="24"/>
          <w:szCs w:val="24"/>
        </w:rPr>
        <w:t xml:space="preserve">www.phfund.com </w:t>
      </w:r>
      <w:r w:rsidRPr="00754CB6">
        <w:rPr>
          <w:rFonts w:ascii="Verdana" w:eastAsia="宋体" w:hAnsi="Verdana" w:cs="宋体" w:hint="eastAsia"/>
          <w:kern w:val="0"/>
          <w:sz w:val="24"/>
          <w:szCs w:val="24"/>
        </w:rPr>
        <w:t>或拨打客服电话：</w:t>
      </w:r>
      <w:r w:rsidRPr="00754CB6">
        <w:rPr>
          <w:rFonts w:ascii="Verdana" w:eastAsia="宋体" w:hAnsi="Verdana" w:cs="宋体" w:hint="eastAsia"/>
          <w:kern w:val="0"/>
          <w:sz w:val="24"/>
          <w:szCs w:val="24"/>
        </w:rPr>
        <w:t>4006788999</w:t>
      </w:r>
      <w:r w:rsidRPr="00754CB6">
        <w:rPr>
          <w:rFonts w:ascii="Verdana" w:eastAsia="宋体" w:hAnsi="Verdana" w:cs="宋体" w:hint="eastAsia"/>
          <w:kern w:val="0"/>
          <w:sz w:val="24"/>
          <w:szCs w:val="24"/>
        </w:rPr>
        <w:t>，</w:t>
      </w:r>
      <w:r w:rsidRPr="00754CB6">
        <w:rPr>
          <w:rFonts w:ascii="Verdana" w:eastAsia="宋体" w:hAnsi="Verdana" w:cs="宋体" w:hint="eastAsia"/>
          <w:kern w:val="0"/>
          <w:sz w:val="24"/>
          <w:szCs w:val="24"/>
        </w:rPr>
        <w:t>0755-82353668</w:t>
      </w:r>
      <w:r w:rsidRPr="00754CB6">
        <w:rPr>
          <w:rFonts w:ascii="Verdana" w:eastAsia="宋体" w:hAnsi="Verdana" w:cs="宋体" w:hint="eastAsia"/>
          <w:kern w:val="0"/>
          <w:sz w:val="24"/>
          <w:szCs w:val="24"/>
        </w:rPr>
        <w:t>。</w:t>
      </w:r>
    </w:p>
    <w:p w:rsidR="00754CB6" w:rsidRPr="00754CB6" w:rsidRDefault="00754CB6" w:rsidP="00754CB6">
      <w:pPr>
        <w:widowControl/>
        <w:spacing w:line="360" w:lineRule="auto"/>
        <w:ind w:firstLine="360"/>
        <w:jc w:val="left"/>
        <w:rPr>
          <w:rFonts w:ascii="Verdana" w:eastAsia="宋体" w:hAnsi="Verdana" w:cs="宋体"/>
          <w:kern w:val="0"/>
          <w:sz w:val="24"/>
          <w:szCs w:val="24"/>
        </w:rPr>
      </w:pPr>
      <w:r w:rsidRPr="00754CB6">
        <w:rPr>
          <w:rFonts w:ascii="Verdana" w:eastAsia="宋体" w:hAnsi="Verdana" w:cs="宋体" w:hint="eastAsia"/>
          <w:kern w:val="0"/>
          <w:sz w:val="24"/>
          <w:szCs w:val="24"/>
        </w:rPr>
        <w:t>特此公告。</w:t>
      </w:r>
    </w:p>
    <w:p w:rsidR="00754CB6" w:rsidRPr="00754CB6" w:rsidRDefault="00754CB6" w:rsidP="00754CB6">
      <w:pPr>
        <w:widowControl/>
        <w:spacing w:line="360" w:lineRule="auto"/>
        <w:ind w:firstLine="360"/>
        <w:jc w:val="right"/>
        <w:rPr>
          <w:rFonts w:ascii="Verdana" w:eastAsia="宋体" w:hAnsi="Verdana" w:cs="宋体"/>
          <w:kern w:val="0"/>
          <w:sz w:val="24"/>
          <w:szCs w:val="24"/>
        </w:rPr>
      </w:pPr>
      <w:r w:rsidRPr="00754CB6">
        <w:rPr>
          <w:rFonts w:ascii="Verdana" w:eastAsia="宋体" w:hAnsi="Verdana" w:cs="宋体" w:hint="eastAsia"/>
          <w:kern w:val="0"/>
          <w:sz w:val="24"/>
          <w:szCs w:val="24"/>
        </w:rPr>
        <w:t>鹏华基金管理有限公司</w:t>
      </w:r>
    </w:p>
    <w:p w:rsidR="00040E62" w:rsidRPr="00754CB6" w:rsidRDefault="00754CB6" w:rsidP="00754CB6">
      <w:pPr>
        <w:widowControl/>
        <w:spacing w:line="360" w:lineRule="auto"/>
        <w:ind w:firstLine="360"/>
        <w:jc w:val="right"/>
        <w:rPr>
          <w:rFonts w:ascii="Verdana" w:eastAsia="宋体" w:hAnsi="Verdana" w:cs="宋体"/>
          <w:kern w:val="0"/>
          <w:sz w:val="24"/>
          <w:szCs w:val="24"/>
        </w:rPr>
      </w:pPr>
      <w:r w:rsidRPr="00754CB6">
        <w:rPr>
          <w:rFonts w:ascii="Verdana" w:eastAsia="宋体" w:hAnsi="Verdana" w:cs="宋体" w:hint="eastAsia"/>
          <w:kern w:val="0"/>
          <w:sz w:val="24"/>
          <w:szCs w:val="24"/>
        </w:rPr>
        <w:t>201</w:t>
      </w:r>
      <w:r w:rsidR="00041FA0">
        <w:rPr>
          <w:rFonts w:ascii="Verdana" w:eastAsia="宋体" w:hAnsi="Verdana" w:cs="宋体" w:hint="eastAsia"/>
          <w:kern w:val="0"/>
          <w:sz w:val="24"/>
          <w:szCs w:val="24"/>
        </w:rPr>
        <w:t>6</w:t>
      </w:r>
      <w:r w:rsidRPr="00754CB6">
        <w:rPr>
          <w:rFonts w:ascii="Verdana" w:eastAsia="宋体" w:hAnsi="Verdana" w:cs="宋体" w:hint="eastAsia"/>
          <w:kern w:val="0"/>
          <w:sz w:val="24"/>
          <w:szCs w:val="24"/>
        </w:rPr>
        <w:t xml:space="preserve"> </w:t>
      </w:r>
      <w:r w:rsidRPr="00754CB6">
        <w:rPr>
          <w:rFonts w:ascii="Verdana" w:eastAsia="宋体" w:hAnsi="Verdana" w:cs="宋体" w:hint="eastAsia"/>
          <w:kern w:val="0"/>
          <w:sz w:val="24"/>
          <w:szCs w:val="24"/>
        </w:rPr>
        <w:t>年</w:t>
      </w:r>
      <w:r w:rsidRPr="00754CB6">
        <w:rPr>
          <w:rFonts w:ascii="Verdana" w:eastAsia="宋体" w:hAnsi="Verdana" w:cs="宋体" w:hint="eastAsia"/>
          <w:kern w:val="0"/>
          <w:sz w:val="24"/>
          <w:szCs w:val="24"/>
        </w:rPr>
        <w:t xml:space="preserve"> </w:t>
      </w:r>
      <w:r w:rsidR="00041FA0">
        <w:rPr>
          <w:rFonts w:ascii="Verdana" w:eastAsia="宋体" w:hAnsi="Verdana" w:cs="宋体" w:hint="eastAsia"/>
          <w:kern w:val="0"/>
          <w:sz w:val="24"/>
          <w:szCs w:val="24"/>
        </w:rPr>
        <w:t>4</w:t>
      </w:r>
      <w:r w:rsidRPr="00754CB6">
        <w:rPr>
          <w:rFonts w:ascii="Verdana" w:eastAsia="宋体" w:hAnsi="Verdana" w:cs="宋体" w:hint="eastAsia"/>
          <w:kern w:val="0"/>
          <w:sz w:val="24"/>
          <w:szCs w:val="24"/>
        </w:rPr>
        <w:t xml:space="preserve"> </w:t>
      </w:r>
      <w:r w:rsidRPr="00754CB6">
        <w:rPr>
          <w:rFonts w:ascii="Verdana" w:eastAsia="宋体" w:hAnsi="Verdana" w:cs="宋体" w:hint="eastAsia"/>
          <w:kern w:val="0"/>
          <w:sz w:val="24"/>
          <w:szCs w:val="24"/>
        </w:rPr>
        <w:t>月</w:t>
      </w:r>
      <w:r w:rsidR="00041FA0">
        <w:rPr>
          <w:rFonts w:ascii="Verdana" w:eastAsia="宋体" w:hAnsi="Verdana" w:cs="宋体" w:hint="eastAsia"/>
          <w:kern w:val="0"/>
          <w:sz w:val="24"/>
          <w:szCs w:val="24"/>
        </w:rPr>
        <w:t>2</w:t>
      </w:r>
      <w:r w:rsidR="00A161C2">
        <w:rPr>
          <w:rFonts w:ascii="Verdana" w:eastAsia="宋体" w:hAnsi="Verdana" w:cs="宋体" w:hint="eastAsia"/>
          <w:kern w:val="0"/>
          <w:sz w:val="24"/>
          <w:szCs w:val="24"/>
        </w:rPr>
        <w:t>7</w:t>
      </w:r>
      <w:r w:rsidRPr="00754CB6">
        <w:rPr>
          <w:rFonts w:ascii="Verdana" w:eastAsia="宋体" w:hAnsi="Verdana" w:cs="宋体" w:hint="eastAsia"/>
          <w:kern w:val="0"/>
          <w:sz w:val="24"/>
          <w:szCs w:val="24"/>
        </w:rPr>
        <w:t>日</w:t>
      </w:r>
    </w:p>
    <w:sectPr w:rsidR="00040E62" w:rsidRPr="00754CB6" w:rsidSect="00E567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6B6" w:rsidRDefault="00D206B6" w:rsidP="00754CB6">
      <w:pPr>
        <w:rPr>
          <w:rFonts w:hint="eastAsia"/>
        </w:rPr>
      </w:pPr>
      <w:r>
        <w:separator/>
      </w:r>
    </w:p>
  </w:endnote>
  <w:endnote w:type="continuationSeparator" w:id="0">
    <w:p w:rsidR="00D206B6" w:rsidRDefault="00D206B6" w:rsidP="00754CB6">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6B6" w:rsidRDefault="00D206B6" w:rsidP="00754CB6">
      <w:pPr>
        <w:rPr>
          <w:rFonts w:hint="eastAsia"/>
        </w:rPr>
      </w:pPr>
      <w:r>
        <w:separator/>
      </w:r>
    </w:p>
  </w:footnote>
  <w:footnote w:type="continuationSeparator" w:id="0">
    <w:p w:rsidR="00D206B6" w:rsidRDefault="00D206B6" w:rsidP="00754CB6">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2ED9"/>
    <w:rsid w:val="00040E62"/>
    <w:rsid w:val="00041FA0"/>
    <w:rsid w:val="00217448"/>
    <w:rsid w:val="0024341A"/>
    <w:rsid w:val="00320328"/>
    <w:rsid w:val="00357804"/>
    <w:rsid w:val="00357ED7"/>
    <w:rsid w:val="00422060"/>
    <w:rsid w:val="005E69CE"/>
    <w:rsid w:val="0067056B"/>
    <w:rsid w:val="00754CB6"/>
    <w:rsid w:val="00760B7C"/>
    <w:rsid w:val="007854E1"/>
    <w:rsid w:val="007F233A"/>
    <w:rsid w:val="008003DF"/>
    <w:rsid w:val="00852607"/>
    <w:rsid w:val="0091105D"/>
    <w:rsid w:val="00911557"/>
    <w:rsid w:val="00933F98"/>
    <w:rsid w:val="0093690E"/>
    <w:rsid w:val="00A161C2"/>
    <w:rsid w:val="00A36286"/>
    <w:rsid w:val="00B63F2B"/>
    <w:rsid w:val="00C92ED9"/>
    <w:rsid w:val="00C97E84"/>
    <w:rsid w:val="00CD25F8"/>
    <w:rsid w:val="00CF1061"/>
    <w:rsid w:val="00D206B6"/>
    <w:rsid w:val="00D54A6F"/>
    <w:rsid w:val="00D64F8E"/>
    <w:rsid w:val="00D86EF1"/>
    <w:rsid w:val="00D93FE4"/>
    <w:rsid w:val="00D966A1"/>
    <w:rsid w:val="00DE3A80"/>
    <w:rsid w:val="00E5675B"/>
    <w:rsid w:val="00E81CD2"/>
    <w:rsid w:val="00E855A7"/>
    <w:rsid w:val="00EE6956"/>
    <w:rsid w:val="00EE7E62"/>
    <w:rsid w:val="00FE18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7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4C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4CB6"/>
    <w:rPr>
      <w:sz w:val="18"/>
      <w:szCs w:val="18"/>
    </w:rPr>
  </w:style>
  <w:style w:type="paragraph" w:styleId="a4">
    <w:name w:val="footer"/>
    <w:basedOn w:val="a"/>
    <w:link w:val="Char0"/>
    <w:uiPriority w:val="99"/>
    <w:unhideWhenUsed/>
    <w:rsid w:val="00754CB6"/>
    <w:pPr>
      <w:tabs>
        <w:tab w:val="center" w:pos="4153"/>
        <w:tab w:val="right" w:pos="8306"/>
      </w:tabs>
      <w:snapToGrid w:val="0"/>
      <w:jc w:val="left"/>
    </w:pPr>
    <w:rPr>
      <w:sz w:val="18"/>
      <w:szCs w:val="18"/>
    </w:rPr>
  </w:style>
  <w:style w:type="character" w:customStyle="1" w:styleId="Char0">
    <w:name w:val="页脚 Char"/>
    <w:basedOn w:val="a0"/>
    <w:link w:val="a4"/>
    <w:uiPriority w:val="99"/>
    <w:rsid w:val="00754CB6"/>
    <w:rPr>
      <w:sz w:val="18"/>
      <w:szCs w:val="18"/>
    </w:rPr>
  </w:style>
  <w:style w:type="table" w:styleId="a5">
    <w:name w:val="Table Grid"/>
    <w:basedOn w:val="a1"/>
    <w:uiPriority w:val="59"/>
    <w:rsid w:val="00E855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4C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4CB6"/>
    <w:rPr>
      <w:sz w:val="18"/>
      <w:szCs w:val="18"/>
    </w:rPr>
  </w:style>
  <w:style w:type="paragraph" w:styleId="a4">
    <w:name w:val="footer"/>
    <w:basedOn w:val="a"/>
    <w:link w:val="Char0"/>
    <w:uiPriority w:val="99"/>
    <w:unhideWhenUsed/>
    <w:rsid w:val="00754CB6"/>
    <w:pPr>
      <w:tabs>
        <w:tab w:val="center" w:pos="4153"/>
        <w:tab w:val="right" w:pos="8306"/>
      </w:tabs>
      <w:snapToGrid w:val="0"/>
      <w:jc w:val="left"/>
    </w:pPr>
    <w:rPr>
      <w:sz w:val="18"/>
      <w:szCs w:val="18"/>
    </w:rPr>
  </w:style>
  <w:style w:type="character" w:customStyle="1" w:styleId="Char0">
    <w:name w:val="页脚 Char"/>
    <w:basedOn w:val="a0"/>
    <w:link w:val="a4"/>
    <w:uiPriority w:val="99"/>
    <w:rsid w:val="00754CB6"/>
    <w:rPr>
      <w:sz w:val="18"/>
      <w:szCs w:val="18"/>
    </w:rPr>
  </w:style>
  <w:style w:type="table" w:styleId="a5">
    <w:name w:val="Table Grid"/>
    <w:basedOn w:val="a1"/>
    <w:uiPriority w:val="59"/>
    <w:rsid w:val="00E855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857</Characters>
  <Application>Microsoft Office Word</Application>
  <DocSecurity>4</DocSecurity>
  <Lines>7</Lines>
  <Paragraphs>2</Paragraphs>
  <ScaleCrop>false</ScaleCrop>
  <Company>鹏华基金管理有限公司</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罗敏</dc:creator>
  <cp:keywords/>
  <dc:description/>
  <cp:lastModifiedBy>cnstock</cp:lastModifiedBy>
  <cp:revision>2</cp:revision>
  <dcterms:created xsi:type="dcterms:W3CDTF">2016-04-26T16:30:00Z</dcterms:created>
  <dcterms:modified xsi:type="dcterms:W3CDTF">2016-04-26T16:30:00Z</dcterms:modified>
</cp:coreProperties>
</file>