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FC7F43" w:rsidRPr="0078105B" w:rsidRDefault="00FC7F4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
      </w:r>
      <w:r w:rsidRPr="0078105B">
        <w:rPr>
          <w:rFonts w:asciiTheme="minorEastAsia" w:eastAsiaTheme="minorEastAsia" w:hAnsiTheme="minorEastAsia"/>
          <w:b/>
          <w:sz w:val="36"/>
          <w:szCs w:val="36"/>
        </w:rPr>
        <w:t/>
      </w:r>
      <w:r w:rsidRPr="0078105B">
        <w:rPr>
          <w:rFonts w:asciiTheme="minorEastAsia" w:eastAsiaTheme="minorEastAsia" w:hAnsiTheme="minorEastAsia" w:hint="eastAsia"/>
          <w:b/>
          <w:sz w:val="36"/>
          <w:szCs w:val="36"/>
        </w:rPr>
        <w:t/>
      </w:r>
      <w:r w:rsidRPr="0078105B">
        <w:rPr>
          <w:rFonts w:asciiTheme="minorEastAsia" w:eastAsiaTheme="minorEastAsia" w:hAnsiTheme="minorEastAsia"/>
          <w:b/>
          <w:sz w:val="36"/>
          <w:szCs w:val="36"/>
        </w:rPr>
        <w:t/>
      </w:r>
      <w:r w:rsidRPr="0078105B">
        <w:rPr>
          <w:rFonts w:asciiTheme="minorEastAsia" w:eastAsiaTheme="minorEastAsia" w:hAnsiTheme="minorEastAsia" w:hint="eastAsia"/>
          <w:b/>
          <w:sz w:val="36"/>
          <w:szCs w:val="36"/>
        </w:rPr>
        <w:t>广发聚康混合型证券投资基金</w:t>
      </w:r>
    </w:p>
    <w:p w:rsidR="002D2A00"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2016年第1季度报告</w:t>
      </w:r>
    </w:p>
    <w:p w:rsidR="009A2283" w:rsidRPr="003F7026" w:rsidRDefault="00577209" w:rsidP="00FC13C8">
      <w:pPr>
        <w:spacing w:line="360" w:lineRule="auto"/>
        <w:jc w:val="center"/>
        <w:rPr>
          <w:rFonts w:asciiTheme="minorEastAsia" w:eastAsiaTheme="minorEastAsia" w:hAnsiTheme="minorEastAsia"/>
          <w:b/>
          <w:sz w:val="24"/>
        </w:rPr>
      </w:pPr>
      <w:r w:rsidRPr="003F7026">
        <w:rPr>
          <w:rFonts w:asciiTheme="minorEastAsia" w:eastAsiaTheme="minorEastAsia" w:hAnsiTheme="minorEastAsia"/>
          <w:b/>
          <w:sz w:val="24"/>
        </w:rPr>
        <w:t/>
      </w:r>
      <w:r w:rsidR="00121533" w:rsidRPr="003F7026">
        <w:rPr>
          <w:rFonts w:asciiTheme="minorEastAsia" w:eastAsiaTheme="minorEastAsia" w:hAnsiTheme="minorEastAsia" w:hint="eastAsia"/>
          <w:b/>
          <w:sz w:val="24"/>
        </w:rPr>
        <w:t>2016年3月31日</w:t>
      </w: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E27360">
      <w:pPr>
        <w:spacing w:line="360" w:lineRule="auto"/>
        <w:jc w:val="center"/>
        <w:rPr>
          <w:rFonts w:asciiTheme="minorEastAsia" w:eastAsiaTheme="minorEastAsia" w:hAnsiTheme="minorEastAsia"/>
          <w:b/>
          <w:color w:val="000000"/>
          <w:sz w:val="24"/>
        </w:rPr>
      </w:pPr>
    </w:p>
    <w:p w:rsidR="00E27360" w:rsidRPr="0078105B" w:rsidRDefault="00E27360" w:rsidP="00E27360">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rPr>
          <w:rFonts w:asciiTheme="minorEastAsia" w:eastAsiaTheme="minorEastAsia" w:hAnsiTheme="minorEastAsia"/>
          <w:b/>
          <w:color w:val="000000"/>
          <w:sz w:val="24"/>
        </w:rPr>
      </w:pP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基金管理人：</w:t>
      </w:r>
      <w:r w:rsidR="00BF377F" w:rsidRPr="0078105B">
        <w:rPr>
          <w:rFonts w:asciiTheme="minorEastAsia" w:eastAsiaTheme="minorEastAsia" w:hAnsiTheme="minorEastAsia"/>
          <w:b/>
          <w:color w:val="000000"/>
          <w:sz w:val="24"/>
        </w:rPr>
        <w:t>广发基金管理有限公司</w:t>
      </w: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基金托管人：</w:t>
      </w:r>
      <w:r w:rsidR="00BF377F" w:rsidRPr="0078105B">
        <w:rPr>
          <w:rFonts w:asciiTheme="minorEastAsia" w:eastAsiaTheme="minorEastAsia" w:hAnsiTheme="minorEastAsia"/>
          <w:b/>
          <w:color w:val="000000"/>
          <w:sz w:val="24"/>
        </w:rPr>
        <w:t>中国工商银行股份有限公司</w:t>
      </w:r>
    </w:p>
    <w:p w:rsidR="009A2283" w:rsidRPr="0078105B" w:rsidRDefault="009A2283" w:rsidP="00FC13C8">
      <w:pPr>
        <w:spacing w:line="360" w:lineRule="auto"/>
        <w:ind w:firstLineChars="900" w:firstLine="2168"/>
        <w:rPr>
          <w:rFonts w:asciiTheme="minorEastAsia" w:eastAsiaTheme="minorEastAsia" w:hAnsiTheme="minorEastAsia"/>
          <w:sz w:val="24"/>
        </w:rPr>
        <w:sectPr w:rsidR="009A2283" w:rsidRPr="0078105B" w:rsidSect="00F7094A">
          <w:headerReference w:type="default" r:id="rId8"/>
          <w:footerReference w:type="default" r:id="rId9"/>
          <w:pgSz w:w="11926" w:h="15840"/>
          <w:pgMar w:top="1418" w:right="1418" w:bottom="851" w:left="1418" w:header="851" w:footer="992" w:gutter="0"/>
          <w:cols w:space="720"/>
          <w:noEndnote/>
        </w:sectPr>
      </w:pPr>
      <w:r w:rsidRPr="0078105B">
        <w:rPr>
          <w:rFonts w:asciiTheme="minorEastAsia" w:eastAsiaTheme="minorEastAsia" w:hAnsiTheme="minorEastAsia" w:hint="eastAsia"/>
          <w:b/>
          <w:color w:val="000000"/>
          <w:sz w:val="24"/>
        </w:rPr>
        <w:t>报告</w:t>
      </w:r>
      <w:r w:rsidRPr="0078105B">
        <w:rPr>
          <w:rFonts w:asciiTheme="minorEastAsia" w:eastAsiaTheme="minorEastAsia" w:hAnsiTheme="minorEastAsia"/>
          <w:b/>
          <w:color w:val="000000"/>
          <w:sz w:val="24"/>
        </w:rPr>
        <w:t>送出日期：</w:t>
      </w:r>
      <w:r w:rsidR="00D04410" w:rsidRPr="0078105B">
        <w:rPr>
          <w:rFonts w:asciiTheme="minorEastAsia" w:eastAsiaTheme="minorEastAsia" w:hAnsiTheme="minorEastAsia"/>
          <w:b/>
          <w:color w:val="000000"/>
          <w:sz w:val="24"/>
        </w:rPr>
        <w:t>二〇一六年四月二十二日</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b w:val="0"/>
          <w:color w:val="000000"/>
          <w:kern w:val="0"/>
          <w:sz w:val="24"/>
          <w:szCs w:val="24"/>
        </w:rPr>
      </w:pPr>
      <w:r w:rsidRPr="00B75DF8">
        <w:rPr>
          <w:rFonts w:asciiTheme="minorEastAsia" w:eastAsiaTheme="minorEastAsia" w:hAnsiTheme="minorEastAsia" w:cs="Arial" w:hint="eastAsia"/>
          <w:color w:val="000000"/>
          <w:kern w:val="0"/>
          <w:sz w:val="24"/>
          <w:szCs w:val="24"/>
        </w:rPr>
        <w:lastRenderedPageBreak/>
        <w:t>§</w:t>
      </w:r>
      <w:r w:rsidRPr="00B75DF8">
        <w:rPr>
          <w:rFonts w:asciiTheme="minorEastAsia" w:eastAsiaTheme="minorEastAsia" w:hAnsiTheme="minorEastAsia" w:cs="Arial"/>
          <w:color w:val="000000"/>
          <w:kern w:val="0"/>
          <w:sz w:val="24"/>
          <w:szCs w:val="24"/>
        </w:rPr>
        <w:t xml:space="preserve">1  </w:t>
      </w:r>
      <w:r w:rsidRPr="00B75DF8">
        <w:rPr>
          <w:rFonts w:asciiTheme="minorEastAsia" w:eastAsiaTheme="minorEastAsia" w:hAnsiTheme="minorEastAsia" w:cs="Arial" w:hint="eastAsia"/>
          <w:color w:val="000000"/>
          <w:kern w:val="0"/>
          <w:sz w:val="24"/>
          <w:szCs w:val="24"/>
        </w:rPr>
        <w:t>重要提示</w:t>
      </w:r>
    </w:p>
    <w:p>
      <w:pPr>
        <w:spacing w:line="360"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Chars="200" w:firstLine="480"/>
        <w:rPr>
          <w:rFonts w:eastAsiaTheme="minorEastAsia"/>
          <w:color w:val="000000"/>
          <w:sz w:val="24"/>
        </w:rPr>
      </w:pPr>
      <w:r>
        <w:rPr>
          <w:rFonts w:eastAsiaTheme="minorEastAsia"/>
          <w:color w:val="000000"/>
          <w:sz w:val="24"/>
        </w:rPr>
        <w:t xml:space="preserve">基金托管人中国工商银行股份有限公司根据本基金合同规定，于2016年4月19日复核了本报告中的财务指标、净值表现和投资组合报告等内容，保证复核内容不存在虚假记载、误导性陈述或者重大遗漏。 </w:t>
      </w:r>
    </w:p>
    <w:p>
      <w:pPr>
        <w:spacing w:line="360"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line="360"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line="360" w:lineRule="auto"/>
        <w:ind w:firstLineChars="200" w:firstLine="480"/>
        <w:rPr>
          <w:rFonts w:eastAsiaTheme="minorEastAsia"/>
          <w:color w:val="000000"/>
          <w:sz w:val="24"/>
        </w:rPr>
      </w:pPr>
      <w:r>
        <w:rPr>
          <w:rFonts w:eastAsiaTheme="minorEastAsia"/>
          <w:color w:val="000000"/>
          <w:sz w:val="24"/>
        </w:rPr>
        <w:t xml:space="preserve">本报告中财务资料未经审计。 </w:t>
      </w:r>
    </w:p>
    <w:p w:rsidR="009238DB" w:rsidRPr="00264591" w:rsidRDefault="00267DA9"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本报告期自2016年1月1日起至3月31日止。</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2  </w:t>
      </w:r>
      <w:r w:rsidRPr="00B75DF8">
        <w:rPr>
          <w:rFonts w:asciiTheme="minorEastAsia" w:eastAsiaTheme="minorEastAsia" w:hAnsiTheme="minorEastAsia"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A6200E" w:rsidRPr="00B75DF8" w:rsidTr="003F7026">
        <w:tc>
          <w:tcPr>
            <w:tcW w:w="2835" w:type="dxa"/>
            <w:vAlign w:val="center"/>
          </w:tcPr>
          <w:p w:rsidR="00A6200E" w:rsidRPr="00D32161" w:rsidRDefault="00A6200E" w:rsidP="003F7026">
            <w:pPr>
              <w:adjustRightInd w:val="0"/>
              <w:spacing w:before="29" w:line="360" w:lineRule="auto"/>
              <w:ind w:left="17"/>
              <w:rPr>
                <w:rFonts w:eastAsiaTheme="minorEastAsia"/>
                <w:kern w:val="0"/>
                <w:sz w:val="24"/>
              </w:rPr>
            </w:pPr>
            <w:r w:rsidRPr="00D32161">
              <w:rPr>
                <w:rFonts w:eastAsiaTheme="minorEastAsia"/>
                <w:kern w:val="0"/>
                <w:sz w:val="24"/>
              </w:rPr>
              <w:t>基金简称</w:t>
            </w:r>
          </w:p>
        </w:tc>
        <w:tc>
          <w:tcPr>
            <w:tcW w:w="5479" w:type="dxa"/>
            <w:gridSpan w:val="2"/>
            <w:vAlign w:val="center"/>
          </w:tcPr>
          <w:p w:rsidR="00A6200E" w:rsidRPr="00D32161" w:rsidRDefault="00A6200E"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广发聚康混合</w:t>
            </w:r>
          </w:p>
        </w:tc>
      </w:tr>
      <w:tr w:rsidR="00B95753" w:rsidRPr="00B75DF8" w:rsidTr="003F7026">
        <w:tc>
          <w:tcPr>
            <w:tcW w:w="2835" w:type="dxa"/>
            <w:vAlign w:val="center"/>
          </w:tcPr>
          <w:p w:rsidR="00B95753" w:rsidRPr="00D32161" w:rsidRDefault="00B95753" w:rsidP="003F7026">
            <w:pPr>
              <w:adjustRightInd w:val="0"/>
              <w:spacing w:before="29" w:line="360" w:lineRule="auto"/>
              <w:ind w:left="17"/>
              <w:rPr>
                <w:rFonts w:eastAsiaTheme="minorEastAsia"/>
                <w:kern w:val="0"/>
                <w:sz w:val="24"/>
              </w:rPr>
            </w:pPr>
            <w:r w:rsidRPr="00D32161">
              <w:rPr>
                <w:rFonts w:eastAsiaTheme="minorEastAsia"/>
                <w:kern w:val="0"/>
                <w:sz w:val="24"/>
              </w:rPr>
              <w:t>基金主代码</w:t>
            </w:r>
          </w:p>
        </w:tc>
        <w:tc>
          <w:tcPr>
            <w:tcW w:w="5479" w:type="dxa"/>
            <w:gridSpan w:val="2"/>
            <w:tcBorders>
              <w:bottom w:val="single" w:sz="4" w:space="0" w:color="auto"/>
            </w:tcBorders>
            <w:vAlign w:val="center"/>
          </w:tcPr>
          <w:p w:rsidR="00B95753" w:rsidRPr="00D32161" w:rsidRDefault="00B9575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001353</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基金运作方式</w:t>
            </w:r>
          </w:p>
        </w:tc>
        <w:tc>
          <w:tcPr>
            <w:tcW w:w="5479" w:type="dxa"/>
            <w:gridSpan w:val="2"/>
            <w:tcBorders>
              <w:top w:val="single" w:sz="4" w:space="0" w:color="auto"/>
            </w:tcBorders>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契约型开放式</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基金合同生效日</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2015年6月1日</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报告期末基金份额总额</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3,079,492.33</w:t>
            </w:r>
            <w:r w:rsidRPr="00D32161">
              <w:rPr>
                <w:rFonts w:eastAsiaTheme="minorEastAsia"/>
                <w:color w:val="000000"/>
                <w:kern w:val="0"/>
                <w:sz w:val="24"/>
              </w:rPr>
              <w:t>份</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投资目标</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在严格控制风险和保持资产流动性的基础上，本基金通过灵活的资产配置，在股票、固定收益证券和现金等大类资产中充分挖掘和利用潜在的投资机会，力求实现基金资产的持续稳定增值。</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投资策略</w:t>
            </w:r>
          </w:p>
        </w:tc>
        <w:tc>
          <w:tcPr>
            <w:tcW w:w="5479" w:type="dxa"/>
            <w:gridSpan w:val="2"/>
            <w:vAlign w:val="center"/>
          </w:tcPr>
          <w:p>
            <w:pPr>
              <w:adjustRightInd w:val="0"/>
              <w:spacing w:before="29" w:line="360" w:lineRule="auto"/>
              <w:ind w:left="17"/>
              <w:rPr>
                <w:rFonts w:eastAsiaTheme="minorEastAsia"/>
                <w:color w:val="000000"/>
                <w:sz w:val="24"/>
              </w:rPr>
            </w:pPr>
            <w:r>
              <w:rPr>
                <w:rFonts w:eastAsiaTheme="minorEastAsia"/>
                <w:color w:val="000000"/>
                <w:kern w:val="0"/>
                <w:sz w:val="24"/>
              </w:rPr>
              <w:t>（一）大类资产配置</w:t>
            </w:r>
          </w:p>
          <w:p>
            <w:pPr>
              <w:adjustRightInd w:val="0"/>
              <w:spacing w:before="29" w:line="360" w:lineRule="auto"/>
              <w:ind w:left="17"/>
              <w:rPr>
                <w:rFonts w:eastAsiaTheme="minorEastAsia"/>
                <w:color w:val="000000"/>
                <w:sz w:val="24"/>
              </w:rPr>
            </w:pPr>
            <w:r>
              <w:rPr>
                <w:rFonts w:eastAsiaTheme="minorEastAsia"/>
                <w:color w:val="000000"/>
                <w:kern w:val="0"/>
                <w:sz w:val="24"/>
              </w:rPr>
              <w:t>本基金在宏观经济分析基础上，结合政策面、市场资金面，积极把握市场发展趋势，根据经济周期不同阶段各类资产市场表现变化情况，对股票、债券和现金等大类资产投资比例进行战略配置和调整，以规避或分散市场风险，提高基金风险调整后的收益。</w:t>
            </w:r>
          </w:p>
          <w:p>
            <w:pPr>
              <w:adjustRightInd w:val="0"/>
              <w:spacing w:before="29" w:line="360" w:lineRule="auto"/>
              <w:ind w:left="17"/>
              <w:rPr>
                <w:rFonts w:eastAsiaTheme="minorEastAsia"/>
                <w:color w:val="000000"/>
                <w:sz w:val="24"/>
              </w:rPr>
            </w:pPr>
            <w:r>
              <w:rPr>
                <w:rFonts w:eastAsiaTheme="minorEastAsia"/>
                <w:color w:val="000000"/>
                <w:kern w:val="0"/>
                <w:sz w:val="24"/>
              </w:rPr>
              <w:t>（二）债券投资策略</w:t>
            </w:r>
          </w:p>
          <w:p>
            <w:pPr>
              <w:adjustRightInd w:val="0"/>
              <w:spacing w:before="29" w:line="360" w:lineRule="auto"/>
              <w:ind w:left="17"/>
              <w:rPr>
                <w:rFonts w:eastAsiaTheme="minorEastAsia"/>
                <w:color w:val="000000"/>
                <w:sz w:val="24"/>
              </w:rPr>
            </w:pPr>
            <w:r>
              <w:rPr>
                <w:rFonts w:eastAsiaTheme="minorEastAsia"/>
                <w:color w:val="000000"/>
                <w:kern w:val="0"/>
                <w:sz w:val="24"/>
              </w:rPr>
              <w:t>本基金通过对国内外宏观经济态势、利率走势、收益率曲线变化趋势和信用风险变化等因素进行综合分析，构建和调整固定收益证券投资组合，力求获得稳健的投资收益。</w:t>
            </w:r>
          </w:p>
          <w:p>
            <w:pPr>
              <w:adjustRightInd w:val="0"/>
              <w:spacing w:before="29" w:line="360" w:lineRule="auto"/>
              <w:ind w:left="17"/>
              <w:rPr>
                <w:rFonts w:eastAsiaTheme="minorEastAsia"/>
                <w:color w:val="000000"/>
                <w:sz w:val="24"/>
              </w:rPr>
            </w:pPr>
            <w:r>
              <w:rPr>
                <w:rFonts w:eastAsiaTheme="minorEastAsia"/>
                <w:color w:val="000000"/>
                <w:kern w:val="0"/>
                <w:sz w:val="24"/>
              </w:rPr>
              <w:t>（三）股票投资策略</w:t>
            </w:r>
          </w:p>
          <w:p>
            <w:pPr>
              <w:adjustRightInd w:val="0"/>
              <w:spacing w:before="29" w:line="360" w:lineRule="auto"/>
              <w:ind w:left="17"/>
              <w:rPr>
                <w:rFonts w:eastAsiaTheme="minorEastAsia"/>
                <w:color w:val="000000"/>
                <w:sz w:val="24"/>
              </w:rPr>
            </w:pPr>
            <w:r>
              <w:rPr>
                <w:rFonts w:eastAsiaTheme="minorEastAsia"/>
                <w:color w:val="000000"/>
                <w:kern w:val="0"/>
                <w:sz w:val="24"/>
              </w:rPr>
              <w:t>在严格控制风险、保持资产流动性的前提下，本基金将适度参与股票、权证等权益类资产的投资，以增加基金收益。</w:t>
            </w:r>
          </w:p>
          <w:p>
            <w:pPr>
              <w:adjustRightInd w:val="0"/>
              <w:spacing w:before="29" w:line="360" w:lineRule="auto"/>
              <w:ind w:left="17"/>
              <w:rPr>
                <w:rFonts w:eastAsiaTheme="minorEastAsia"/>
                <w:color w:val="000000"/>
                <w:sz w:val="24"/>
              </w:rPr>
            </w:pPr>
            <w:r>
              <w:rPr>
                <w:rFonts w:eastAsiaTheme="minorEastAsia"/>
                <w:color w:val="000000"/>
                <w:kern w:val="0"/>
                <w:sz w:val="24"/>
              </w:rPr>
              <w:t>本基金将主要采用“自下而上”的个股选择方法，在拟配置的行业内部通过定量与定性相结合的分析方法选筛选个股。</w:t>
            </w:r>
          </w:p>
          <w:p>
            <w:pPr>
              <w:adjustRightInd w:val="0"/>
              <w:spacing w:before="29" w:line="360" w:lineRule="auto"/>
              <w:ind w:left="17"/>
              <w:rPr>
                <w:rFonts w:eastAsiaTheme="minorEastAsia"/>
                <w:color w:val="000000"/>
                <w:sz w:val="24"/>
              </w:rPr>
            </w:pPr>
            <w:r>
              <w:rPr>
                <w:rFonts w:eastAsiaTheme="minorEastAsia"/>
                <w:color w:val="000000"/>
                <w:kern w:val="0"/>
                <w:sz w:val="24"/>
              </w:rPr>
              <w:t>（四）金融衍生品投资策略</w:t>
            </w:r>
          </w:p>
          <w:p>
            <w:pPr>
              <w:adjustRightInd w:val="0"/>
              <w:spacing w:before="29" w:line="360" w:lineRule="auto"/>
              <w:ind w:left="17"/>
              <w:rPr>
                <w:rFonts w:eastAsiaTheme="minorEastAsia"/>
                <w:color w:val="000000"/>
                <w:sz w:val="24"/>
              </w:rPr>
            </w:pPr>
            <w:r>
              <w:rPr>
                <w:rFonts w:eastAsiaTheme="minorEastAsia"/>
                <w:color w:val="000000"/>
                <w:kern w:val="0"/>
                <w:sz w:val="24"/>
              </w:rPr>
              <w:t>1、股指期货投资策略</w:t>
            </w:r>
          </w:p>
          <w:p>
            <w:pPr>
              <w:adjustRightInd w:val="0"/>
              <w:spacing w:before="29" w:line="360" w:lineRule="auto"/>
              <w:ind w:left="17"/>
              <w:rPr>
                <w:rFonts w:eastAsiaTheme="minorEastAsia"/>
                <w:color w:val="000000"/>
                <w:sz w:val="24"/>
              </w:rPr>
            </w:pPr>
            <w:r>
              <w:rPr>
                <w:rFonts w:eastAsiaTheme="minorEastAsia"/>
                <w:color w:val="000000"/>
                <w:kern w:val="0"/>
                <w:sz w:val="24"/>
              </w:rPr>
              <w:t>2、权证投资策略</w:t>
            </w:r>
          </w:p>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3、国债期货投资策略</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业绩比较基准</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30%×沪深300指数收益率＋70%×中证全债指数收益率。</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风险收益特征</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本基金是混合型基金，其预期收益及风险水平高于货币市场基金和债券型基金，低于股票型基金，属于中高收益风险特征的基金。</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基金管理人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广发基金管理有限公司</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基金托管人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中国工商银行股份有限公司</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kern w:val="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级基金的基金简称</w:t>
            </w:r>
          </w:p>
        </w:tc>
        <w:tc>
          <w:tcPr>
            <w:tcW w:w="2739" w:type="dxa"/>
            <w:vAlign w:val="center"/>
          </w:tcPr>
          <w:p w:rsidR="008532F3" w:rsidRPr="00D32161" w:rsidRDefault="008532F3" w:rsidP="003F7026">
            <w:pPr>
              <w:rPr>
                <w:rFonts w:eastAsiaTheme="minorEastAsia"/>
                <w:sz w:val="24"/>
              </w:rPr>
            </w:pPr>
            <w:r w:rsidRPr="00D32161">
              <w:rPr>
                <w:rFonts w:eastAsiaTheme="minorEastAsia"/>
                <w:color w:val="000000"/>
                <w:kern w:val="0"/>
                <w:sz w:val="24"/>
              </w:rPr>
              <w:t/>
            </w:r>
            <w:r w:rsidRPr="00D32161">
              <w:rPr>
                <w:rFonts w:eastAsiaTheme="minorEastAsia"/>
                <w:sz w:val="24"/>
              </w:rPr>
              <w:t>广发聚康混合A</w:t>
            </w:r>
          </w:p>
        </w:tc>
        <w:tc>
          <w:tcPr>
            <w:tcW w:w="2740" w:type="dxa"/>
            <w:vAlign w:val="center"/>
          </w:tcPr>
          <w:p w:rsidR="008532F3" w:rsidRPr="00D32161" w:rsidRDefault="008532F3" w:rsidP="003F7026">
            <w:pPr>
              <w:rPr>
                <w:rFonts w:eastAsiaTheme="minorEastAsia"/>
                <w:sz w:val="24"/>
              </w:rPr>
            </w:pPr>
            <w:r w:rsidRPr="00D32161">
              <w:rPr>
                <w:rFonts w:eastAsiaTheme="minorEastAsia"/>
                <w:color w:val="000000"/>
                <w:kern w:val="0"/>
                <w:sz w:val="24"/>
              </w:rPr>
              <w:t/>
            </w:r>
            <w:r w:rsidRPr="00D32161">
              <w:rPr>
                <w:rFonts w:eastAsiaTheme="minorEastAsia"/>
                <w:sz w:val="24"/>
              </w:rPr>
              <w:t>广发聚康混合C</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color w:val="00000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级基金的交易代</w:t>
            </w:r>
            <w:r w:rsidRPr="00D32161">
              <w:rPr>
                <w:rFonts w:eastAsiaTheme="minorEastAsia"/>
                <w:color w:val="000000"/>
                <w:sz w:val="24"/>
              </w:rPr>
              <w:lastRenderedPageBreak/>
              <w:t>码</w:t>
            </w:r>
            <w:r w:rsidR="00B35FEC" w:rsidRPr="00D32161">
              <w:rPr>
                <w:rFonts w:eastAsiaTheme="minorEastAsia"/>
                <w:color w:val="000000"/>
                <w:sz w:val="24"/>
              </w:rPr>
              <w:t/>
            </w:r>
            <w:r w:rsidR="00B35FEC" w:rsidRPr="00D32161">
              <w:rPr>
                <w:rFonts w:eastAsiaTheme="minorEastAsia"/>
                <w:sz w:val="24"/>
              </w:rPr>
              <w:t/>
            </w:r>
            <w:r w:rsidR="00B35FEC" w:rsidRPr="00D32161">
              <w:rPr>
                <w:rFonts w:eastAsiaTheme="minorEastAsia"/>
                <w:color w:val="000000"/>
                <w:sz w:val="24"/>
              </w:rPr>
              <w:t/>
            </w:r>
          </w:p>
        </w:tc>
        <w:tc>
          <w:tcPr>
            <w:tcW w:w="2739" w:type="dxa"/>
            <w:vAlign w:val="center"/>
          </w:tcPr>
          <w:p w:rsidR="008532F3" w:rsidRPr="00D32161" w:rsidRDefault="00F22F9F" w:rsidP="003F7026">
            <w:pPr>
              <w:rPr>
                <w:rFonts w:eastAsiaTheme="minorEastAsia"/>
                <w:sz w:val="24"/>
              </w:rPr>
            </w:pPr>
            <w:r w:rsidRPr="00D32161">
              <w:rPr>
                <w:rFonts w:eastAsiaTheme="minorEastAsia"/>
                <w:kern w:val="0"/>
                <w:sz w:val="24"/>
              </w:rPr>
              <w:lastRenderedPageBreak/>
              <w:t/>
            </w:r>
            <w:r w:rsidR="008532F3" w:rsidRPr="00D32161">
              <w:rPr>
                <w:rFonts w:eastAsiaTheme="minorEastAsia"/>
                <w:color w:val="000000"/>
                <w:kern w:val="0"/>
                <w:sz w:val="24"/>
              </w:rPr>
              <w:t/>
            </w:r>
            <w:r w:rsidR="008532F3" w:rsidRPr="00D32161">
              <w:rPr>
                <w:rFonts w:eastAsiaTheme="minorEastAsia"/>
                <w:sz w:val="24"/>
              </w:rPr>
              <w:t/>
            </w:r>
            <w:r w:rsidR="008532F3" w:rsidRPr="00D32161">
              <w:rPr>
                <w:rFonts w:eastAsiaTheme="minorEastAsia"/>
                <w:sz w:val="24"/>
              </w:rPr>
              <w:lastRenderedPageBreak/>
              <w:t>001353</w:t>
            </w:r>
          </w:p>
        </w:tc>
        <w:tc>
          <w:tcPr>
            <w:tcW w:w="2740" w:type="dxa"/>
            <w:vAlign w:val="center"/>
          </w:tcPr>
          <w:p w:rsidR="008532F3" w:rsidRPr="00D32161" w:rsidRDefault="00F22F9F" w:rsidP="003F7026">
            <w:pPr>
              <w:rPr>
                <w:rFonts w:eastAsiaTheme="minorEastAsia"/>
                <w:sz w:val="24"/>
              </w:rPr>
            </w:pPr>
            <w:r w:rsidRPr="00D32161">
              <w:rPr>
                <w:rFonts w:eastAsiaTheme="minorEastAsia"/>
                <w:kern w:val="0"/>
                <w:sz w:val="24"/>
              </w:rPr>
              <w:lastRenderedPageBreak/>
              <w:t/>
            </w:r>
            <w:r w:rsidR="008532F3" w:rsidRPr="00D32161">
              <w:rPr>
                <w:rFonts w:eastAsiaTheme="minorEastAsia"/>
                <w:color w:val="000000"/>
                <w:kern w:val="0"/>
                <w:sz w:val="24"/>
              </w:rPr>
              <w:t/>
            </w:r>
            <w:r w:rsidR="008532F3" w:rsidRPr="00D32161">
              <w:rPr>
                <w:rFonts w:eastAsiaTheme="minorEastAsia"/>
                <w:sz w:val="24"/>
              </w:rPr>
              <w:t>001354</w:t>
            </w:r>
          </w:p>
        </w:tc>
      </w:tr>
      <w:tr w:rsidR="00F22F9F" w:rsidRPr="00B75DF8" w:rsidTr="003F7026">
        <w:tc>
          <w:tcPr>
            <w:tcW w:w="2835" w:type="dxa"/>
            <w:vAlign w:val="center"/>
          </w:tcPr>
          <w:p w:rsidR="00F22F9F" w:rsidRPr="00D32161" w:rsidRDefault="00F22F9F" w:rsidP="00992E6E">
            <w:pPr>
              <w:adjustRightInd w:val="0"/>
              <w:spacing w:before="29" w:line="360" w:lineRule="auto"/>
              <w:ind w:left="17"/>
              <w:rPr>
                <w:rFonts w:eastAsiaTheme="minorEastAsia"/>
                <w:color w:val="000000"/>
                <w:sz w:val="24"/>
              </w:rPr>
            </w:pPr>
            <w:r w:rsidRPr="00D32161">
              <w:rPr>
                <w:rFonts w:eastAsiaTheme="minorEastAsia"/>
                <w:color w:val="000000"/>
                <w:sz w:val="24"/>
              </w:rPr>
              <w:t>报告期末下属</w:t>
            </w:r>
            <w:r w:rsidR="00992E6E">
              <w:rPr>
                <w:rFonts w:eastAsiaTheme="minorEastAsia" w:hint="eastAsia"/>
                <w:color w:val="000000"/>
                <w:sz w:val="24"/>
              </w:rPr>
              <w:t>分</w:t>
            </w:r>
            <w:r w:rsidRPr="00D32161">
              <w:rPr>
                <w:rFonts w:eastAsiaTheme="minorEastAsia"/>
                <w:color w:val="000000"/>
                <w:sz w:val="24"/>
              </w:rPr>
              <w:t>级基金的份额总额</w:t>
            </w:r>
          </w:p>
        </w:tc>
        <w:tc>
          <w:tcPr>
            <w:tcW w:w="2739" w:type="dxa"/>
            <w:vAlign w:val="center"/>
          </w:tcPr>
          <w:p w:rsidR="00F22F9F" w:rsidRPr="00D32161" w:rsidRDefault="00F22F9F" w:rsidP="003F7026">
            <w:pPr>
              <w:rPr>
                <w:rFonts w:eastAsiaTheme="minorEastAsia"/>
                <w:sz w:val="24"/>
              </w:rPr>
            </w:pPr>
            <w:r w:rsidRPr="00D32161">
              <w:rPr>
                <w:rFonts w:eastAsiaTheme="minorEastAsia"/>
                <w:color w:val="000000"/>
                <w:kern w:val="0"/>
                <w:sz w:val="24"/>
              </w:rPr>
              <w:t/>
            </w:r>
            <w:r w:rsidRPr="00D32161">
              <w:rPr>
                <w:rFonts w:eastAsiaTheme="minorEastAsia"/>
                <w:sz w:val="24"/>
              </w:rPr>
              <w:t>1,851,332.80</w:t>
            </w:r>
            <w:r w:rsidRPr="00D32161">
              <w:rPr>
                <w:rFonts w:eastAsiaTheme="minorEastAsia"/>
                <w:color w:val="000000"/>
                <w:kern w:val="0"/>
                <w:sz w:val="24"/>
              </w:rPr>
              <w:t>份</w:t>
            </w:r>
          </w:p>
        </w:tc>
        <w:tc>
          <w:tcPr>
            <w:tcW w:w="2740" w:type="dxa"/>
            <w:vAlign w:val="center"/>
          </w:tcPr>
          <w:p w:rsidR="00F22F9F" w:rsidRPr="00D32161" w:rsidRDefault="00F22F9F" w:rsidP="003F7026">
            <w:pPr>
              <w:rPr>
                <w:rFonts w:eastAsiaTheme="minorEastAsia"/>
                <w:sz w:val="24"/>
              </w:rPr>
            </w:pPr>
            <w:r w:rsidRPr="00D32161">
              <w:rPr>
                <w:rFonts w:eastAsiaTheme="minorEastAsia"/>
                <w:color w:val="000000"/>
                <w:kern w:val="0"/>
                <w:sz w:val="24"/>
              </w:rPr>
              <w:t/>
            </w:r>
            <w:r w:rsidRPr="00D32161">
              <w:rPr>
                <w:rFonts w:eastAsiaTheme="minorEastAsia"/>
                <w:sz w:val="24"/>
              </w:rPr>
              <w:t>1,228,159.53</w:t>
            </w:r>
            <w:r w:rsidRPr="00D32161">
              <w:rPr>
                <w:rFonts w:eastAsiaTheme="minorEastAsia"/>
                <w:color w:val="000000"/>
                <w:kern w:val="0"/>
                <w:sz w:val="24"/>
              </w:rPr>
              <w:t>份</w:t>
            </w:r>
          </w:p>
        </w:tc>
      </w:tr>
    </w:tbl>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3  </w:t>
      </w:r>
      <w:r w:rsidRPr="00B75DF8">
        <w:rPr>
          <w:rFonts w:asciiTheme="minorEastAsia" w:eastAsiaTheme="minorEastAsia" w:hAnsiTheme="minorEastAsia" w:cs="Arial" w:hint="eastAsia"/>
          <w:color w:val="000000"/>
          <w:kern w:val="0"/>
          <w:sz w:val="24"/>
          <w:szCs w:val="24"/>
        </w:rPr>
        <w:t>主要财务指标和基金净值表现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3.1 </w:t>
      </w:r>
      <w:r w:rsidRPr="00B75DF8">
        <w:rPr>
          <w:rFonts w:asciiTheme="minorEastAsia" w:eastAsiaTheme="minorEastAsia" w:hAnsiTheme="minorEastAsia" w:cs="Arial" w:hint="eastAsia"/>
          <w:b/>
          <w:color w:val="000000"/>
          <w:kern w:val="0"/>
          <w:sz w:val="24"/>
        </w:rPr>
        <w:t>主要财务指标</w:t>
      </w:r>
    </w:p>
    <w:p w:rsidR="009238DB" w:rsidRPr="00B75DF8" w:rsidRDefault="009238DB" w:rsidP="00E27360">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9E549D" w:rsidRPr="00D32161" w:rsidTr="003F7026">
        <w:tc>
          <w:tcPr>
            <w:tcW w:w="3402" w:type="dxa"/>
            <w:vMerge w:val="restart"/>
            <w:vAlign w:val="center"/>
          </w:tcPr>
          <w:p w:rsidR="009E549D" w:rsidRPr="00D32161" w:rsidRDefault="009E549D" w:rsidP="003F7026">
            <w:pPr>
              <w:adjustRightInd w:val="0"/>
              <w:spacing w:before="29" w:line="360" w:lineRule="auto"/>
              <w:ind w:left="17"/>
              <w:rPr>
                <w:rFonts w:eastAsiaTheme="minorEastAsia"/>
                <w:kern w:val="0"/>
                <w:sz w:val="24"/>
              </w:rPr>
            </w:pPr>
            <w:r w:rsidRPr="00D32161">
              <w:rPr>
                <w:rFonts w:eastAsiaTheme="minorEastAsia"/>
                <w:kern w:val="0"/>
                <w:sz w:val="24"/>
              </w:rPr>
              <w:t>主要财务指标</w:t>
            </w:r>
          </w:p>
        </w:tc>
        <w:tc>
          <w:tcPr>
            <w:tcW w:w="4962" w:type="dxa"/>
            <w:gridSpan w:val="2"/>
            <w:vAlign w:val="center"/>
          </w:tcPr>
          <w:p w:rsidR="002976E5"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报告期</w:t>
            </w:r>
          </w:p>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(2016年1月1日-2016年3月31日)</w:t>
            </w:r>
          </w:p>
        </w:tc>
      </w:tr>
      <w:tr w:rsidR="009E549D" w:rsidRPr="00D32161" w:rsidTr="003F7026">
        <w:tc>
          <w:tcPr>
            <w:tcW w:w="3402" w:type="dxa"/>
            <w:vMerge/>
            <w:vAlign w:val="center"/>
          </w:tcPr>
          <w:p w:rsidR="009E549D" w:rsidRPr="00D32161" w:rsidRDefault="009E549D" w:rsidP="003F7026">
            <w:pPr>
              <w:adjustRightInd w:val="0"/>
              <w:spacing w:before="29" w:line="360" w:lineRule="auto"/>
              <w:ind w:left="17"/>
              <w:rPr>
                <w:rFonts w:eastAsiaTheme="minorEastAsia"/>
                <w:kern w:val="0"/>
                <w:sz w:val="24"/>
              </w:rPr>
            </w:pPr>
          </w:p>
        </w:tc>
        <w:tc>
          <w:tcPr>
            <w:tcW w:w="2481" w:type="dxa"/>
            <w:vAlign w:val="center"/>
          </w:tcPr>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kern w:val="0"/>
                <w:sz w:val="24"/>
              </w:rPr>
              <w:t/>
            </w:r>
            <w:r w:rsidRPr="00D32161">
              <w:rPr>
                <w:rFonts w:eastAsiaTheme="minorEastAsia"/>
                <w:sz w:val="24"/>
              </w:rPr>
              <w:t>广发聚康混合A</w:t>
            </w:r>
          </w:p>
        </w:tc>
        <w:tc>
          <w:tcPr>
            <w:tcW w:w="2481" w:type="dxa"/>
            <w:vAlign w:val="center"/>
          </w:tcPr>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kern w:val="0"/>
                <w:sz w:val="24"/>
              </w:rPr>
              <w:t/>
            </w:r>
            <w:r w:rsidRPr="00D32161">
              <w:rPr>
                <w:rFonts w:eastAsiaTheme="minorEastAsia"/>
                <w:sz w:val="24"/>
              </w:rPr>
              <w:t/>
            </w:r>
            <w:r w:rsidR="004D614E" w:rsidRPr="00D32161">
              <w:rPr>
                <w:rFonts w:eastAsiaTheme="minorEastAsia"/>
                <w:sz w:val="24"/>
              </w:rPr>
              <w:t/>
            </w:r>
            <w:r w:rsidR="00FE7FBD" w:rsidRPr="00D32161">
              <w:rPr>
                <w:rFonts w:eastAsiaTheme="minorEastAsia"/>
                <w:sz w:val="24"/>
              </w:rPr>
              <w:t>广发聚康混合C</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1.</w:t>
            </w:r>
            <w:r w:rsidRPr="00D32161">
              <w:rPr>
                <w:rFonts w:eastAsiaTheme="minorEastAsia"/>
                <w:kern w:val="0"/>
                <w:sz w:val="24"/>
              </w:rPr>
              <w:t>本期已实现收益</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1,187,137.94</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AD3905" w:rsidRPr="00D32161">
              <w:rPr>
                <w:rFonts w:eastAsiaTheme="minorEastAsia"/>
                <w:color w:val="000000"/>
                <w:sz w:val="24"/>
              </w:rPr>
              <w:t/>
            </w:r>
            <w:r w:rsidR="0037768B" w:rsidRPr="00D32161">
              <w:rPr>
                <w:rFonts w:eastAsiaTheme="minorEastAsia"/>
                <w:color w:val="000000"/>
                <w:sz w:val="24"/>
              </w:rPr>
              <w:t/>
            </w: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4,611,204.75</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2.</w:t>
            </w:r>
            <w:r w:rsidRPr="00D32161">
              <w:rPr>
                <w:rFonts w:eastAsiaTheme="minorEastAsia"/>
                <w:kern w:val="0"/>
                <w:sz w:val="24"/>
              </w:rPr>
              <w:t>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-77,290.23</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2,048,764.91</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3.</w:t>
            </w:r>
            <w:r w:rsidRPr="00D32161">
              <w:rPr>
                <w:rFonts w:eastAsiaTheme="minorEastAsia"/>
                <w:kern w:val="0"/>
                <w:sz w:val="24"/>
              </w:rPr>
              <w:t>加权平均基金份额本期利润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-0.0326</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0.0214</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4.</w:t>
            </w:r>
            <w:r w:rsidRPr="00D32161">
              <w:rPr>
                <w:rFonts w:eastAsiaTheme="minorEastAsia"/>
                <w:kern w:val="0"/>
                <w:sz w:val="24"/>
              </w:rPr>
              <w:t>期末基金资产净值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2,315,681.10</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1,296,702.05</w:t>
            </w:r>
          </w:p>
        </w:tc>
      </w:tr>
      <w:tr w:rsidR="005F293E" w:rsidRPr="00D32161" w:rsidTr="003F7026">
        <w:trPr>
          <w:trHeight w:val="158"/>
        </w:trPr>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lastRenderedPageBreak/>
              <w:t>5.</w:t>
            </w:r>
            <w:r w:rsidRPr="00D32161">
              <w:rPr>
                <w:rFonts w:eastAsiaTheme="minorEastAsia"/>
                <w:kern w:val="0"/>
                <w:sz w:val="24"/>
              </w:rPr>
              <w:t>期末基金份额净值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1.251</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1.056</w:t>
            </w:r>
          </w:p>
        </w:tc>
      </w:tr>
    </w:tbl>
    <w:p>
      <w:pPr>
        <w:spacing w:line="360" w:lineRule="auto"/>
        <w:ind w:firstLineChars="200" w:firstLine="480"/>
        <w:rPr>
          <w:rFonts w:eastAsiaTheme="minorEastAsia"/>
          <w:color w:val="000000"/>
          <w:sz w:val="24"/>
        </w:rPr>
      </w:pPr>
      <w:r>
        <w:rPr>
          <w:rFonts w:eastAsiaTheme="minorEastAsia"/>
          <w:color w:val="000000"/>
          <w:sz w:val="24"/>
        </w:rPr>
        <w:t>注：（1）所述基金业绩指标不包括持有人认购或交易基金的各项费用，计入费用后实际收益水平要低于所列数字。</w:t>
      </w:r>
    </w:p>
    <w:p w:rsidR="009238DB" w:rsidRPr="00D32161" w:rsidRDefault="005E01A3"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009A529F" w:rsidRPr="00264591">
        <w:rPr>
          <w:rFonts w:eastAsiaTheme="minorEastAsia" w:hint="eastAsia"/>
          <w:color w:val="000000"/>
          <w:sz w:val="24"/>
        </w:rPr>
        <w:t/>
      </w:r>
      <w:r w:rsidR="00FE7FBD" w:rsidRPr="00264591">
        <w:rPr>
          <w:rFonts w:eastAsiaTheme="minorEastAsia" w:hint="eastAsia"/>
          <w:color w:val="000000"/>
          <w:sz w:val="24"/>
        </w:rPr>
        <w:t/>
      </w:r>
      <w:r w:rsidRPr="00264591">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3.2 </w:t>
      </w:r>
      <w:r w:rsidRPr="00B75DF8">
        <w:rPr>
          <w:rFonts w:asciiTheme="minorEastAsia" w:eastAsiaTheme="minorEastAsia" w:hAnsiTheme="minorEastAsia" w:cs="Arial" w:hint="eastAsia"/>
          <w:b/>
          <w:color w:val="000000"/>
          <w:kern w:val="0"/>
          <w:sz w:val="24"/>
        </w:rPr>
        <w:t>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B75DF8">
          <w:rPr>
            <w:rFonts w:asciiTheme="minorEastAsia" w:eastAsiaTheme="minorEastAsia" w:hAnsiTheme="minorEastAsia" w:cs="Arial"/>
            <w:b/>
            <w:color w:val="000000"/>
            <w:kern w:val="0"/>
            <w:sz w:val="24"/>
          </w:rPr>
          <w:t>3.2.1</w:t>
        </w:r>
      </w:smartTag>
      <w:r w:rsidRPr="00B75DF8">
        <w:rPr>
          <w:rFonts w:asciiTheme="minorEastAsia" w:eastAsiaTheme="minorEastAsia" w:hAnsiTheme="minorEastAsia" w:cs="Arial" w:hint="eastAsia"/>
          <w:b/>
          <w:color w:val="000000"/>
          <w:kern w:val="0"/>
          <w:sz w:val="24"/>
        </w:rPr>
        <w:t>本报告期基金份额净值增长率及其与同期业绩比较基准收益率的比较</w:t>
      </w:r>
    </w:p>
    <w:p w:rsidR="009238DB" w:rsidRPr="00B75DF8" w:rsidRDefault="009238DB" w:rsidP="00FC13C8">
      <w:pPr>
        <w:spacing w:line="360" w:lineRule="auto"/>
        <w:rPr>
          <w:rFonts w:asciiTheme="minorEastAsia" w:eastAsiaTheme="minorEastAsia" w:hAnsiTheme="minorEastAsia"/>
          <w:b/>
          <w:sz w:val="24"/>
        </w:rPr>
      </w:pPr>
      <w:r w:rsidRPr="00B75DF8">
        <w:rPr>
          <w:rFonts w:asciiTheme="minorEastAsia" w:eastAsiaTheme="minorEastAsia" w:hAnsiTheme="minorEastAsia"/>
          <w:b/>
          <w:sz w:val="24"/>
        </w:rPr>
        <w:t>1、</w:t>
      </w:r>
      <w:r w:rsidR="00A5643A" w:rsidRPr="00B75DF8">
        <w:rPr>
          <w:rFonts w:asciiTheme="minorEastAsia" w:eastAsiaTheme="minorEastAsia" w:hAnsiTheme="minorEastAsia" w:cs="Arial"/>
          <w:b/>
          <w:color w:val="000000"/>
          <w:kern w:val="0"/>
          <w:sz w:val="24"/>
        </w:rPr>
        <w:t/>
      </w:r>
      <w:r w:rsidR="00A5643A" w:rsidRPr="00B75DF8">
        <w:rPr>
          <w:rFonts w:asciiTheme="minorEastAsia" w:eastAsiaTheme="minorEastAsia" w:hAnsiTheme="minorEastAsia" w:cs="Arial" w:hint="eastAsia"/>
          <w:b/>
          <w:color w:val="000000"/>
          <w:kern w:val="0"/>
          <w:sz w:val="24"/>
        </w:rPr>
        <w:t/>
      </w:r>
      <w:r w:rsidR="0042785F" w:rsidRPr="00B75DF8">
        <w:rPr>
          <w:rFonts w:asciiTheme="minorEastAsia" w:eastAsiaTheme="minorEastAsia" w:hAnsiTheme="minorEastAsia" w:cs="Arial" w:hint="eastAsia"/>
          <w:b/>
          <w:color w:val="000000"/>
          <w:kern w:val="0"/>
          <w:sz w:val="24"/>
        </w:rPr>
        <w:t/>
      </w:r>
      <w:r w:rsidR="00A5643A" w:rsidRPr="00B75DF8">
        <w:rPr>
          <w:rFonts w:asciiTheme="minorEastAsia" w:eastAsiaTheme="minorEastAsia" w:hAnsiTheme="minorEastAsia" w:cs="Arial" w:hint="eastAsia"/>
          <w:b/>
          <w:color w:val="000000"/>
          <w:kern w:val="0"/>
          <w:sz w:val="24"/>
        </w:rPr>
        <w:t/>
      </w:r>
      <w:r w:rsidR="00A5643A" w:rsidRPr="00B75DF8">
        <w:rPr>
          <w:rFonts w:asciiTheme="minorEastAsia" w:eastAsiaTheme="minorEastAsia" w:hAnsiTheme="minorEastAsia" w:cs="Arial"/>
          <w:b/>
          <w:color w:val="000000"/>
          <w:kern w:val="0"/>
          <w:sz w:val="24"/>
        </w:rPr>
        <w:t>广发聚康混合A</w:t>
      </w:r>
      <w:r w:rsidRPr="00B75DF8">
        <w:rPr>
          <w:rFonts w:asciiTheme="minorEastAsia" w:eastAsiaTheme="minorEastAsia" w:hAnsiTheme="minorEastAsia"/>
          <w:b/>
          <w:sz w:val="24"/>
        </w:rPr>
        <w:t>：</w:t>
      </w:r>
    </w:p>
    <w:tbl>
      <w:tblPr>
        <w:tblStyle w:val="af2"/>
        <w:tblW w:w="0" w:type="auto"/>
        <w:tblLayout w:type="fixed"/>
        <w:tblLook w:val="04A0" w:firstRow="1" w:lastRow="0" w:firstColumn="1" w:lastColumn="0" w:noHBand="0" w:noVBand="1"/>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r w:rsidR="000D4DE9" w:rsidRPr="00D32161">
              <w:rPr>
                <w:rFonts w:eastAsiaTheme="minorEastAsia"/>
                <w:color w:val="000000"/>
                <w:sz w:val="24"/>
              </w:rPr>
              <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tc>
          <w:tcPr>
            <w:vAlign w:val="center"/>
          </w:tcPr>
          <w:p>
            <w:pPr>
              <w:jc w:val="left"/>
            </w:pPr>
            <w:r>
              <w:rPr>
                <w:rFonts w:eastAsiaTheme="minorEastAsia"/>
                <w:color w:val="000000"/>
                <w:sz w:val="24"/>
              </w:rPr>
              <w:t>过去三个月</w:t>
            </w:r>
          </w:p>
        </w:tc>
        <w:tc>
          <w:tcPr>
            <w:vAlign w:val="center"/>
          </w:tcPr>
          <w:p>
            <w:pPr>
              <w:jc w:val="center"/>
            </w:pPr>
            <w:r>
              <w:rPr>
                <w:rFonts w:eastAsiaTheme="minorEastAsia"/>
                <w:color w:val="000000"/>
                <w:sz w:val="24"/>
              </w:rPr>
              <w:t>-2.34%</w:t>
            </w:r>
          </w:p>
        </w:tc>
        <w:tc>
          <w:tcPr>
            <w:vAlign w:val="center"/>
          </w:tcPr>
          <w:p>
            <w:pPr>
              <w:jc w:val="center"/>
            </w:pPr>
            <w:r>
              <w:rPr>
                <w:rFonts w:eastAsiaTheme="minorEastAsia"/>
                <w:color w:val="000000"/>
                <w:sz w:val="24"/>
              </w:rPr>
              <w:t>0.70%</w:t>
            </w:r>
          </w:p>
        </w:tc>
        <w:tc>
          <w:tcPr>
            <w:vAlign w:val="center"/>
          </w:tcPr>
          <w:p>
            <w:pPr>
              <w:jc w:val="center"/>
            </w:pPr>
            <w:r>
              <w:rPr>
                <w:rFonts w:eastAsiaTheme="minorEastAsia"/>
                <w:color w:val="000000"/>
                <w:sz w:val="24"/>
              </w:rPr>
              <w:t>-3.25%</w:t>
            </w:r>
          </w:p>
        </w:tc>
        <w:tc>
          <w:tcPr>
            <w:vAlign w:val="center"/>
          </w:tcPr>
          <w:p>
            <w:pPr>
              <w:jc w:val="center"/>
            </w:pPr>
            <w:r>
              <w:rPr>
                <w:rFonts w:eastAsiaTheme="minorEastAsia"/>
                <w:color w:val="000000"/>
                <w:sz w:val="24"/>
              </w:rPr>
              <w:t>0.73%</w:t>
            </w:r>
          </w:p>
        </w:tc>
        <w:tc>
          <w:tcPr>
            <w:vAlign w:val="center"/>
          </w:tcPr>
          <w:p>
            <w:pPr>
              <w:jc w:val="center"/>
            </w:pPr>
            <w:r>
              <w:rPr>
                <w:rFonts w:eastAsiaTheme="minorEastAsia"/>
                <w:color w:val="000000"/>
                <w:sz w:val="24"/>
              </w:rPr>
              <w:t>0.91%</w:t>
            </w:r>
          </w:p>
        </w:tc>
        <w:tc>
          <w:tcPr>
            <w:vAlign w:val="center"/>
          </w:tcPr>
          <w:p>
            <w:pPr>
              <w:jc w:val="center"/>
            </w:pPr>
            <w:r>
              <w:rPr>
                <w:rFonts w:eastAsiaTheme="minorEastAsia"/>
                <w:color w:val="000000"/>
                <w:sz w:val="24"/>
              </w:rPr>
              <w:t>-0.03%</w:t>
            </w:r>
          </w:p>
        </w:tc>
      </w:tr>
    </w:tbl>
    <w:p w:rsidR="009238DB" w:rsidRPr="00B75DF8" w:rsidRDefault="009238DB" w:rsidP="00FC13C8">
      <w:pPr>
        <w:adjustRightInd w:val="0"/>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b/>
          <w:sz w:val="24"/>
        </w:rPr>
        <w:t>2、</w:t>
      </w:r>
      <w:r w:rsidR="00A5643A" w:rsidRPr="00B75DF8">
        <w:rPr>
          <w:rFonts w:asciiTheme="minorEastAsia" w:eastAsiaTheme="minorEastAsia" w:hAnsiTheme="minorEastAsia" w:cs="Arial"/>
          <w:b/>
          <w:color w:val="000000"/>
          <w:kern w:val="0"/>
          <w:sz w:val="24"/>
        </w:rPr>
        <w:t/>
      </w:r>
      <w:r w:rsidR="00A5643A" w:rsidRPr="00B75DF8">
        <w:rPr>
          <w:rFonts w:asciiTheme="minorEastAsia" w:eastAsiaTheme="minorEastAsia" w:hAnsiTheme="minorEastAsia" w:cs="Arial" w:hint="eastAsia"/>
          <w:b/>
          <w:color w:val="000000"/>
          <w:kern w:val="0"/>
          <w:sz w:val="24"/>
        </w:rPr>
        <w:t/>
      </w:r>
      <w:r w:rsidR="004D614E" w:rsidRPr="00B75DF8">
        <w:rPr>
          <w:rFonts w:asciiTheme="minorEastAsia" w:eastAsiaTheme="minorEastAsia" w:hAnsiTheme="minorEastAsia" w:cs="Arial" w:hint="eastAsia"/>
          <w:b/>
          <w:color w:val="000000"/>
          <w:kern w:val="0"/>
          <w:sz w:val="24"/>
        </w:rPr>
        <w:t/>
      </w:r>
      <w:r w:rsidR="00FE7FBD" w:rsidRPr="00B75DF8">
        <w:rPr>
          <w:rFonts w:asciiTheme="minorEastAsia" w:eastAsiaTheme="minorEastAsia" w:hAnsiTheme="minorEastAsia" w:cs="Arial" w:hint="eastAsia"/>
          <w:b/>
          <w:color w:val="000000"/>
          <w:kern w:val="0"/>
          <w:sz w:val="24"/>
        </w:rPr>
        <w:t>广发聚康混合C</w:t>
      </w:r>
      <w:r w:rsidRPr="00B75DF8">
        <w:rPr>
          <w:rFonts w:asciiTheme="minorEastAsia" w:eastAsiaTheme="minorEastAsia" w:hAnsiTheme="minorEastAsia" w:cs="Arial" w:hint="eastAsia"/>
          <w:b/>
          <w:color w:val="000000"/>
          <w:kern w:val="0"/>
          <w:sz w:val="24"/>
        </w:rPr>
        <w:t>：</w:t>
      </w:r>
    </w:p>
    <w:tbl>
      <w:tblPr>
        <w:tblStyle w:val="af2"/>
        <w:tblW w:w="0" w:type="auto"/>
        <w:tblLayout w:type="fixed"/>
        <w:tblLook w:val="04A0" w:firstRow="1" w:lastRow="0" w:firstColumn="1" w:lastColumn="0" w:noHBand="0" w:noVBand="1"/>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r w:rsidR="000D4DE9" w:rsidRPr="00D32161">
              <w:rPr>
                <w:rFonts w:eastAsiaTheme="minorEastAsia"/>
                <w:color w:val="000000"/>
                <w:sz w:val="24"/>
              </w:rPr>
              <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tc>
          <w:tcPr>
            <w:vAlign w:val="center"/>
          </w:tcPr>
          <w:p>
            <w:pPr>
              <w:jc w:val="left"/>
            </w:pPr>
            <w:r>
              <w:rPr>
                <w:rFonts w:eastAsiaTheme="minorEastAsia"/>
                <w:color w:val="000000"/>
                <w:sz w:val="24"/>
              </w:rPr>
              <w:t>过去三个月</w:t>
            </w:r>
          </w:p>
        </w:tc>
        <w:tc>
          <w:tcPr>
            <w:vAlign w:val="center"/>
          </w:tcPr>
          <w:p>
            <w:pPr>
              <w:jc w:val="center"/>
            </w:pPr>
            <w:r>
              <w:rPr>
                <w:rFonts w:eastAsiaTheme="minorEastAsia"/>
                <w:color w:val="000000"/>
                <w:sz w:val="24"/>
              </w:rPr>
              <w:t>-1.03%</w:t>
            </w:r>
          </w:p>
        </w:tc>
        <w:tc>
          <w:tcPr>
            <w:vAlign w:val="center"/>
          </w:tcPr>
          <w:p>
            <w:pPr>
              <w:jc w:val="center"/>
            </w:pPr>
            <w:r>
              <w:rPr>
                <w:rFonts w:eastAsiaTheme="minorEastAsia"/>
                <w:color w:val="000000"/>
                <w:sz w:val="24"/>
              </w:rPr>
              <w:t>0.63%</w:t>
            </w:r>
          </w:p>
        </w:tc>
        <w:tc>
          <w:tcPr>
            <w:vAlign w:val="center"/>
          </w:tcPr>
          <w:p>
            <w:pPr>
              <w:jc w:val="center"/>
            </w:pPr>
            <w:r>
              <w:rPr>
                <w:rFonts w:eastAsiaTheme="minorEastAsia"/>
                <w:color w:val="000000"/>
                <w:sz w:val="24"/>
              </w:rPr>
              <w:t>-3.25%</w:t>
            </w:r>
          </w:p>
        </w:tc>
        <w:tc>
          <w:tcPr>
            <w:vAlign w:val="center"/>
          </w:tcPr>
          <w:p>
            <w:pPr>
              <w:jc w:val="center"/>
            </w:pPr>
            <w:r>
              <w:rPr>
                <w:rFonts w:eastAsiaTheme="minorEastAsia"/>
                <w:color w:val="000000"/>
                <w:sz w:val="24"/>
              </w:rPr>
              <w:t>0.73%</w:t>
            </w:r>
          </w:p>
        </w:tc>
        <w:tc>
          <w:tcPr>
            <w:vAlign w:val="center"/>
          </w:tcPr>
          <w:p>
            <w:pPr>
              <w:jc w:val="center"/>
            </w:pPr>
            <w:r>
              <w:rPr>
                <w:rFonts w:eastAsiaTheme="minorEastAsia"/>
                <w:color w:val="000000"/>
                <w:sz w:val="24"/>
              </w:rPr>
              <w:t>2.22%</w:t>
            </w:r>
          </w:p>
        </w:tc>
        <w:tc>
          <w:tcPr>
            <w:vAlign w:val="center"/>
          </w:tcPr>
          <w:p>
            <w:pPr>
              <w:jc w:val="center"/>
            </w:pPr>
            <w:r>
              <w:rPr>
                <w:rFonts w:eastAsiaTheme="minorEastAsia"/>
                <w:color w:val="000000"/>
                <w:sz w:val="24"/>
              </w:rPr>
              <w:t>-0.10%</w:t>
            </w:r>
          </w:p>
        </w:tc>
      </w:tr>
    </w:tbl>
    <w:p w:rsidR="009238DB" w:rsidRPr="00B75DF8" w:rsidRDefault="009238DB" w:rsidP="00FC13C8">
      <w:pPr>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3.2.2</w:t>
      </w:r>
      <w:r w:rsidRPr="00B75DF8">
        <w:rPr>
          <w:rFonts w:asciiTheme="minorEastAsia" w:eastAsiaTheme="minorEastAsia" w:hAnsiTheme="minorEastAsia" w:cs="Arial" w:hint="eastAsia"/>
          <w:b/>
          <w:color w:val="000000"/>
          <w:kern w:val="0"/>
          <w:sz w:val="24"/>
        </w:rPr>
        <w:t xml:space="preserve">　</w:t>
      </w:r>
      <w:r w:rsidR="00C71C12" w:rsidRPr="00C71C12">
        <w:rPr>
          <w:rFonts w:asciiTheme="minorEastAsia" w:eastAsiaTheme="minorEastAsia" w:hAnsiTheme="minorEastAsia"/>
          <w:b/>
          <w:color w:val="000000"/>
          <w:sz w:val="24"/>
        </w:rPr>
        <w:t>自基金合同生效以来</w:t>
      </w:r>
      <w:r w:rsidR="00BF57BE" w:rsidRPr="00B75DF8">
        <w:rPr>
          <w:rFonts w:asciiTheme="minorEastAsia" w:eastAsiaTheme="minorEastAsia" w:hAnsiTheme="minorEastAsia" w:hint="eastAsia"/>
          <w:b/>
          <w:color w:val="000000"/>
          <w:sz w:val="24"/>
        </w:rPr>
        <w:t>基金累计净值增长率变动及其与同期业绩比较基准收益率变动的比较</w:t>
      </w:r>
    </w:p>
    <w:p w:rsidR="009A045B" w:rsidRPr="00D32161" w:rsidRDefault="009A045B" w:rsidP="00FC13C8">
      <w:pPr>
        <w:spacing w:line="360" w:lineRule="auto"/>
        <w:jc w:val="center"/>
        <w:rPr>
          <w:rFonts w:eastAsiaTheme="minorEastAsia"/>
          <w:color w:val="000000"/>
          <w:sz w:val="24"/>
        </w:rPr>
      </w:pPr>
      <w:r w:rsidRPr="00D32161">
        <w:rPr>
          <w:rFonts w:eastAsiaTheme="minorEastAsia"/>
          <w:color w:val="000000"/>
          <w:sz w:val="24"/>
        </w:rPr>
        <w:t>广发聚康混合型证券投资基金</w:t>
      </w:r>
    </w:p>
    <w:p w:rsidR="00022396" w:rsidRPr="00D32161" w:rsidRDefault="00022396" w:rsidP="00FC13C8">
      <w:pPr>
        <w:pStyle w:val="a5"/>
        <w:snapToGrid w:val="0"/>
        <w:spacing w:line="360" w:lineRule="auto"/>
        <w:jc w:val="center"/>
        <w:rPr>
          <w:rFonts w:ascii="Times New Roman" w:eastAsiaTheme="minorEastAsia" w:hAnsi="Times New Roman"/>
          <w:color w:val="000000"/>
          <w:sz w:val="24"/>
          <w:szCs w:val="24"/>
        </w:rPr>
      </w:pPr>
      <w:r w:rsidRPr="00D32161">
        <w:rPr>
          <w:rFonts w:ascii="Times New Roman" w:eastAsiaTheme="minorEastAsia" w:hAnsi="Times New Roman"/>
          <w:color w:val="000000"/>
          <w:sz w:val="24"/>
          <w:szCs w:val="24"/>
        </w:rPr>
        <w:t>累计净值增长率与业绩比较基准收益率的历史走势对比图</w:t>
      </w:r>
    </w:p>
    <w:p w:rsidR="009A045B" w:rsidRPr="00D32161" w:rsidRDefault="009A045B" w:rsidP="00FC13C8">
      <w:pPr>
        <w:pStyle w:val="a5"/>
        <w:snapToGrid w:val="0"/>
        <w:spacing w:line="360" w:lineRule="auto"/>
        <w:ind w:firstLine="480"/>
        <w:jc w:val="center"/>
        <w:rPr>
          <w:rFonts w:ascii="Times New Roman" w:eastAsiaTheme="minorEastAsia" w:hAnsi="Times New Roman"/>
          <w:sz w:val="24"/>
          <w:szCs w:val="24"/>
        </w:rPr>
      </w:pPr>
      <w:r w:rsidRPr="00D32161">
        <w:rPr>
          <w:rFonts w:ascii="Times New Roman" w:eastAsiaTheme="minorEastAsia" w:hAnsi="Times New Roman"/>
          <w:sz w:val="24"/>
          <w:szCs w:val="24"/>
        </w:rPr>
        <w:t>(</w:t>
      </w:r>
      <w:r w:rsidR="00D04410" w:rsidRPr="00D32161">
        <w:rPr>
          <w:rFonts w:ascii="Times New Roman" w:eastAsiaTheme="minorEastAsia" w:hAnsi="Times New Roman"/>
          <w:sz w:val="24"/>
          <w:szCs w:val="24"/>
        </w:rPr>
        <w:t>2015年6月1日</w:t>
      </w:r>
      <w:r w:rsidRPr="00D32161">
        <w:rPr>
          <w:rFonts w:ascii="Times New Roman" w:eastAsiaTheme="minorEastAsia" w:hAnsi="Times New Roman"/>
          <w:sz w:val="24"/>
          <w:szCs w:val="24"/>
        </w:rPr>
        <w:t>至</w:t>
      </w:r>
      <w:r w:rsidRPr="00D32161">
        <w:rPr>
          <w:rFonts w:ascii="Times New Roman" w:eastAsiaTheme="minorEastAsia" w:hAnsi="Times New Roman"/>
          <w:sz w:val="24"/>
          <w:szCs w:val="24"/>
        </w:rPr>
        <w:t>2016年3月31日)</w:t>
      </w:r>
    </w:p>
    <w:p w:rsidR="009238DB" w:rsidRPr="00B75DF8" w:rsidRDefault="009238DB" w:rsidP="00FC13C8">
      <w:pPr>
        <w:snapToGrid w:val="0"/>
        <w:spacing w:line="360" w:lineRule="auto"/>
        <w:rPr>
          <w:rFonts w:asciiTheme="minorEastAsia" w:eastAsiaTheme="minorEastAsia" w:hAnsiTheme="minorEastAsia"/>
          <w:color w:val="000000"/>
          <w:sz w:val="24"/>
        </w:rPr>
      </w:pPr>
      <w:r w:rsidRPr="00D32161">
        <w:rPr>
          <w:rFonts w:eastAsiaTheme="minorEastAsia"/>
          <w:color w:val="000000"/>
          <w:sz w:val="24"/>
        </w:rPr>
        <w:t>1</w:t>
      </w:r>
      <w:r w:rsidRPr="00D32161">
        <w:rPr>
          <w:rFonts w:eastAsiaTheme="minorEastAsia"/>
          <w:color w:val="000000"/>
          <w:sz w:val="24"/>
        </w:rPr>
        <w:t>．</w:t>
      </w:r>
      <w:r w:rsidR="0042785F" w:rsidRPr="00D32161">
        <w:rPr>
          <w:rFonts w:eastAsiaTheme="minorEastAsia"/>
          <w:color w:val="000000"/>
          <w:sz w:val="24"/>
        </w:rPr>
        <w:t>广发聚康混合A</w:t>
      </w:r>
      <w:r w:rsidRPr="00D32161">
        <w:rPr>
          <w:rFonts w:eastAsiaTheme="minorEastAsia"/>
          <w:color w:val="000000"/>
          <w:sz w:val="24"/>
        </w:rPr>
        <w:t>：</w:t>
      </w:r>
    </w:p>
    <w:p w:rsidR="00FC7F43" w:rsidRPr="00B75DF8" w:rsidRDefault="009D5A40"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lastRenderedPageBreak/>
        <w:drawing>
          <wp:inline distT="0" distB="0" distL="0" distR="0" wp14:anchorId="47708710" wp14:editId="42FA3E4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9238DB" w:rsidRPr="00D32161" w:rsidRDefault="009238DB" w:rsidP="00FC13C8">
      <w:pPr>
        <w:snapToGrid w:val="0"/>
        <w:spacing w:line="360" w:lineRule="auto"/>
        <w:rPr>
          <w:rFonts w:eastAsiaTheme="minorEastAsia"/>
          <w:color w:val="000000"/>
          <w:sz w:val="24"/>
        </w:rPr>
      </w:pPr>
      <w:r w:rsidRPr="00D32161">
        <w:rPr>
          <w:rFonts w:eastAsiaTheme="minorEastAsia"/>
          <w:color w:val="000000"/>
          <w:sz w:val="24"/>
        </w:rPr>
        <w:t>2</w:t>
      </w:r>
      <w:r w:rsidRPr="00D32161">
        <w:rPr>
          <w:rFonts w:eastAsiaTheme="minorEastAsia"/>
          <w:color w:val="000000"/>
          <w:sz w:val="24"/>
        </w:rPr>
        <w:t>．</w:t>
      </w:r>
      <w:r w:rsidR="0042785F"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广发聚康混合C</w:t>
      </w:r>
      <w:r w:rsidR="0042785F" w:rsidRPr="00D32161">
        <w:rPr>
          <w:rFonts w:eastAsiaTheme="minorEastAsia"/>
          <w:color w:val="000000"/>
          <w:sz w:val="24"/>
        </w:rPr>
        <w:t>：</w:t>
      </w:r>
    </w:p>
    <w:p w:rsidR="00FC7F43" w:rsidRPr="00B75DF8" w:rsidRDefault="00BD72C1"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drawing>
          <wp:inline distT="0" distB="0" distL="0" distR="0" wp14:anchorId="15346FAE" wp14:editId="17AD350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pPr>
        <w:spacing w:line="360" w:lineRule="auto"/>
        <w:ind w:firstLineChars="200" w:firstLine="480"/>
        <w:rPr>
          <w:rFonts w:eastAsiaTheme="minorEastAsia"/>
          <w:color w:val="000000"/>
          <w:sz w:val="24"/>
        </w:rPr>
      </w:pPr>
      <w:r>
        <w:rPr>
          <w:rFonts w:eastAsiaTheme="minorEastAsia" w:hint="eastAsia"/>
          <w:color w:val="000000"/>
          <w:sz w:val="24"/>
        </w:rPr>
        <w:t>注：1、本基金合同生效日期为2015年06月01日，至披露时点本基金成立未满一年。</w:t>
      </w:r>
    </w:p>
    <w:p w:rsidR="00973B57" w:rsidRPr="00D32161" w:rsidRDefault="00757FD7"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00FE7FBD" w:rsidRPr="00264591">
        <w:rPr>
          <w:rFonts w:eastAsiaTheme="minorEastAsia" w:hint="eastAsia"/>
          <w:color w:val="000000"/>
          <w:sz w:val="24"/>
        </w:rPr>
        <w:t/>
      </w: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2、本基金建仓期为基金合同生效后6个月，建仓期结束时各项资产配置比例符合本基金合同有关规定。</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4  </w:t>
      </w:r>
      <w:r w:rsidRPr="00B75DF8">
        <w:rPr>
          <w:rFonts w:asciiTheme="minorEastAsia" w:eastAsiaTheme="minorEastAsia" w:hAnsiTheme="minorEastAsia" w:cs="Arial" w:hint="eastAsia"/>
          <w:color w:val="000000"/>
          <w:kern w:val="0"/>
          <w:sz w:val="24"/>
          <w:szCs w:val="24"/>
        </w:rPr>
        <w:t>管理人报告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4.1 </w:t>
      </w:r>
      <w:r w:rsidRPr="00B75DF8">
        <w:rPr>
          <w:rFonts w:asciiTheme="minorEastAsia" w:eastAsiaTheme="minorEastAsia" w:hAnsiTheme="minorEastAsia"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C41617" w:rsidRPr="00B75DF8" w:rsidTr="003F7026">
        <w:trPr>
          <w:cantSplit/>
        </w:trPr>
        <w:tc>
          <w:tcPr>
            <w:tcW w:w="952"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姓名</w:t>
            </w:r>
          </w:p>
        </w:tc>
        <w:tc>
          <w:tcPr>
            <w:tcW w:w="930"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职务</w:t>
            </w:r>
          </w:p>
        </w:tc>
        <w:tc>
          <w:tcPr>
            <w:tcW w:w="2519" w:type="dxa"/>
            <w:gridSpan w:val="2"/>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任本基金的基金经理期限</w:t>
            </w:r>
          </w:p>
        </w:tc>
        <w:tc>
          <w:tcPr>
            <w:tcW w:w="1254"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证券从业年限</w:t>
            </w:r>
          </w:p>
        </w:tc>
        <w:tc>
          <w:tcPr>
            <w:tcW w:w="3276"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说明</w:t>
            </w:r>
          </w:p>
        </w:tc>
      </w:tr>
      <w:tr w:rsidR="00C41617" w:rsidRPr="00B75DF8" w:rsidTr="003F7026">
        <w:trPr>
          <w:cantSplit/>
        </w:trPr>
        <w:tc>
          <w:tcPr>
            <w:tcW w:w="952"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任职日期</w:t>
            </w:r>
          </w:p>
        </w:tc>
        <w:tc>
          <w:tcPr>
            <w:tcW w:w="1309"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离任日期</w:t>
            </w:r>
          </w:p>
        </w:tc>
        <w:tc>
          <w:tcPr>
            <w:tcW w:w="1254"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r>
      <w:tr>
        <w:tc>
          <w:tcPr>
            <w:vAlign w:val="center"/>
          </w:tcPr>
          <w:p>
            <w:pPr>
              <w:jc w:val="center"/>
            </w:pPr>
            <w:r>
              <w:rPr>
                <w:rFonts w:eastAsiaTheme="minorEastAsia"/>
                <w:color w:val="000000"/>
                <w:sz w:val="24"/>
              </w:rPr>
              <w:t>谭昌杰</w:t>
            </w:r>
          </w:p>
        </w:tc>
        <w:tc>
          <w:tcPr>
            <w:vAlign w:val="center"/>
          </w:tcPr>
          <w:p>
            <w:pPr>
              <w:jc w:val="center"/>
            </w:pPr>
            <w:r>
              <w:rPr>
                <w:rFonts w:eastAsiaTheme="minorEastAsia"/>
                <w:color w:val="000000"/>
                <w:sz w:val="24"/>
              </w:rPr>
              <w:t>本基金的基金经理；广发理财年年红债券基金的基金经理；广发天天红货币基金的基金经理；广发趋势优选灵活配置混合基金的基金经理；广发聚安混合基金的基金经理；广发聚宝混合基金的基金经理；广发稳安保本混合基金的基金经理</w:t>
            </w:r>
          </w:p>
        </w:tc>
        <w:tc>
          <w:tcPr>
            <w:vAlign w:val="center"/>
          </w:tcPr>
          <w:p>
            <w:pPr>
              <w:jc w:val="center"/>
            </w:pPr>
            <w:r>
              <w:rPr>
                <w:rFonts w:eastAsiaTheme="minorEastAsia"/>
                <w:color w:val="000000"/>
                <w:sz w:val="24"/>
              </w:rPr>
              <w:t>2015-06-01</w:t>
            </w:r>
          </w:p>
        </w:tc>
        <w:tc>
          <w:tcPr>
            <w:vAlign w:val="center"/>
          </w:tcPr>
          <w:p>
            <w:pPr>
              <w:jc w:val="center"/>
            </w:pPr>
            <w:r>
              <w:rPr>
                <w:rFonts w:eastAsiaTheme="minorEastAsia"/>
                <w:color w:val="000000"/>
                <w:sz w:val="24"/>
              </w:rPr>
              <w:t>-</w:t>
            </w:r>
          </w:p>
        </w:tc>
        <w:tc>
          <w:tcPr>
            <w:vAlign w:val="center"/>
          </w:tcPr>
          <w:p>
            <w:pPr>
              <w:jc w:val="center"/>
            </w:pPr>
            <w:r>
              <w:rPr>
                <w:rFonts w:eastAsiaTheme="minorEastAsia"/>
                <w:color w:val="000000"/>
                <w:sz w:val="24"/>
              </w:rPr>
              <w:t>8年</w:t>
            </w:r>
          </w:p>
        </w:tc>
        <w:tc>
          <w:tcPr>
            <w:vAlign w:val="center"/>
          </w:tcPr>
          <w:p>
            <w:pPr>
              <w:jc w:val="both"/>
            </w:pPr>
            <w:r>
              <w:rPr>
                <w:rFonts w:eastAsiaTheme="minorEastAsia"/>
                <w:color w:val="000000"/>
                <w:sz w:val="24"/>
              </w:rPr>
              <w:t>男，中国籍，经济学硕士，持有中国证券投资基金业从业证书，2008年7月至2012年7月在广发基金管理有限公司固定收益部任研究员，2012年7月19日起任广发理财年年红债券基金的基金经理，2012年9月20日至2015年5月26日任广发双债添利债券基金的基金经理，2013年10月22日起任广发天天红发起式货币市场基金的基金经理，2014年1月10日至2015年7月23日任广发钱袋子货币市场基金的基金经理，2014年1月27日至2015年5月26日任广发集鑫债券型证券投资基金，2014年1月27日至2015年7月23日任广发天天利货币市场基金的基金经理，2014年9月29日至2015年4月29日任广发季季利债券基金的基金经理，2015年1月29日起任广发趋势优选灵活配置混合基金的基金经理，2015年3月25日起任广发聚安混合基金的基金经理，2015年4月9日起任广发聚宝混合基金的基金经理，2015年6月1日起任广发聚康混合基金的基金经理，2016年2月4日起任广发稳安保本混合基金的基金经理。</w:t>
            </w:r>
          </w:p>
        </w:tc>
      </w:tr>
    </w:tbl>
    <w:p>
      <w:pPr>
        <w:spacing w:line="360" w:lineRule="auto"/>
        <w:ind w:firstLineChars="200" w:firstLine="480"/>
        <w:rPr>
          <w:rFonts w:eastAsiaTheme="minorEastAsia"/>
          <w:color w:val="000000"/>
          <w:sz w:val="24"/>
        </w:rPr>
      </w:pPr>
      <w:r>
        <w:rPr>
          <w:rFonts w:eastAsiaTheme="minorEastAsia"/>
          <w:color w:val="000000"/>
          <w:sz w:val="24"/>
        </w:rPr>
        <w:t>注：1.“任职日期”和“离职日期”指公司公告聘任或解聘日期。</w:t>
      </w:r>
    </w:p>
    <w:p w:rsidR="005C7D00" w:rsidRPr="00D32161" w:rsidRDefault="00062E1F"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2.证券从业的含义遵从行业协会《证券业从业人员资格管理办法》的相关规定。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4.2</w:t>
      </w:r>
      <w:r w:rsidRPr="00B75DF8">
        <w:rPr>
          <w:rFonts w:asciiTheme="minorEastAsia" w:eastAsiaTheme="minorEastAsia" w:hAnsiTheme="minorEastAsia" w:cs="Arial" w:hint="eastAsia"/>
          <w:b/>
          <w:color w:val="000000"/>
          <w:kern w:val="0"/>
          <w:sz w:val="24"/>
        </w:rPr>
        <w:t>报告期内本基金运作遵规守信情况说明</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color w:val="000000"/>
          <w:sz w:val="24"/>
        </w:rPr>
        <w:t>本报告期内，本基金管理人严格遵守《中华人民共和国证券投资基金法》及其配套法规、《广发聚康混合型证券投资基金基金合同》和其他有关法律法规的规定，本着诚实信用、勤勉尽责的原则管理和运用基金资产，在严格控制风险的基础上，为基金份额持有人谋求最大利益，基金运作合法合规，无损害基金持有人利益的行为，基金的投资管理符合有关法规及基金合同的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4.3 </w:t>
      </w:r>
      <w:r w:rsidRPr="00B75DF8">
        <w:rPr>
          <w:rFonts w:asciiTheme="minorEastAsia" w:eastAsiaTheme="minorEastAsia" w:hAnsiTheme="minorEastAsia" w:cs="Arial" w:hint="eastAsia"/>
          <w:b/>
          <w:color w:val="000000"/>
          <w:kern w:val="0"/>
          <w:sz w:val="24"/>
        </w:rPr>
        <w:t>公平交易专项说明</w:t>
      </w:r>
    </w:p>
    <w:p w:rsidR="00D15733" w:rsidRPr="00B75DF8" w:rsidRDefault="00D15733" w:rsidP="00FC13C8">
      <w:pPr>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B75DF8">
          <w:rPr>
            <w:rFonts w:asciiTheme="minorEastAsia" w:eastAsiaTheme="minorEastAsia" w:hAnsiTheme="minorEastAsia" w:hint="eastAsia"/>
            <w:sz w:val="24"/>
          </w:rPr>
          <w:t>4.3.1</w:t>
        </w:r>
      </w:smartTag>
      <w:r w:rsidRPr="00B75DF8">
        <w:rPr>
          <w:rFonts w:asciiTheme="minorEastAsia" w:eastAsiaTheme="minorEastAsia" w:hAnsiTheme="minorEastAsia" w:hint="eastAsia"/>
          <w:sz w:val="24"/>
        </w:rPr>
        <w:t xml:space="preserve"> 公平交易制度的执行情况</w:t>
      </w:r>
    </w:p>
    <w:p>
      <w:pPr>
        <w:spacing w:line="360" w:lineRule="auto"/>
        <w:ind w:firstLineChars="200" w:firstLine="480"/>
        <w:rPr>
          <w:rFonts w:eastAsiaTheme="minorEastAsia"/>
          <w:color w:val="000000"/>
          <w:sz w:val="24"/>
        </w:rPr>
      </w:pPr>
      <w:r>
        <w:rPr>
          <w:rFonts w:eastAsiaTheme="minorEastAsia"/>
          <w:color w:val="000000"/>
          <w:sz w:val="24"/>
        </w:rPr>
        <w:t>公司通过建立科学、制衡的投资决策体系，加强交易分配环节的内部控制，并通过实时的行为监控与及时的分析评估，保证公平交易原则的实现。</w:t>
      </w:r>
    </w:p>
    <w:p>
      <w:pPr>
        <w:spacing w:line="360" w:lineRule="auto"/>
        <w:ind w:firstLineChars="200" w:firstLine="480"/>
        <w:rPr>
          <w:rFonts w:eastAsiaTheme="minorEastAsia"/>
          <w:color w:val="000000"/>
          <w:sz w:val="24"/>
        </w:rPr>
      </w:pPr>
      <w:r>
        <w:rPr>
          <w:rFonts w:eastAsiaTheme="minorEastAsia"/>
          <w:color w:val="000000"/>
          <w:sz w:val="24"/>
        </w:rPr>
        <w:t>在投资决策的内部控制方面，公司制度规定投资组合投资的股票必须来源于备选股票库，重点投资的股票必须来源于核心股票库。公司建立了严格的投资授权制度，投资组合经理在授权范围内可以自主决策，超过投资权限的操作需要经过严格的审批程序。在交易过程中，中央交易部按照“时间优先、价格优先、比例分配、综合平衡”的原则，公平分配投资指令。监察稽核部风险控制岗通过投资交易系统对投资交易过程进行实时监控及预警，实现投资风险的事中风险控制；稽核岗通过对投资、研究及交易等全流程的独立监察稽核，实现投资风险的事后控制。</w:t>
      </w:r>
    </w:p>
    <w:p w:rsidR="00D15733" w:rsidRPr="00264591" w:rsidRDefault="00323F25"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本报告期内，上述公平交易制度总体执行情况良好，不同的投资组合受到了公平对待，未发生任何不公平的交易事项。</w:t>
      </w:r>
    </w:p>
    <w:p w:rsidR="00D15733" w:rsidRPr="00B75DF8" w:rsidRDefault="00D15733" w:rsidP="00FC13C8">
      <w:pPr>
        <w:spacing w:line="360" w:lineRule="auto"/>
        <w:rPr>
          <w:rFonts w:asciiTheme="minorEastAsia" w:eastAsiaTheme="minorEastAsia" w:hAnsiTheme="minorEastAsia"/>
          <w:sz w:val="24"/>
        </w:rPr>
      </w:pPr>
      <w:r w:rsidRPr="00B75DF8">
        <w:rPr>
          <w:rFonts w:asciiTheme="minorEastAsia" w:eastAsiaTheme="minorEastAsia" w:hAnsiTheme="minorEastAsia" w:hint="eastAsia"/>
          <w:sz w:val="24"/>
        </w:rPr>
        <w:t>4.3.</w:t>
      </w:r>
      <w:r w:rsidR="005B6047" w:rsidRPr="00B75DF8">
        <w:rPr>
          <w:rFonts w:asciiTheme="minorEastAsia" w:eastAsiaTheme="minorEastAsia" w:hAnsiTheme="minorEastAsia" w:hint="eastAsia"/>
          <w:sz w:val="24"/>
        </w:rPr>
        <w:t>2</w:t>
      </w:r>
      <w:r w:rsidRPr="00B75DF8">
        <w:rPr>
          <w:rFonts w:asciiTheme="minorEastAsia" w:eastAsiaTheme="minorEastAsia" w:hAnsiTheme="minorEastAsia" w:hint="eastAsia"/>
          <w:sz w:val="24"/>
        </w:rPr>
        <w:t xml:space="preserve"> 异常交易行为的专项说明</w:t>
      </w:r>
    </w:p>
    <w:p>
      <w:pPr>
        <w:spacing w:line="360" w:lineRule="auto"/>
        <w:ind w:firstLineChars="200" w:firstLine="480"/>
        <w:rPr>
          <w:rFonts w:eastAsiaTheme="minorEastAsia"/>
          <w:color w:val="000000"/>
          <w:sz w:val="24"/>
        </w:rPr>
      </w:pPr>
      <w:r>
        <w:rPr>
          <w:rFonts w:eastAsiaTheme="minorEastAsia" w:hint="eastAsia"/>
          <w:color w:val="000000"/>
          <w:sz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5%。这些交易不存在任何利益输送的嫌疑。</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4.4 </w:t>
      </w:r>
      <w:r w:rsidRPr="00B75DF8">
        <w:rPr>
          <w:rFonts w:asciiTheme="minorEastAsia" w:eastAsiaTheme="minorEastAsia" w:hAnsiTheme="minorEastAsia" w:cs="Arial" w:hint="eastAsia"/>
          <w:b/>
          <w:color w:val="000000"/>
          <w:kern w:val="0"/>
          <w:sz w:val="24"/>
        </w:rPr>
        <w:t>报告期内基金的投资策略和业绩表现说明</w:t>
      </w:r>
    </w:p>
    <w:p w:rsidR="00952A72" w:rsidRPr="00B75DF8" w:rsidRDefault="00952A72" w:rsidP="00FC13C8">
      <w:pPr>
        <w:spacing w:line="360" w:lineRule="auto"/>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B75DF8">
          <w:rPr>
            <w:rFonts w:asciiTheme="minorEastAsia" w:eastAsiaTheme="minorEastAsia" w:hAnsiTheme="minorEastAsia" w:hint="eastAsia"/>
            <w:sz w:val="24"/>
          </w:rPr>
          <w:lastRenderedPageBreak/>
          <w:t>4.4.1</w:t>
        </w:r>
      </w:smartTag>
      <w:r w:rsidRPr="00B75DF8">
        <w:rPr>
          <w:rFonts w:asciiTheme="minorEastAsia" w:eastAsiaTheme="minorEastAsia" w:hAnsiTheme="minorEastAsia" w:hint="eastAsia"/>
          <w:sz w:val="24"/>
        </w:rPr>
        <w:t>报告期内基金投资策略和运作分析</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在维稳预期以及房地产价格快速上涨的带动下，1季度的主要经济指标显著回暖。但随着一二线城市房地产限购政策的推广，政策面的不确定性会影响开发商的开发热情，因此，预计后续房地产新开工等数据会有所回落，我们对于经济数据回升的可持续性仍存较大的疑虑。我们继续对去产能的进程高度关注，但从近期来看，实质推动的进程仍然有限，尤其在投机力量主导大宗商品的背景下，去产能进程有所减缓。我们认为，房地产的去库存进程已经基本完成，而过剩产能的去化才刚刚开始，信用风险的释放还要继续。</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政策方面，货币政策整体宽松，但已经出现了边际收紧的迹象，央行对于资金面和外汇市场的调控力度在加强；财政政策开始发力，银行贷款作为专项基金的配套资金增长较快，落实短期的稳增长目标。资产价格方面，股市快速下跌后震荡上行，板块表现继续分化；债券市场方面，中短期信用债表现较好，避险资金带动信用利差进一步压缩；而中长端利率债在通胀以及经济数据回暖的情况下窄幅震荡，收益率略有上行。</w:t>
      </w:r>
    </w:p>
    <w:p w:rsidR="00952A72" w:rsidRPr="00B75DF8" w:rsidRDefault="00323F25" w:rsidP="00B75DF8">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本基金的基金规模大幅缩水，限制了投资决策的执行。由于规模很小，只能在交易所市场内进行操作，目前以短期债券以及流动性管理为主。</w:t>
      </w:r>
    </w:p>
    <w:p w:rsidR="00952A72" w:rsidRPr="00B75DF8" w:rsidRDefault="00952A72" w:rsidP="00FC13C8">
      <w:pPr>
        <w:spacing w:line="360" w:lineRule="auto"/>
        <w:rPr>
          <w:rFonts w:asciiTheme="minorEastAsia" w:eastAsiaTheme="minorEastAsia" w:hAnsiTheme="minorEastAsia"/>
          <w:sz w:val="24"/>
        </w:rPr>
      </w:pPr>
      <w:r w:rsidRPr="00B75DF8">
        <w:rPr>
          <w:rFonts w:asciiTheme="minorEastAsia" w:eastAsiaTheme="minorEastAsia" w:hAnsiTheme="minorEastAsia" w:hint="eastAsia"/>
          <w:sz w:val="24"/>
        </w:rPr>
        <w:t>4.4.2报告期内基金的业绩表现</w:t>
      </w:r>
    </w:p>
    <w:p w:rsidR="00952A72" w:rsidRPr="00264591" w:rsidRDefault="00323F25"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本报告期内，广发聚康A净值增长率为-2.34%，广发聚康C净值增长率为-1.03%；同期业绩比较基准收益率为-3.25%。</w:t>
      </w:r>
    </w:p>
    <w:p w:rsidR="00CB1AA0" w:rsidRPr="00C61B41" w:rsidRDefault="00CB1AA0" w:rsidP="00CB1AA0">
      <w:pPr>
        <w:autoSpaceDE w:val="0"/>
        <w:autoSpaceDN w:val="0"/>
        <w:adjustRightInd w:val="0"/>
        <w:spacing w:line="360" w:lineRule="auto"/>
        <w:jc w:val="left"/>
        <w:rPr>
          <w:rFonts w:asciiTheme="minorEastAsia" w:eastAsiaTheme="minorEastAsia" w:hAnsiTheme="minorEastAsia" w:cs="Arial"/>
          <w:b/>
          <w:color w:val="000000"/>
          <w:kern w:val="0"/>
          <w:sz w:val="24"/>
        </w:rPr>
      </w:pPr>
      <w:bookmarkStart w:id="0" w:name="_Toc245193825"/>
      <w:bookmarkStart w:id="1" w:name="_Toc255486598"/>
      <w:r w:rsidRPr="00C61B41">
        <w:rPr>
          <w:rFonts w:asciiTheme="minorEastAsia" w:eastAsiaTheme="minorEastAsia" w:hAnsiTheme="minorEastAsia" w:cs="Arial"/>
          <w:b/>
          <w:color w:val="000000"/>
          <w:kern w:val="0"/>
          <w:sz w:val="24"/>
        </w:rPr>
        <w:t>4</w:t>
      </w:r>
      <w:r w:rsidRPr="00C61B41">
        <w:rPr>
          <w:rFonts w:asciiTheme="minorEastAsia" w:eastAsiaTheme="minorEastAsia" w:hAnsiTheme="minorEastAsia" w:cs="Arial" w:hint="eastAsia"/>
          <w:b/>
          <w:color w:val="000000"/>
          <w:kern w:val="0"/>
          <w:sz w:val="24"/>
        </w:rPr>
        <w:t>.5</w:t>
      </w:r>
      <w:r w:rsidRPr="00C61B41">
        <w:rPr>
          <w:rFonts w:asciiTheme="minorEastAsia" w:eastAsiaTheme="minorEastAsia" w:hAnsiTheme="minorEastAsia" w:cs="Arial"/>
          <w:b/>
          <w:color w:val="000000"/>
          <w:kern w:val="0"/>
          <w:sz w:val="24"/>
        </w:rPr>
        <w:t>管理人对宏观经济、证券市场及行业走势的简要展望</w:t>
      </w:r>
      <w:bookmarkEnd w:id="0"/>
      <w:bookmarkEnd w:id="1"/>
    </w:p>
    <w:p>
      <w:pPr>
        <w:spacing w:line="360" w:lineRule="auto"/>
        <w:ind w:firstLineChars="200" w:firstLine="480"/>
        <w:rPr>
          <w:rFonts w:eastAsiaTheme="minorEastAsia"/>
          <w:color w:val="000000"/>
          <w:sz w:val="24"/>
        </w:rPr>
      </w:pPr>
      <w:r>
        <w:rPr>
          <w:rFonts w:eastAsiaTheme="minorEastAsia"/>
          <w:color w:val="000000"/>
          <w:sz w:val="24"/>
        </w:rPr>
        <w:t>1季度的主要经济数据和政策支持都好于预期，体现为楼市的上涨以及股市的震荡回升。我们认为房地产去库存已经通过房价的追涨而基本完成（部分三四线的城市的房地产库存注定没法去除），而更为重要和困难的去产能仍在推进过程中，其进程仍然低于预期。因此，我们对于经济数据回升的可持续性仍存较大的疑虑。外围方面，地缘风险加剧，全球增长缺乏动力，中国已经不能独善其身。</w:t>
      </w:r>
    </w:p>
    <w:p>
      <w:pPr>
        <w:spacing w:line="360" w:lineRule="auto"/>
        <w:ind w:firstLineChars="200" w:firstLine="480"/>
        <w:rPr>
          <w:rFonts w:eastAsiaTheme="minorEastAsia"/>
          <w:color w:val="000000"/>
          <w:sz w:val="24"/>
        </w:rPr>
      </w:pPr>
      <w:r>
        <w:rPr>
          <w:rFonts w:eastAsiaTheme="minorEastAsia"/>
          <w:color w:val="000000"/>
          <w:sz w:val="24"/>
        </w:rPr>
        <w:t>货币和财政政策维持上个季度的判断：不得不继续宽松。其中货币政策空间越来越小，资金面会恢复到整体宽松环境下的紧平衡状态；财政策略为稳增长、保就业，没有退路。</w:t>
      </w:r>
    </w:p>
    <w:p>
      <w:pPr>
        <w:spacing w:line="360" w:lineRule="auto"/>
        <w:ind w:firstLineChars="200" w:firstLine="480"/>
        <w:rPr>
          <w:rFonts w:eastAsiaTheme="minorEastAsia"/>
          <w:color w:val="000000"/>
          <w:sz w:val="24"/>
        </w:rPr>
      </w:pPr>
      <w:r>
        <w:rPr>
          <w:rFonts w:eastAsiaTheme="minorEastAsia"/>
          <w:color w:val="000000"/>
          <w:sz w:val="24"/>
        </w:rPr>
        <w:t>我们认为，债券市场短期面临经济数据向好、通胀回升的风险，但基于中长期经济回暖基础不稳固的判断，尚不能引发系统性风险，因此，如果中长端收益率在短期预期冲击下收益率出现了大幅上行，仍将是配置的机会；短端的收益率已经很低，只能做流动性管理；信用风险还在继续暴露中，配置时点还需要等待。权益类资产方面，短期仍有阶段性上涨机会，但中期仍看不到系统性上涨前景。</w:t>
      </w:r>
    </w:p>
    <w:p>
      <w:pPr>
        <w:spacing w:line="360" w:lineRule="auto"/>
        <w:ind w:firstLineChars="200" w:firstLine="480"/>
        <w:rPr>
          <w:rFonts w:eastAsiaTheme="minorEastAsia"/>
          <w:color w:val="000000"/>
          <w:sz w:val="24"/>
        </w:rPr>
      </w:pPr>
      <w:r>
        <w:rPr>
          <w:rFonts w:eastAsiaTheme="minorEastAsia"/>
          <w:color w:val="000000"/>
          <w:sz w:val="24"/>
        </w:rPr>
        <w:t/>
      </w:r>
    </w:p>
    <w:p w:rsidR="00CB1AA0" w:rsidRPr="00C61B41" w:rsidRDefault="00CB1AA0" w:rsidP="00CB1AA0">
      <w:pPr>
        <w:spacing w:line="360" w:lineRule="auto"/>
        <w:ind w:firstLineChars="200" w:firstLine="480"/>
        <w:rPr>
          <w:rFonts w:eastAsiaTheme="minorEastAsia"/>
          <w:color w:val="000000"/>
          <w:sz w:val="24"/>
        </w:rPr>
      </w:pPr>
      <w:r w:rsidRPr="00C61B41">
        <w:rPr>
          <w:rFonts w:eastAsiaTheme="minorEastAsia"/>
          <w:color w:val="000000"/>
          <w:sz w:val="24"/>
        </w:rPr>
        <w:t>本基金的基金规模大幅缩水，限制了投资决策的执行。由于规模很小，只能在交易所市场内进行操作，将继续以短期债券以及流动性管理为主。</w:t>
      </w:r>
    </w:p>
    <w:p w:rsidR="00CB1AA0" w:rsidRPr="00C61B41" w:rsidRDefault="00CB1AA0" w:rsidP="00CB1AA0">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sidRPr="00C61B41">
        <w:rPr>
          <w:rFonts w:asciiTheme="minorEastAsia" w:eastAsiaTheme="minorEastAsia" w:hAnsiTheme="minorEastAsia" w:cs="Arial" w:hint="eastAsia"/>
          <w:b/>
          <w:color w:val="000000"/>
          <w:kern w:val="0"/>
          <w:sz w:val="24"/>
        </w:rPr>
        <w:t>.6报告期内基金持有人数或基金资产净值预警说明</w:t>
      </w:r>
    </w:p>
    <w:p w:rsidR="008A1539" w:rsidRPr="00CB1AA0" w:rsidRDefault="00CB1AA0" w:rsidP="00CB1AA0">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
      </w:r>
      <w:r w:rsidRPr="00C61B41">
        <w:rPr>
          <w:rFonts w:eastAsiaTheme="minorEastAsia"/>
          <w:color w:val="000000"/>
          <w:sz w:val="24"/>
        </w:rPr>
        <w:t/>
      </w:r>
      <w:r w:rsidRPr="00C61B41">
        <w:rPr>
          <w:rFonts w:eastAsiaTheme="minorEastAsia"/>
          <w:color w:val="000000" w:themeColor="text1"/>
          <w:kern w:val="0"/>
          <w:sz w:val="24"/>
        </w:rPr>
        <w:t>自2016年1月21日起至2016年3月31日，本基金连续46个工作日出现资产净值低于五千万。</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5  </w:t>
      </w:r>
      <w:r w:rsidRPr="00B75DF8">
        <w:rPr>
          <w:rFonts w:asciiTheme="minorEastAsia" w:eastAsiaTheme="minorEastAsia" w:hAnsiTheme="minorEastAsia" w:cs="Arial" w:hint="eastAsia"/>
          <w:color w:val="000000"/>
          <w:kern w:val="0"/>
          <w:sz w:val="24"/>
          <w:szCs w:val="24"/>
        </w:rPr>
        <w:t>投资组合报告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5.1 </w:t>
      </w:r>
      <w:r w:rsidRPr="00B75DF8">
        <w:rPr>
          <w:rFonts w:asciiTheme="minorEastAsia" w:eastAsiaTheme="minorEastAsia" w:hAnsiTheme="minorEastAsia" w:cs="Arial" w:hint="eastAsia"/>
          <w:b/>
          <w:color w:val="000000"/>
          <w:kern w:val="0"/>
          <w:sz w:val="24"/>
        </w:rPr>
        <w:t>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9A6018" w:rsidRPr="00B75DF8" w:rsidTr="00DD272F">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序号</w:t>
            </w:r>
          </w:p>
        </w:tc>
        <w:tc>
          <w:tcPr>
            <w:tcW w:w="335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项目</w:t>
            </w:r>
          </w:p>
        </w:tc>
        <w:tc>
          <w:tcPr>
            <w:tcW w:w="297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金额</w:t>
            </w:r>
            <w:r w:rsidRPr="00D32161">
              <w:rPr>
                <w:rFonts w:eastAsiaTheme="minorEastAsia"/>
                <w:color w:val="000000"/>
                <w:sz w:val="24"/>
              </w:rPr>
              <w:t>(</w:t>
            </w:r>
            <w:r w:rsidRPr="00D32161">
              <w:rPr>
                <w:rFonts w:eastAsiaTheme="minorEastAsia"/>
                <w:color w:val="000000"/>
                <w:sz w:val="24"/>
              </w:rPr>
              <w:t>元</w:t>
            </w:r>
            <w:r w:rsidRPr="00D32161">
              <w:rPr>
                <w:rFonts w:eastAsiaTheme="minorEastAsia"/>
                <w:color w:val="000000"/>
                <w:sz w:val="24"/>
              </w:rPr>
              <w:t>)</w:t>
            </w:r>
          </w:p>
        </w:tc>
        <w:tc>
          <w:tcPr>
            <w:tcW w:w="1843"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占基金总资产的比例</w:t>
            </w: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1</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权益投资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其中：股票</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2</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固定收益投资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1,100,330.00</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27.59</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其中：债券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1,100,330.00</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27.59</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autoSpaceDE w:val="0"/>
              <w:autoSpaceDN w:val="0"/>
              <w:adjustRightInd w:val="0"/>
              <w:spacing w:before="29" w:line="360" w:lineRule="auto"/>
              <w:ind w:left="17"/>
              <w:jc w:val="left"/>
              <w:rPr>
                <w:rFonts w:eastAsiaTheme="minorEastAsia"/>
                <w:color w:val="000000"/>
                <w:sz w:val="24"/>
              </w:rPr>
            </w:pPr>
            <w:r w:rsidRPr="00D32161">
              <w:rPr>
                <w:rFonts w:eastAsiaTheme="minorEastAsia"/>
                <w:color w:val="000000"/>
                <w:sz w:val="24"/>
              </w:rPr>
              <w:t>资产支持证券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3</w:t>
            </w:r>
          </w:p>
        </w:tc>
        <w:tc>
          <w:tcPr>
            <w:tcW w:w="3357" w:type="dxa"/>
          </w:tcPr>
          <w:p w:rsidR="009A6018" w:rsidRPr="00D32161" w:rsidRDefault="009A6018" w:rsidP="00DD272F">
            <w:pPr>
              <w:spacing w:before="29" w:line="360" w:lineRule="auto"/>
              <w:ind w:leftChars="50" w:left="105"/>
              <w:rPr>
                <w:rFonts w:eastAsiaTheme="minorEastAsia"/>
                <w:color w:val="000000"/>
                <w:sz w:val="24"/>
              </w:rPr>
            </w:pPr>
            <w:r w:rsidRPr="00D32161">
              <w:rPr>
                <w:rFonts w:eastAsiaTheme="minorEastAsia"/>
                <w:color w:val="000000"/>
                <w:sz w:val="24"/>
              </w:rPr>
              <w:t>贵金属投资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4</w:t>
            </w:r>
          </w:p>
        </w:tc>
        <w:tc>
          <w:tcPr>
            <w:tcW w:w="3357" w:type="dxa"/>
            <w:vAlign w:val="center"/>
          </w:tcPr>
          <w:p w:rsidR="009A6018" w:rsidRPr="00D32161" w:rsidRDefault="009A6018" w:rsidP="00DD272F">
            <w:pPr>
              <w:spacing w:before="29" w:line="360" w:lineRule="auto"/>
              <w:ind w:left="17"/>
              <w:jc w:val="left"/>
              <w:rPr>
                <w:rFonts w:eastAsiaTheme="minorEastAsia"/>
                <w:color w:val="000000"/>
                <w:sz w:val="24"/>
              </w:rPr>
            </w:pPr>
            <w:r w:rsidRPr="00D32161">
              <w:rPr>
                <w:rFonts w:eastAsiaTheme="minorEastAsia"/>
                <w:color w:val="000000"/>
                <w:sz w:val="24"/>
              </w:rPr>
              <w:t>金融衍生品投资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5</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买入返售金融资产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其中：买断式回购的买入返售金融资产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6</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银行存款和结算备付金合计</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2,714,710.84</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68.07</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7</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其他各项资产</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172,971.65</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4.34</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8</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合计</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3,988,012.49</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100.00</w:t>
            </w:r>
          </w:p>
        </w:tc>
      </w:tr>
    </w:tbl>
    <w:p w:rsidR="009552FC" w:rsidRPr="009552FC" w:rsidRDefault="009552FC" w:rsidP="009552FC">
      <w:pPr>
        <w:autoSpaceDE w:val="0"/>
        <w:autoSpaceDN w:val="0"/>
        <w:adjustRightInd w:val="0"/>
        <w:spacing w:beforeLines="100" w:before="312" w:line="360" w:lineRule="auto"/>
        <w:jc w:val="left"/>
        <w:rPr>
          <w:rFonts w:asciiTheme="minorEastAsia" w:eastAsiaTheme="minorEastAsia" w:hAnsiTheme="minorEastAsia"/>
          <w:b/>
          <w:color w:val="000000" w:themeColor="text1"/>
          <w:kern w:val="0"/>
          <w:sz w:val="24"/>
        </w:rPr>
      </w:pPr>
      <w:r w:rsidRPr="009552FC">
        <w:rPr>
          <w:rFonts w:asciiTheme="minorEastAsia" w:eastAsiaTheme="minorEastAsia" w:hAnsiTheme="minorEastAsia"/>
          <w:b/>
          <w:color w:val="000000" w:themeColor="text1"/>
          <w:kern w:val="0"/>
          <w:sz w:val="24"/>
        </w:rPr>
        <w:t xml:space="preserve">5.2 </w:t>
      </w:r>
      <w:r w:rsidRPr="009552FC">
        <w:rPr>
          <w:rFonts w:asciiTheme="minorEastAsia" w:eastAsiaTheme="minorEastAsia" w:hAnsiTheme="minorEastAsia" w:hint="eastAsia"/>
          <w:b/>
          <w:color w:val="000000" w:themeColor="text1"/>
          <w:kern w:val="0"/>
          <w:sz w:val="24"/>
        </w:rPr>
        <w:t>报告期末按行业分类的股票投资组合</w:t>
      </w:r>
    </w:p>
    <w:p w:rsidR="009552FC" w:rsidRPr="009552FC" w:rsidRDefault="009552FC" w:rsidP="009552FC">
      <w:pPr>
        <w:rPr>
          <w:rFonts w:asciiTheme="minorEastAsia" w:eastAsiaTheme="minorEastAsia" w:hAnsiTheme="minorEastAsia"/>
          <w:sz w:val="24"/>
        </w:rPr>
      </w:pPr>
      <w:r>
        <w:rPr>
          <w:b/>
        </w:rPr>
        <w:t xml:space="preserve"> </w:t>
      </w:r>
      <w:r w:rsidRPr="009552FC">
        <w:rPr>
          <w:rFonts w:asciiTheme="minorEastAsia" w:eastAsiaTheme="minorEastAsia" w:hAnsiTheme="minorEastAsia"/>
          <w:color w:val="000000" w:themeColor="text1"/>
          <w:sz w:val="24"/>
        </w:rPr>
        <w:t/>
      </w:r>
      <w:r w:rsidRPr="009552FC">
        <w:rPr>
          <w:rFonts w:asciiTheme="minorEastAsia" w:eastAsiaTheme="minorEastAsia" w:hAnsiTheme="minorEastAsia"/>
          <w:color w:val="000000" w:themeColor="text1"/>
          <w:kern w:val="0"/>
          <w:sz w:val="24"/>
        </w:rPr>
        <w:t>5.2.1</w:t>
      </w:r>
      <w:r w:rsidRPr="009552FC">
        <w:rPr>
          <w:rFonts w:asciiTheme="minorEastAsia" w:eastAsiaTheme="minorEastAsia" w:hAnsiTheme="minorEastAsia" w:hint="eastAsia"/>
          <w:color w:val="000000" w:themeColor="text1"/>
          <w:kern w:val="0"/>
          <w:sz w:val="24"/>
        </w:rPr>
        <w:t>报告期末按行业分类的境内股票投资组合</w:t>
      </w:r>
    </w:p>
    <w:p w:rsidR="009238DB" w:rsidRDefault="000871DB"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本基金本报告期末未持有股票。</w:t>
      </w:r>
    </w:p>
    <w:p w:rsidR="009552FC" w:rsidRPr="009552FC" w:rsidRDefault="009552FC" w:rsidP="009552FC">
      <w:pPr>
        <w:jc w:val="left"/>
        <w:rPr>
          <w:rFonts w:asciiTheme="minorEastAsia" w:eastAsiaTheme="minorEastAsia" w:hAnsiTheme="minorEastAsia"/>
          <w:sz w:val="24"/>
        </w:rPr>
      </w:pPr>
      <w:r w:rsidRPr="009552FC">
        <w:rPr>
          <w:rFonts w:asciiTheme="minorEastAsia" w:eastAsiaTheme="minorEastAsia" w:hAnsiTheme="minorEastAsia"/>
          <w:color w:val="000000" w:themeColor="text1"/>
          <w:sz w:val="24"/>
        </w:rPr>
        <w:t/>
      </w:r>
      <w:r w:rsidRPr="009552FC">
        <w:rPr>
          <w:rFonts w:asciiTheme="minorEastAsia" w:eastAsiaTheme="minorEastAsia" w:hAnsiTheme="minorEastAsia" w:hint="eastAsia"/>
          <w:kern w:val="0"/>
          <w:sz w:val="24"/>
        </w:rPr>
        <w:t>5.2.2</w:t>
      </w:r>
      <w:r w:rsidRPr="009552FC">
        <w:rPr>
          <w:rFonts w:asciiTheme="minorEastAsia" w:eastAsiaTheme="minorEastAsia" w:hAnsiTheme="minorEastAsia" w:hint="eastAsia"/>
          <w:sz w:val="24"/>
        </w:rPr>
        <w:t>报告期末按行业分类的沪港通投资股票投资组合</w:t>
      </w:r>
    </w:p>
    <w:p w:rsidR="009552FC" w:rsidRPr="009552FC" w:rsidRDefault="009552FC" w:rsidP="009552FC">
      <w:pPr>
        <w:autoSpaceDE w:val="0"/>
        <w:autoSpaceDN w:val="0"/>
        <w:adjustRightInd w:val="0"/>
        <w:spacing w:line="360" w:lineRule="auto"/>
        <w:ind w:firstLineChars="200" w:firstLine="480"/>
        <w:jc w:val="left"/>
        <w:rPr>
          <w:rFonts w:eastAsiaTheme="minorEastAsia" w:hint="eastAsia"/>
          <w:color w:val="000000" w:themeColor="text1"/>
          <w:sz w:val="24"/>
        </w:rPr>
      </w:pPr>
      <w:r w:rsidRPr="009552FC">
        <w:rPr>
          <w:rFonts w:eastAsiaTheme="minorEastAsia"/>
          <w:color w:val="000000" w:themeColor="text1"/>
          <w:sz w:val="24"/>
        </w:rPr>
        <w:t>本基金本报告期末未持有通过沪港通投资的股票。</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5.3 </w:t>
      </w:r>
      <w:r w:rsidRPr="00B75DF8">
        <w:rPr>
          <w:rFonts w:asciiTheme="minorEastAsia" w:eastAsiaTheme="minorEastAsia" w:hAnsiTheme="minorEastAsia" w:cs="Arial" w:hint="eastAsia"/>
          <w:b/>
          <w:color w:val="000000"/>
          <w:kern w:val="0"/>
          <w:sz w:val="24"/>
        </w:rPr>
        <w:t>报告期末按公允价值占基金资产净值比例大小排序的前十名股票投资明细</w:t>
      </w:r>
    </w:p>
    <w:p w:rsidR="009238DB" w:rsidRPr="00D32161" w:rsidRDefault="000871DB"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lastRenderedPageBreak/>
        <w:t/>
      </w:r>
      <w:r w:rsidRPr="00264591">
        <w:rPr>
          <w:rFonts w:eastAsiaTheme="minorEastAsia"/>
          <w:color w:val="000000"/>
          <w:sz w:val="24"/>
        </w:rPr>
        <w:t>本基金本报告期末未持有股票。</w:t>
      </w:r>
    </w:p>
    <w:p w:rsidR="00B76AA9" w:rsidRPr="00B76AA9" w:rsidRDefault="009238DB" w:rsidP="00B76AA9">
      <w:pPr>
        <w:autoSpaceDE w:val="0"/>
        <w:autoSpaceDN w:val="0"/>
        <w:adjustRightInd w:val="0"/>
        <w:spacing w:beforeLines="100" w:before="312" w:line="360" w:lineRule="auto"/>
        <w:jc w:val="left"/>
        <w:rPr>
          <w:rFonts w:eastAsiaTheme="minorEastAsia"/>
          <w:b/>
          <w:color w:val="000000" w:themeColor="text1"/>
          <w:kern w:val="0"/>
          <w:sz w:val="24"/>
        </w:rPr>
      </w:pPr>
      <w:r w:rsidRPr="00B75DF8">
        <w:rPr>
          <w:rFonts w:asciiTheme="minorEastAsia" w:eastAsiaTheme="minorEastAsia" w:hAnsiTheme="minorEastAsia" w:cs="Arial"/>
          <w:b/>
          <w:color w:val="000000"/>
          <w:kern w:val="0"/>
          <w:sz w:val="24"/>
        </w:rPr>
        <w:t xml:space="preserve">5.4 </w:t>
      </w:r>
      <w:r w:rsidRPr="00B75DF8">
        <w:rPr>
          <w:rFonts w:asciiTheme="minorEastAsia" w:eastAsiaTheme="minorEastAsia" w:hAnsiTheme="minorEastAsia"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序号</w:t>
            </w:r>
          </w:p>
        </w:tc>
        <w:tc>
          <w:tcPr>
            <w:tcW w:w="3260"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债券品种</w:t>
            </w:r>
            <w:r w:rsidRPr="00B76AA9">
              <w:rPr>
                <w:rFonts w:eastAsiaTheme="minorEastAsia"/>
                <w:color w:val="000000" w:themeColor="text1"/>
                <w:sz w:val="24"/>
              </w:rPr>
              <w:t/>
            </w:r>
          </w:p>
        </w:tc>
        <w:tc>
          <w:tcPr>
            <w:tcW w:w="2835"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公允价值</w:t>
            </w:r>
            <w:r w:rsidRPr="00B76AA9">
              <w:rPr>
                <w:rFonts w:eastAsiaTheme="minorEastAsia"/>
                <w:color w:val="000000" w:themeColor="text1"/>
                <w:sz w:val="24"/>
              </w:rPr>
              <w:t>(</w:t>
            </w:r>
            <w:r w:rsidRPr="00B76AA9">
              <w:rPr>
                <w:rFonts w:eastAsiaTheme="minorEastAsia"/>
                <w:color w:val="000000" w:themeColor="text1"/>
                <w:sz w:val="24"/>
              </w:rPr>
              <w:t>元</w:t>
            </w: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占基金资产净值比例</w:t>
            </w:r>
            <w:r w:rsidRPr="00B76AA9">
              <w:rPr>
                <w:rFonts w:eastAsiaTheme="minorEastAsia"/>
                <w:color w:val="000000" w:themeColor="text1"/>
                <w:sz w:val="24"/>
              </w:rPr>
              <w:t>(</w:t>
            </w:r>
            <w:r w:rsidRPr="00B76AA9">
              <w:rPr>
                <w:rFonts w:eastAsiaTheme="minorEastAsia"/>
                <w:color w:val="000000" w:themeColor="text1"/>
                <w:sz w:val="24"/>
              </w:rPr>
              <w:t>％</w:t>
            </w: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1</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国家债券</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1,100,330.00</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30.46</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2</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央行票据</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3</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金融债券</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其中：政策性金融债</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4</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企业债券</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5</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企业短期融资券</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6</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中期票据</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7</w:t>
            </w:r>
          </w:p>
        </w:tc>
        <w:tc>
          <w:tcPr>
            <w:tcW w:w="3260" w:type="dxa"/>
            <w:vAlign w:val="center"/>
          </w:tcPr>
          <w:p w:rsidR="00B76AA9" w:rsidRPr="009552FC" w:rsidRDefault="009552FC" w:rsidP="008F6C49">
            <w:pPr>
              <w:spacing w:before="29" w:line="360" w:lineRule="auto"/>
              <w:ind w:left="17"/>
              <w:jc w:val="left"/>
              <w:rPr>
                <w:rFonts w:eastAsiaTheme="minorEastAsia"/>
                <w:color w:val="000000" w:themeColor="text1"/>
                <w:sz w:val="24"/>
              </w:rPr>
            </w:pPr>
            <w:bookmarkStart w:id="2" w:name="_GoBack"/>
            <w:r w:rsidRPr="009552FC">
              <w:rPr>
                <w:rFonts w:eastAsiaTheme="minorEastAsia" w:hint="eastAsia"/>
                <w:color w:val="000000" w:themeColor="text1"/>
                <w:sz w:val="24"/>
              </w:rPr>
              <w:t>可转债（可交换债）</w:t>
            </w:r>
            <w:bookmarkEnd w:id="2"/>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
            </w:r>
            <w:r w:rsidRPr="00B76AA9">
              <w:rPr>
                <w:rFonts w:eastAsiaTheme="minorEastAsia"/>
                <w:color w:val="000000" w:themeColor="text1"/>
                <w:sz w:val="24"/>
              </w:rPr>
              <w:lastRenderedPageBreak/>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lastRenderedPageBreak/>
              <w:t>8</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同业存单</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9</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其他</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w:t>
            </w:r>
          </w:p>
        </w:tc>
      </w:tr>
      <w:tr w:rsidR="00B76AA9" w:rsidRPr="00B76AA9" w:rsidTr="008F6C49">
        <w:tc>
          <w:tcPr>
            <w:tcW w:w="817" w:type="dxa"/>
            <w:vAlign w:val="center"/>
          </w:tcPr>
          <w:p w:rsidR="00B76AA9" w:rsidRPr="00B76AA9" w:rsidRDefault="00B76AA9" w:rsidP="008F6C49">
            <w:pPr>
              <w:spacing w:before="29" w:line="360" w:lineRule="auto"/>
              <w:ind w:left="17"/>
              <w:jc w:val="center"/>
              <w:rPr>
                <w:rFonts w:eastAsiaTheme="minorEastAsia"/>
                <w:color w:val="000000" w:themeColor="text1"/>
                <w:sz w:val="24"/>
              </w:rPr>
            </w:pPr>
            <w:r w:rsidRPr="00B76AA9">
              <w:rPr>
                <w:rFonts w:eastAsiaTheme="minorEastAsia"/>
                <w:color w:val="000000" w:themeColor="text1"/>
                <w:sz w:val="24"/>
              </w:rPr>
              <w:t>10</w:t>
            </w:r>
          </w:p>
        </w:tc>
        <w:tc>
          <w:tcPr>
            <w:tcW w:w="3260" w:type="dxa"/>
            <w:vAlign w:val="center"/>
          </w:tcPr>
          <w:p w:rsidR="00B76AA9" w:rsidRPr="00B76AA9" w:rsidRDefault="00B76AA9" w:rsidP="008F6C49">
            <w:pPr>
              <w:spacing w:before="29" w:line="360" w:lineRule="auto"/>
              <w:ind w:left="17"/>
              <w:jc w:val="left"/>
              <w:rPr>
                <w:rFonts w:eastAsiaTheme="minorEastAsia"/>
                <w:color w:val="000000" w:themeColor="text1"/>
                <w:sz w:val="24"/>
              </w:rPr>
            </w:pPr>
            <w:r w:rsidRPr="00B76AA9">
              <w:rPr>
                <w:rFonts w:eastAsiaTheme="minorEastAsia"/>
                <w:color w:val="000000" w:themeColor="text1"/>
                <w:sz w:val="24"/>
              </w:rPr>
              <w:t>合计</w:t>
            </w:r>
          </w:p>
        </w:tc>
        <w:tc>
          <w:tcPr>
            <w:tcW w:w="2835"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1,100,330.00</w:t>
            </w:r>
          </w:p>
        </w:tc>
        <w:tc>
          <w:tcPr>
            <w:tcW w:w="1616" w:type="dxa"/>
            <w:vAlign w:val="center"/>
          </w:tcPr>
          <w:p w:rsidR="00B76AA9" w:rsidRPr="00B76AA9" w:rsidRDefault="00B76AA9" w:rsidP="008F6C49">
            <w:pPr>
              <w:spacing w:before="29" w:line="360" w:lineRule="auto"/>
              <w:ind w:left="17"/>
              <w:jc w:val="right"/>
              <w:rPr>
                <w:rFonts w:eastAsiaTheme="minorEastAsia"/>
                <w:color w:val="000000" w:themeColor="text1"/>
                <w:sz w:val="24"/>
              </w:rPr>
            </w:pPr>
            <w:r w:rsidRPr="00B76AA9">
              <w:rPr>
                <w:rFonts w:eastAsiaTheme="minorEastAsia"/>
                <w:color w:val="000000" w:themeColor="text1"/>
                <w:sz w:val="24"/>
              </w:rPr>
              <w:t>30.46</w:t>
            </w:r>
          </w:p>
        </w:tc>
      </w:tr>
    </w:tbl>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5.5 </w:t>
      </w:r>
      <w:r w:rsidRPr="00B75DF8">
        <w:rPr>
          <w:rFonts w:asciiTheme="minorEastAsia" w:eastAsiaTheme="minorEastAsia" w:hAnsiTheme="minorEastAsia" w:cs="Arial" w:hint="eastAsia"/>
          <w:b/>
          <w:color w:val="000000"/>
          <w:kern w:val="0"/>
          <w:sz w:val="24"/>
        </w:rPr>
        <w:t>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的前五名债券投资明细</w:t>
      </w:r>
    </w:p>
    <w:tbl>
      <w:tblPr>
        <w:tblStyle w:val="af2"/>
        <w:tblW w:w="0" w:type="auto"/>
        <w:tblInd w:w="15" w:type="dxa"/>
        <w:tblLayout w:type="fixed"/>
        <w:tblLook w:val="04A0" w:firstRow="1" w:lastRow="0" w:firstColumn="1" w:lastColumn="0" w:noHBand="0" w:noVBand="1"/>
      </w:tblPr>
      <w:tblGrid>
        <w:gridCol w:w="1504"/>
        <w:gridCol w:w="1504"/>
        <w:gridCol w:w="1504"/>
        <w:gridCol w:w="1503"/>
        <w:gridCol w:w="1503"/>
        <w:gridCol w:w="1503"/>
      </w:tblGrid>
      <w:tr w:rsidR="00685FFC" w:rsidRPr="00B75DF8" w:rsidTr="003F7026">
        <w:tc>
          <w:tcPr>
            <w:tcW w:w="1504"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序号</w:t>
            </w:r>
          </w:p>
        </w:tc>
        <w:tc>
          <w:tcPr>
            <w:tcW w:w="1504"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债券代码</w:t>
            </w:r>
          </w:p>
        </w:tc>
        <w:tc>
          <w:tcPr>
            <w:tcW w:w="1504"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债券名称</w:t>
            </w:r>
          </w:p>
        </w:tc>
        <w:tc>
          <w:tcPr>
            <w:tcW w:w="1503"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数量（张）</w:t>
            </w:r>
          </w:p>
        </w:tc>
        <w:tc>
          <w:tcPr>
            <w:tcW w:w="1503"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公允价值</w:t>
            </w:r>
            <w:r w:rsidRPr="00D32161">
              <w:rPr>
                <w:rFonts w:eastAsiaTheme="minorEastAsia"/>
                <w:color w:val="000000"/>
                <w:kern w:val="0"/>
                <w:sz w:val="24"/>
              </w:rPr>
              <w:lastRenderedPageBreak/>
              <w:t>(</w:t>
            </w:r>
            <w:r w:rsidRPr="00D32161">
              <w:rPr>
                <w:rFonts w:eastAsiaTheme="minorEastAsia"/>
                <w:color w:val="000000"/>
                <w:kern w:val="0"/>
                <w:sz w:val="24"/>
              </w:rPr>
              <w:t>元</w:t>
            </w:r>
            <w:r w:rsidRPr="00D32161">
              <w:rPr>
                <w:rFonts w:eastAsiaTheme="minorEastAsia"/>
                <w:color w:val="000000"/>
                <w:kern w:val="0"/>
                <w:sz w:val="24"/>
              </w:rPr>
              <w:t>)</w:t>
            </w:r>
          </w:p>
        </w:tc>
        <w:tc>
          <w:tcPr>
            <w:tcW w:w="1503" w:type="dxa"/>
            <w:vAlign w:val="center"/>
          </w:tcPr>
          <w:p w:rsidR="00685FFC" w:rsidRPr="00D32161" w:rsidRDefault="00685FFC"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lastRenderedPageBreak/>
              <w:t>占基金资产</w:t>
            </w:r>
            <w:r w:rsidRPr="00D32161">
              <w:rPr>
                <w:rFonts w:eastAsiaTheme="minorEastAsia"/>
                <w:color w:val="000000"/>
                <w:kern w:val="0"/>
                <w:sz w:val="24"/>
              </w:rPr>
              <w:lastRenderedPageBreak/>
              <w:t>净值比</w:t>
            </w:r>
            <w:r w:rsidR="00334656" w:rsidRPr="00D32161">
              <w:rPr>
                <w:rFonts w:eastAsiaTheme="minorEastAsia"/>
                <w:color w:val="000000"/>
                <w:kern w:val="0"/>
                <w:sz w:val="24"/>
              </w:rPr>
              <w:t>例</w:t>
            </w:r>
            <w:r w:rsidRPr="00D32161">
              <w:rPr>
                <w:rFonts w:eastAsiaTheme="minorEastAsia"/>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019506</w:t>
            </w:r>
          </w:p>
        </w:tc>
        <w:tc>
          <w:tcPr>
            <w:vAlign w:val="center"/>
          </w:tcPr>
          <w:p>
            <w:pPr>
              <w:jc w:val="center"/>
            </w:pPr>
            <w:r>
              <w:rPr>
                <w:rFonts w:eastAsiaTheme="minorEastAsia"/>
                <w:color w:val="000000"/>
                <w:sz w:val="24"/>
              </w:rPr>
              <w:t>15国债06</w:t>
            </w:r>
          </w:p>
        </w:tc>
        <w:tc>
          <w:tcPr>
            <w:vAlign w:val="center"/>
          </w:tcPr>
          <w:p>
            <w:pPr>
              <w:jc w:val="right"/>
            </w:pPr>
            <w:r>
              <w:rPr>
                <w:rFonts w:eastAsiaTheme="minorEastAsia"/>
                <w:color w:val="000000"/>
                <w:sz w:val="24"/>
              </w:rPr>
              <w:t>11,000</w:t>
            </w:r>
          </w:p>
        </w:tc>
        <w:tc>
          <w:tcPr>
            <w:vAlign w:val="center"/>
          </w:tcPr>
          <w:p>
            <w:pPr>
              <w:jc w:val="right"/>
            </w:pPr>
            <w:r>
              <w:rPr>
                <w:rFonts w:eastAsiaTheme="minorEastAsia"/>
                <w:color w:val="000000"/>
                <w:sz w:val="24"/>
              </w:rPr>
              <w:t>1,100,330.00</w:t>
            </w:r>
          </w:p>
        </w:tc>
        <w:tc>
          <w:tcPr>
            <w:vAlign w:val="center"/>
          </w:tcPr>
          <w:p>
            <w:pPr>
              <w:jc w:val="right"/>
            </w:pPr>
            <w:r>
              <w:rPr>
                <w:rFonts w:eastAsiaTheme="minorEastAsia"/>
                <w:color w:val="000000"/>
                <w:sz w:val="24"/>
              </w:rPr>
              <w:t>30.46</w:t>
            </w:r>
          </w:p>
        </w:tc>
      </w:tr>
    </w:tbl>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5.6</w:t>
      </w:r>
      <w:r w:rsidRPr="00B75DF8">
        <w:rPr>
          <w:rFonts w:asciiTheme="minorEastAsia" w:eastAsiaTheme="minorEastAsia" w:hAnsiTheme="minorEastAsia" w:cs="Arial" w:hint="eastAsia"/>
          <w:b/>
          <w:color w:val="000000"/>
          <w:kern w:val="0"/>
          <w:sz w:val="24"/>
        </w:rPr>
        <w:t xml:space="preserve">　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的前十名资产支持证券投资明细</w:t>
      </w:r>
    </w:p>
    <w:p w:rsidR="009238DB" w:rsidRPr="00D32161" w:rsidRDefault="00C260A2"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本基金本报告期末未持有资产支持证券。</w:t>
      </w:r>
    </w:p>
    <w:p w:rsidR="006D462B" w:rsidRPr="00B75DF8" w:rsidRDefault="006D462B" w:rsidP="006D462B">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5.7 报告期末按公允价值占基金资产净值比例大小排序的前五名贵金属投资明细</w:t>
      </w:r>
    </w:p>
    <w:p w:rsidR="006D462B" w:rsidRPr="00D32161" w:rsidRDefault="006D462B" w:rsidP="00D32161">
      <w:pPr>
        <w:spacing w:line="360" w:lineRule="auto"/>
        <w:ind w:firstLineChars="200" w:firstLine="480"/>
        <w:rPr>
          <w:rFonts w:eastAsiaTheme="minorEastAsia"/>
          <w:color w:val="000000"/>
          <w:sz w:val="24"/>
        </w:rPr>
      </w:pPr>
      <w:r w:rsidRPr="00264591">
        <w:rPr>
          <w:rFonts w:eastAsiaTheme="minorEastAsia"/>
          <w:color w:val="000000"/>
          <w:sz w:val="24"/>
        </w:rPr>
        <w:lastRenderedPageBreak/>
        <w:t>本基金本报告期末未持有贵金属。</w:t>
      </w:r>
    </w:p>
    <w:p w:rsidR="009238DB" w:rsidRPr="00B75DF8" w:rsidRDefault="006D462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hint="eastAsia"/>
          <w:b/>
          <w:color w:val="000000"/>
          <w:kern w:val="0"/>
          <w:sz w:val="24"/>
        </w:rPr>
        <w:t/>
      </w:r>
      <w:r w:rsidR="001D5CD0" w:rsidRPr="00B75DF8">
        <w:rPr>
          <w:rFonts w:asciiTheme="minorEastAsia" w:eastAsiaTheme="minorEastAsia" w:hAnsiTheme="minorEastAsia" w:cs="Arial" w:hint="eastAsia"/>
          <w:b/>
          <w:color w:val="000000"/>
          <w:kern w:val="0"/>
          <w:sz w:val="24"/>
        </w:rPr>
        <w:t>5</w:t>
      </w:r>
      <w:r w:rsidR="009238DB" w:rsidRPr="00B75DF8">
        <w:rPr>
          <w:rFonts w:asciiTheme="minorEastAsia" w:eastAsiaTheme="minorEastAsia" w:hAnsiTheme="minorEastAsia" w:cs="Arial"/>
          <w:b/>
          <w:color w:val="000000"/>
          <w:kern w:val="0"/>
          <w:sz w:val="24"/>
        </w:rPr>
        <w:t>.</w:t>
      </w:r>
      <w:r w:rsidRPr="00B75DF8">
        <w:rPr>
          <w:rFonts w:asciiTheme="minorEastAsia" w:eastAsiaTheme="minorEastAsia" w:hAnsiTheme="minorEastAsia" w:cs="Arial" w:hint="eastAsia"/>
          <w:b/>
          <w:color w:val="000000"/>
          <w:kern w:val="0"/>
          <w:sz w:val="24"/>
        </w:rPr>
        <w:t/>
      </w:r>
      <w:r w:rsidR="001D5CD0" w:rsidRPr="00B75DF8">
        <w:rPr>
          <w:rFonts w:asciiTheme="minorEastAsia" w:eastAsiaTheme="minorEastAsia" w:hAnsiTheme="minorEastAsia" w:cs="Arial" w:hint="eastAsia"/>
          <w:b/>
          <w:color w:val="000000"/>
          <w:kern w:val="0"/>
          <w:sz w:val="24"/>
        </w:rPr>
        <w:t>8</w:t>
      </w:r>
      <w:r w:rsidR="009238DB" w:rsidRPr="00B75DF8">
        <w:rPr>
          <w:rFonts w:asciiTheme="minorEastAsia" w:eastAsiaTheme="minorEastAsia" w:hAnsiTheme="minorEastAsia" w:cs="Arial" w:hint="eastAsia"/>
          <w:b/>
          <w:color w:val="000000"/>
          <w:kern w:val="0"/>
          <w:sz w:val="24"/>
        </w:rPr>
        <w:t>报告期末按公允价值占基金资产净值比例大小排</w:t>
      </w:r>
      <w:r w:rsidRPr="00B75DF8">
        <w:rPr>
          <w:rFonts w:asciiTheme="minorEastAsia" w:eastAsiaTheme="minorEastAsia" w:hAnsiTheme="minorEastAsia" w:cs="Arial" w:hint="eastAsia"/>
          <w:b/>
          <w:color w:val="000000"/>
          <w:kern w:val="0"/>
          <w:sz w:val="24"/>
        </w:rPr>
        <w:t>序</w:t>
      </w:r>
      <w:r w:rsidR="009238DB" w:rsidRPr="00B75DF8">
        <w:rPr>
          <w:rFonts w:asciiTheme="minorEastAsia" w:eastAsiaTheme="minorEastAsia" w:hAnsiTheme="minorEastAsia" w:cs="Arial" w:hint="eastAsia"/>
          <w:b/>
          <w:color w:val="000000"/>
          <w:kern w:val="0"/>
          <w:sz w:val="24"/>
        </w:rPr>
        <w:t>的前五名权证投资明细</w:t>
      </w:r>
    </w:p>
    <w:p w:rsidR="001D5CD0" w:rsidRPr="00D32161" w:rsidRDefault="00C260A2"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00407F66" w:rsidRPr="00264591">
        <w:rPr>
          <w:rFonts w:eastAsiaTheme="minorEastAsia"/>
          <w:color w:val="000000"/>
          <w:sz w:val="24"/>
        </w:rPr>
        <w:t/>
      </w:r>
      <w:r w:rsidRPr="00264591">
        <w:rPr>
          <w:rFonts w:eastAsiaTheme="minorEastAsia"/>
          <w:color w:val="000000"/>
          <w:sz w:val="24"/>
        </w:rPr>
        <w:t>本基金本报告期末未持有权证。</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5.9 报告期末本基金投资的股指期货交易情况说明</w:t>
      </w:r>
    </w:p>
    <w:p>
      <w:pPr>
        <w:spacing w:line="360" w:lineRule="auto"/>
        <w:ind w:firstLineChars="200" w:firstLine="480"/>
        <w:rPr>
          <w:rFonts w:eastAsiaTheme="minorEastAsia"/>
          <w:color w:val="000000"/>
          <w:sz w:val="24"/>
        </w:rPr>
      </w:pPr>
      <w:r>
        <w:rPr>
          <w:rFonts w:eastAsiaTheme="minorEastAsia" w:hint="eastAsia"/>
          <w:color w:val="000000"/>
          <w:sz w:val="24"/>
        </w:rPr>
        <w:t xml:space="preserve">（1）本基金本报告期末未持有股指期货。 </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（2）本基金本报告期内未进行股指期货交易。</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5.10报告期末本基金投资的国债期货交易情况说明</w:t>
      </w:r>
    </w:p>
    <w:p>
      <w:pPr>
        <w:spacing w:line="360" w:lineRule="auto"/>
        <w:ind w:firstLineChars="200" w:firstLine="480"/>
        <w:rPr>
          <w:rFonts w:eastAsiaTheme="minorEastAsia"/>
          <w:color w:val="000000"/>
          <w:sz w:val="24"/>
        </w:rPr>
      </w:pPr>
      <w:r>
        <w:rPr>
          <w:rFonts w:eastAsiaTheme="minorEastAsia"/>
          <w:color w:val="000000"/>
          <w:sz w:val="24"/>
        </w:rPr>
        <w:t xml:space="preserve">（1）本基金本报告期末未持有国债期货。 </w:t>
      </w:r>
    </w:p>
    <w:p w:rsidR="001D5CD0" w:rsidRPr="00264591" w:rsidRDefault="001D5CD0" w:rsidP="0026459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（2）本基金本报告期内未进行国债期货交易。</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11投资组合报告附注</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5.11.1本基金投资的前十名证券的发行主体在本报告期内没有出现被监管部门立案调查，或在报告编制日前一年内受到公开谴责、处罚的情形。</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5.11.2报告期内本基金投资的前十名股票未超出基金合同规定的备选股票库。</w:t>
      </w:r>
    </w:p>
    <w:p w:rsidR="001D5CD0" w:rsidRPr="00B75DF8" w:rsidRDefault="001D5CD0" w:rsidP="001D5CD0">
      <w:pPr>
        <w:autoSpaceDE w:val="0"/>
        <w:autoSpaceDN w:val="0"/>
        <w:adjustRightInd w:val="0"/>
        <w:spacing w:line="360" w:lineRule="auto"/>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3其他各项资产构成</w:t>
      </w:r>
    </w:p>
    <w:tbl>
      <w:tblPr>
        <w:tblStyle w:val="af2"/>
        <w:tblW w:w="0" w:type="auto"/>
        <w:tblInd w:w="15" w:type="dxa"/>
        <w:tblLook w:val="04A0" w:firstRow="1" w:lastRow="0" w:firstColumn="1" w:lastColumn="0" w:noHBand="0" w:noVBand="1"/>
      </w:tblPr>
      <w:tblGrid>
        <w:gridCol w:w="1235"/>
        <w:gridCol w:w="2761"/>
        <w:gridCol w:w="4808"/>
      </w:tblGrid>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序号</w:t>
            </w:r>
          </w:p>
        </w:tc>
        <w:tc>
          <w:tcPr>
            <w:tcW w:w="2761"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名称</w:t>
            </w:r>
          </w:p>
        </w:tc>
        <w:tc>
          <w:tcPr>
            <w:tcW w:w="4808"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金额</w:t>
            </w:r>
            <w:r w:rsidRPr="008B4ABA">
              <w:rPr>
                <w:rFonts w:eastAsiaTheme="minorEastAsia"/>
                <w:color w:val="000000"/>
                <w:kern w:val="0"/>
                <w:sz w:val="24"/>
              </w:rPr>
              <w:t>(</w:t>
            </w:r>
            <w:r w:rsidRPr="008B4ABA">
              <w:rPr>
                <w:rFonts w:eastAsiaTheme="minorEastAsia"/>
                <w:color w:val="000000"/>
                <w:kern w:val="0"/>
                <w:sz w:val="24"/>
              </w:rPr>
              <w:t>元</w:t>
            </w: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kern w:val="0"/>
                <w:sz w:val="24"/>
              </w:rPr>
            </w:pPr>
            <w:r w:rsidRPr="008B4ABA">
              <w:rPr>
                <w:rFonts w:eastAsiaTheme="minorEastAsia"/>
                <w:color w:val="000000"/>
                <w:sz w:val="24"/>
              </w:rPr>
              <w:t>1</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存出保证金</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139,029.40</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2</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应收证券清算款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3</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应收股利</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lastRenderedPageBreak/>
              <w:t>4</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应收利息</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33,942.25</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5</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应收申购款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6</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其他应收款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7</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sz w:val="24"/>
              </w:rPr>
            </w:pPr>
            <w:r w:rsidRPr="008B4ABA">
              <w:rPr>
                <w:rFonts w:eastAsiaTheme="minorEastAsia"/>
                <w:color w:val="000000"/>
                <w:sz w:val="24"/>
              </w:rPr>
              <w:t>待摊费用</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sz w:val="24"/>
              </w:rPr>
            </w:pPr>
            <w:r w:rsidRPr="008B4ABA">
              <w:rPr>
                <w:rFonts w:eastAsiaTheme="minorEastAsia"/>
                <w:color w:val="00000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8</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9</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合计</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172,971.65</w:t>
            </w:r>
          </w:p>
        </w:tc>
      </w:tr>
    </w:tbl>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4</w:t>
      </w:r>
      <w:r w:rsidRPr="00B75DF8">
        <w:rPr>
          <w:rFonts w:asciiTheme="minorEastAsia" w:eastAsiaTheme="minorEastAsia" w:hAnsiTheme="minorEastAsia" w:cs="Arial"/>
          <w:b/>
          <w:kern w:val="0"/>
          <w:sz w:val="24"/>
        </w:rPr>
        <w:t>报告期末持有的处于转股期的可转换债券明细</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本基金本报告期末未持有处于转股期的可转换债券。</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b/>
          <w:bCs/>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hint="eastAsia"/>
          <w:b/>
          <w:bCs/>
          <w:sz w:val="24"/>
        </w:rPr>
        <w:t>报告期末前十名股票中存在流通受限情况的说明</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lastRenderedPageBreak/>
        <w:t/>
      </w:r>
      <w:r w:rsidRPr="00264591">
        <w:rPr>
          <w:rFonts w:eastAsiaTheme="minorEastAsia"/>
          <w:color w:val="000000"/>
          <w:sz w:val="24"/>
        </w:rPr>
        <w:t>本基金本报告期末前十名股票中不存在流通受限情况。</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6  </w:t>
      </w:r>
      <w:r w:rsidRPr="00B75DF8">
        <w:rPr>
          <w:rFonts w:asciiTheme="minorEastAsia" w:eastAsiaTheme="minorEastAsia" w:hAnsiTheme="minorEastAsia" w:cs="Arial" w:hint="eastAsia"/>
          <w:color w:val="000000"/>
          <w:kern w:val="0"/>
          <w:sz w:val="24"/>
          <w:szCs w:val="24"/>
        </w:rPr>
        <w:t>开放式基金份额变动</w:t>
      </w:r>
    </w:p>
    <w:p w:rsidR="009238DB" w:rsidRPr="00B75DF8" w:rsidRDefault="009238DB" w:rsidP="00302187">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936D40" w:rsidRPr="00B75DF8"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B84643">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项目</w:t>
            </w:r>
            <w:r w:rsidR="00BA0425" w:rsidRPr="008B4ABA">
              <w:rPr>
                <w:color w:val="000000"/>
                <w:kern w:val="0"/>
                <w:sz w:val="24"/>
              </w:rPr>
              <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kern w:val="0"/>
                <w:sz w:val="24"/>
              </w:rPr>
              <w:t/>
            </w:r>
            <w:r w:rsidRPr="008B4ABA">
              <w:rPr>
                <w:rFonts w:eastAsiaTheme="minorEastAsia"/>
                <w:sz w:val="24"/>
              </w:rPr>
              <w:t/>
            </w:r>
            <w:r w:rsidR="0042785F" w:rsidRPr="008B4ABA">
              <w:rPr>
                <w:rFonts w:eastAsiaTheme="minorEastAsia"/>
                <w:sz w:val="24"/>
              </w:rPr>
              <w:t>广发聚康混合A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936D40">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kern w:val="0"/>
                <w:sz w:val="24"/>
              </w:rPr>
              <w:t/>
            </w:r>
            <w:r w:rsidRPr="008B4ABA">
              <w:rPr>
                <w:rFonts w:eastAsiaTheme="minorEastAsia"/>
                <w:sz w:val="24"/>
              </w:rPr>
              <w:t/>
            </w:r>
            <w:r w:rsidR="004D614E" w:rsidRPr="008B4ABA">
              <w:rPr>
                <w:rFonts w:eastAsiaTheme="minorEastAsia"/>
                <w:sz w:val="24"/>
              </w:rPr>
              <w:t/>
            </w:r>
            <w:r w:rsidR="0042785F" w:rsidRPr="008B4ABA">
              <w:rPr>
                <w:rFonts w:eastAsiaTheme="minorEastAsia"/>
                <w:sz w:val="24"/>
              </w:rPr>
              <w:t>广发聚康混合C</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B011B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936D40" w:rsidRPr="008B4ABA">
              <w:rPr>
                <w:rFonts w:eastAsiaTheme="minorEastAsia"/>
                <w:color w:val="000000"/>
                <w:sz w:val="24"/>
              </w:rPr>
              <w:t/>
            </w:r>
            <w:r w:rsidR="0042785F" w:rsidRPr="008B4ABA">
              <w:rPr>
                <w:rFonts w:eastAsiaTheme="minorEastAsia"/>
                <w:color w:val="000000"/>
                <w:sz w:val="24"/>
              </w:rPr>
              <w:t>2,903,169.16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B011B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936D40" w:rsidRPr="008B4ABA">
              <w:rPr>
                <w:rFonts w:eastAsiaTheme="minorEastAsia"/>
                <w:color w:val="000000"/>
                <w:sz w:val="24"/>
              </w:rPr>
              <w:t/>
            </w:r>
            <w:r w:rsidR="00EA1D33" w:rsidRPr="008B4ABA">
              <w:rPr>
                <w:rFonts w:eastAsiaTheme="minorEastAsia"/>
                <w:color w:val="000000"/>
                <w:sz w:val="24"/>
              </w:rPr>
              <w:t/>
            </w:r>
            <w:r w:rsidR="0042785F" w:rsidRPr="008B4ABA">
              <w:rPr>
                <w:rFonts w:eastAsiaTheme="minorEastAsia"/>
                <w:color w:val="000000"/>
                <w:sz w:val="24"/>
              </w:rPr>
              <w:t>424,814,846.95</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减：</w:t>
            </w:r>
            <w:r w:rsidR="00F72579" w:rsidRPr="008B4ABA">
              <w:rPr>
                <w:rFonts w:eastAsiaTheme="minorEastAsia"/>
                <w:color w:val="000000"/>
                <w:kern w:val="0"/>
                <w:sz w:val="24"/>
              </w:rPr>
              <w:t>本报告期</w:t>
            </w:r>
            <w:r w:rsidRPr="008B4AB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1,051,836.36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423,586,687.42</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1,851,332.80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1,228,159.53</w:t>
            </w:r>
          </w:p>
        </w:tc>
      </w:tr>
    </w:tbl>
    <w:p w:rsidR="00935FB1" w:rsidRPr="00B75DF8" w:rsidRDefault="00935FB1" w:rsidP="00916E71">
      <w:pPr>
        <w:pStyle w:val="1"/>
        <w:tabs>
          <w:tab w:val="center" w:pos="4156"/>
          <w:tab w:val="right" w:pos="8312"/>
        </w:tabs>
        <w:spacing w:beforeLines="100" w:before="312" w:afterLines="100" w:after="312" w:line="360" w:lineRule="auto"/>
        <w:jc w:val="center"/>
        <w:rPr>
          <w:rFonts w:ascii="方正仿宋简体"/>
          <w:sz w:val="24"/>
          <w:szCs w:val="24"/>
        </w:rPr>
      </w:pPr>
      <w:r w:rsidRPr="00B75DF8">
        <w:rPr>
          <w:rFonts w:asciiTheme="minorEastAsia" w:eastAsiaTheme="minorEastAsia" w:hAnsiTheme="minorEastAsia" w:hint="eastAsia"/>
          <w:color w:val="000000"/>
          <w:kern w:val="0"/>
          <w:sz w:val="24"/>
          <w:szCs w:val="24"/>
        </w:rPr>
        <w:t/>
      </w:r>
      <w:r w:rsidRPr="00B75DF8">
        <w:rPr>
          <w:rFonts w:asciiTheme="minorEastAsia" w:eastAsiaTheme="minorEastAsia" w:hAnsiTheme="minorEastAsia" w:cs="Arial" w:hint="eastAsia"/>
          <w:color w:val="000000"/>
          <w:kern w:val="0"/>
          <w:sz w:val="24"/>
          <w:szCs w:val="24"/>
        </w:rPr>
        <w:t>§7</w:t>
      </w:r>
      <w:r w:rsidRPr="00B75DF8">
        <w:rPr>
          <w:rFonts w:ascii="方正仿宋简体" w:hint="eastAsia"/>
          <w:sz w:val="24"/>
          <w:szCs w:val="24"/>
        </w:rPr>
        <w:t>基金管理人运用固有资金投资本基金情况</w:t>
      </w:r>
    </w:p>
    <w:p w:rsidR="00935FB1" w:rsidRPr="00B75DF8" w:rsidRDefault="00935FB1" w:rsidP="00935FB1">
      <w:pPr>
        <w:spacing w:line="360" w:lineRule="auto"/>
        <w:jc w:val="left"/>
        <w:rPr>
          <w:sz w:val="24"/>
        </w:rPr>
      </w:pPr>
      <w:r w:rsidRPr="00B75DF8">
        <w:rPr>
          <w:b/>
          <w:sz w:val="24"/>
        </w:rPr>
        <w:t/>
      </w:r>
      <w:r w:rsidRPr="00B75DF8">
        <w:rPr>
          <w:rFonts w:hint="eastAsia"/>
          <w:b/>
          <w:sz w:val="24"/>
        </w:rPr>
        <w:t>7</w:t>
      </w:r>
      <w:r w:rsidRPr="00B75DF8">
        <w:rPr>
          <w:b/>
          <w:sz w:val="24"/>
        </w:rPr>
        <w:t>.</w:t>
      </w:r>
      <w:r w:rsidRPr="00B75DF8">
        <w:rPr>
          <w:rFonts w:hint="eastAsia"/>
          <w:b/>
          <w:sz w:val="24"/>
        </w:rPr>
        <w:t xml:space="preserve">1 </w:t>
      </w:r>
      <w:r w:rsidRPr="00B75DF8">
        <w:rPr>
          <w:rFonts w:hint="eastAsia"/>
          <w:b/>
          <w:sz w:val="24"/>
        </w:rPr>
        <w:t>基</w:t>
      </w:r>
      <w:r w:rsidRPr="00B75DF8">
        <w:rPr>
          <w:b/>
          <w:sz w:val="24"/>
        </w:rPr>
        <w:t>金管理人运用固有资金投资本基金交易明细</w:t>
      </w:r>
    </w:p>
    <w:p w:rsidR="00935FB1" w:rsidRPr="00264591" w:rsidRDefault="00935FB1" w:rsidP="0026459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本报告期内，基金管理人不存在运用固有资金（认）申购、赎回或买卖本基金的情况。</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00A14399" w:rsidRPr="00B75DF8">
        <w:rPr>
          <w:rFonts w:asciiTheme="minorEastAsia" w:eastAsiaTheme="minorEastAsia" w:hAnsiTheme="minorEastAsia" w:cs="Arial" w:hint="eastAsia"/>
          <w:color w:val="000000"/>
          <w:kern w:val="0"/>
          <w:sz w:val="24"/>
          <w:szCs w:val="24"/>
        </w:rPr>
        <w:t/>
      </w:r>
      <w:r w:rsidR="00D13A01" w:rsidRPr="00B75DF8">
        <w:rPr>
          <w:rFonts w:asciiTheme="minorEastAsia" w:eastAsiaTheme="minorEastAsia" w:hAnsiTheme="minorEastAsia" w:cs="Arial" w:hint="eastAsia"/>
          <w:color w:val="000000"/>
          <w:kern w:val="0"/>
          <w:sz w:val="24"/>
          <w:szCs w:val="24"/>
        </w:rPr>
        <w:t/>
      </w:r>
      <w:r w:rsidR="00A14399" w:rsidRPr="00B75DF8">
        <w:rPr>
          <w:rFonts w:asciiTheme="minorEastAsia" w:eastAsiaTheme="minorEastAsia" w:hAnsiTheme="minorEastAsia" w:cs="Arial" w:hint="eastAsia"/>
          <w:color w:val="000000"/>
          <w:kern w:val="0"/>
          <w:sz w:val="24"/>
          <w:szCs w:val="24"/>
        </w:rPr>
        <w:t>8</w:t>
      </w:r>
      <w:r w:rsidR="003F7026" w:rsidRPr="00B75DF8">
        <w:rPr>
          <w:rFonts w:asciiTheme="minorEastAsia" w:eastAsiaTheme="minorEastAsia" w:hAnsiTheme="minorEastAsia" w:cs="Arial" w:hint="eastAsia"/>
          <w:color w:val="000000"/>
          <w:kern w:val="0"/>
          <w:sz w:val="24"/>
          <w:szCs w:val="24"/>
        </w:rPr>
        <w:t xml:space="preserve"> </w:t>
      </w:r>
      <w:r w:rsidRPr="00B75DF8">
        <w:rPr>
          <w:rFonts w:asciiTheme="minorEastAsia" w:eastAsiaTheme="minorEastAsia" w:hAnsiTheme="minorEastAsia" w:cs="Arial"/>
          <w:color w:val="000000"/>
          <w:kern w:val="0"/>
          <w:sz w:val="24"/>
          <w:szCs w:val="24"/>
        </w:rPr>
        <w:t>备查文件目录</w:t>
      </w:r>
    </w:p>
    <w:p w:rsidR="00FB3C94" w:rsidRPr="00B75DF8" w:rsidRDefault="00A14399"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
      </w:r>
      <w:r w:rsidR="00D13A01" w:rsidRPr="00B75DF8">
        <w:rPr>
          <w:rFonts w:asciiTheme="minorEastAsia" w:eastAsiaTheme="minorEastAsia" w:hAnsiTheme="minorEastAsia" w:hint="eastAsia"/>
          <w:b/>
          <w:bCs/>
          <w:color w:val="000000"/>
          <w:kern w:val="0"/>
          <w:sz w:val="24"/>
        </w:rPr>
        <w:t/>
      </w:r>
      <w:r w:rsidRPr="00B75DF8">
        <w:rPr>
          <w:rFonts w:asciiTheme="minorEastAsia" w:eastAsiaTheme="minorEastAsia" w:hAnsiTheme="minorEastAsia" w:hint="eastAsia"/>
          <w:b/>
          <w:bCs/>
          <w:color w:val="000000"/>
          <w:kern w:val="0"/>
          <w:sz w:val="24"/>
        </w:rPr>
        <w:t>8.</w:t>
      </w:r>
      <w:r w:rsidR="00D13A01" w:rsidRPr="00B75DF8">
        <w:rPr>
          <w:rFonts w:asciiTheme="minorEastAsia" w:eastAsiaTheme="minorEastAsia" w:hAnsiTheme="minorEastAsia" w:hint="eastAsia"/>
          <w:b/>
          <w:bCs/>
          <w:color w:val="000000"/>
          <w:kern w:val="0"/>
          <w:sz w:val="24"/>
        </w:rPr>
        <w:t>1</w:t>
      </w:r>
      <w:r w:rsidR="00FB3C94" w:rsidRPr="00B75DF8">
        <w:rPr>
          <w:rFonts w:asciiTheme="minorEastAsia" w:eastAsiaTheme="minorEastAsia" w:hAnsiTheme="minorEastAsia" w:hint="eastAsia"/>
          <w:b/>
          <w:bCs/>
          <w:color w:val="000000"/>
          <w:kern w:val="0"/>
          <w:sz w:val="24"/>
        </w:rPr>
        <w:t>备查文件目录</w:t>
      </w:r>
    </w:p>
    <w:p>
      <w:pPr>
        <w:spacing w:line="360" w:lineRule="auto"/>
        <w:ind w:firstLineChars="200" w:firstLine="480"/>
        <w:rPr>
          <w:rFonts w:eastAsiaTheme="minorEastAsia"/>
          <w:color w:val="000000"/>
          <w:sz w:val="24"/>
        </w:rPr>
      </w:pPr>
      <w:r>
        <w:rPr>
          <w:rFonts w:eastAsiaTheme="minorEastAsia" w:hint="eastAsia"/>
          <w:color w:val="000000"/>
          <w:sz w:val="24"/>
        </w:rPr>
        <w:t>（一）中国证监会批准广发聚康混合型证券投资基金募集的文件</w:t>
      </w:r>
    </w:p>
    <w:p>
      <w:pPr>
        <w:spacing w:line="360" w:lineRule="auto"/>
        <w:ind w:firstLineChars="200" w:firstLine="480"/>
        <w:rPr>
          <w:rFonts w:eastAsiaTheme="minorEastAsia"/>
          <w:color w:val="000000"/>
          <w:sz w:val="24"/>
        </w:rPr>
      </w:pPr>
      <w:r>
        <w:rPr>
          <w:rFonts w:eastAsiaTheme="minorEastAsia" w:hint="eastAsia"/>
          <w:color w:val="000000"/>
          <w:sz w:val="24"/>
        </w:rPr>
        <w:t>（二）《广发聚康混合型证券投资基金基金合同》</w:t>
      </w:r>
    </w:p>
    <w:p>
      <w:pPr>
        <w:spacing w:line="360" w:lineRule="auto"/>
        <w:ind w:firstLineChars="200" w:firstLine="480"/>
        <w:rPr>
          <w:rFonts w:eastAsiaTheme="minorEastAsia"/>
          <w:color w:val="000000"/>
          <w:sz w:val="24"/>
        </w:rPr>
      </w:pPr>
      <w:r>
        <w:rPr>
          <w:rFonts w:eastAsiaTheme="minorEastAsia" w:hint="eastAsia"/>
          <w:color w:val="000000"/>
          <w:sz w:val="24"/>
        </w:rPr>
        <w:t>（三）《广发基金管理有限公司开放式基金业务规则》</w:t>
      </w:r>
    </w:p>
    <w:p>
      <w:pPr>
        <w:spacing w:line="360" w:lineRule="auto"/>
        <w:ind w:firstLineChars="200" w:firstLine="480"/>
        <w:rPr>
          <w:rFonts w:eastAsiaTheme="minorEastAsia"/>
          <w:color w:val="000000"/>
          <w:sz w:val="24"/>
        </w:rPr>
      </w:pPr>
      <w:r>
        <w:rPr>
          <w:rFonts w:eastAsiaTheme="minorEastAsia" w:hint="eastAsia"/>
          <w:color w:val="000000"/>
          <w:sz w:val="24"/>
        </w:rPr>
        <w:t>（四）《广发聚康混合型证券投资基金托管协议》</w:t>
      </w:r>
    </w:p>
    <w:p>
      <w:pPr>
        <w:spacing w:line="360" w:lineRule="auto"/>
        <w:ind w:firstLineChars="200" w:firstLine="480"/>
        <w:rPr>
          <w:rFonts w:eastAsiaTheme="minorEastAsia"/>
          <w:color w:val="000000"/>
          <w:sz w:val="24"/>
        </w:rPr>
      </w:pPr>
      <w:r>
        <w:rPr>
          <w:rFonts w:eastAsiaTheme="minorEastAsia" w:hint="eastAsia"/>
          <w:color w:val="000000"/>
          <w:sz w:val="24"/>
        </w:rPr>
        <w:t>（五）法律意见书</w:t>
      </w:r>
    </w:p>
    <w:p>
      <w:pPr>
        <w:spacing w:line="360" w:lineRule="auto"/>
        <w:ind w:firstLineChars="200" w:firstLine="480"/>
        <w:rPr>
          <w:rFonts w:eastAsiaTheme="minorEastAsia"/>
          <w:color w:val="000000"/>
          <w:sz w:val="24"/>
        </w:rPr>
      </w:pPr>
      <w:r>
        <w:rPr>
          <w:rFonts w:eastAsiaTheme="minorEastAsia" w:hint="eastAsia"/>
          <w:color w:val="000000"/>
          <w:sz w:val="24"/>
        </w:rPr>
        <w:t>（六）基金管理人业务资格批件、营业执照</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（七）基金托管人业务资格批件、营业执照</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8.2</w:t>
      </w:r>
      <w:r w:rsidR="00FB3C94" w:rsidRPr="00B75DF8">
        <w:rPr>
          <w:rFonts w:asciiTheme="minorEastAsia" w:eastAsiaTheme="minorEastAsia" w:hAnsiTheme="minorEastAsia" w:hint="eastAsia"/>
          <w:b/>
          <w:bCs/>
          <w:color w:val="000000"/>
          <w:kern w:val="0"/>
          <w:sz w:val="24"/>
        </w:rPr>
        <w:t>存放地点</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广州市海珠区琶洲大道东1号保利国际广场南塔31-33楼</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8.3</w:t>
      </w:r>
      <w:r w:rsidR="00FB3C94" w:rsidRPr="00B75DF8">
        <w:rPr>
          <w:rFonts w:asciiTheme="minorEastAsia" w:eastAsiaTheme="minorEastAsia" w:hAnsiTheme="minorEastAsia" w:hint="eastAsia"/>
          <w:b/>
          <w:bCs/>
          <w:color w:val="000000"/>
          <w:kern w:val="0"/>
          <w:sz w:val="24"/>
        </w:rPr>
        <w:t>查阅方式</w:t>
      </w:r>
    </w:p>
    <w:p>
      <w:pPr>
        <w:spacing w:line="360" w:lineRule="auto"/>
        <w:ind w:firstLineChars="200" w:firstLine="480"/>
        <w:rPr>
          <w:rFonts w:asciiTheme="minorEastAsia" w:eastAsiaTheme="minorEastAsia" w:hAnsiTheme="minorEastAsia"/>
          <w:color w:val="000000"/>
          <w:sz w:val="24"/>
        </w:rPr>
      </w:pPr>
      <w:r>
        <w:rPr>
          <w:rFonts w:eastAsiaTheme="minorEastAsia" w:hint="eastAsia"/>
          <w:color w:val="000000"/>
          <w:sz w:val="24"/>
        </w:rPr>
        <w:t>1.书面查阅：查阅时间为每工作日8:30-11:30，13:30-17:00。投资者可免费查阅，也可按工本费购买复印件；</w:t>
      </w:r>
    </w:p>
    <w:p w:rsidR="00FB3C94" w:rsidRPr="00B75DF8" w:rsidRDefault="00FB3C94" w:rsidP="00B75DF8">
      <w:pPr>
        <w:spacing w:line="360" w:lineRule="auto"/>
        <w:ind w:firstLineChars="200" w:firstLine="480"/>
        <w:rPr>
          <w:rFonts w:asciiTheme="minorEastAsia" w:eastAsiaTheme="minorEastAsia" w:hAnsi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2.网站查阅：基金管理人网址：http://www.gffunds.com.cn。</w:t>
      </w:r>
    </w:p>
    <w:p w:rsidR="00FB3C94" w:rsidRPr="00B75DF8" w:rsidRDefault="00FB3C94" w:rsidP="00FB3C94">
      <w:pPr>
        <w:spacing w:line="360" w:lineRule="auto"/>
        <w:ind w:left="840"/>
        <w:jc w:val="right"/>
        <w:rPr>
          <w:rFonts w:asciiTheme="minorEastAsia" w:eastAsiaTheme="minorEastAsia" w:hAnsiTheme="minorEastAsia"/>
          <w:color w:val="000000"/>
          <w:sz w:val="24"/>
        </w:rPr>
      </w:pPr>
    </w:p>
    <w:p w:rsidR="00AF3AF9" w:rsidRPr="00B75DF8" w:rsidRDefault="00AF3AF9" w:rsidP="00053FFD">
      <w:pPr>
        <w:spacing w:line="360" w:lineRule="auto"/>
        <w:ind w:left="840"/>
        <w:jc w:val="center"/>
        <w:rPr>
          <w:rFonts w:asciiTheme="minorEastAsia" w:eastAsiaTheme="minorEastAsia" w:hAnsiTheme="minorEastAsia"/>
          <w:b/>
          <w:color w:val="000000"/>
          <w:sz w:val="24"/>
        </w:rPr>
      </w:pPr>
    </w:p>
    <w:p w:rsidR="00FB3C94" w:rsidRPr="00B75DF8" w:rsidRDefault="00FB3C94"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广发基金管理有限公司</w:t>
      </w:r>
    </w:p>
    <w:p w:rsidR="009238DB" w:rsidRPr="00B75DF8" w:rsidRDefault="00D04410"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二〇一六年四月二十二日</w:t>
      </w:r>
    </w:p>
    <w:sectPr w:rsidR="009238DB" w:rsidRPr="00B75DF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6A" w:rsidRDefault="00E9646A">
      <w:r>
        <w:separator/>
      </w:r>
    </w:p>
  </w:endnote>
  <w:endnote w:type="continuationSeparator" w:id="0">
    <w:p w:rsidR="00E9646A" w:rsidRDefault="00E9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9F" w:rsidRPr="001D0DB0" w:rsidRDefault="00F22F9F" w:rsidP="00F7094A">
    <w:pPr>
      <w:pStyle w:val="a6"/>
      <w:jc w:val="center"/>
    </w:pPr>
    <w:r>
      <w:rPr>
        <w:rFonts w:hint="eastAsia"/>
        <w:kern w:val="0"/>
        <w:szCs w:val="21"/>
      </w:rPr>
      <w:t>第</w:t>
    </w:r>
    <w:r w:rsidR="001763D8">
      <w:rPr>
        <w:kern w:val="0"/>
        <w:szCs w:val="21"/>
      </w:rPr>
      <w:fldChar w:fldCharType="begin"/>
    </w:r>
    <w:r>
      <w:rPr>
        <w:kern w:val="0"/>
        <w:szCs w:val="21"/>
      </w:rPr>
      <w:instrText xml:space="preserve"> PAGE </w:instrText>
    </w:r>
    <w:r w:rsidR="001763D8">
      <w:rPr>
        <w:kern w:val="0"/>
        <w:szCs w:val="21"/>
      </w:rPr>
      <w:fldChar w:fldCharType="separate"/>
    </w:r>
    <w:r w:rsidR="009552FC">
      <w:rPr>
        <w:noProof/>
        <w:kern w:val="0"/>
        <w:szCs w:val="21"/>
      </w:rPr>
      <w:t>1</w:t>
    </w:r>
    <w:r w:rsidR="001763D8">
      <w:rPr>
        <w:kern w:val="0"/>
        <w:szCs w:val="21"/>
      </w:rPr>
      <w:fldChar w:fldCharType="end"/>
    </w:r>
    <w:r>
      <w:rPr>
        <w:rFonts w:hint="eastAsia"/>
        <w:kern w:val="0"/>
        <w:szCs w:val="21"/>
      </w:rPr>
      <w:t>页共</w:t>
    </w:r>
    <w:r w:rsidR="001763D8">
      <w:rPr>
        <w:kern w:val="0"/>
        <w:szCs w:val="21"/>
      </w:rPr>
      <w:fldChar w:fldCharType="begin"/>
    </w:r>
    <w:r>
      <w:rPr>
        <w:kern w:val="0"/>
        <w:szCs w:val="21"/>
      </w:rPr>
      <w:instrText xml:space="preserve"> NUMPAGES </w:instrText>
    </w:r>
    <w:r w:rsidR="001763D8">
      <w:rPr>
        <w:kern w:val="0"/>
        <w:szCs w:val="21"/>
      </w:rPr>
      <w:fldChar w:fldCharType="separate"/>
    </w:r>
    <w:r w:rsidR="009552FC">
      <w:rPr>
        <w:noProof/>
        <w:kern w:val="0"/>
        <w:szCs w:val="21"/>
      </w:rPr>
      <w:t>27</w:t>
    </w:r>
    <w:r w:rsidR="001763D8">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9F" w:rsidRDefault="001763D8">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end"/>
    </w:r>
  </w:p>
  <w:p w:rsidR="00F22F9F" w:rsidRDefault="00F22F9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9F" w:rsidRDefault="001763D8">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separate"/>
    </w:r>
    <w:r w:rsidR="009552FC">
      <w:rPr>
        <w:rStyle w:val="a7"/>
        <w:noProof/>
      </w:rPr>
      <w:t>16</w:t>
    </w:r>
    <w:r>
      <w:rPr>
        <w:rStyle w:val="a7"/>
      </w:rPr>
      <w:fldChar w:fldCharType="end"/>
    </w:r>
  </w:p>
  <w:p w:rsidR="00F22F9F" w:rsidRDefault="00F22F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6A" w:rsidRDefault="00E9646A">
      <w:r>
        <w:separator/>
      </w:r>
    </w:p>
  </w:footnote>
  <w:footnote w:type="continuationSeparator" w:id="0">
    <w:p w:rsidR="00E9646A" w:rsidRDefault="00E9646A">
      <w:r>
        <w:continuationSeparator/>
      </w:r>
    </w:p>
  </w:footnote>
  <w:footnote w:type="separator" w:id="-1">
    <w:p w:rsidR="00E9646A" w:rsidRDefault="00E9646A">
      <w:r>
        <w:separator/>
      </w:r>
    </w:p>
  </w:footnote>
  <w:footnote w:type="continuationSeparator" w:id="0">
    <w:p w:rsidR="00E9646A" w:rsidRDefault="00E9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9F" w:rsidRPr="0063693D" w:rsidRDefault="00F22F9F" w:rsidP="001207F2">
    <w:pPr>
      <w:pStyle w:val="a9"/>
      <w:pBdr>
        <w:bottom w:val="single" w:sz="6" w:space="0" w:color="auto"/>
      </w:pBdr>
      <w:jc w:val="right"/>
    </w:pPr>
    <w:r w:rsidRPr="0063693D">
      <w:t>广发聚康混合型证券投资基金2016年第1季度报告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19D5"/>
    <w:rsid w:val="00022396"/>
    <w:rsid w:val="00023073"/>
    <w:rsid w:val="00023B97"/>
    <w:rsid w:val="00024836"/>
    <w:rsid w:val="000252D8"/>
    <w:rsid w:val="0003564A"/>
    <w:rsid w:val="00037B55"/>
    <w:rsid w:val="00037C73"/>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B053A"/>
    <w:rsid w:val="001B0C78"/>
    <w:rsid w:val="001B151C"/>
    <w:rsid w:val="001B1A13"/>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576B"/>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591"/>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19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4C4E"/>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733AC"/>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6A40"/>
    <w:rsid w:val="0051064F"/>
    <w:rsid w:val="00513A0E"/>
    <w:rsid w:val="00515D7B"/>
    <w:rsid w:val="00515F29"/>
    <w:rsid w:val="0052009E"/>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20EDB"/>
    <w:rsid w:val="0062386E"/>
    <w:rsid w:val="006253EF"/>
    <w:rsid w:val="00626075"/>
    <w:rsid w:val="0062680E"/>
    <w:rsid w:val="00631158"/>
    <w:rsid w:val="00632923"/>
    <w:rsid w:val="006341E6"/>
    <w:rsid w:val="00634439"/>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B4D"/>
    <w:rsid w:val="00867CF3"/>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58"/>
    <w:rsid w:val="008B1875"/>
    <w:rsid w:val="008B4146"/>
    <w:rsid w:val="008B4ABA"/>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2FC"/>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2E6E"/>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FDB"/>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5230"/>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EF2"/>
    <w:rsid w:val="00AA5F63"/>
    <w:rsid w:val="00AA7EBD"/>
    <w:rsid w:val="00AB2146"/>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35B"/>
    <w:rsid w:val="00B74446"/>
    <w:rsid w:val="00B74B59"/>
    <w:rsid w:val="00B75DF8"/>
    <w:rsid w:val="00B76AA9"/>
    <w:rsid w:val="00B77142"/>
    <w:rsid w:val="00B8024E"/>
    <w:rsid w:val="00B80C3A"/>
    <w:rsid w:val="00B84643"/>
    <w:rsid w:val="00B85415"/>
    <w:rsid w:val="00B90452"/>
    <w:rsid w:val="00B90780"/>
    <w:rsid w:val="00B916D6"/>
    <w:rsid w:val="00B91AD8"/>
    <w:rsid w:val="00B9209B"/>
    <w:rsid w:val="00B9240D"/>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0C0D"/>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1C12"/>
    <w:rsid w:val="00C754C7"/>
    <w:rsid w:val="00C767B3"/>
    <w:rsid w:val="00C76C07"/>
    <w:rsid w:val="00C80F23"/>
    <w:rsid w:val="00C850A3"/>
    <w:rsid w:val="00C87568"/>
    <w:rsid w:val="00C92451"/>
    <w:rsid w:val="00C9272C"/>
    <w:rsid w:val="00C97764"/>
    <w:rsid w:val="00C97C9B"/>
    <w:rsid w:val="00CA344C"/>
    <w:rsid w:val="00CB142D"/>
    <w:rsid w:val="00CB1AA0"/>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602"/>
    <w:rsid w:val="00D05EE7"/>
    <w:rsid w:val="00D06A9D"/>
    <w:rsid w:val="00D07C15"/>
    <w:rsid w:val="00D11D4F"/>
    <w:rsid w:val="00D13A01"/>
    <w:rsid w:val="00D140AD"/>
    <w:rsid w:val="00D15733"/>
    <w:rsid w:val="00D20364"/>
    <w:rsid w:val="00D2130C"/>
    <w:rsid w:val="00D26746"/>
    <w:rsid w:val="00D26DDD"/>
    <w:rsid w:val="00D27BDC"/>
    <w:rsid w:val="00D3194F"/>
    <w:rsid w:val="00D32161"/>
    <w:rsid w:val="00D33751"/>
    <w:rsid w:val="00D37343"/>
    <w:rsid w:val="00D37495"/>
    <w:rsid w:val="00D41727"/>
    <w:rsid w:val="00D427E4"/>
    <w:rsid w:val="00D45F1B"/>
    <w:rsid w:val="00D52289"/>
    <w:rsid w:val="00D55A37"/>
    <w:rsid w:val="00D55B7E"/>
    <w:rsid w:val="00D64354"/>
    <w:rsid w:val="00D66685"/>
    <w:rsid w:val="00D70D35"/>
    <w:rsid w:val="00D70D69"/>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342F"/>
    <w:rsid w:val="00E84632"/>
    <w:rsid w:val="00E847EE"/>
    <w:rsid w:val="00E876F9"/>
    <w:rsid w:val="00E9646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B1B8C7-6EA9-4E9E-A2FF-E529912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991915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637145378">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Desktop/abc&#23395;&#25253;.dot"/>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1CC1-98B6-4327-9384-9F7BCED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334</TotalTime>
  <Pages>27</Pages>
  <Words>3761</Words>
  <Characters>21443</Characters>
  <Application>Microsoft Office Word</Application>
  <DocSecurity>0</DocSecurity>
  <Lines>178</Lines>
  <Paragraphs>50</Paragraphs>
  <ScaleCrop>false</ScaleCrop>
  <Company>TRT. Ltd. Co.</Company>
  <LinksUpToDate>false</LinksUpToDate>
  <CharactersWithSpaces>25154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lastModifiedBy>AutoBVT</lastModifiedBy>
  <lastPrinted>2007-07-19T00:46:00Z</lastPrinted>
  <dcterms:modified xsi:type="dcterms:W3CDTF">2016-01-03T10:13:00Z</dcterms:modified>
  <revision>109</revision>
</coreProperties>
</file>