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0A" w:rsidRPr="009431D9" w:rsidRDefault="00C54263" w:rsidP="00D652F9">
      <w:pPr>
        <w:spacing w:line="360" w:lineRule="auto"/>
        <w:jc w:val="center"/>
        <w:rPr>
          <w:rFonts w:ascii="宋体" w:hAnsi="宋体"/>
          <w:b/>
          <w:sz w:val="32"/>
          <w:szCs w:val="32"/>
        </w:rPr>
      </w:pPr>
      <w:r w:rsidRPr="009431D9">
        <w:rPr>
          <w:rFonts w:ascii="宋体" w:hAnsi="宋体" w:hint="eastAsia"/>
          <w:b/>
          <w:sz w:val="32"/>
          <w:szCs w:val="32"/>
        </w:rPr>
        <w:t>鑫元基金管理有限公司</w:t>
      </w:r>
      <w:r w:rsidR="00D652F9">
        <w:rPr>
          <w:rFonts w:ascii="宋体" w:hAnsi="宋体" w:hint="eastAsia"/>
          <w:b/>
          <w:sz w:val="32"/>
          <w:szCs w:val="32"/>
        </w:rPr>
        <w:t>更正</w:t>
      </w:r>
      <w:r w:rsidR="0052650A" w:rsidRPr="009431D9">
        <w:rPr>
          <w:rFonts w:ascii="宋体" w:hAnsi="宋体"/>
          <w:b/>
          <w:sz w:val="32"/>
          <w:szCs w:val="32"/>
        </w:rPr>
        <w:t>公告</w:t>
      </w:r>
    </w:p>
    <w:p w:rsidR="0052650A" w:rsidRPr="009431D9" w:rsidRDefault="0052650A" w:rsidP="00157B2D">
      <w:pPr>
        <w:pStyle w:val="Default"/>
        <w:jc w:val="both"/>
        <w:rPr>
          <w:rFonts w:ascii="黑体" w:eastAsia="黑体" w:hAnsi="黑体" w:cs="Calibri"/>
          <w:sz w:val="36"/>
          <w:szCs w:val="36"/>
        </w:rPr>
      </w:pPr>
    </w:p>
    <w:p w:rsidR="00D652F9" w:rsidRPr="00D652F9" w:rsidRDefault="00621DB1" w:rsidP="008574DD">
      <w:pPr>
        <w:pStyle w:val="Default"/>
        <w:spacing w:afterLines="50" w:line="360" w:lineRule="auto"/>
        <w:ind w:firstLineChars="200" w:firstLine="420"/>
        <w:rPr>
          <w:rFonts w:ascii="宋体" w:hAnsi="宋体"/>
          <w:sz w:val="21"/>
          <w:szCs w:val="21"/>
        </w:rPr>
      </w:pPr>
      <w:r w:rsidRPr="00621DB1">
        <w:rPr>
          <w:rFonts w:ascii="宋体" w:hAnsi="宋体" w:hint="eastAsia"/>
          <w:sz w:val="21"/>
          <w:szCs w:val="21"/>
        </w:rPr>
        <w:t>鑫元基金管理有限公司（以下简称“本公司”或“基金管理人”）</w:t>
      </w:r>
      <w:r w:rsidR="00D652F9" w:rsidRPr="00D652F9">
        <w:rPr>
          <w:rFonts w:ascii="宋体" w:hAnsi="宋体" w:hint="eastAsia"/>
          <w:sz w:val="21"/>
          <w:szCs w:val="21"/>
        </w:rPr>
        <w:t>于2016年</w:t>
      </w:r>
      <w:r w:rsidR="00D652F9">
        <w:rPr>
          <w:rFonts w:ascii="宋体" w:hAnsi="宋体" w:hint="eastAsia"/>
          <w:sz w:val="21"/>
          <w:szCs w:val="21"/>
        </w:rPr>
        <w:t>12</w:t>
      </w:r>
      <w:r w:rsidR="00D652F9" w:rsidRPr="00D652F9">
        <w:rPr>
          <w:rFonts w:ascii="宋体" w:hAnsi="宋体" w:hint="eastAsia"/>
          <w:sz w:val="21"/>
          <w:szCs w:val="21"/>
        </w:rPr>
        <w:t>月1</w:t>
      </w:r>
      <w:r w:rsidR="00D652F9">
        <w:rPr>
          <w:rFonts w:ascii="宋体" w:hAnsi="宋体" w:hint="eastAsia"/>
          <w:sz w:val="21"/>
          <w:szCs w:val="21"/>
        </w:rPr>
        <w:t>5</w:t>
      </w:r>
      <w:r w:rsidR="00D652F9" w:rsidRPr="00D652F9">
        <w:rPr>
          <w:rFonts w:ascii="宋体" w:hAnsi="宋体" w:hint="eastAsia"/>
          <w:sz w:val="21"/>
          <w:szCs w:val="21"/>
        </w:rPr>
        <w:t>日刊登《鑫元基金管理有限公司关于鑫元合丰分级债券型证券投资基金第一个分级运作周期到期及转入下一个分级运作周期的相关规则公告》，现就相关内容更正如下：</w:t>
      </w:r>
    </w:p>
    <w:p w:rsidR="00D652F9" w:rsidRDefault="00D652F9" w:rsidP="008574DD">
      <w:pPr>
        <w:pStyle w:val="Default"/>
        <w:spacing w:afterLines="50" w:line="360" w:lineRule="auto"/>
        <w:ind w:firstLine="420"/>
        <w:jc w:val="both"/>
        <w:rPr>
          <w:rFonts w:ascii="宋体" w:hAnsi="宋体"/>
          <w:sz w:val="21"/>
          <w:szCs w:val="21"/>
        </w:rPr>
      </w:pPr>
      <w:r w:rsidRPr="00D652F9">
        <w:rPr>
          <w:rFonts w:ascii="宋体" w:hAnsi="宋体" w:hint="eastAsia"/>
          <w:sz w:val="21"/>
          <w:szCs w:val="21"/>
        </w:rPr>
        <w:t>更正前：</w:t>
      </w:r>
    </w:p>
    <w:p w:rsidR="00D652F9" w:rsidRPr="006C606C" w:rsidRDefault="00D652F9" w:rsidP="008574DD">
      <w:pPr>
        <w:pStyle w:val="Default"/>
        <w:spacing w:afterLines="50" w:line="360" w:lineRule="auto"/>
        <w:ind w:firstLine="420"/>
        <w:jc w:val="both"/>
        <w:rPr>
          <w:rFonts w:ascii="宋体" w:hAnsi="宋体"/>
          <w:color w:val="auto"/>
          <w:sz w:val="21"/>
          <w:szCs w:val="21"/>
        </w:rPr>
      </w:pPr>
      <w:r w:rsidRPr="006C606C">
        <w:rPr>
          <w:rFonts w:ascii="宋体" w:hAnsi="宋体" w:hint="eastAsia"/>
          <w:color w:val="auto"/>
          <w:sz w:val="21"/>
          <w:szCs w:val="21"/>
        </w:rPr>
        <w:t>三、</w:t>
      </w:r>
      <w:r w:rsidRPr="006C606C">
        <w:rPr>
          <w:rFonts w:ascii="宋体" w:hAnsi="宋体"/>
          <w:color w:val="auto"/>
          <w:sz w:val="21"/>
          <w:szCs w:val="21"/>
        </w:rPr>
        <w:t>合丰A份额的年约定收益率</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合丰A根据基金合同的</w:t>
      </w:r>
      <w:r w:rsidRPr="006C606C">
        <w:rPr>
          <w:rFonts w:ascii="宋体" w:hAnsi="宋体" w:cs="Times New Roman" w:hint="eastAsia"/>
          <w:color w:val="auto"/>
          <w:sz w:val="21"/>
          <w:szCs w:val="21"/>
        </w:rPr>
        <w:t>约定</w:t>
      </w:r>
      <w:r w:rsidRPr="006C606C">
        <w:rPr>
          <w:rFonts w:ascii="宋体" w:hAnsi="宋体" w:cs="Times New Roman"/>
          <w:color w:val="auto"/>
          <w:sz w:val="21"/>
          <w:szCs w:val="21"/>
        </w:rPr>
        <w:t>获取约定收益，</w:t>
      </w:r>
      <w:r w:rsidRPr="006C606C">
        <w:rPr>
          <w:rFonts w:ascii="宋体" w:hAnsi="宋体" w:cs="Times New Roman" w:hint="eastAsia"/>
          <w:color w:val="auto"/>
          <w:sz w:val="21"/>
          <w:szCs w:val="21"/>
        </w:rPr>
        <w:t>在基金分级运作周期内</w:t>
      </w:r>
      <w:r w:rsidRPr="006C606C">
        <w:rPr>
          <w:rFonts w:ascii="宋体" w:hAnsi="宋体" w:cs="Times New Roman"/>
          <w:color w:val="auto"/>
          <w:sz w:val="21"/>
          <w:szCs w:val="21"/>
        </w:rPr>
        <w:t>，合丰A的年约定收益率=一年期银行定期存款利率（税后）×1.</w:t>
      </w:r>
      <w:r w:rsidRPr="006C606C">
        <w:rPr>
          <w:rFonts w:ascii="宋体" w:hAnsi="宋体" w:cs="Times New Roman" w:hint="eastAsia"/>
          <w:color w:val="auto"/>
          <w:sz w:val="21"/>
          <w:szCs w:val="21"/>
        </w:rPr>
        <w:t>4</w:t>
      </w:r>
      <w:r w:rsidRPr="006C606C">
        <w:rPr>
          <w:rFonts w:ascii="宋体" w:hAnsi="宋体" w:cs="Times New Roman"/>
          <w:color w:val="auto"/>
          <w:sz w:val="21"/>
          <w:szCs w:val="21"/>
        </w:rPr>
        <w:t>+利差</w:t>
      </w:r>
    </w:p>
    <w:p w:rsidR="00D652F9" w:rsidRPr="006C606C"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其中，计算合丰A首个约定收益率的一年期银行定期存款利率指基金合同生效之日中国人民银行公布并执行的金融机构人民币一年定期存款利率；其后在合丰A每个申购开放日前的第三个工作日或分级运作周期起始日前的第三个工作日，基金管理人将根据该日中国人民银行公布并执行的金融机构人民币一年期定期存款利率重新调整下6个月合丰A的约定收益率，合丰A的约定收益采用单利计算，合丰A的年收益率计算按照四舍五入的方法保留到百分号内小数点后第2位。</w:t>
      </w:r>
    </w:p>
    <w:p w:rsidR="00D652F9" w:rsidRPr="006C606C"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视国内利率市场变化，基金管理人将在合丰A每个申购开放日前的第三个工作日或分级运作周期起始日前的第三个工作日公告下6个月合丰A适用的约定收益率的利差值。利差值的取值范围为0%（含）-3%（含）。基金合同生效后6个月合丰A适用的约定收益率的利差将在基金募集期开始前确定，并在本基金招募说明书或基金份额发售公告中予以规定。</w:t>
      </w:r>
    </w:p>
    <w:p w:rsidR="00D652F9" w:rsidRPr="006C606C"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本基金净资产优先分配合丰A的本金及约定收益，剩余净资产分配予合丰B。基金管理人并不承诺或保证每次开放时合丰A份额持有人的约定收益，即如本基金资产发生极端损失情况下，合丰A仍可能面临无法取得约定收益乃至投资本金受损的风险。</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本次合丰A的年约定收益率将根据第二个运作周期起始日（即2016年</w:t>
      </w:r>
      <w:r w:rsidRPr="006C606C">
        <w:rPr>
          <w:rFonts w:ascii="宋体" w:hAnsi="宋体" w:cs="Times New Roman" w:hint="eastAsia"/>
          <w:color w:val="auto"/>
          <w:sz w:val="21"/>
          <w:szCs w:val="21"/>
        </w:rPr>
        <w:t>12月28日，</w:t>
      </w:r>
      <w:r w:rsidRPr="006C606C">
        <w:rPr>
          <w:rFonts w:ascii="宋体" w:hAnsi="宋体" w:hint="eastAsia"/>
          <w:color w:val="auto"/>
          <w:sz w:val="21"/>
          <w:szCs w:val="21"/>
        </w:rPr>
        <w:t>如过渡期提前结束，则第二个分级运作周期的起始日以基金管理人届时发布的公告为准</w:t>
      </w:r>
      <w:r w:rsidRPr="006C606C">
        <w:rPr>
          <w:rFonts w:ascii="宋体" w:hAnsi="宋体" w:cs="Times New Roman"/>
          <w:color w:val="auto"/>
          <w:sz w:val="21"/>
          <w:szCs w:val="21"/>
        </w:rPr>
        <w:t>）前的</w:t>
      </w:r>
      <w:r w:rsidRPr="006C606C">
        <w:rPr>
          <w:rFonts w:ascii="宋体" w:hAnsi="宋体" w:cs="Times New Roman" w:hint="eastAsia"/>
          <w:color w:val="auto"/>
          <w:sz w:val="21"/>
          <w:szCs w:val="21"/>
        </w:rPr>
        <w:t>第三</w:t>
      </w:r>
      <w:r w:rsidRPr="006C606C">
        <w:rPr>
          <w:rFonts w:ascii="宋体" w:hAnsi="宋体" w:cs="Times New Roman"/>
          <w:color w:val="auto"/>
          <w:sz w:val="21"/>
          <w:szCs w:val="21"/>
        </w:rPr>
        <w:t>个工作日，即2016年</w:t>
      </w:r>
      <w:r w:rsidRPr="006C606C">
        <w:rPr>
          <w:rFonts w:ascii="宋体" w:hAnsi="宋体" w:cs="Times New Roman" w:hint="eastAsia"/>
          <w:color w:val="auto"/>
          <w:sz w:val="21"/>
          <w:szCs w:val="21"/>
        </w:rPr>
        <w:t>12</w:t>
      </w:r>
      <w:r w:rsidRPr="006C606C">
        <w:rPr>
          <w:rFonts w:ascii="宋体" w:hAnsi="宋体" w:cs="Times New Roman"/>
          <w:color w:val="auto"/>
          <w:sz w:val="21"/>
          <w:szCs w:val="21"/>
        </w:rPr>
        <w:t>月</w:t>
      </w:r>
      <w:r w:rsidRPr="006C606C">
        <w:rPr>
          <w:rFonts w:ascii="宋体" w:hAnsi="宋体" w:cs="Times New Roman" w:hint="eastAsia"/>
          <w:color w:val="auto"/>
          <w:sz w:val="21"/>
          <w:szCs w:val="21"/>
        </w:rPr>
        <w:t>23</w:t>
      </w:r>
      <w:r w:rsidRPr="006C606C">
        <w:rPr>
          <w:rFonts w:ascii="宋体" w:hAnsi="宋体" w:cs="Times New Roman"/>
          <w:color w:val="auto"/>
          <w:sz w:val="21"/>
          <w:szCs w:val="21"/>
        </w:rPr>
        <w:t>日中国人民银行公布并执行的金融机构人民币一年期整存整取基准年利率（当时适用税率）进行计算，利差的取值为</w:t>
      </w:r>
      <w:r w:rsidRPr="006C606C">
        <w:rPr>
          <w:rFonts w:ascii="宋体" w:hAnsi="宋体" w:cs="Times New Roman" w:hint="eastAsia"/>
          <w:color w:val="auto"/>
          <w:sz w:val="21"/>
          <w:szCs w:val="21"/>
        </w:rPr>
        <w:t>1.2</w:t>
      </w:r>
      <w:r w:rsidRPr="006C606C">
        <w:rPr>
          <w:rFonts w:ascii="宋体" w:hAnsi="宋体" w:cs="Times New Roman"/>
          <w:color w:val="auto"/>
          <w:sz w:val="21"/>
          <w:szCs w:val="21"/>
        </w:rPr>
        <w:t>%，计算公式如下：</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合丰A的年约定收益率（单利）=一年期银行定期存款利率（税后）×1.</w:t>
      </w:r>
      <w:r w:rsidRPr="006C606C">
        <w:rPr>
          <w:rFonts w:ascii="宋体" w:hAnsi="宋体" w:cs="Times New Roman" w:hint="eastAsia"/>
          <w:color w:val="auto"/>
          <w:sz w:val="21"/>
          <w:szCs w:val="21"/>
        </w:rPr>
        <w:t>4</w:t>
      </w:r>
      <w:r w:rsidRPr="006C606C">
        <w:rPr>
          <w:rFonts w:ascii="宋体" w:hAnsi="宋体" w:cs="Times New Roman"/>
          <w:color w:val="auto"/>
          <w:sz w:val="21"/>
          <w:szCs w:val="21"/>
        </w:rPr>
        <w:t>+</w:t>
      </w:r>
      <w:r w:rsidRPr="006C606C">
        <w:rPr>
          <w:rFonts w:ascii="宋体" w:hAnsi="宋体" w:cs="Times New Roman" w:hint="eastAsia"/>
          <w:color w:val="auto"/>
          <w:sz w:val="21"/>
          <w:szCs w:val="21"/>
        </w:rPr>
        <w:t>1.2%=1.5%</w:t>
      </w:r>
      <w:r w:rsidRPr="006C606C">
        <w:rPr>
          <w:rFonts w:ascii="宋体" w:hAnsi="宋体" w:cs="Times New Roman"/>
          <w:color w:val="auto"/>
          <w:sz w:val="21"/>
          <w:szCs w:val="21"/>
        </w:rPr>
        <w:t>×1.</w:t>
      </w:r>
      <w:r w:rsidRPr="006C606C">
        <w:rPr>
          <w:rFonts w:ascii="宋体" w:hAnsi="宋体" w:cs="Times New Roman" w:hint="eastAsia"/>
          <w:color w:val="auto"/>
          <w:sz w:val="21"/>
          <w:szCs w:val="21"/>
        </w:rPr>
        <w:t>4</w:t>
      </w:r>
      <w:r w:rsidRPr="006C606C">
        <w:rPr>
          <w:rFonts w:ascii="宋体" w:hAnsi="宋体" w:cs="Times New Roman"/>
          <w:color w:val="auto"/>
          <w:sz w:val="21"/>
          <w:szCs w:val="21"/>
        </w:rPr>
        <w:t>+</w:t>
      </w:r>
      <w:r w:rsidRPr="006C606C">
        <w:rPr>
          <w:rFonts w:ascii="宋体" w:hAnsi="宋体" w:cs="Times New Roman" w:hint="eastAsia"/>
          <w:color w:val="auto"/>
          <w:sz w:val="21"/>
          <w:szCs w:val="21"/>
        </w:rPr>
        <w:t>1.2%=3.3%</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该收益率即为合丰A份额为</w:t>
      </w:r>
      <w:r w:rsidRPr="006C606C">
        <w:rPr>
          <w:rFonts w:ascii="宋体" w:hAnsi="宋体" w:cs="Times New Roman" w:hint="eastAsia"/>
          <w:color w:val="auto"/>
          <w:sz w:val="21"/>
          <w:szCs w:val="21"/>
        </w:rPr>
        <w:t>自</w:t>
      </w:r>
      <w:r w:rsidRPr="006C606C">
        <w:rPr>
          <w:rFonts w:ascii="宋体" w:hAnsi="宋体" w:cs="Times New Roman"/>
          <w:color w:val="auto"/>
          <w:sz w:val="21"/>
          <w:szCs w:val="21"/>
        </w:rPr>
        <w:t>2016年</w:t>
      </w:r>
      <w:r w:rsidRPr="006C606C">
        <w:rPr>
          <w:rFonts w:ascii="宋体" w:hAnsi="宋体" w:cs="Times New Roman" w:hint="eastAsia"/>
          <w:color w:val="auto"/>
          <w:sz w:val="21"/>
          <w:szCs w:val="21"/>
        </w:rPr>
        <w:t>12月28日</w:t>
      </w:r>
      <w:r w:rsidRPr="006C606C">
        <w:rPr>
          <w:rFonts w:ascii="宋体" w:hAnsi="宋体" w:cs="Times New Roman"/>
          <w:color w:val="auto"/>
          <w:sz w:val="21"/>
          <w:szCs w:val="21"/>
        </w:rPr>
        <w:t>至</w:t>
      </w:r>
      <w:r w:rsidRPr="006C606C">
        <w:rPr>
          <w:rFonts w:ascii="宋体" w:hAnsi="宋体" w:cs="Times New Roman" w:hint="eastAsia"/>
          <w:color w:val="auto"/>
          <w:sz w:val="21"/>
          <w:szCs w:val="21"/>
        </w:rPr>
        <w:t>2017年6月28日</w:t>
      </w:r>
      <w:r w:rsidRPr="006C606C">
        <w:rPr>
          <w:rFonts w:ascii="宋体" w:hAnsi="宋体" w:cs="Times New Roman"/>
          <w:color w:val="auto"/>
          <w:sz w:val="21"/>
          <w:szCs w:val="21"/>
        </w:rPr>
        <w:t>的年约定收益率</w:t>
      </w:r>
      <w:r w:rsidRPr="006C606C">
        <w:rPr>
          <w:rFonts w:ascii="宋体" w:hAnsi="宋体" w:cs="Times New Roman" w:hint="eastAsia"/>
          <w:color w:val="auto"/>
          <w:sz w:val="21"/>
          <w:szCs w:val="21"/>
        </w:rPr>
        <w:t>（</w:t>
      </w:r>
      <w:r w:rsidRPr="006C606C">
        <w:rPr>
          <w:rFonts w:ascii="宋体" w:hAnsi="宋体" w:hint="eastAsia"/>
          <w:color w:val="auto"/>
          <w:sz w:val="21"/>
          <w:szCs w:val="21"/>
        </w:rPr>
        <w:t>如过渡期提前结束，则第二个分级运作周期的起始日以基金管理人届时发布的公告为准</w:t>
      </w:r>
      <w:r w:rsidRPr="006C606C">
        <w:rPr>
          <w:rFonts w:ascii="宋体" w:hAnsi="宋体" w:cs="Times New Roman" w:hint="eastAsia"/>
          <w:color w:val="auto"/>
          <w:sz w:val="21"/>
          <w:szCs w:val="21"/>
        </w:rPr>
        <w:t>）。</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hint="eastAsia"/>
          <w:color w:val="auto"/>
          <w:sz w:val="21"/>
          <w:szCs w:val="21"/>
        </w:rPr>
        <w:t>若本基金根据基金合同的约定转型为普通开放式债券型证券投资基金，即“鑫元合丰纯债债券型证券投资基金”，则不存在合丰A份额获取约定收益率的情况，具体以基金管理人届时发布</w:t>
      </w:r>
      <w:r w:rsidRPr="006C606C">
        <w:rPr>
          <w:rFonts w:ascii="宋体" w:hAnsi="宋体" w:hint="eastAsia"/>
          <w:color w:val="auto"/>
          <w:sz w:val="21"/>
          <w:szCs w:val="21"/>
        </w:rPr>
        <w:lastRenderedPageBreak/>
        <w:t>的公告为准。</w:t>
      </w:r>
    </w:p>
    <w:p w:rsidR="00D652F9" w:rsidRDefault="00D652F9" w:rsidP="008574DD">
      <w:pPr>
        <w:pStyle w:val="Default"/>
        <w:spacing w:afterLines="50" w:line="360" w:lineRule="auto"/>
        <w:ind w:firstLineChars="200" w:firstLine="420"/>
        <w:rPr>
          <w:rFonts w:ascii="宋体" w:hAnsi="宋体"/>
          <w:sz w:val="21"/>
          <w:szCs w:val="21"/>
        </w:rPr>
      </w:pPr>
      <w:r w:rsidRPr="00D652F9">
        <w:rPr>
          <w:rFonts w:ascii="宋体" w:hAnsi="宋体" w:hint="eastAsia"/>
          <w:sz w:val="21"/>
          <w:szCs w:val="21"/>
        </w:rPr>
        <w:t>更正后：</w:t>
      </w:r>
    </w:p>
    <w:p w:rsidR="00D652F9" w:rsidRPr="006C606C" w:rsidRDefault="00D652F9" w:rsidP="008574DD">
      <w:pPr>
        <w:pStyle w:val="Default"/>
        <w:spacing w:afterLines="50" w:line="360" w:lineRule="auto"/>
        <w:ind w:firstLine="420"/>
        <w:jc w:val="both"/>
        <w:rPr>
          <w:rFonts w:ascii="宋体" w:hAnsi="宋体"/>
          <w:color w:val="auto"/>
          <w:sz w:val="21"/>
          <w:szCs w:val="21"/>
        </w:rPr>
      </w:pPr>
      <w:r w:rsidRPr="006C606C">
        <w:rPr>
          <w:rFonts w:ascii="宋体" w:hAnsi="宋体" w:hint="eastAsia"/>
          <w:color w:val="auto"/>
          <w:sz w:val="21"/>
          <w:szCs w:val="21"/>
        </w:rPr>
        <w:t>三、</w:t>
      </w:r>
      <w:r w:rsidRPr="006C606C">
        <w:rPr>
          <w:rFonts w:ascii="宋体" w:hAnsi="宋体"/>
          <w:color w:val="auto"/>
          <w:sz w:val="21"/>
          <w:szCs w:val="21"/>
        </w:rPr>
        <w:t>合丰A份额的年约定收益率</w:t>
      </w:r>
    </w:p>
    <w:p w:rsidR="00D652F9"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合丰A根据基金合同的</w:t>
      </w:r>
      <w:r w:rsidRPr="006C606C">
        <w:rPr>
          <w:rFonts w:ascii="宋体" w:hAnsi="宋体" w:cs="Times New Roman" w:hint="eastAsia"/>
          <w:color w:val="auto"/>
          <w:sz w:val="21"/>
          <w:szCs w:val="21"/>
        </w:rPr>
        <w:t>约定</w:t>
      </w:r>
      <w:r w:rsidRPr="006C606C">
        <w:rPr>
          <w:rFonts w:ascii="宋体" w:hAnsi="宋体" w:cs="Times New Roman"/>
          <w:color w:val="auto"/>
          <w:sz w:val="21"/>
          <w:szCs w:val="21"/>
        </w:rPr>
        <w:t>获取约定收益，</w:t>
      </w:r>
      <w:r w:rsidRPr="006C606C">
        <w:rPr>
          <w:rFonts w:ascii="宋体" w:hAnsi="宋体" w:cs="Times New Roman" w:hint="eastAsia"/>
          <w:color w:val="auto"/>
          <w:sz w:val="21"/>
          <w:szCs w:val="21"/>
        </w:rPr>
        <w:t>在基金分级运作周期内</w:t>
      </w:r>
      <w:r w:rsidRPr="006C606C">
        <w:rPr>
          <w:rFonts w:ascii="宋体" w:hAnsi="宋体" w:cs="Times New Roman"/>
          <w:color w:val="auto"/>
          <w:sz w:val="21"/>
          <w:szCs w:val="21"/>
        </w:rPr>
        <w:t>，合丰A的年约定收益率=一年期银行定期存款利率（税后）×</w:t>
      </w:r>
      <w:r>
        <w:rPr>
          <w:rFonts w:ascii="宋体" w:hAnsi="宋体" w:cs="Times New Roman" w:hint="eastAsia"/>
          <w:color w:val="auto"/>
          <w:sz w:val="21"/>
          <w:szCs w:val="21"/>
        </w:rPr>
        <w:t>1.1</w:t>
      </w:r>
      <w:r w:rsidRPr="006C606C">
        <w:rPr>
          <w:rFonts w:ascii="宋体" w:hAnsi="宋体" w:cs="Times New Roman"/>
          <w:color w:val="auto"/>
          <w:sz w:val="21"/>
          <w:szCs w:val="21"/>
        </w:rPr>
        <w:t>+利差</w:t>
      </w:r>
    </w:p>
    <w:p w:rsidR="00D652F9" w:rsidRPr="006C606C"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其中，计算合丰A首个约定收益率的一年期银行定期存款利率指基金合同生效之日中国人民银行公布并执行的金融机构人民币一年定期存款利率；其后在合丰A每个申购开放日前的第三个工作日或分级运作周期起始日前的第三个工作日，基金管理人将根据该日中国人民银行公布并执行的金融机构人民币一年期定期存款利率重新调整下6个月合丰A的约定收益率，合丰A的约定收益采用单利计算，合丰A的年收益率计算按照四舍五入的方法保留到百分号内小数点后第2位。</w:t>
      </w:r>
    </w:p>
    <w:p w:rsidR="00D652F9" w:rsidRPr="006C606C"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视国内利率市场变化，基金管理人将在合丰A每个申购开放日前的第三个工作日或分级运作周期起始日前的第三个工作日公告下6个月合丰A适用的约定收益率的利差值。利差值的取值范围为0</w:t>
      </w:r>
      <w:r>
        <w:rPr>
          <w:rFonts w:ascii="宋体" w:hAnsi="宋体" w:hint="eastAsia"/>
          <w:kern w:val="0"/>
          <w:szCs w:val="21"/>
        </w:rPr>
        <w:t>.5</w:t>
      </w:r>
      <w:r w:rsidRPr="006C606C">
        <w:rPr>
          <w:rFonts w:ascii="宋体" w:hAnsi="宋体" w:hint="eastAsia"/>
          <w:kern w:val="0"/>
          <w:szCs w:val="21"/>
        </w:rPr>
        <w:t>%（含）-3%（含）。基金合同生效后6个月合丰A适用的约定收益率的利差将在基金募集期开始前确定，并在本基金招募说明书或基金份额发售公告中予以规定。</w:t>
      </w:r>
    </w:p>
    <w:p w:rsidR="00D652F9" w:rsidRPr="00D652F9" w:rsidRDefault="00D652F9" w:rsidP="008574DD">
      <w:pPr>
        <w:spacing w:afterLines="50" w:line="360" w:lineRule="auto"/>
        <w:ind w:firstLineChars="200" w:firstLine="420"/>
        <w:rPr>
          <w:rFonts w:ascii="宋体" w:hAnsi="宋体"/>
          <w:kern w:val="0"/>
          <w:szCs w:val="21"/>
        </w:rPr>
      </w:pPr>
      <w:r w:rsidRPr="006C606C">
        <w:rPr>
          <w:rFonts w:ascii="宋体" w:hAnsi="宋体" w:hint="eastAsia"/>
          <w:kern w:val="0"/>
          <w:szCs w:val="21"/>
        </w:rPr>
        <w:t>本基金净资产优先分配合丰A的本金及约定收益，剩余净资产分配予合丰B。基金管理人并不承诺或保证每次开放时合丰A份额持有人的约定收益，即如本基金资产发生极端损失情况下，合丰A仍可能面临无法取得约定收益乃至投资本金受损的风险。</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本次合丰A的年约定收益率将根据第二个运作周期起始日（即2016年</w:t>
      </w:r>
      <w:r w:rsidRPr="006C606C">
        <w:rPr>
          <w:rFonts w:ascii="宋体" w:hAnsi="宋体" w:cs="Times New Roman" w:hint="eastAsia"/>
          <w:color w:val="auto"/>
          <w:sz w:val="21"/>
          <w:szCs w:val="21"/>
        </w:rPr>
        <w:t>12月28日，</w:t>
      </w:r>
      <w:r w:rsidRPr="006C606C">
        <w:rPr>
          <w:rFonts w:ascii="宋体" w:hAnsi="宋体" w:hint="eastAsia"/>
          <w:color w:val="auto"/>
          <w:sz w:val="21"/>
          <w:szCs w:val="21"/>
        </w:rPr>
        <w:t>如过渡期提前结束，则第二个分级运作周期的起始日以基金管理人届时发布的公告为准</w:t>
      </w:r>
      <w:r w:rsidRPr="006C606C">
        <w:rPr>
          <w:rFonts w:ascii="宋体" w:hAnsi="宋体" w:cs="Times New Roman"/>
          <w:color w:val="auto"/>
          <w:sz w:val="21"/>
          <w:szCs w:val="21"/>
        </w:rPr>
        <w:t>）前的</w:t>
      </w:r>
      <w:r w:rsidRPr="006C606C">
        <w:rPr>
          <w:rFonts w:ascii="宋体" w:hAnsi="宋体" w:cs="Times New Roman" w:hint="eastAsia"/>
          <w:color w:val="auto"/>
          <w:sz w:val="21"/>
          <w:szCs w:val="21"/>
        </w:rPr>
        <w:t>第三</w:t>
      </w:r>
      <w:r w:rsidRPr="006C606C">
        <w:rPr>
          <w:rFonts w:ascii="宋体" w:hAnsi="宋体" w:cs="Times New Roman"/>
          <w:color w:val="auto"/>
          <w:sz w:val="21"/>
          <w:szCs w:val="21"/>
        </w:rPr>
        <w:t>个工作日，即2016年</w:t>
      </w:r>
      <w:r w:rsidRPr="006C606C">
        <w:rPr>
          <w:rFonts w:ascii="宋体" w:hAnsi="宋体" w:cs="Times New Roman" w:hint="eastAsia"/>
          <w:color w:val="auto"/>
          <w:sz w:val="21"/>
          <w:szCs w:val="21"/>
        </w:rPr>
        <w:t>12</w:t>
      </w:r>
      <w:r w:rsidRPr="006C606C">
        <w:rPr>
          <w:rFonts w:ascii="宋体" w:hAnsi="宋体" w:cs="Times New Roman"/>
          <w:color w:val="auto"/>
          <w:sz w:val="21"/>
          <w:szCs w:val="21"/>
        </w:rPr>
        <w:t>月</w:t>
      </w:r>
      <w:r w:rsidRPr="006C606C">
        <w:rPr>
          <w:rFonts w:ascii="宋体" w:hAnsi="宋体" w:cs="Times New Roman" w:hint="eastAsia"/>
          <w:color w:val="auto"/>
          <w:sz w:val="21"/>
          <w:szCs w:val="21"/>
        </w:rPr>
        <w:t>23</w:t>
      </w:r>
      <w:r w:rsidRPr="006C606C">
        <w:rPr>
          <w:rFonts w:ascii="宋体" w:hAnsi="宋体" w:cs="Times New Roman"/>
          <w:color w:val="auto"/>
          <w:sz w:val="21"/>
          <w:szCs w:val="21"/>
        </w:rPr>
        <w:t>日中国人民银行公布并执行的金融机构人民币一年期整存整取基准年利率（当时适用税率）进行计算，利差的取值为</w:t>
      </w:r>
      <w:r w:rsidRPr="006C606C">
        <w:rPr>
          <w:rFonts w:ascii="宋体" w:hAnsi="宋体" w:cs="Times New Roman" w:hint="eastAsia"/>
          <w:color w:val="auto"/>
          <w:sz w:val="21"/>
          <w:szCs w:val="21"/>
        </w:rPr>
        <w:t>1.</w:t>
      </w:r>
      <w:r w:rsidR="0059752F">
        <w:rPr>
          <w:rFonts w:ascii="宋体" w:hAnsi="宋体" w:cs="Times New Roman" w:hint="eastAsia"/>
          <w:color w:val="auto"/>
          <w:sz w:val="21"/>
          <w:szCs w:val="21"/>
        </w:rPr>
        <w:t>65</w:t>
      </w:r>
      <w:r w:rsidRPr="006C606C">
        <w:rPr>
          <w:rFonts w:ascii="宋体" w:hAnsi="宋体" w:cs="Times New Roman"/>
          <w:color w:val="auto"/>
          <w:sz w:val="21"/>
          <w:szCs w:val="21"/>
        </w:rPr>
        <w:t>%，计算公式如下：</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合丰A的年约定收益率（单利）=一年期银行定期存款利率（税后）×1.</w:t>
      </w:r>
      <w:r>
        <w:rPr>
          <w:rFonts w:ascii="宋体" w:hAnsi="宋体" w:cs="Times New Roman" w:hint="eastAsia"/>
          <w:color w:val="auto"/>
          <w:sz w:val="21"/>
          <w:szCs w:val="21"/>
        </w:rPr>
        <w:t>1</w:t>
      </w:r>
      <w:r w:rsidRPr="006C606C">
        <w:rPr>
          <w:rFonts w:ascii="宋体" w:hAnsi="宋体" w:cs="Times New Roman"/>
          <w:color w:val="auto"/>
          <w:sz w:val="21"/>
          <w:szCs w:val="21"/>
        </w:rPr>
        <w:t>+</w:t>
      </w:r>
      <w:r w:rsidRPr="006C606C">
        <w:rPr>
          <w:rFonts w:ascii="宋体" w:hAnsi="宋体" w:cs="Times New Roman" w:hint="eastAsia"/>
          <w:color w:val="auto"/>
          <w:sz w:val="21"/>
          <w:szCs w:val="21"/>
        </w:rPr>
        <w:t>1.</w:t>
      </w:r>
      <w:r w:rsidR="00723D0A">
        <w:rPr>
          <w:rFonts w:ascii="宋体" w:hAnsi="宋体" w:cs="Times New Roman" w:hint="eastAsia"/>
          <w:color w:val="auto"/>
          <w:sz w:val="21"/>
          <w:szCs w:val="21"/>
        </w:rPr>
        <w:t>65</w:t>
      </w:r>
      <w:r w:rsidRPr="006C606C">
        <w:rPr>
          <w:rFonts w:ascii="宋体" w:hAnsi="宋体" w:cs="Times New Roman" w:hint="eastAsia"/>
          <w:color w:val="auto"/>
          <w:sz w:val="21"/>
          <w:szCs w:val="21"/>
        </w:rPr>
        <w:t>%=1.5%</w:t>
      </w:r>
      <w:r w:rsidRPr="006C606C">
        <w:rPr>
          <w:rFonts w:ascii="宋体" w:hAnsi="宋体" w:cs="Times New Roman"/>
          <w:color w:val="auto"/>
          <w:sz w:val="21"/>
          <w:szCs w:val="21"/>
        </w:rPr>
        <w:t>×1.</w:t>
      </w:r>
      <w:r>
        <w:rPr>
          <w:rFonts w:ascii="宋体" w:hAnsi="宋体" w:cs="Times New Roman" w:hint="eastAsia"/>
          <w:color w:val="auto"/>
          <w:sz w:val="21"/>
          <w:szCs w:val="21"/>
        </w:rPr>
        <w:t>1</w:t>
      </w:r>
      <w:r w:rsidRPr="006C606C">
        <w:rPr>
          <w:rFonts w:ascii="宋体" w:hAnsi="宋体" w:cs="Times New Roman"/>
          <w:color w:val="auto"/>
          <w:sz w:val="21"/>
          <w:szCs w:val="21"/>
        </w:rPr>
        <w:t>+</w:t>
      </w:r>
      <w:r w:rsidRPr="006C606C">
        <w:rPr>
          <w:rFonts w:ascii="宋体" w:hAnsi="宋体" w:cs="Times New Roman" w:hint="eastAsia"/>
          <w:color w:val="auto"/>
          <w:sz w:val="21"/>
          <w:szCs w:val="21"/>
        </w:rPr>
        <w:t>1.</w:t>
      </w:r>
      <w:r>
        <w:rPr>
          <w:rFonts w:ascii="宋体" w:hAnsi="宋体" w:cs="Times New Roman" w:hint="eastAsia"/>
          <w:color w:val="auto"/>
          <w:sz w:val="21"/>
          <w:szCs w:val="21"/>
        </w:rPr>
        <w:t>65</w:t>
      </w:r>
      <w:r w:rsidRPr="006C606C">
        <w:rPr>
          <w:rFonts w:ascii="宋体" w:hAnsi="宋体" w:cs="Times New Roman" w:hint="eastAsia"/>
          <w:color w:val="auto"/>
          <w:sz w:val="21"/>
          <w:szCs w:val="21"/>
        </w:rPr>
        <w:t>%=3.3%</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cs="Times New Roman"/>
          <w:color w:val="auto"/>
          <w:sz w:val="21"/>
          <w:szCs w:val="21"/>
        </w:rPr>
        <w:t>该收益率即为合丰A份额为</w:t>
      </w:r>
      <w:r w:rsidRPr="006C606C">
        <w:rPr>
          <w:rFonts w:ascii="宋体" w:hAnsi="宋体" w:cs="Times New Roman" w:hint="eastAsia"/>
          <w:color w:val="auto"/>
          <w:sz w:val="21"/>
          <w:szCs w:val="21"/>
        </w:rPr>
        <w:t>自</w:t>
      </w:r>
      <w:r w:rsidRPr="006C606C">
        <w:rPr>
          <w:rFonts w:ascii="宋体" w:hAnsi="宋体" w:cs="Times New Roman"/>
          <w:color w:val="auto"/>
          <w:sz w:val="21"/>
          <w:szCs w:val="21"/>
        </w:rPr>
        <w:t>2016年</w:t>
      </w:r>
      <w:r w:rsidRPr="006C606C">
        <w:rPr>
          <w:rFonts w:ascii="宋体" w:hAnsi="宋体" w:cs="Times New Roman" w:hint="eastAsia"/>
          <w:color w:val="auto"/>
          <w:sz w:val="21"/>
          <w:szCs w:val="21"/>
        </w:rPr>
        <w:t>12月28日</w:t>
      </w:r>
      <w:r w:rsidRPr="006C606C">
        <w:rPr>
          <w:rFonts w:ascii="宋体" w:hAnsi="宋体" w:cs="Times New Roman"/>
          <w:color w:val="auto"/>
          <w:sz w:val="21"/>
          <w:szCs w:val="21"/>
        </w:rPr>
        <w:t>至</w:t>
      </w:r>
      <w:r w:rsidRPr="006C606C">
        <w:rPr>
          <w:rFonts w:ascii="宋体" w:hAnsi="宋体" w:cs="Times New Roman" w:hint="eastAsia"/>
          <w:color w:val="auto"/>
          <w:sz w:val="21"/>
          <w:szCs w:val="21"/>
        </w:rPr>
        <w:t>2017年6月28日</w:t>
      </w:r>
      <w:r w:rsidRPr="006C606C">
        <w:rPr>
          <w:rFonts w:ascii="宋体" w:hAnsi="宋体" w:cs="Times New Roman"/>
          <w:color w:val="auto"/>
          <w:sz w:val="21"/>
          <w:szCs w:val="21"/>
        </w:rPr>
        <w:t>的年约定收益率</w:t>
      </w:r>
      <w:r w:rsidRPr="006C606C">
        <w:rPr>
          <w:rFonts w:ascii="宋体" w:hAnsi="宋体" w:cs="Times New Roman" w:hint="eastAsia"/>
          <w:color w:val="auto"/>
          <w:sz w:val="21"/>
          <w:szCs w:val="21"/>
        </w:rPr>
        <w:t>（</w:t>
      </w:r>
      <w:r w:rsidRPr="006C606C">
        <w:rPr>
          <w:rFonts w:ascii="宋体" w:hAnsi="宋体" w:hint="eastAsia"/>
          <w:color w:val="auto"/>
          <w:sz w:val="21"/>
          <w:szCs w:val="21"/>
        </w:rPr>
        <w:t>如过渡期提前结束，则第二个分级运作周期的起始日以基金管理人届时发布的公告为准</w:t>
      </w:r>
      <w:r w:rsidRPr="006C606C">
        <w:rPr>
          <w:rFonts w:ascii="宋体" w:hAnsi="宋体" w:cs="Times New Roman" w:hint="eastAsia"/>
          <w:color w:val="auto"/>
          <w:sz w:val="21"/>
          <w:szCs w:val="21"/>
        </w:rPr>
        <w:t>）。</w:t>
      </w:r>
    </w:p>
    <w:p w:rsidR="00D652F9" w:rsidRPr="006C606C"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6C606C">
        <w:rPr>
          <w:rFonts w:ascii="宋体" w:hAnsi="宋体" w:hint="eastAsia"/>
          <w:color w:val="auto"/>
          <w:sz w:val="21"/>
          <w:szCs w:val="21"/>
        </w:rPr>
        <w:t>若本基金根据基金合同的约定转型为普通开放式债券型证券投资基金，即“鑫元合丰纯债债券型证券投资基金”，则不存在合丰A份额获取约定收益率的情况，具体以基金管理人届时发布的公告为准。</w:t>
      </w:r>
    </w:p>
    <w:p w:rsidR="002352C3" w:rsidRPr="00D652F9" w:rsidRDefault="00D652F9" w:rsidP="008574DD">
      <w:pPr>
        <w:pStyle w:val="Default"/>
        <w:spacing w:afterLines="50" w:line="360" w:lineRule="auto"/>
        <w:ind w:firstLineChars="200" w:firstLine="420"/>
        <w:jc w:val="both"/>
        <w:rPr>
          <w:rFonts w:ascii="宋体" w:hAnsi="宋体" w:cs="Times New Roman"/>
          <w:color w:val="auto"/>
          <w:sz w:val="21"/>
          <w:szCs w:val="21"/>
        </w:rPr>
      </w:pPr>
      <w:r w:rsidRPr="00D652F9">
        <w:rPr>
          <w:rFonts w:ascii="宋体" w:hAnsi="宋体" w:hint="eastAsia"/>
          <w:sz w:val="21"/>
          <w:szCs w:val="21"/>
        </w:rPr>
        <w:t>特此更正，如给投资者带来任何不便，敬请谅解。</w:t>
      </w:r>
    </w:p>
    <w:p w:rsidR="002352C3" w:rsidRDefault="00207B2C" w:rsidP="008574DD">
      <w:pPr>
        <w:pStyle w:val="Default"/>
        <w:spacing w:afterLines="50" w:line="360" w:lineRule="auto"/>
        <w:ind w:firstLineChars="200" w:firstLine="420"/>
        <w:jc w:val="both"/>
        <w:rPr>
          <w:rFonts w:ascii="宋体" w:hAnsi="宋体" w:cs="Times New Roman"/>
          <w:color w:val="auto"/>
          <w:sz w:val="21"/>
          <w:szCs w:val="21"/>
        </w:rPr>
      </w:pPr>
      <w:r w:rsidRPr="009431D9">
        <w:rPr>
          <w:rFonts w:ascii="宋体" w:hAnsi="宋体" w:cs="Times New Roman" w:hint="eastAsia"/>
          <w:color w:val="auto"/>
          <w:sz w:val="21"/>
          <w:szCs w:val="21"/>
        </w:rPr>
        <w:t>特此公告。</w:t>
      </w:r>
    </w:p>
    <w:p w:rsidR="00207B2C" w:rsidRPr="009431D9" w:rsidRDefault="00207B2C" w:rsidP="00157B2D">
      <w:pPr>
        <w:pStyle w:val="Default"/>
        <w:spacing w:line="360" w:lineRule="auto"/>
        <w:ind w:firstLineChars="200" w:firstLine="420"/>
        <w:jc w:val="both"/>
        <w:rPr>
          <w:rFonts w:ascii="宋体" w:hAnsi="宋体" w:cs="Times New Roman"/>
          <w:color w:val="auto"/>
          <w:sz w:val="21"/>
          <w:szCs w:val="21"/>
        </w:rPr>
      </w:pPr>
    </w:p>
    <w:p w:rsidR="00207B2C" w:rsidRPr="009431D9" w:rsidRDefault="00207B2C" w:rsidP="00157B2D">
      <w:pPr>
        <w:pStyle w:val="Default"/>
        <w:spacing w:line="360" w:lineRule="auto"/>
        <w:ind w:firstLineChars="200" w:firstLine="420"/>
        <w:jc w:val="both"/>
        <w:rPr>
          <w:rFonts w:ascii="宋体" w:hAnsi="宋体" w:cs="Times New Roman"/>
          <w:color w:val="auto"/>
          <w:sz w:val="21"/>
          <w:szCs w:val="21"/>
        </w:rPr>
      </w:pPr>
    </w:p>
    <w:p w:rsidR="00207B2C" w:rsidRPr="009431D9" w:rsidRDefault="00207B2C" w:rsidP="00A0466F">
      <w:pPr>
        <w:pStyle w:val="Default"/>
        <w:spacing w:line="360" w:lineRule="auto"/>
        <w:ind w:firstLineChars="200" w:firstLine="420"/>
        <w:jc w:val="right"/>
        <w:rPr>
          <w:rFonts w:ascii="宋体" w:hAnsi="宋体" w:cs="Times New Roman"/>
          <w:color w:val="auto"/>
          <w:sz w:val="21"/>
          <w:szCs w:val="21"/>
        </w:rPr>
      </w:pPr>
      <w:r w:rsidRPr="009431D9">
        <w:rPr>
          <w:rFonts w:ascii="宋体" w:hAnsi="宋体" w:cs="Times New Roman" w:hint="eastAsia"/>
          <w:color w:val="auto"/>
          <w:sz w:val="21"/>
          <w:szCs w:val="21"/>
        </w:rPr>
        <w:t>鑫元基金管理有限公司</w:t>
      </w:r>
    </w:p>
    <w:p w:rsidR="0052650A" w:rsidRPr="00207B2C" w:rsidRDefault="00207B2C" w:rsidP="00A0466F">
      <w:pPr>
        <w:pStyle w:val="Default"/>
        <w:spacing w:line="360" w:lineRule="auto"/>
        <w:ind w:firstLineChars="200" w:firstLine="420"/>
        <w:jc w:val="right"/>
        <w:rPr>
          <w:rFonts w:ascii="宋体" w:hAnsi="宋体" w:cs="Times New Roman"/>
          <w:color w:val="auto"/>
        </w:rPr>
      </w:pPr>
      <w:r w:rsidRPr="009431D9">
        <w:rPr>
          <w:rFonts w:ascii="宋体" w:hAnsi="宋体" w:cs="Times New Roman"/>
          <w:color w:val="auto"/>
          <w:sz w:val="21"/>
          <w:szCs w:val="21"/>
        </w:rPr>
        <w:t>2016</w:t>
      </w:r>
      <w:r w:rsidRPr="009431D9">
        <w:rPr>
          <w:rFonts w:ascii="宋体" w:hAnsi="宋体" w:cs="Times New Roman" w:hint="eastAsia"/>
          <w:color w:val="auto"/>
          <w:sz w:val="21"/>
          <w:szCs w:val="21"/>
        </w:rPr>
        <w:t>年1</w:t>
      </w:r>
      <w:r w:rsidR="00A95237" w:rsidRPr="009431D9">
        <w:rPr>
          <w:rFonts w:ascii="宋体" w:hAnsi="宋体" w:cs="Times New Roman" w:hint="eastAsia"/>
          <w:color w:val="auto"/>
          <w:sz w:val="21"/>
          <w:szCs w:val="21"/>
        </w:rPr>
        <w:t>2</w:t>
      </w:r>
      <w:r w:rsidRPr="009431D9">
        <w:rPr>
          <w:rFonts w:ascii="宋体" w:hAnsi="宋体" w:cs="Times New Roman" w:hint="eastAsia"/>
          <w:color w:val="auto"/>
          <w:sz w:val="21"/>
          <w:szCs w:val="21"/>
        </w:rPr>
        <w:t>月</w:t>
      </w:r>
      <w:r w:rsidR="0059752F">
        <w:rPr>
          <w:rFonts w:ascii="宋体" w:hAnsi="宋体" w:cs="Times New Roman" w:hint="eastAsia"/>
          <w:color w:val="auto"/>
          <w:sz w:val="21"/>
          <w:szCs w:val="21"/>
        </w:rPr>
        <w:t>16</w:t>
      </w:r>
      <w:r w:rsidRPr="009431D9">
        <w:rPr>
          <w:rFonts w:ascii="宋体" w:hAnsi="宋体" w:cs="Times New Roman" w:hint="eastAsia"/>
          <w:color w:val="auto"/>
          <w:sz w:val="21"/>
          <w:szCs w:val="21"/>
        </w:rPr>
        <w:t>日</w:t>
      </w:r>
    </w:p>
    <w:sectPr w:rsidR="0052650A" w:rsidRPr="00207B2C" w:rsidSect="00FE3296">
      <w:headerReference w:type="default" r:id="rId8"/>
      <w:type w:val="continuous"/>
      <w:pgSz w:w="11906" w:h="17338"/>
      <w:pgMar w:top="1982" w:right="1524" w:bottom="949" w:left="16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31B" w:rsidRDefault="0060731B" w:rsidP="00BD7C79">
      <w:r>
        <w:separator/>
      </w:r>
    </w:p>
  </w:endnote>
  <w:endnote w:type="continuationSeparator" w:id="0">
    <w:p w:rsidR="0060731B" w:rsidRDefault="0060731B" w:rsidP="00BD7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宋体"/>
    <w:panose1 w:val="00000000000000000000"/>
    <w:charset w:val="00"/>
    <w:family w:val="swiss"/>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31B" w:rsidRDefault="0060731B" w:rsidP="00BD7C79">
      <w:r>
        <w:separator/>
      </w:r>
    </w:p>
  </w:footnote>
  <w:footnote w:type="continuationSeparator" w:id="0">
    <w:p w:rsidR="0060731B" w:rsidRDefault="0060731B" w:rsidP="00BD7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E4" w:rsidRPr="009A43E4" w:rsidRDefault="00B85178" w:rsidP="009A43E4">
    <w:pPr>
      <w:pBdr>
        <w:bottom w:val="single" w:sz="4" w:space="1" w:color="auto"/>
      </w:pBdr>
      <w:jc w:val="left"/>
      <w:rPr>
        <w:rFonts w:ascii="宋体" w:hAnsi="宋体"/>
        <w:sz w:val="18"/>
        <w:szCs w:val="18"/>
      </w:rPr>
    </w:pPr>
    <w:r>
      <w:rPr>
        <w:rFonts w:ascii="宋体" w:hAnsi="宋体"/>
        <w:noProof/>
        <w:sz w:val="18"/>
        <w:szCs w:val="18"/>
      </w:rPr>
      <w:drawing>
        <wp:inline distT="0" distB="0" distL="0" distR="0">
          <wp:extent cx="1362710" cy="224155"/>
          <wp:effectExtent l="19050" t="0" r="8890" b="0"/>
          <wp:docPr id="1" name="图片 0" descr="全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全称logo.png"/>
                  <pic:cNvPicPr>
                    <a:picLocks noChangeAspect="1" noChangeArrowheads="1"/>
                  </pic:cNvPicPr>
                </pic:nvPicPr>
                <pic:blipFill>
                  <a:blip r:embed="rId1"/>
                  <a:srcRect/>
                  <a:stretch>
                    <a:fillRect/>
                  </a:stretch>
                </pic:blipFill>
                <pic:spPr bwMode="auto">
                  <a:xfrm>
                    <a:off x="0" y="0"/>
                    <a:ext cx="1362710" cy="2241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D54"/>
    <w:multiLevelType w:val="hybridMultilevel"/>
    <w:tmpl w:val="B99E55D2"/>
    <w:lvl w:ilvl="0" w:tplc="56288E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025880"/>
    <w:multiLevelType w:val="hybridMultilevel"/>
    <w:tmpl w:val="8CFE5ED4"/>
    <w:lvl w:ilvl="0" w:tplc="E972471C">
      <w:start w:val="1"/>
      <w:numFmt w:val="japaneseCounting"/>
      <w:lvlText w:val="%1．"/>
      <w:lvlJc w:val="left"/>
      <w:pPr>
        <w:ind w:left="1170" w:hanging="45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3623C80"/>
    <w:multiLevelType w:val="hybridMultilevel"/>
    <w:tmpl w:val="EA3E03FE"/>
    <w:lvl w:ilvl="0" w:tplc="7A348D6C">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72765F7"/>
    <w:multiLevelType w:val="hybridMultilevel"/>
    <w:tmpl w:val="5F6AF1E6"/>
    <w:lvl w:ilvl="0" w:tplc="C6B222E8">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0593C07"/>
    <w:multiLevelType w:val="hybridMultilevel"/>
    <w:tmpl w:val="371201DE"/>
    <w:lvl w:ilvl="0" w:tplc="C4543F48">
      <w:start w:val="1"/>
      <w:numFmt w:val="decimal"/>
      <w:suff w:val="space"/>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0D3535E"/>
    <w:multiLevelType w:val="hybridMultilevel"/>
    <w:tmpl w:val="1A8CC756"/>
    <w:lvl w:ilvl="0" w:tplc="732E4220">
      <w:start w:val="1"/>
      <w:numFmt w:val="decimal"/>
      <w:suff w:val="space"/>
      <w:lvlText w:val="%1."/>
      <w:lvlJc w:val="left"/>
      <w:pPr>
        <w:ind w:left="765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15B2889"/>
    <w:multiLevelType w:val="hybridMultilevel"/>
    <w:tmpl w:val="8312BC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3F32E9C"/>
    <w:multiLevelType w:val="hybridMultilevel"/>
    <w:tmpl w:val="B4C09CA8"/>
    <w:lvl w:ilvl="0" w:tplc="0EE4C60E">
      <w:start w:val="1"/>
      <w:numFmt w:val="japaneseCounting"/>
      <w:lvlText w:val="%1、"/>
      <w:lvlJc w:val="left"/>
      <w:pPr>
        <w:ind w:left="1890" w:hanging="45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3B850E6C"/>
    <w:multiLevelType w:val="hybridMultilevel"/>
    <w:tmpl w:val="9B686136"/>
    <w:lvl w:ilvl="0" w:tplc="03B0EDC0">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8700B6B"/>
    <w:multiLevelType w:val="hybridMultilevel"/>
    <w:tmpl w:val="78745E4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D8344B1"/>
    <w:multiLevelType w:val="hybridMultilevel"/>
    <w:tmpl w:val="1C9043FA"/>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3E33844"/>
    <w:multiLevelType w:val="hybridMultilevel"/>
    <w:tmpl w:val="B5B8EBE6"/>
    <w:lvl w:ilvl="0" w:tplc="2C868A6C">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BC0392D"/>
    <w:multiLevelType w:val="hybridMultilevel"/>
    <w:tmpl w:val="58EE083A"/>
    <w:lvl w:ilvl="0" w:tplc="CCFED59C">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11"/>
  </w:num>
  <w:num w:numId="3">
    <w:abstractNumId w:val="5"/>
  </w:num>
  <w:num w:numId="4">
    <w:abstractNumId w:val="6"/>
  </w:num>
  <w:num w:numId="5">
    <w:abstractNumId w:val="4"/>
  </w:num>
  <w:num w:numId="6">
    <w:abstractNumId w:val="2"/>
  </w:num>
  <w:num w:numId="7">
    <w:abstractNumId w:val="0"/>
  </w:num>
  <w:num w:numId="8">
    <w:abstractNumId w:val="3"/>
  </w:num>
  <w:num w:numId="9">
    <w:abstractNumId w:val="10"/>
  </w:num>
  <w:num w:numId="10">
    <w:abstractNumId w:val="8"/>
  </w:num>
  <w:num w:numId="11">
    <w:abstractNumId w:val="1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C79"/>
    <w:rsid w:val="00035B7A"/>
    <w:rsid w:val="0008722C"/>
    <w:rsid w:val="000C085A"/>
    <w:rsid w:val="000E0758"/>
    <w:rsid w:val="00115766"/>
    <w:rsid w:val="0014494B"/>
    <w:rsid w:val="00153C5F"/>
    <w:rsid w:val="00155CBE"/>
    <w:rsid w:val="00157672"/>
    <w:rsid w:val="00157B2D"/>
    <w:rsid w:val="00185588"/>
    <w:rsid w:val="0019128A"/>
    <w:rsid w:val="001B3199"/>
    <w:rsid w:val="001C1531"/>
    <w:rsid w:val="001E2058"/>
    <w:rsid w:val="00207B2C"/>
    <w:rsid w:val="00214F15"/>
    <w:rsid w:val="0023182D"/>
    <w:rsid w:val="002352C3"/>
    <w:rsid w:val="00280D52"/>
    <w:rsid w:val="002F56E9"/>
    <w:rsid w:val="003074A7"/>
    <w:rsid w:val="003311B4"/>
    <w:rsid w:val="00386154"/>
    <w:rsid w:val="0038792E"/>
    <w:rsid w:val="00391821"/>
    <w:rsid w:val="003D004C"/>
    <w:rsid w:val="003D7ADE"/>
    <w:rsid w:val="003E5B91"/>
    <w:rsid w:val="0040680E"/>
    <w:rsid w:val="00412442"/>
    <w:rsid w:val="00416909"/>
    <w:rsid w:val="004B23DB"/>
    <w:rsid w:val="004C6771"/>
    <w:rsid w:val="00505A96"/>
    <w:rsid w:val="005068D7"/>
    <w:rsid w:val="00513D66"/>
    <w:rsid w:val="0051632C"/>
    <w:rsid w:val="0052650A"/>
    <w:rsid w:val="00564E5F"/>
    <w:rsid w:val="0058210F"/>
    <w:rsid w:val="0059752F"/>
    <w:rsid w:val="005D1E80"/>
    <w:rsid w:val="005E40CC"/>
    <w:rsid w:val="005F5B52"/>
    <w:rsid w:val="005F5CA7"/>
    <w:rsid w:val="0060731B"/>
    <w:rsid w:val="00621DB1"/>
    <w:rsid w:val="006719D5"/>
    <w:rsid w:val="00677979"/>
    <w:rsid w:val="00693D55"/>
    <w:rsid w:val="00694D4B"/>
    <w:rsid w:val="006D0773"/>
    <w:rsid w:val="006D76FA"/>
    <w:rsid w:val="006E711B"/>
    <w:rsid w:val="00723D0A"/>
    <w:rsid w:val="0074088B"/>
    <w:rsid w:val="00755FB2"/>
    <w:rsid w:val="0076192B"/>
    <w:rsid w:val="00784211"/>
    <w:rsid w:val="007D76CA"/>
    <w:rsid w:val="007F48E2"/>
    <w:rsid w:val="00800AD7"/>
    <w:rsid w:val="0083791E"/>
    <w:rsid w:val="00846331"/>
    <w:rsid w:val="008574DD"/>
    <w:rsid w:val="00867AC3"/>
    <w:rsid w:val="00897567"/>
    <w:rsid w:val="008B6574"/>
    <w:rsid w:val="008C2717"/>
    <w:rsid w:val="008D3AB5"/>
    <w:rsid w:val="009278B6"/>
    <w:rsid w:val="009431D9"/>
    <w:rsid w:val="009617AD"/>
    <w:rsid w:val="00970B77"/>
    <w:rsid w:val="00985630"/>
    <w:rsid w:val="00992BA8"/>
    <w:rsid w:val="009A43E4"/>
    <w:rsid w:val="009A46FC"/>
    <w:rsid w:val="009A4EC3"/>
    <w:rsid w:val="009A5723"/>
    <w:rsid w:val="009D4B66"/>
    <w:rsid w:val="009D626C"/>
    <w:rsid w:val="009E68B4"/>
    <w:rsid w:val="009E730D"/>
    <w:rsid w:val="00A0466F"/>
    <w:rsid w:val="00A3253A"/>
    <w:rsid w:val="00A5151F"/>
    <w:rsid w:val="00A570CD"/>
    <w:rsid w:val="00A633BC"/>
    <w:rsid w:val="00A92DDA"/>
    <w:rsid w:val="00A95237"/>
    <w:rsid w:val="00AB2981"/>
    <w:rsid w:val="00AB6CD3"/>
    <w:rsid w:val="00AC0E06"/>
    <w:rsid w:val="00AE38AC"/>
    <w:rsid w:val="00AE52AA"/>
    <w:rsid w:val="00B03E07"/>
    <w:rsid w:val="00B128CB"/>
    <w:rsid w:val="00B3334D"/>
    <w:rsid w:val="00B85178"/>
    <w:rsid w:val="00B923D6"/>
    <w:rsid w:val="00B95DB6"/>
    <w:rsid w:val="00BB2A0A"/>
    <w:rsid w:val="00BB560B"/>
    <w:rsid w:val="00BD3E89"/>
    <w:rsid w:val="00BD7C79"/>
    <w:rsid w:val="00BE513C"/>
    <w:rsid w:val="00C471DA"/>
    <w:rsid w:val="00C54263"/>
    <w:rsid w:val="00C65AC7"/>
    <w:rsid w:val="00C77625"/>
    <w:rsid w:val="00C84F3A"/>
    <w:rsid w:val="00CA4964"/>
    <w:rsid w:val="00CB4A29"/>
    <w:rsid w:val="00CC22D0"/>
    <w:rsid w:val="00CE38E2"/>
    <w:rsid w:val="00CE56E6"/>
    <w:rsid w:val="00CE5A9D"/>
    <w:rsid w:val="00D1363D"/>
    <w:rsid w:val="00D529E9"/>
    <w:rsid w:val="00D652F9"/>
    <w:rsid w:val="00DA4D0A"/>
    <w:rsid w:val="00DB40E7"/>
    <w:rsid w:val="00DF73F7"/>
    <w:rsid w:val="00E22081"/>
    <w:rsid w:val="00E27DBA"/>
    <w:rsid w:val="00E61994"/>
    <w:rsid w:val="00E631AE"/>
    <w:rsid w:val="00E92FF6"/>
    <w:rsid w:val="00ED7706"/>
    <w:rsid w:val="00EE151F"/>
    <w:rsid w:val="00EF18BC"/>
    <w:rsid w:val="00F15801"/>
    <w:rsid w:val="00F61920"/>
    <w:rsid w:val="00F65369"/>
    <w:rsid w:val="00FB78A9"/>
    <w:rsid w:val="00FE3296"/>
    <w:rsid w:val="00FF6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3296"/>
    <w:pPr>
      <w:widowControl w:val="0"/>
      <w:autoSpaceDE w:val="0"/>
      <w:autoSpaceDN w:val="0"/>
      <w:adjustRightInd w:val="0"/>
    </w:pPr>
    <w:rPr>
      <w:rFonts w:ascii="SimSun" w:hAnsi="SimSun" w:cs="SimSun"/>
      <w:color w:val="000000"/>
      <w:sz w:val="24"/>
      <w:szCs w:val="24"/>
    </w:rPr>
  </w:style>
  <w:style w:type="paragraph" w:styleId="a3">
    <w:name w:val="header"/>
    <w:basedOn w:val="a"/>
    <w:link w:val="Char"/>
    <w:uiPriority w:val="99"/>
    <w:semiHidden/>
    <w:unhideWhenUsed/>
    <w:rsid w:val="00BD7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7C79"/>
    <w:rPr>
      <w:sz w:val="18"/>
      <w:szCs w:val="18"/>
    </w:rPr>
  </w:style>
  <w:style w:type="paragraph" w:styleId="a4">
    <w:name w:val="footer"/>
    <w:basedOn w:val="a"/>
    <w:link w:val="Char0"/>
    <w:uiPriority w:val="99"/>
    <w:semiHidden/>
    <w:unhideWhenUsed/>
    <w:rsid w:val="00BD7C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7C79"/>
    <w:rPr>
      <w:sz w:val="18"/>
      <w:szCs w:val="18"/>
    </w:rPr>
  </w:style>
  <w:style w:type="table" w:styleId="a5">
    <w:name w:val="Table Grid"/>
    <w:basedOn w:val="a1"/>
    <w:uiPriority w:val="59"/>
    <w:rsid w:val="00035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AE38AC"/>
    <w:rPr>
      <w:color w:val="0000FF"/>
      <w:u w:val="single"/>
    </w:rPr>
  </w:style>
  <w:style w:type="paragraph" w:styleId="a7">
    <w:name w:val="Balloon Text"/>
    <w:basedOn w:val="a"/>
    <w:link w:val="Char1"/>
    <w:uiPriority w:val="99"/>
    <w:semiHidden/>
    <w:unhideWhenUsed/>
    <w:rsid w:val="00693D55"/>
    <w:rPr>
      <w:sz w:val="18"/>
      <w:szCs w:val="18"/>
    </w:rPr>
  </w:style>
  <w:style w:type="character" w:customStyle="1" w:styleId="Char1">
    <w:name w:val="批注框文本 Char"/>
    <w:basedOn w:val="a0"/>
    <w:link w:val="a7"/>
    <w:uiPriority w:val="99"/>
    <w:semiHidden/>
    <w:rsid w:val="00693D55"/>
    <w:rPr>
      <w:kern w:val="2"/>
      <w:sz w:val="18"/>
      <w:szCs w:val="18"/>
    </w:rPr>
  </w:style>
  <w:style w:type="character" w:styleId="a8">
    <w:name w:val="annotation reference"/>
    <w:basedOn w:val="a0"/>
    <w:uiPriority w:val="99"/>
    <w:semiHidden/>
    <w:unhideWhenUsed/>
    <w:rsid w:val="00C65AC7"/>
    <w:rPr>
      <w:sz w:val="21"/>
      <w:szCs w:val="21"/>
    </w:rPr>
  </w:style>
  <w:style w:type="paragraph" w:styleId="a9">
    <w:name w:val="annotation text"/>
    <w:basedOn w:val="a"/>
    <w:link w:val="Char2"/>
    <w:uiPriority w:val="99"/>
    <w:semiHidden/>
    <w:unhideWhenUsed/>
    <w:rsid w:val="00C65AC7"/>
    <w:pPr>
      <w:jc w:val="left"/>
    </w:pPr>
  </w:style>
  <w:style w:type="character" w:customStyle="1" w:styleId="Char2">
    <w:name w:val="批注文字 Char"/>
    <w:basedOn w:val="a0"/>
    <w:link w:val="a9"/>
    <w:uiPriority w:val="99"/>
    <w:semiHidden/>
    <w:rsid w:val="00C65AC7"/>
    <w:rPr>
      <w:kern w:val="2"/>
      <w:sz w:val="21"/>
      <w:szCs w:val="22"/>
    </w:rPr>
  </w:style>
  <w:style w:type="paragraph" w:styleId="aa">
    <w:name w:val="annotation subject"/>
    <w:basedOn w:val="a9"/>
    <w:next w:val="a9"/>
    <w:link w:val="Char3"/>
    <w:uiPriority w:val="99"/>
    <w:semiHidden/>
    <w:unhideWhenUsed/>
    <w:rsid w:val="00C65AC7"/>
    <w:rPr>
      <w:b/>
      <w:bCs/>
    </w:rPr>
  </w:style>
  <w:style w:type="character" w:customStyle="1" w:styleId="Char3">
    <w:name w:val="批注主题 Char"/>
    <w:basedOn w:val="Char2"/>
    <w:link w:val="aa"/>
    <w:uiPriority w:val="99"/>
    <w:semiHidden/>
    <w:rsid w:val="00C65AC7"/>
    <w:rPr>
      <w:b/>
      <w:bCs/>
    </w:rPr>
  </w:style>
</w:styles>
</file>

<file path=word/webSettings.xml><?xml version="1.0" encoding="utf-8"?>
<w:webSettings xmlns:r="http://schemas.openxmlformats.org/officeDocument/2006/relationships" xmlns:w="http://schemas.openxmlformats.org/wordprocessingml/2006/main">
  <w:divs>
    <w:div w:id="41681599">
      <w:bodyDiv w:val="1"/>
      <w:marLeft w:val="0"/>
      <w:marRight w:val="0"/>
      <w:marTop w:val="0"/>
      <w:marBottom w:val="0"/>
      <w:divBdr>
        <w:top w:val="none" w:sz="0" w:space="0" w:color="auto"/>
        <w:left w:val="none" w:sz="0" w:space="0" w:color="auto"/>
        <w:bottom w:val="none" w:sz="0" w:space="0" w:color="auto"/>
        <w:right w:val="none" w:sz="0" w:space="0" w:color="auto"/>
      </w:divBdr>
    </w:div>
    <w:div w:id="1207379095">
      <w:bodyDiv w:val="1"/>
      <w:marLeft w:val="0"/>
      <w:marRight w:val="0"/>
      <w:marTop w:val="0"/>
      <w:marBottom w:val="0"/>
      <w:divBdr>
        <w:top w:val="none" w:sz="0" w:space="0" w:color="auto"/>
        <w:left w:val="none" w:sz="0" w:space="0" w:color="auto"/>
        <w:bottom w:val="none" w:sz="0" w:space="0" w:color="auto"/>
        <w:right w:val="none" w:sz="0" w:space="0" w:color="auto"/>
      </w:divBdr>
    </w:div>
    <w:div w:id="21002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1F62C-0B90-4D22-823B-C71AB68F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1792</Characters>
  <Application>Microsoft Office Word</Application>
  <DocSecurity>4</DocSecurity>
  <Lines>14</Lines>
  <Paragraphs>4</Paragraphs>
  <ScaleCrop>false</ScaleCrop>
  <Company/>
  <LinksUpToDate>false</LinksUpToDate>
  <CharactersWithSpaces>2102</CharactersWithSpaces>
  <SharedDoc>false</SharedDoc>
  <HLinks>
    <vt:vector size="6" baseType="variant">
      <vt:variant>
        <vt:i4>6225925</vt:i4>
      </vt:variant>
      <vt:variant>
        <vt:i4>0</vt:i4>
      </vt:variant>
      <vt:variant>
        <vt:i4>0</vt:i4>
      </vt:variant>
      <vt:variant>
        <vt:i4>5</vt:i4>
      </vt:variant>
      <vt:variant>
        <vt:lpwstr>http://www.xyamc.com/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黄荷</dc:creator>
  <cp:lastModifiedBy>cnstock</cp:lastModifiedBy>
  <cp:revision>2</cp:revision>
  <cp:lastPrinted>2016-10-12T08:51:00Z</cp:lastPrinted>
  <dcterms:created xsi:type="dcterms:W3CDTF">2016-12-15T16:27:00Z</dcterms:created>
  <dcterms:modified xsi:type="dcterms:W3CDTF">2016-12-15T16:27:00Z</dcterms:modified>
</cp:coreProperties>
</file>