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05" w:rsidRDefault="00B46405" w:rsidP="006F0665">
      <w:pPr>
        <w:jc w:val="center"/>
        <w:rPr>
          <w:b/>
          <w:bCs/>
          <w:sz w:val="44"/>
          <w:szCs w:val="44"/>
        </w:rPr>
      </w:pPr>
    </w:p>
    <w:p w:rsidR="00B46405" w:rsidRDefault="00B46405" w:rsidP="006F0665">
      <w:pPr>
        <w:jc w:val="center"/>
        <w:rPr>
          <w:b/>
          <w:bCs/>
          <w:sz w:val="44"/>
          <w:szCs w:val="44"/>
        </w:rPr>
      </w:pPr>
    </w:p>
    <w:p w:rsidR="006F0665" w:rsidRDefault="006F0665" w:rsidP="006F0665">
      <w:pPr>
        <w:jc w:val="center"/>
        <w:rPr>
          <w:b/>
          <w:bCs/>
          <w:sz w:val="44"/>
          <w:szCs w:val="44"/>
        </w:rPr>
      </w:pPr>
      <w:r w:rsidRPr="00597996">
        <w:rPr>
          <w:b/>
          <w:bCs/>
          <w:sz w:val="44"/>
          <w:szCs w:val="44"/>
        </w:rPr>
        <w:t>大成景祥分级债券型证券投资基金</w:t>
      </w:r>
    </w:p>
    <w:p w:rsidR="006F0665" w:rsidRDefault="006F0665" w:rsidP="006F0665">
      <w:pPr>
        <w:jc w:val="center"/>
        <w:rPr>
          <w:b/>
          <w:bCs/>
          <w:sz w:val="44"/>
          <w:szCs w:val="44"/>
        </w:rPr>
      </w:pPr>
      <w:r w:rsidRPr="006A7C1F">
        <w:rPr>
          <w:rFonts w:hint="eastAsia"/>
          <w:b/>
          <w:bCs/>
          <w:sz w:val="44"/>
          <w:szCs w:val="44"/>
        </w:rPr>
        <w:t>合同到期报告</w:t>
      </w:r>
    </w:p>
    <w:p w:rsidR="006F0665" w:rsidRPr="00597996" w:rsidRDefault="006F0665" w:rsidP="006F0665">
      <w:pPr>
        <w:jc w:val="center"/>
        <w:rPr>
          <w:b/>
          <w:bCs/>
          <w:sz w:val="44"/>
          <w:szCs w:val="44"/>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681E6B" w:rsidRDefault="006F0665" w:rsidP="006F0665">
      <w:pPr>
        <w:ind w:rightChars="-230" w:right="-483"/>
        <w:jc w:val="center"/>
        <w:rPr>
          <w:sz w:val="28"/>
          <w:szCs w:val="30"/>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681E6B" w:rsidRDefault="006F0665" w:rsidP="006F0665">
      <w:pPr>
        <w:jc w:val="center"/>
        <w:rPr>
          <w:sz w:val="28"/>
          <w:szCs w:val="30"/>
        </w:rPr>
      </w:pPr>
    </w:p>
    <w:p w:rsidR="006F0665" w:rsidRPr="00597996" w:rsidRDefault="006F0665" w:rsidP="006F0665">
      <w:pPr>
        <w:ind w:firstLineChars="600" w:firstLine="1687"/>
        <w:jc w:val="left"/>
        <w:rPr>
          <w:b/>
          <w:bCs/>
          <w:sz w:val="28"/>
          <w:szCs w:val="28"/>
        </w:rPr>
      </w:pPr>
      <w:r w:rsidRPr="00597996">
        <w:rPr>
          <w:b/>
          <w:bCs/>
          <w:sz w:val="28"/>
          <w:szCs w:val="28"/>
        </w:rPr>
        <w:t>基金管理人：大成基金管理有限公司</w:t>
      </w:r>
    </w:p>
    <w:p w:rsidR="006F0665" w:rsidRPr="00597996" w:rsidRDefault="006F0665" w:rsidP="006F0665">
      <w:pPr>
        <w:ind w:firstLineChars="600" w:firstLine="1687"/>
        <w:jc w:val="left"/>
        <w:rPr>
          <w:b/>
          <w:bCs/>
          <w:sz w:val="28"/>
          <w:szCs w:val="28"/>
        </w:rPr>
      </w:pPr>
      <w:r w:rsidRPr="00597996">
        <w:rPr>
          <w:b/>
          <w:bCs/>
          <w:sz w:val="28"/>
          <w:szCs w:val="28"/>
        </w:rPr>
        <w:t>基金托管人：中国农业银行股份有限公司</w:t>
      </w:r>
    </w:p>
    <w:p w:rsidR="00FD166D" w:rsidRDefault="00FD166D" w:rsidP="006F0665">
      <w:pPr>
        <w:ind w:firstLineChars="600" w:firstLine="1687"/>
        <w:jc w:val="left"/>
        <w:rPr>
          <w:b/>
          <w:bCs/>
          <w:sz w:val="28"/>
          <w:szCs w:val="28"/>
        </w:rPr>
      </w:pPr>
      <w:r w:rsidRPr="0040039A">
        <w:rPr>
          <w:rFonts w:hint="eastAsia"/>
          <w:b/>
          <w:bCs/>
          <w:sz w:val="28"/>
          <w:szCs w:val="28"/>
        </w:rPr>
        <w:t>报告</w:t>
      </w:r>
      <w:r>
        <w:rPr>
          <w:rFonts w:hint="eastAsia"/>
          <w:b/>
          <w:bCs/>
          <w:sz w:val="28"/>
          <w:szCs w:val="28"/>
        </w:rPr>
        <w:t>出具日：</w:t>
      </w:r>
      <w:r>
        <w:rPr>
          <w:rFonts w:hint="eastAsia"/>
          <w:b/>
          <w:bCs/>
          <w:sz w:val="28"/>
          <w:szCs w:val="28"/>
        </w:rPr>
        <w:t>2016</w:t>
      </w:r>
      <w:r>
        <w:rPr>
          <w:rFonts w:hint="eastAsia"/>
          <w:b/>
          <w:bCs/>
          <w:sz w:val="28"/>
          <w:szCs w:val="28"/>
        </w:rPr>
        <w:t>年</w:t>
      </w:r>
      <w:r>
        <w:rPr>
          <w:rFonts w:hint="eastAsia"/>
          <w:b/>
          <w:bCs/>
          <w:sz w:val="28"/>
          <w:szCs w:val="28"/>
        </w:rPr>
        <w:t>11</w:t>
      </w:r>
      <w:r>
        <w:rPr>
          <w:rFonts w:hint="eastAsia"/>
          <w:b/>
          <w:bCs/>
          <w:sz w:val="28"/>
          <w:szCs w:val="28"/>
        </w:rPr>
        <w:t>月</w:t>
      </w:r>
      <w:r>
        <w:rPr>
          <w:rFonts w:hint="eastAsia"/>
          <w:b/>
          <w:bCs/>
          <w:sz w:val="28"/>
          <w:szCs w:val="28"/>
        </w:rPr>
        <w:t>2</w:t>
      </w:r>
      <w:r w:rsidR="0040039A">
        <w:rPr>
          <w:rFonts w:hint="eastAsia"/>
          <w:b/>
          <w:bCs/>
          <w:sz w:val="28"/>
          <w:szCs w:val="28"/>
        </w:rPr>
        <w:t>3</w:t>
      </w:r>
      <w:r>
        <w:rPr>
          <w:rFonts w:hint="eastAsia"/>
          <w:b/>
          <w:bCs/>
          <w:sz w:val="28"/>
          <w:szCs w:val="28"/>
        </w:rPr>
        <w:t>日</w:t>
      </w:r>
    </w:p>
    <w:p w:rsidR="006F0665" w:rsidRPr="00597996" w:rsidRDefault="00FD166D" w:rsidP="006F0665">
      <w:pPr>
        <w:ind w:firstLineChars="600" w:firstLine="1687"/>
        <w:jc w:val="left"/>
        <w:rPr>
          <w:b/>
          <w:bCs/>
          <w:sz w:val="28"/>
          <w:szCs w:val="28"/>
        </w:rPr>
      </w:pPr>
      <w:r w:rsidRPr="006A7C1F">
        <w:rPr>
          <w:rFonts w:hint="eastAsia"/>
          <w:b/>
          <w:bCs/>
          <w:sz w:val="28"/>
          <w:szCs w:val="28"/>
        </w:rPr>
        <w:t>报告公告日</w:t>
      </w:r>
      <w:r w:rsidR="006F0665" w:rsidRPr="006A7C1F">
        <w:rPr>
          <w:b/>
          <w:bCs/>
          <w:sz w:val="28"/>
          <w:szCs w:val="28"/>
        </w:rPr>
        <w:t>：</w:t>
      </w:r>
      <w:r w:rsidR="006F0665" w:rsidRPr="006A7C1F">
        <w:rPr>
          <w:b/>
          <w:bCs/>
          <w:sz w:val="28"/>
          <w:szCs w:val="28"/>
        </w:rPr>
        <w:t>2016</w:t>
      </w:r>
      <w:r w:rsidR="006F0665" w:rsidRPr="006A7C1F">
        <w:rPr>
          <w:b/>
          <w:bCs/>
          <w:sz w:val="28"/>
          <w:szCs w:val="28"/>
        </w:rPr>
        <w:t>年</w:t>
      </w:r>
      <w:r w:rsidR="00486F59" w:rsidRPr="006A7C1F">
        <w:rPr>
          <w:rFonts w:hint="eastAsia"/>
          <w:b/>
          <w:bCs/>
          <w:sz w:val="28"/>
          <w:szCs w:val="28"/>
        </w:rPr>
        <w:t>11</w:t>
      </w:r>
      <w:r w:rsidR="006F0665" w:rsidRPr="006A7C1F">
        <w:rPr>
          <w:b/>
          <w:bCs/>
          <w:sz w:val="28"/>
          <w:szCs w:val="28"/>
        </w:rPr>
        <w:t>月</w:t>
      </w:r>
      <w:r w:rsidR="009847C6">
        <w:rPr>
          <w:rFonts w:hint="eastAsia"/>
          <w:b/>
          <w:bCs/>
          <w:sz w:val="28"/>
          <w:szCs w:val="28"/>
        </w:rPr>
        <w:t>24</w:t>
      </w:r>
      <w:r w:rsidR="006F0665" w:rsidRPr="006A7C1F">
        <w:rPr>
          <w:b/>
          <w:bCs/>
          <w:sz w:val="28"/>
          <w:szCs w:val="28"/>
        </w:rPr>
        <w:t>日</w:t>
      </w:r>
    </w:p>
    <w:p w:rsidR="006F0665" w:rsidRDefault="006F0665"/>
    <w:p w:rsidR="006F0665" w:rsidRDefault="006F0665"/>
    <w:p w:rsidR="006F0665" w:rsidRDefault="006F0665"/>
    <w:p w:rsidR="006F0665" w:rsidRDefault="006F0665"/>
    <w:p w:rsidR="006F0665" w:rsidRDefault="006F0665"/>
    <w:p w:rsidR="006F0665" w:rsidRDefault="006F0665"/>
    <w:p w:rsidR="006F0665" w:rsidRPr="00CB2D30" w:rsidRDefault="006F0665" w:rsidP="003A43D0">
      <w:pPr>
        <w:spacing w:line="360" w:lineRule="auto"/>
        <w:jc w:val="center"/>
        <w:rPr>
          <w:b/>
          <w:szCs w:val="21"/>
        </w:rPr>
      </w:pPr>
      <w:r w:rsidRPr="00CB2D30">
        <w:rPr>
          <w:rFonts w:hint="eastAsia"/>
          <w:b/>
        </w:rPr>
        <w:lastRenderedPageBreak/>
        <w:t>一、</w:t>
      </w:r>
      <w:r w:rsidRPr="00CB2D30">
        <w:rPr>
          <w:b/>
          <w:szCs w:val="21"/>
        </w:rPr>
        <w:t>重要提示</w:t>
      </w:r>
    </w:p>
    <w:p w:rsidR="00333AF0" w:rsidRDefault="00903A6D" w:rsidP="00903A6D">
      <w:pPr>
        <w:spacing w:line="360" w:lineRule="auto"/>
        <w:ind w:firstLineChars="200" w:firstLine="420"/>
        <w:rPr>
          <w:szCs w:val="21"/>
        </w:rPr>
      </w:pPr>
      <w:r w:rsidRPr="005D409A">
        <w:rPr>
          <w:szCs w:val="21"/>
        </w:rPr>
        <w:t>大成景祥分级债券型证券投资基金</w:t>
      </w:r>
      <w:r w:rsidRPr="005D409A">
        <w:rPr>
          <w:szCs w:val="21"/>
        </w:rPr>
        <w:t>(</w:t>
      </w:r>
      <w:r w:rsidRPr="005D409A">
        <w:rPr>
          <w:szCs w:val="21"/>
        </w:rPr>
        <w:t>以下简称</w:t>
      </w:r>
      <w:r w:rsidRPr="005D409A">
        <w:rPr>
          <w:szCs w:val="21"/>
        </w:rPr>
        <w:t>“</w:t>
      </w:r>
      <w:r w:rsidRPr="005D409A">
        <w:rPr>
          <w:szCs w:val="21"/>
        </w:rPr>
        <w:t>本基金</w:t>
      </w:r>
      <w:r w:rsidRPr="005D409A">
        <w:rPr>
          <w:szCs w:val="21"/>
        </w:rPr>
        <w:t>”)</w:t>
      </w:r>
      <w:r w:rsidRPr="005D409A">
        <w:rPr>
          <w:szCs w:val="21"/>
        </w:rPr>
        <w:t>经中国证券监督管理委员会</w:t>
      </w:r>
      <w:r w:rsidRPr="005D409A">
        <w:rPr>
          <w:szCs w:val="21"/>
        </w:rPr>
        <w:t>(</w:t>
      </w:r>
      <w:r w:rsidRPr="005D409A">
        <w:rPr>
          <w:szCs w:val="21"/>
        </w:rPr>
        <w:t>以下简称</w:t>
      </w:r>
      <w:r w:rsidRPr="005D409A">
        <w:rPr>
          <w:szCs w:val="21"/>
        </w:rPr>
        <w:t>“</w:t>
      </w:r>
      <w:r w:rsidRPr="005D409A">
        <w:rPr>
          <w:szCs w:val="21"/>
        </w:rPr>
        <w:t>中国证监会</w:t>
      </w:r>
      <w:r w:rsidRPr="005D409A">
        <w:rPr>
          <w:szCs w:val="21"/>
        </w:rPr>
        <w:t>”)</w:t>
      </w:r>
      <w:r w:rsidRPr="005D409A">
        <w:rPr>
          <w:szCs w:val="21"/>
        </w:rPr>
        <w:t>证监许可</w:t>
      </w:r>
      <w:r w:rsidRPr="005D409A">
        <w:rPr>
          <w:szCs w:val="21"/>
        </w:rPr>
        <w:t>[2013]1177</w:t>
      </w:r>
      <w:r w:rsidRPr="005D409A">
        <w:rPr>
          <w:szCs w:val="21"/>
        </w:rPr>
        <w:t>号《关于核准大成景祥分级债券型证券投资基金募集的批复》核准，由大成基金管理有限公司依照《中华人民共和国证券投资基金法》和《大成景祥分级债券型证券投资基金基金合同》负责公开募集。</w:t>
      </w:r>
      <w:r w:rsidR="00FD166D">
        <w:rPr>
          <w:rFonts w:hint="eastAsia"/>
          <w:szCs w:val="21"/>
        </w:rPr>
        <w:t>于</w:t>
      </w:r>
      <w:r w:rsidR="00FD166D">
        <w:rPr>
          <w:rFonts w:hint="eastAsia"/>
          <w:szCs w:val="21"/>
        </w:rPr>
        <w:t>2013</w:t>
      </w:r>
      <w:r w:rsidR="00FD166D">
        <w:rPr>
          <w:rFonts w:hint="eastAsia"/>
          <w:szCs w:val="21"/>
        </w:rPr>
        <w:t>年</w:t>
      </w:r>
      <w:r w:rsidR="00FD166D">
        <w:rPr>
          <w:rFonts w:hint="eastAsia"/>
          <w:szCs w:val="21"/>
        </w:rPr>
        <w:t>11</w:t>
      </w:r>
      <w:r w:rsidR="00FD166D">
        <w:rPr>
          <w:rFonts w:hint="eastAsia"/>
          <w:szCs w:val="21"/>
        </w:rPr>
        <w:t>月</w:t>
      </w:r>
      <w:r w:rsidR="00FD166D">
        <w:rPr>
          <w:rFonts w:hint="eastAsia"/>
          <w:szCs w:val="21"/>
        </w:rPr>
        <w:t>19</w:t>
      </w:r>
      <w:r w:rsidR="00FD166D">
        <w:rPr>
          <w:rFonts w:hint="eastAsia"/>
          <w:szCs w:val="21"/>
        </w:rPr>
        <w:t>日成立并正式运作，本基金的基金管理人为大成基金管理有限公司（以下简称“基金管理人”），基金托管人为</w:t>
      </w:r>
      <w:r w:rsidR="00FD166D" w:rsidRPr="00FD166D">
        <w:rPr>
          <w:rFonts w:hint="eastAsia"/>
          <w:szCs w:val="21"/>
        </w:rPr>
        <w:t>中国农业银行股份有限公司</w:t>
      </w:r>
      <w:r w:rsidR="00FD166D">
        <w:rPr>
          <w:rFonts w:hint="eastAsia"/>
          <w:szCs w:val="21"/>
        </w:rPr>
        <w:t>（以下简称“基金托管人”）。</w:t>
      </w:r>
    </w:p>
    <w:p w:rsidR="00171D4A" w:rsidRPr="00BC3EB9" w:rsidRDefault="00FD166D" w:rsidP="00BC3EB9">
      <w:pPr>
        <w:spacing w:line="360" w:lineRule="auto"/>
        <w:ind w:firstLineChars="202" w:firstLine="424"/>
        <w:rPr>
          <w:szCs w:val="21"/>
        </w:rPr>
      </w:pPr>
      <w:r>
        <w:rPr>
          <w:rFonts w:hint="eastAsia"/>
        </w:rPr>
        <w:t>根据《基金合同》的约定，本基金存续期限为</w:t>
      </w:r>
      <w:r>
        <w:t>3</w:t>
      </w:r>
      <w:r>
        <w:rPr>
          <w:rFonts w:hint="eastAsia"/>
        </w:rPr>
        <w:t>年，基金合同到期日为基金合同生效日后</w:t>
      </w:r>
      <w:r>
        <w:t>3</w:t>
      </w:r>
      <w:r>
        <w:rPr>
          <w:rFonts w:hint="eastAsia"/>
        </w:rPr>
        <w:t>年对日的前一日，即</w:t>
      </w:r>
      <w:r>
        <w:t>2016</w:t>
      </w:r>
      <w:r>
        <w:rPr>
          <w:rFonts w:hint="eastAsia"/>
        </w:rPr>
        <w:t>年</w:t>
      </w:r>
      <w:r>
        <w:t>11</w:t>
      </w:r>
      <w:r>
        <w:rPr>
          <w:rFonts w:hint="eastAsia"/>
        </w:rPr>
        <w:t>月</w:t>
      </w:r>
      <w:r>
        <w:t>18</w:t>
      </w:r>
      <w:r>
        <w:rPr>
          <w:rFonts w:hint="eastAsia"/>
        </w:rPr>
        <w:t>日。基金合同到期时，基金管理人有权在不召开本基金持有人大会的情况下，将本基金转换为大成债券证券投资基金（以下简称“大成债券基金”）。景祥</w:t>
      </w:r>
      <w:r>
        <w:t>A</w:t>
      </w:r>
      <w:r>
        <w:rPr>
          <w:rFonts w:hint="eastAsia"/>
        </w:rPr>
        <w:t>和景祥</w:t>
      </w:r>
      <w:r>
        <w:t>B</w:t>
      </w:r>
      <w:r>
        <w:rPr>
          <w:rFonts w:hint="eastAsia"/>
        </w:rPr>
        <w:t>的基金份额持有人可以选择在基金合同到期日赎回景祥</w:t>
      </w:r>
      <w:r>
        <w:t>A</w:t>
      </w:r>
      <w:r>
        <w:rPr>
          <w:rFonts w:hint="eastAsia"/>
        </w:rPr>
        <w:t>和景祥</w:t>
      </w:r>
      <w:r>
        <w:t>B</w:t>
      </w:r>
      <w:r>
        <w:rPr>
          <w:rFonts w:hint="eastAsia"/>
        </w:rPr>
        <w:t>份额或默认到期后自动转换为大成债券基金</w:t>
      </w:r>
      <w:r>
        <w:t>C</w:t>
      </w:r>
      <w:r>
        <w:rPr>
          <w:rFonts w:hint="eastAsia"/>
        </w:rPr>
        <w:t>类份额。</w:t>
      </w:r>
      <w:r w:rsidR="00590B4D">
        <w:rPr>
          <w:rFonts w:hint="eastAsia"/>
          <w:szCs w:val="21"/>
        </w:rPr>
        <w:t>本基金</w:t>
      </w:r>
      <w:r w:rsidR="00171D4A" w:rsidRPr="00171D4A">
        <w:rPr>
          <w:rFonts w:hint="eastAsia"/>
          <w:szCs w:val="21"/>
        </w:rPr>
        <w:t>于</w:t>
      </w:r>
      <w:r w:rsidR="00171D4A" w:rsidRPr="00171D4A">
        <w:rPr>
          <w:rFonts w:hint="eastAsia"/>
          <w:szCs w:val="21"/>
        </w:rPr>
        <w:t>2016</w:t>
      </w:r>
      <w:r w:rsidR="00171D4A" w:rsidRPr="00171D4A">
        <w:rPr>
          <w:rFonts w:hint="eastAsia"/>
          <w:szCs w:val="21"/>
        </w:rPr>
        <w:t>年</w:t>
      </w:r>
      <w:r w:rsidR="00171D4A" w:rsidRPr="00171D4A">
        <w:rPr>
          <w:rFonts w:hint="eastAsia"/>
          <w:szCs w:val="21"/>
        </w:rPr>
        <w:t>10</w:t>
      </w:r>
      <w:r w:rsidR="00171D4A" w:rsidRPr="00171D4A">
        <w:rPr>
          <w:rFonts w:hint="eastAsia"/>
          <w:szCs w:val="21"/>
        </w:rPr>
        <w:t>月</w:t>
      </w:r>
      <w:r w:rsidR="00171D4A" w:rsidRPr="00171D4A">
        <w:rPr>
          <w:rFonts w:hint="eastAsia"/>
          <w:szCs w:val="21"/>
        </w:rPr>
        <w:t>18</w:t>
      </w:r>
      <w:r w:rsidR="00171D4A" w:rsidRPr="00171D4A">
        <w:rPr>
          <w:rFonts w:hint="eastAsia"/>
          <w:szCs w:val="21"/>
        </w:rPr>
        <w:t>日在《中国证券报》、《上海证券报》、《证券时报》及公司网站（</w:t>
      </w:r>
      <w:r w:rsidR="00171D4A" w:rsidRPr="00171D4A">
        <w:rPr>
          <w:rFonts w:hint="eastAsia"/>
          <w:szCs w:val="21"/>
        </w:rPr>
        <w:t>www.dcfund.com.cn</w:t>
      </w:r>
      <w:r w:rsidR="00171D4A" w:rsidRPr="00171D4A">
        <w:rPr>
          <w:rFonts w:hint="eastAsia"/>
          <w:szCs w:val="21"/>
        </w:rPr>
        <w:t>）发布了《关于大成景祥分级债券型证券投资基金运作周期届满与基金份额转换的公告》</w:t>
      </w:r>
      <w:r w:rsidR="00171D4A">
        <w:rPr>
          <w:rFonts w:hint="eastAsia"/>
          <w:szCs w:val="21"/>
        </w:rPr>
        <w:t>；</w:t>
      </w:r>
      <w:r w:rsidR="00171D4A" w:rsidRPr="00171D4A">
        <w:rPr>
          <w:rFonts w:hint="eastAsia"/>
          <w:szCs w:val="21"/>
        </w:rPr>
        <w:t>并于</w:t>
      </w:r>
      <w:r w:rsidR="00171D4A" w:rsidRPr="00171D4A">
        <w:rPr>
          <w:rFonts w:hint="eastAsia"/>
          <w:szCs w:val="21"/>
        </w:rPr>
        <w:t>10</w:t>
      </w:r>
      <w:r w:rsidR="00171D4A" w:rsidRPr="00171D4A">
        <w:rPr>
          <w:rFonts w:hint="eastAsia"/>
          <w:szCs w:val="21"/>
        </w:rPr>
        <w:t>月</w:t>
      </w:r>
      <w:r w:rsidR="00171D4A" w:rsidRPr="00171D4A">
        <w:rPr>
          <w:rFonts w:hint="eastAsia"/>
          <w:szCs w:val="21"/>
        </w:rPr>
        <w:t>19</w:t>
      </w:r>
      <w:r w:rsidR="00171D4A" w:rsidRPr="00171D4A">
        <w:rPr>
          <w:rFonts w:hint="eastAsia"/>
          <w:szCs w:val="21"/>
        </w:rPr>
        <w:t>日发布了第一次提示性公告</w:t>
      </w:r>
      <w:r w:rsidR="00171D4A">
        <w:rPr>
          <w:rFonts w:hint="eastAsia"/>
          <w:szCs w:val="21"/>
        </w:rPr>
        <w:t>，</w:t>
      </w:r>
      <w:r w:rsidR="00171D4A">
        <w:rPr>
          <w:rFonts w:hint="eastAsia"/>
          <w:szCs w:val="21"/>
        </w:rPr>
        <w:t>10</w:t>
      </w:r>
      <w:r w:rsidR="00171D4A">
        <w:rPr>
          <w:rFonts w:hint="eastAsia"/>
          <w:szCs w:val="21"/>
        </w:rPr>
        <w:t>月</w:t>
      </w:r>
      <w:r w:rsidR="00171D4A">
        <w:rPr>
          <w:rFonts w:hint="eastAsia"/>
          <w:szCs w:val="21"/>
        </w:rPr>
        <w:t>20</w:t>
      </w:r>
      <w:r>
        <w:rPr>
          <w:rFonts w:hint="eastAsia"/>
          <w:szCs w:val="21"/>
        </w:rPr>
        <w:t>日发布了第二次提示性公告，</w:t>
      </w:r>
      <w:r>
        <w:rPr>
          <w:rFonts w:hint="eastAsia"/>
          <w:szCs w:val="21"/>
        </w:rPr>
        <w:t>11</w:t>
      </w:r>
      <w:r>
        <w:rPr>
          <w:rFonts w:hint="eastAsia"/>
          <w:szCs w:val="21"/>
        </w:rPr>
        <w:t>月</w:t>
      </w:r>
      <w:r>
        <w:rPr>
          <w:rFonts w:hint="eastAsia"/>
          <w:szCs w:val="21"/>
        </w:rPr>
        <w:t>9</w:t>
      </w:r>
      <w:r>
        <w:rPr>
          <w:rFonts w:hint="eastAsia"/>
          <w:szCs w:val="21"/>
        </w:rPr>
        <w:t>日发布了《</w:t>
      </w:r>
      <w:r w:rsidRPr="00FD166D">
        <w:rPr>
          <w:rFonts w:hint="eastAsia"/>
          <w:szCs w:val="21"/>
        </w:rPr>
        <w:t>关于大成景祥分级债券型证券投资基金之景祥</w:t>
      </w:r>
      <w:r w:rsidRPr="00FD166D">
        <w:rPr>
          <w:rFonts w:hint="eastAsia"/>
          <w:szCs w:val="21"/>
        </w:rPr>
        <w:t>A</w:t>
      </w:r>
      <w:r w:rsidRPr="00FD166D">
        <w:rPr>
          <w:rFonts w:hint="eastAsia"/>
          <w:szCs w:val="21"/>
        </w:rPr>
        <w:t>份额、景祥</w:t>
      </w:r>
      <w:r w:rsidRPr="00FD166D">
        <w:rPr>
          <w:rFonts w:hint="eastAsia"/>
          <w:szCs w:val="21"/>
        </w:rPr>
        <w:t>B</w:t>
      </w:r>
      <w:r w:rsidRPr="00FD166D">
        <w:rPr>
          <w:rFonts w:hint="eastAsia"/>
          <w:szCs w:val="21"/>
        </w:rPr>
        <w:t>份额开放赎回业务的公告</w:t>
      </w:r>
      <w:r>
        <w:rPr>
          <w:rFonts w:hint="eastAsia"/>
          <w:szCs w:val="21"/>
        </w:rPr>
        <w:t>》</w:t>
      </w:r>
      <w:r w:rsidR="00EF3B56">
        <w:rPr>
          <w:rFonts w:hint="eastAsia"/>
          <w:szCs w:val="21"/>
        </w:rPr>
        <w:t>，</w:t>
      </w:r>
      <w:r w:rsidR="00EF3B56">
        <w:rPr>
          <w:rFonts w:hint="eastAsia"/>
          <w:szCs w:val="21"/>
        </w:rPr>
        <w:t>11</w:t>
      </w:r>
      <w:r w:rsidR="00EF3B56">
        <w:rPr>
          <w:rFonts w:hint="eastAsia"/>
          <w:szCs w:val="21"/>
        </w:rPr>
        <w:t>月</w:t>
      </w:r>
      <w:r w:rsidR="00EF3B56">
        <w:rPr>
          <w:rFonts w:hint="eastAsia"/>
          <w:szCs w:val="21"/>
        </w:rPr>
        <w:t>17</w:t>
      </w:r>
      <w:r w:rsidR="00EF3B56">
        <w:rPr>
          <w:rFonts w:hint="eastAsia"/>
          <w:szCs w:val="21"/>
        </w:rPr>
        <w:t>日发布了《</w:t>
      </w:r>
      <w:r w:rsidR="00EF3B56" w:rsidRPr="00EF3B56">
        <w:rPr>
          <w:rFonts w:hint="eastAsia"/>
          <w:szCs w:val="21"/>
        </w:rPr>
        <w:t>关于大成景祥分级债券型证券投资基金基金合同到期处理方案的公告</w:t>
      </w:r>
      <w:r w:rsidR="00BC3EB9">
        <w:rPr>
          <w:rFonts w:hint="eastAsia"/>
          <w:szCs w:val="21"/>
        </w:rPr>
        <w:t>》，</w:t>
      </w:r>
      <w:r w:rsidR="00BC3EB9">
        <w:rPr>
          <w:rFonts w:hint="eastAsia"/>
          <w:szCs w:val="21"/>
        </w:rPr>
        <w:t>11</w:t>
      </w:r>
      <w:r w:rsidR="00BC3EB9">
        <w:rPr>
          <w:rFonts w:hint="eastAsia"/>
          <w:szCs w:val="21"/>
        </w:rPr>
        <w:t>月</w:t>
      </w:r>
      <w:r w:rsidR="00246634">
        <w:rPr>
          <w:rFonts w:hint="eastAsia"/>
          <w:szCs w:val="21"/>
        </w:rPr>
        <w:t>24</w:t>
      </w:r>
      <w:r w:rsidR="00BC3EB9">
        <w:rPr>
          <w:rFonts w:hint="eastAsia"/>
          <w:szCs w:val="21"/>
        </w:rPr>
        <w:t>日发布了《</w:t>
      </w:r>
      <w:r w:rsidR="00BC3EB9" w:rsidRPr="00BC3EB9">
        <w:rPr>
          <w:rFonts w:hint="eastAsia"/>
          <w:szCs w:val="21"/>
        </w:rPr>
        <w:t>关于大成景祥分级债券型证券投资基金运作周期届满基金份额转换结果的公告</w:t>
      </w:r>
      <w:r w:rsidR="00BC3EB9">
        <w:rPr>
          <w:rFonts w:hint="eastAsia"/>
          <w:szCs w:val="21"/>
        </w:rPr>
        <w:t>》。</w:t>
      </w:r>
    </w:p>
    <w:p w:rsidR="00963A23" w:rsidRPr="004634B8" w:rsidRDefault="006A7C1F" w:rsidP="00897331">
      <w:pPr>
        <w:spacing w:line="360" w:lineRule="auto"/>
        <w:ind w:firstLineChars="200" w:firstLine="420"/>
      </w:pPr>
      <w:r>
        <w:rPr>
          <w:rFonts w:hint="eastAsia"/>
        </w:rPr>
        <w:t>本基金</w:t>
      </w:r>
      <w:r w:rsidRPr="00342CA7">
        <w:rPr>
          <w:rFonts w:hint="eastAsia"/>
        </w:rPr>
        <w:t>自</w:t>
      </w:r>
      <w:r w:rsidRPr="00342CA7">
        <w:rPr>
          <w:rFonts w:hint="eastAsia"/>
        </w:rPr>
        <w:t>2016</w:t>
      </w:r>
      <w:r w:rsidRPr="00342CA7">
        <w:rPr>
          <w:rFonts w:hint="eastAsia"/>
        </w:rPr>
        <w:t>年</w:t>
      </w:r>
      <w:r w:rsidRPr="00342CA7">
        <w:rPr>
          <w:rFonts w:hint="eastAsia"/>
        </w:rPr>
        <w:t>11</w:t>
      </w:r>
      <w:r w:rsidRPr="00342CA7">
        <w:rPr>
          <w:rFonts w:hint="eastAsia"/>
        </w:rPr>
        <w:t>月</w:t>
      </w:r>
      <w:r w:rsidRPr="00342CA7">
        <w:rPr>
          <w:rFonts w:hint="eastAsia"/>
        </w:rPr>
        <w:t>19</w:t>
      </w:r>
      <w:r w:rsidRPr="00342CA7">
        <w:rPr>
          <w:rFonts w:hint="eastAsia"/>
        </w:rPr>
        <w:t>日起进入</w:t>
      </w:r>
      <w:r w:rsidRPr="002B729A">
        <w:rPr>
          <w:rFonts w:hint="eastAsia"/>
        </w:rPr>
        <w:t>清算期</w:t>
      </w:r>
      <w:r>
        <w:rPr>
          <w:rFonts w:hint="eastAsia"/>
        </w:rPr>
        <w:t>，</w:t>
      </w:r>
      <w:r w:rsidR="006A306D">
        <w:rPr>
          <w:rFonts w:hint="eastAsia"/>
        </w:rPr>
        <w:t>于</w:t>
      </w:r>
      <w:r w:rsidR="00BD5A1E">
        <w:rPr>
          <w:rFonts w:hint="eastAsia"/>
        </w:rPr>
        <w:t>2016</w:t>
      </w:r>
      <w:r w:rsidR="00BD5A1E">
        <w:rPr>
          <w:rFonts w:hint="eastAsia"/>
        </w:rPr>
        <w:t>年</w:t>
      </w:r>
      <w:r w:rsidR="00BD5A1E">
        <w:rPr>
          <w:rFonts w:hint="eastAsia"/>
        </w:rPr>
        <w:t>11</w:t>
      </w:r>
      <w:r w:rsidR="00BD5A1E">
        <w:rPr>
          <w:rFonts w:hint="eastAsia"/>
        </w:rPr>
        <w:t>月</w:t>
      </w:r>
      <w:r w:rsidR="00BD5A1E">
        <w:rPr>
          <w:rFonts w:hint="eastAsia"/>
        </w:rPr>
        <w:t>23</w:t>
      </w:r>
      <w:r w:rsidR="00BD5A1E">
        <w:rPr>
          <w:rFonts w:hint="eastAsia"/>
        </w:rPr>
        <w:t>日</w:t>
      </w:r>
      <w:r w:rsidR="006A306D">
        <w:rPr>
          <w:rFonts w:hint="eastAsia"/>
        </w:rPr>
        <w:t>本</w:t>
      </w:r>
      <w:r w:rsidR="00897331">
        <w:rPr>
          <w:rFonts w:hint="eastAsia"/>
        </w:rPr>
        <w:t>基金托管人中国农业银行</w:t>
      </w:r>
      <w:r w:rsidR="00C40FCA">
        <w:rPr>
          <w:rFonts w:hint="eastAsia"/>
        </w:rPr>
        <w:t>对本报告</w:t>
      </w:r>
      <w:r w:rsidR="00BD5A1E">
        <w:rPr>
          <w:rFonts w:hint="eastAsia"/>
        </w:rPr>
        <w:t>中财务资料</w:t>
      </w:r>
      <w:r w:rsidR="00C40FCA">
        <w:rPr>
          <w:rFonts w:hint="eastAsia"/>
        </w:rPr>
        <w:t>进行复核</w:t>
      </w:r>
      <w:r w:rsidR="00897331">
        <w:rPr>
          <w:rFonts w:hint="eastAsia"/>
        </w:rPr>
        <w:t>，</w:t>
      </w:r>
      <w:r w:rsidR="00897331" w:rsidRPr="005D409A">
        <w:rPr>
          <w:kern w:val="0"/>
          <w:szCs w:val="21"/>
        </w:rPr>
        <w:t>普华永道中天会计师事务所</w:t>
      </w:r>
      <w:r w:rsidR="00897331" w:rsidRPr="005D409A">
        <w:rPr>
          <w:kern w:val="0"/>
          <w:szCs w:val="21"/>
        </w:rPr>
        <w:t>(</w:t>
      </w:r>
      <w:r w:rsidR="00897331" w:rsidRPr="005D409A">
        <w:rPr>
          <w:kern w:val="0"/>
          <w:szCs w:val="21"/>
        </w:rPr>
        <w:t>特殊普通合伙</w:t>
      </w:r>
      <w:r w:rsidR="00897331" w:rsidRPr="005D409A">
        <w:rPr>
          <w:kern w:val="0"/>
          <w:szCs w:val="21"/>
        </w:rPr>
        <w:t>)</w:t>
      </w:r>
      <w:r w:rsidR="00897331">
        <w:rPr>
          <w:rFonts w:hint="eastAsia"/>
        </w:rPr>
        <w:t>对本报告中财务资料进行审计。</w:t>
      </w:r>
      <w:bookmarkStart w:id="0" w:name="_GoBack"/>
      <w:bookmarkEnd w:id="0"/>
    </w:p>
    <w:p w:rsidR="00963A23" w:rsidRPr="00C40FCA" w:rsidRDefault="00963A23" w:rsidP="00963A23"/>
    <w:p w:rsidR="00165DE8" w:rsidRDefault="00165DE8">
      <w:pPr>
        <w:widowControl/>
        <w:jc w:val="left"/>
      </w:pPr>
      <w:r>
        <w:br w:type="page"/>
      </w:r>
    </w:p>
    <w:p w:rsidR="00963A23" w:rsidRDefault="00963A23" w:rsidP="003A43D0">
      <w:pPr>
        <w:spacing w:line="360" w:lineRule="auto"/>
        <w:jc w:val="center"/>
        <w:rPr>
          <w:b/>
        </w:rPr>
      </w:pPr>
      <w:r w:rsidRPr="00CB2D30">
        <w:rPr>
          <w:rFonts w:hint="eastAsia"/>
          <w:b/>
        </w:rPr>
        <w:lastRenderedPageBreak/>
        <w:t>二、基金概况</w:t>
      </w:r>
    </w:p>
    <w:p w:rsidR="001F292B" w:rsidRPr="00CB2D30" w:rsidRDefault="001F292B" w:rsidP="001F292B">
      <w:pPr>
        <w:spacing w:line="360" w:lineRule="auto"/>
        <w:jc w:val="left"/>
        <w:rPr>
          <w:b/>
        </w:rPr>
      </w:pPr>
      <w:r>
        <w:rPr>
          <w:rFonts w:hint="eastAsia"/>
          <w:b/>
        </w:rPr>
        <w:t>1</w:t>
      </w:r>
      <w:r>
        <w:rPr>
          <w:rFonts w:hint="eastAsia"/>
          <w:b/>
        </w:rPr>
        <w:t>、基金基本情况</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9"/>
        <w:gridCol w:w="2448"/>
        <w:gridCol w:w="2447"/>
      </w:tblGrid>
      <w:tr w:rsidR="00963A23" w:rsidRPr="005D409A" w:rsidTr="003A2BF2">
        <w:trPr>
          <w:trHeight w:val="310"/>
        </w:trPr>
        <w:tc>
          <w:tcPr>
            <w:tcW w:w="3519" w:type="dxa"/>
          </w:tcPr>
          <w:p w:rsidR="00963A23" w:rsidRPr="005D409A" w:rsidRDefault="00963A23" w:rsidP="00BD5A1E">
            <w:pPr>
              <w:spacing w:line="276" w:lineRule="auto"/>
              <w:rPr>
                <w:rStyle w:val="a3"/>
                <w:szCs w:val="21"/>
              </w:rPr>
            </w:pPr>
            <w:bookmarkStart w:id="1" w:name="m02_01_tab"/>
            <w:r w:rsidRPr="005D409A">
              <w:rPr>
                <w:rStyle w:val="a3"/>
                <w:szCs w:val="21"/>
              </w:rPr>
              <w:t>基金名称</w:t>
            </w:r>
          </w:p>
        </w:tc>
        <w:tc>
          <w:tcPr>
            <w:tcW w:w="4895" w:type="dxa"/>
            <w:gridSpan w:val="2"/>
          </w:tcPr>
          <w:p w:rsidR="00963A23" w:rsidRPr="005D409A" w:rsidRDefault="00963A23" w:rsidP="00BD5A1E">
            <w:pPr>
              <w:spacing w:line="276" w:lineRule="auto"/>
              <w:rPr>
                <w:kern w:val="0"/>
                <w:szCs w:val="21"/>
              </w:rPr>
            </w:pPr>
            <w:r w:rsidRPr="005D409A">
              <w:rPr>
                <w:kern w:val="0"/>
                <w:szCs w:val="21"/>
              </w:rPr>
              <w:t>大成景祥分级债券型证券投资基金</w:t>
            </w:r>
          </w:p>
        </w:tc>
      </w:tr>
      <w:tr w:rsidR="00963A23" w:rsidRPr="005D409A" w:rsidTr="003A2BF2">
        <w:trPr>
          <w:trHeight w:val="163"/>
        </w:trPr>
        <w:tc>
          <w:tcPr>
            <w:tcW w:w="3519" w:type="dxa"/>
          </w:tcPr>
          <w:p w:rsidR="00963A23" w:rsidRPr="005D409A" w:rsidRDefault="00963A23" w:rsidP="00BD5A1E">
            <w:pPr>
              <w:spacing w:line="276" w:lineRule="auto"/>
              <w:rPr>
                <w:rStyle w:val="a3"/>
                <w:szCs w:val="21"/>
              </w:rPr>
            </w:pPr>
            <w:r w:rsidRPr="005D409A">
              <w:rPr>
                <w:rStyle w:val="a3"/>
                <w:szCs w:val="21"/>
              </w:rPr>
              <w:t>基金简称</w:t>
            </w:r>
          </w:p>
        </w:tc>
        <w:tc>
          <w:tcPr>
            <w:tcW w:w="4895" w:type="dxa"/>
            <w:gridSpan w:val="2"/>
          </w:tcPr>
          <w:p w:rsidR="00963A23" w:rsidRPr="005D409A" w:rsidRDefault="00963A23" w:rsidP="00BD5A1E">
            <w:pPr>
              <w:spacing w:line="276" w:lineRule="auto"/>
              <w:rPr>
                <w:kern w:val="0"/>
                <w:szCs w:val="21"/>
              </w:rPr>
            </w:pPr>
            <w:r w:rsidRPr="005D409A">
              <w:rPr>
                <w:kern w:val="0"/>
                <w:szCs w:val="21"/>
              </w:rPr>
              <w:t>大成景祥分级债券</w:t>
            </w:r>
          </w:p>
        </w:tc>
      </w:tr>
      <w:tr w:rsidR="00963A23" w:rsidRPr="005D409A" w:rsidTr="003A2BF2">
        <w:trPr>
          <w:trHeight w:val="324"/>
        </w:trPr>
        <w:tc>
          <w:tcPr>
            <w:tcW w:w="3519" w:type="dxa"/>
          </w:tcPr>
          <w:p w:rsidR="00963A23" w:rsidRPr="005D409A" w:rsidRDefault="00963A23" w:rsidP="00BD5A1E">
            <w:pPr>
              <w:spacing w:line="276" w:lineRule="auto"/>
              <w:rPr>
                <w:rStyle w:val="a3"/>
                <w:szCs w:val="21"/>
              </w:rPr>
            </w:pPr>
            <w:r w:rsidRPr="005D409A">
              <w:rPr>
                <w:rStyle w:val="a3"/>
                <w:szCs w:val="21"/>
              </w:rPr>
              <w:t>基金主代码</w:t>
            </w:r>
          </w:p>
        </w:tc>
        <w:tc>
          <w:tcPr>
            <w:tcW w:w="4895" w:type="dxa"/>
            <w:gridSpan w:val="2"/>
          </w:tcPr>
          <w:p w:rsidR="00963A23" w:rsidRPr="005D409A" w:rsidRDefault="00963A23" w:rsidP="00BD5A1E">
            <w:pPr>
              <w:spacing w:line="276" w:lineRule="auto"/>
              <w:rPr>
                <w:kern w:val="0"/>
                <w:szCs w:val="21"/>
              </w:rPr>
            </w:pPr>
            <w:r w:rsidRPr="005D409A">
              <w:rPr>
                <w:kern w:val="0"/>
                <w:szCs w:val="21"/>
              </w:rPr>
              <w:t>000440</w:t>
            </w:r>
          </w:p>
        </w:tc>
      </w:tr>
      <w:tr w:rsidR="00963A23" w:rsidRPr="005D409A" w:rsidTr="003A2BF2">
        <w:trPr>
          <w:trHeight w:val="310"/>
        </w:trPr>
        <w:tc>
          <w:tcPr>
            <w:tcW w:w="3519" w:type="dxa"/>
          </w:tcPr>
          <w:p w:rsidR="00963A23" w:rsidRPr="005D409A" w:rsidRDefault="00963A23" w:rsidP="00BD5A1E">
            <w:pPr>
              <w:spacing w:line="276" w:lineRule="auto"/>
              <w:rPr>
                <w:rStyle w:val="a3"/>
                <w:szCs w:val="21"/>
              </w:rPr>
            </w:pPr>
            <w:r w:rsidRPr="005D409A">
              <w:rPr>
                <w:rStyle w:val="a3"/>
                <w:szCs w:val="21"/>
              </w:rPr>
              <w:t>基金运作方式</w:t>
            </w:r>
          </w:p>
        </w:tc>
        <w:tc>
          <w:tcPr>
            <w:tcW w:w="4895" w:type="dxa"/>
            <w:gridSpan w:val="2"/>
          </w:tcPr>
          <w:p w:rsidR="00963A23" w:rsidRPr="005D409A" w:rsidRDefault="00963A23" w:rsidP="00BD5A1E">
            <w:pPr>
              <w:spacing w:line="276" w:lineRule="auto"/>
              <w:rPr>
                <w:kern w:val="0"/>
                <w:szCs w:val="21"/>
              </w:rPr>
            </w:pPr>
            <w:r w:rsidRPr="005D409A">
              <w:rPr>
                <w:kern w:val="0"/>
                <w:szCs w:val="21"/>
              </w:rPr>
              <w:t>契约型开放式</w:t>
            </w:r>
          </w:p>
        </w:tc>
      </w:tr>
      <w:tr w:rsidR="00963A23" w:rsidRPr="005D409A" w:rsidTr="003A2BF2">
        <w:trPr>
          <w:trHeight w:val="310"/>
        </w:trPr>
        <w:tc>
          <w:tcPr>
            <w:tcW w:w="3519" w:type="dxa"/>
          </w:tcPr>
          <w:p w:rsidR="00963A23" w:rsidRPr="005D409A" w:rsidRDefault="00963A23" w:rsidP="00BD5A1E">
            <w:pPr>
              <w:spacing w:line="276" w:lineRule="auto"/>
              <w:rPr>
                <w:rStyle w:val="a3"/>
                <w:szCs w:val="21"/>
              </w:rPr>
            </w:pPr>
            <w:r w:rsidRPr="005D409A">
              <w:rPr>
                <w:rStyle w:val="a3"/>
                <w:szCs w:val="21"/>
              </w:rPr>
              <w:t>基金合同生效日</w:t>
            </w:r>
          </w:p>
        </w:tc>
        <w:tc>
          <w:tcPr>
            <w:tcW w:w="4895" w:type="dxa"/>
            <w:gridSpan w:val="2"/>
          </w:tcPr>
          <w:p w:rsidR="00963A23" w:rsidRPr="005D409A" w:rsidRDefault="00963A23" w:rsidP="00BD5A1E">
            <w:pPr>
              <w:spacing w:line="276" w:lineRule="auto"/>
              <w:rPr>
                <w:kern w:val="0"/>
                <w:szCs w:val="21"/>
              </w:rPr>
            </w:pPr>
            <w:r w:rsidRPr="005D409A">
              <w:rPr>
                <w:kern w:val="0"/>
                <w:szCs w:val="21"/>
              </w:rPr>
              <w:t>2013</w:t>
            </w:r>
            <w:r w:rsidRPr="005D409A">
              <w:rPr>
                <w:kern w:val="0"/>
                <w:szCs w:val="21"/>
              </w:rPr>
              <w:t>年</w:t>
            </w:r>
            <w:r w:rsidRPr="005D409A">
              <w:rPr>
                <w:kern w:val="0"/>
                <w:szCs w:val="21"/>
              </w:rPr>
              <w:t>11</w:t>
            </w:r>
            <w:r w:rsidRPr="005D409A">
              <w:rPr>
                <w:kern w:val="0"/>
                <w:szCs w:val="21"/>
              </w:rPr>
              <w:t>月</w:t>
            </w:r>
            <w:r w:rsidRPr="005D409A">
              <w:rPr>
                <w:kern w:val="0"/>
                <w:szCs w:val="21"/>
              </w:rPr>
              <w:t>19</w:t>
            </w:r>
            <w:r w:rsidRPr="005D409A">
              <w:rPr>
                <w:kern w:val="0"/>
                <w:szCs w:val="21"/>
              </w:rPr>
              <w:t>日</w:t>
            </w:r>
          </w:p>
        </w:tc>
      </w:tr>
      <w:tr w:rsidR="00963A23" w:rsidRPr="005D409A" w:rsidTr="003A2BF2">
        <w:trPr>
          <w:trHeight w:val="310"/>
        </w:trPr>
        <w:tc>
          <w:tcPr>
            <w:tcW w:w="3519" w:type="dxa"/>
          </w:tcPr>
          <w:p w:rsidR="00963A23" w:rsidRPr="005D409A" w:rsidRDefault="00963A23" w:rsidP="00BD5A1E">
            <w:pPr>
              <w:spacing w:line="276" w:lineRule="auto"/>
              <w:rPr>
                <w:rStyle w:val="a3"/>
                <w:szCs w:val="21"/>
              </w:rPr>
            </w:pPr>
            <w:r w:rsidRPr="005D409A">
              <w:rPr>
                <w:rStyle w:val="a3"/>
                <w:szCs w:val="21"/>
              </w:rPr>
              <w:t>基金管理人</w:t>
            </w:r>
          </w:p>
        </w:tc>
        <w:tc>
          <w:tcPr>
            <w:tcW w:w="4895" w:type="dxa"/>
            <w:gridSpan w:val="2"/>
          </w:tcPr>
          <w:p w:rsidR="00963A23" w:rsidRPr="005D409A" w:rsidRDefault="00963A23" w:rsidP="00BD5A1E">
            <w:pPr>
              <w:spacing w:line="276" w:lineRule="auto"/>
              <w:rPr>
                <w:rStyle w:val="a3"/>
                <w:szCs w:val="21"/>
              </w:rPr>
            </w:pPr>
            <w:r w:rsidRPr="005D409A">
              <w:rPr>
                <w:rStyle w:val="a3"/>
                <w:szCs w:val="21"/>
              </w:rPr>
              <w:t>大成基金管理有限公司</w:t>
            </w:r>
          </w:p>
        </w:tc>
      </w:tr>
      <w:tr w:rsidR="00963A23" w:rsidRPr="005D409A" w:rsidTr="003A2BF2">
        <w:trPr>
          <w:trHeight w:val="310"/>
        </w:trPr>
        <w:tc>
          <w:tcPr>
            <w:tcW w:w="3519" w:type="dxa"/>
          </w:tcPr>
          <w:p w:rsidR="00963A23" w:rsidRPr="005D409A" w:rsidRDefault="00963A23" w:rsidP="00BD5A1E">
            <w:pPr>
              <w:spacing w:line="276" w:lineRule="auto"/>
              <w:rPr>
                <w:rStyle w:val="a3"/>
                <w:szCs w:val="21"/>
              </w:rPr>
            </w:pPr>
            <w:r w:rsidRPr="005D409A">
              <w:rPr>
                <w:rStyle w:val="a3"/>
                <w:szCs w:val="21"/>
              </w:rPr>
              <w:t>基金托管人</w:t>
            </w:r>
          </w:p>
        </w:tc>
        <w:tc>
          <w:tcPr>
            <w:tcW w:w="4895" w:type="dxa"/>
            <w:gridSpan w:val="2"/>
          </w:tcPr>
          <w:p w:rsidR="00963A23" w:rsidRPr="005D409A" w:rsidRDefault="00963A23" w:rsidP="00BD5A1E">
            <w:pPr>
              <w:spacing w:line="276" w:lineRule="auto"/>
              <w:rPr>
                <w:rStyle w:val="a3"/>
                <w:szCs w:val="21"/>
              </w:rPr>
            </w:pPr>
            <w:r w:rsidRPr="005D409A">
              <w:rPr>
                <w:rStyle w:val="a3"/>
                <w:szCs w:val="21"/>
              </w:rPr>
              <w:t>中国农业银行股份有限公司</w:t>
            </w:r>
          </w:p>
        </w:tc>
      </w:tr>
      <w:tr w:rsidR="00963A23" w:rsidRPr="005D409A" w:rsidTr="003A2BF2">
        <w:trPr>
          <w:trHeight w:val="327"/>
        </w:trPr>
        <w:tc>
          <w:tcPr>
            <w:tcW w:w="3519" w:type="dxa"/>
          </w:tcPr>
          <w:p w:rsidR="00963A23" w:rsidRPr="005D409A" w:rsidRDefault="00963A23" w:rsidP="00BD5A1E">
            <w:pPr>
              <w:spacing w:line="276" w:lineRule="auto"/>
              <w:rPr>
                <w:rStyle w:val="a3"/>
                <w:szCs w:val="21"/>
              </w:rPr>
            </w:pPr>
            <w:r w:rsidRPr="005D409A">
              <w:rPr>
                <w:rStyle w:val="a3"/>
                <w:szCs w:val="21"/>
              </w:rPr>
              <w:t>报告期末基金份额总额</w:t>
            </w:r>
          </w:p>
        </w:tc>
        <w:tc>
          <w:tcPr>
            <w:tcW w:w="4895" w:type="dxa"/>
            <w:gridSpan w:val="2"/>
          </w:tcPr>
          <w:p w:rsidR="00963A23" w:rsidRPr="005D409A" w:rsidRDefault="00D32EEA" w:rsidP="00BD5A1E">
            <w:pPr>
              <w:spacing w:line="276" w:lineRule="auto"/>
              <w:ind w:right="90"/>
              <w:rPr>
                <w:kern w:val="0"/>
                <w:szCs w:val="21"/>
              </w:rPr>
            </w:pPr>
            <w:r>
              <w:rPr>
                <w:rFonts w:hint="eastAsia"/>
                <w:kern w:val="0"/>
                <w:szCs w:val="21"/>
              </w:rPr>
              <w:t>1,510,067,774.73</w:t>
            </w:r>
            <w:r w:rsidR="00963A23" w:rsidRPr="005D409A">
              <w:rPr>
                <w:kern w:val="0"/>
                <w:szCs w:val="21"/>
              </w:rPr>
              <w:t>份</w:t>
            </w:r>
          </w:p>
        </w:tc>
      </w:tr>
      <w:tr w:rsidR="00963A23" w:rsidRPr="005D409A" w:rsidTr="003A2BF2">
        <w:trPr>
          <w:trHeight w:val="310"/>
        </w:trPr>
        <w:tc>
          <w:tcPr>
            <w:tcW w:w="3519" w:type="dxa"/>
          </w:tcPr>
          <w:p w:rsidR="00963A23" w:rsidRPr="005D409A" w:rsidRDefault="00963A23" w:rsidP="00BD5A1E">
            <w:pPr>
              <w:spacing w:line="276" w:lineRule="auto"/>
              <w:rPr>
                <w:rStyle w:val="a3"/>
                <w:szCs w:val="21"/>
              </w:rPr>
            </w:pPr>
            <w:r w:rsidRPr="005D409A">
              <w:rPr>
                <w:rStyle w:val="a3"/>
                <w:szCs w:val="21"/>
              </w:rPr>
              <w:t>基金合同存续期</w:t>
            </w:r>
          </w:p>
        </w:tc>
        <w:tc>
          <w:tcPr>
            <w:tcW w:w="4895" w:type="dxa"/>
            <w:gridSpan w:val="2"/>
          </w:tcPr>
          <w:p w:rsidR="00963A23" w:rsidRPr="005D409A" w:rsidRDefault="00963A23" w:rsidP="00BD5A1E">
            <w:pPr>
              <w:spacing w:line="276" w:lineRule="auto"/>
              <w:rPr>
                <w:kern w:val="0"/>
                <w:szCs w:val="21"/>
              </w:rPr>
            </w:pPr>
            <w:r w:rsidRPr="005D409A">
              <w:rPr>
                <w:kern w:val="0"/>
                <w:szCs w:val="21"/>
              </w:rPr>
              <w:t>3</w:t>
            </w:r>
            <w:r w:rsidRPr="005D409A">
              <w:rPr>
                <w:kern w:val="0"/>
                <w:szCs w:val="21"/>
              </w:rPr>
              <w:t>年</w:t>
            </w:r>
          </w:p>
        </w:tc>
      </w:tr>
      <w:tr w:rsidR="00963A23" w:rsidRPr="005D409A" w:rsidTr="003A2BF2">
        <w:trPr>
          <w:trHeight w:val="327"/>
        </w:trPr>
        <w:tc>
          <w:tcPr>
            <w:tcW w:w="3519" w:type="dxa"/>
          </w:tcPr>
          <w:p w:rsidR="00963A23" w:rsidRPr="005D409A" w:rsidRDefault="00963A23" w:rsidP="00BD5A1E">
            <w:pPr>
              <w:spacing w:line="276" w:lineRule="auto"/>
              <w:rPr>
                <w:rStyle w:val="a3"/>
                <w:szCs w:val="21"/>
              </w:rPr>
            </w:pPr>
            <w:r w:rsidRPr="005D409A">
              <w:rPr>
                <w:rStyle w:val="a3"/>
                <w:szCs w:val="21"/>
              </w:rPr>
              <w:t>下属分级基金的基金简称：</w:t>
            </w:r>
          </w:p>
        </w:tc>
        <w:tc>
          <w:tcPr>
            <w:tcW w:w="2448" w:type="dxa"/>
          </w:tcPr>
          <w:p w:rsidR="00963A23" w:rsidRPr="005D409A" w:rsidRDefault="00963A23" w:rsidP="00BD5A1E">
            <w:pPr>
              <w:spacing w:line="276" w:lineRule="auto"/>
              <w:rPr>
                <w:kern w:val="0"/>
                <w:szCs w:val="21"/>
              </w:rPr>
            </w:pPr>
            <w:r w:rsidRPr="005D409A">
              <w:rPr>
                <w:kern w:val="0"/>
                <w:szCs w:val="21"/>
              </w:rPr>
              <w:t>大成景祥分级债</w:t>
            </w:r>
            <w:r w:rsidRPr="005D409A">
              <w:rPr>
                <w:kern w:val="0"/>
                <w:szCs w:val="21"/>
              </w:rPr>
              <w:t>A</w:t>
            </w:r>
          </w:p>
        </w:tc>
        <w:tc>
          <w:tcPr>
            <w:tcW w:w="2447" w:type="dxa"/>
          </w:tcPr>
          <w:p w:rsidR="00963A23" w:rsidRPr="005D409A" w:rsidRDefault="00963A23" w:rsidP="00BD5A1E">
            <w:pPr>
              <w:spacing w:line="276" w:lineRule="auto"/>
              <w:rPr>
                <w:kern w:val="0"/>
                <w:szCs w:val="21"/>
              </w:rPr>
            </w:pPr>
            <w:r w:rsidRPr="005D409A">
              <w:rPr>
                <w:kern w:val="0"/>
                <w:szCs w:val="21"/>
              </w:rPr>
              <w:t>大成景祥分级债</w:t>
            </w:r>
            <w:r w:rsidRPr="005D409A">
              <w:rPr>
                <w:kern w:val="0"/>
                <w:szCs w:val="21"/>
              </w:rPr>
              <w:t>B</w:t>
            </w:r>
          </w:p>
        </w:tc>
      </w:tr>
      <w:tr w:rsidR="00963A23" w:rsidRPr="005D409A" w:rsidTr="003A2BF2">
        <w:trPr>
          <w:trHeight w:val="327"/>
        </w:trPr>
        <w:tc>
          <w:tcPr>
            <w:tcW w:w="3519" w:type="dxa"/>
          </w:tcPr>
          <w:p w:rsidR="00963A23" w:rsidRPr="005D409A" w:rsidRDefault="00963A23" w:rsidP="00BD5A1E">
            <w:pPr>
              <w:spacing w:line="276" w:lineRule="auto"/>
              <w:rPr>
                <w:szCs w:val="21"/>
              </w:rPr>
            </w:pPr>
            <w:r w:rsidRPr="005D409A">
              <w:rPr>
                <w:szCs w:val="21"/>
              </w:rPr>
              <w:t>下属分级基金的交易代码</w:t>
            </w:r>
            <w:r w:rsidRPr="005D409A">
              <w:rPr>
                <w:rStyle w:val="a3"/>
                <w:szCs w:val="21"/>
              </w:rPr>
              <w:t>：</w:t>
            </w:r>
          </w:p>
        </w:tc>
        <w:tc>
          <w:tcPr>
            <w:tcW w:w="2448" w:type="dxa"/>
          </w:tcPr>
          <w:p w:rsidR="00963A23" w:rsidRPr="005D409A" w:rsidRDefault="00963A23" w:rsidP="00BD5A1E">
            <w:pPr>
              <w:spacing w:line="276" w:lineRule="auto"/>
              <w:rPr>
                <w:kern w:val="0"/>
                <w:szCs w:val="21"/>
              </w:rPr>
            </w:pPr>
            <w:r w:rsidRPr="005D409A">
              <w:rPr>
                <w:kern w:val="0"/>
                <w:szCs w:val="21"/>
              </w:rPr>
              <w:t>000357</w:t>
            </w:r>
          </w:p>
        </w:tc>
        <w:tc>
          <w:tcPr>
            <w:tcW w:w="2447" w:type="dxa"/>
          </w:tcPr>
          <w:p w:rsidR="00963A23" w:rsidRPr="005D409A" w:rsidRDefault="00963A23" w:rsidP="00BD5A1E">
            <w:pPr>
              <w:spacing w:line="276" w:lineRule="auto"/>
              <w:rPr>
                <w:kern w:val="0"/>
                <w:szCs w:val="21"/>
              </w:rPr>
            </w:pPr>
            <w:r w:rsidRPr="005D409A">
              <w:rPr>
                <w:kern w:val="0"/>
                <w:szCs w:val="21"/>
              </w:rPr>
              <w:t>000358</w:t>
            </w:r>
          </w:p>
        </w:tc>
      </w:tr>
      <w:tr w:rsidR="00963A23" w:rsidRPr="005D409A" w:rsidTr="003A2BF2">
        <w:trPr>
          <w:trHeight w:val="327"/>
        </w:trPr>
        <w:tc>
          <w:tcPr>
            <w:tcW w:w="3519" w:type="dxa"/>
          </w:tcPr>
          <w:p w:rsidR="00963A23" w:rsidRPr="005D409A" w:rsidRDefault="00963A23" w:rsidP="00BD5A1E">
            <w:pPr>
              <w:spacing w:line="276" w:lineRule="auto"/>
              <w:rPr>
                <w:szCs w:val="21"/>
              </w:rPr>
            </w:pPr>
            <w:r w:rsidRPr="005D409A">
              <w:rPr>
                <w:kern w:val="0"/>
                <w:szCs w:val="21"/>
              </w:rPr>
              <w:t>报告期末</w:t>
            </w:r>
            <w:r w:rsidRPr="005D409A">
              <w:rPr>
                <w:szCs w:val="21"/>
              </w:rPr>
              <w:t>下属分级基金的份额总额</w:t>
            </w:r>
          </w:p>
        </w:tc>
        <w:tc>
          <w:tcPr>
            <w:tcW w:w="2448" w:type="dxa"/>
          </w:tcPr>
          <w:p w:rsidR="00963A23" w:rsidRPr="005D409A" w:rsidRDefault="00D32EEA" w:rsidP="00BD5A1E">
            <w:pPr>
              <w:spacing w:line="276" w:lineRule="auto"/>
              <w:rPr>
                <w:kern w:val="0"/>
                <w:szCs w:val="21"/>
              </w:rPr>
            </w:pPr>
            <w:r>
              <w:rPr>
                <w:rFonts w:hint="eastAsia"/>
                <w:kern w:val="0"/>
                <w:szCs w:val="21"/>
              </w:rPr>
              <w:t>1,165,954,508.03</w:t>
            </w:r>
            <w:r w:rsidR="00963A23" w:rsidRPr="005D409A">
              <w:rPr>
                <w:kern w:val="0"/>
                <w:szCs w:val="21"/>
              </w:rPr>
              <w:t>份</w:t>
            </w:r>
          </w:p>
        </w:tc>
        <w:tc>
          <w:tcPr>
            <w:tcW w:w="2447" w:type="dxa"/>
          </w:tcPr>
          <w:p w:rsidR="00963A23" w:rsidRPr="005D409A" w:rsidRDefault="00963A23" w:rsidP="00BD5A1E">
            <w:pPr>
              <w:spacing w:line="276" w:lineRule="auto"/>
              <w:rPr>
                <w:kern w:val="0"/>
                <w:szCs w:val="21"/>
              </w:rPr>
            </w:pPr>
            <w:r w:rsidRPr="005D409A">
              <w:rPr>
                <w:kern w:val="0"/>
                <w:szCs w:val="21"/>
              </w:rPr>
              <w:t>500,316,999.99</w:t>
            </w:r>
            <w:r w:rsidRPr="005D409A">
              <w:rPr>
                <w:kern w:val="0"/>
                <w:szCs w:val="21"/>
              </w:rPr>
              <w:t>份</w:t>
            </w:r>
          </w:p>
        </w:tc>
      </w:tr>
      <w:bookmarkEnd w:id="1"/>
    </w:tbl>
    <w:p w:rsidR="001F292B" w:rsidRDefault="001F292B" w:rsidP="001F292B">
      <w:pPr>
        <w:spacing w:line="360" w:lineRule="auto"/>
        <w:jc w:val="left"/>
        <w:rPr>
          <w:b/>
        </w:rPr>
      </w:pPr>
    </w:p>
    <w:p w:rsidR="001F292B" w:rsidRDefault="001F292B" w:rsidP="001F292B">
      <w:pPr>
        <w:spacing w:line="360" w:lineRule="auto"/>
        <w:jc w:val="left"/>
        <w:rPr>
          <w:b/>
        </w:rPr>
      </w:pPr>
      <w:r>
        <w:rPr>
          <w:rFonts w:hint="eastAsia"/>
          <w:b/>
        </w:rPr>
        <w:t>2</w:t>
      </w:r>
      <w:r>
        <w:rPr>
          <w:rFonts w:hint="eastAsia"/>
          <w:b/>
        </w:rPr>
        <w:t>、基金产品说明</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0"/>
        <w:gridCol w:w="3409"/>
        <w:gridCol w:w="3455"/>
      </w:tblGrid>
      <w:tr w:rsidR="001F292B" w:rsidRPr="005D409A" w:rsidTr="001F292B">
        <w:tc>
          <w:tcPr>
            <w:tcW w:w="1550" w:type="dxa"/>
          </w:tcPr>
          <w:p w:rsidR="001F292B" w:rsidRPr="005D409A" w:rsidRDefault="001F292B" w:rsidP="00BD5A1E">
            <w:pPr>
              <w:spacing w:line="276" w:lineRule="auto"/>
              <w:rPr>
                <w:rStyle w:val="a3"/>
                <w:szCs w:val="21"/>
              </w:rPr>
            </w:pPr>
            <w:r w:rsidRPr="005D409A">
              <w:rPr>
                <w:rStyle w:val="a3"/>
                <w:szCs w:val="21"/>
              </w:rPr>
              <w:t>投资目标</w:t>
            </w:r>
          </w:p>
        </w:tc>
        <w:tc>
          <w:tcPr>
            <w:tcW w:w="6864" w:type="dxa"/>
            <w:gridSpan w:val="2"/>
          </w:tcPr>
          <w:p w:rsidR="001F292B" w:rsidRPr="005D409A" w:rsidRDefault="001F292B" w:rsidP="00BD5A1E">
            <w:pPr>
              <w:spacing w:line="276" w:lineRule="auto"/>
              <w:rPr>
                <w:kern w:val="0"/>
                <w:szCs w:val="21"/>
              </w:rPr>
            </w:pPr>
            <w:r w:rsidRPr="005D409A">
              <w:rPr>
                <w:kern w:val="0"/>
                <w:szCs w:val="21"/>
              </w:rPr>
              <w:t>在控制风险的基础上，满足景祥</w:t>
            </w:r>
            <w:r w:rsidRPr="005D409A">
              <w:rPr>
                <w:kern w:val="0"/>
                <w:szCs w:val="21"/>
              </w:rPr>
              <w:t>A</w:t>
            </w:r>
            <w:r w:rsidRPr="005D409A">
              <w:rPr>
                <w:kern w:val="0"/>
                <w:szCs w:val="21"/>
              </w:rPr>
              <w:t>份额持有人获取稳健收益的需求和满足景祥</w:t>
            </w:r>
            <w:r w:rsidRPr="005D409A">
              <w:rPr>
                <w:kern w:val="0"/>
                <w:szCs w:val="21"/>
              </w:rPr>
              <w:t>B</w:t>
            </w:r>
            <w:r w:rsidRPr="005D409A">
              <w:rPr>
                <w:kern w:val="0"/>
                <w:szCs w:val="21"/>
              </w:rPr>
              <w:t>份额持有人在承担适当风险的基础上获取更多收益需求。</w:t>
            </w:r>
          </w:p>
        </w:tc>
      </w:tr>
      <w:tr w:rsidR="001F292B" w:rsidRPr="005D409A" w:rsidTr="001F292B">
        <w:tc>
          <w:tcPr>
            <w:tcW w:w="1550" w:type="dxa"/>
          </w:tcPr>
          <w:p w:rsidR="001F292B" w:rsidRPr="005D409A" w:rsidRDefault="001F292B" w:rsidP="00BD5A1E">
            <w:pPr>
              <w:spacing w:line="276" w:lineRule="auto"/>
              <w:rPr>
                <w:rStyle w:val="a3"/>
                <w:szCs w:val="21"/>
              </w:rPr>
            </w:pPr>
            <w:r w:rsidRPr="005D409A">
              <w:rPr>
                <w:rStyle w:val="a3"/>
                <w:szCs w:val="21"/>
              </w:rPr>
              <w:t>投资策略</w:t>
            </w:r>
          </w:p>
        </w:tc>
        <w:tc>
          <w:tcPr>
            <w:tcW w:w="6864" w:type="dxa"/>
            <w:gridSpan w:val="2"/>
          </w:tcPr>
          <w:p w:rsidR="001F292B" w:rsidRPr="005D409A" w:rsidRDefault="001F292B" w:rsidP="00BD5A1E">
            <w:pPr>
              <w:spacing w:line="276" w:lineRule="auto"/>
              <w:rPr>
                <w:kern w:val="0"/>
                <w:szCs w:val="21"/>
              </w:rPr>
            </w:pPr>
            <w:r w:rsidRPr="005D409A">
              <w:rPr>
                <w:kern w:val="0"/>
                <w:szCs w:val="21"/>
              </w:rPr>
              <w:t>本基金将充分发挥基金管理人的研究和投资管理优势，在分析和判断宏观经济运行状况和金融市场运行趋势的基础上，在资产配置、类属配置、个券选择和交易策略层面实施积极管理策略；在严格控制风险的前提下，实现基金组合风险和收益的最优配比。</w:t>
            </w:r>
          </w:p>
        </w:tc>
      </w:tr>
      <w:tr w:rsidR="001F292B" w:rsidRPr="005D409A" w:rsidTr="001F292B">
        <w:tc>
          <w:tcPr>
            <w:tcW w:w="1550" w:type="dxa"/>
          </w:tcPr>
          <w:p w:rsidR="001F292B" w:rsidRPr="005D409A" w:rsidRDefault="001F292B" w:rsidP="00BD5A1E">
            <w:pPr>
              <w:spacing w:line="276" w:lineRule="auto"/>
              <w:rPr>
                <w:rStyle w:val="a3"/>
                <w:szCs w:val="21"/>
              </w:rPr>
            </w:pPr>
            <w:r w:rsidRPr="005D409A">
              <w:rPr>
                <w:rStyle w:val="a3"/>
                <w:szCs w:val="21"/>
              </w:rPr>
              <w:t>业绩比较基准</w:t>
            </w:r>
          </w:p>
        </w:tc>
        <w:tc>
          <w:tcPr>
            <w:tcW w:w="6864" w:type="dxa"/>
            <w:gridSpan w:val="2"/>
          </w:tcPr>
          <w:p w:rsidR="001F292B" w:rsidRPr="005D409A" w:rsidRDefault="001F292B" w:rsidP="00BD5A1E">
            <w:pPr>
              <w:spacing w:line="276" w:lineRule="auto"/>
              <w:rPr>
                <w:kern w:val="0"/>
                <w:szCs w:val="21"/>
              </w:rPr>
            </w:pPr>
            <w:r w:rsidRPr="005D409A">
              <w:rPr>
                <w:kern w:val="0"/>
                <w:szCs w:val="21"/>
              </w:rPr>
              <w:t>中债综合指数</w:t>
            </w:r>
          </w:p>
        </w:tc>
      </w:tr>
      <w:tr w:rsidR="001F292B" w:rsidRPr="005D409A" w:rsidTr="001F292B">
        <w:tc>
          <w:tcPr>
            <w:tcW w:w="1550" w:type="dxa"/>
          </w:tcPr>
          <w:p w:rsidR="001F292B" w:rsidRPr="005D409A" w:rsidRDefault="001F292B" w:rsidP="00BD5A1E">
            <w:pPr>
              <w:spacing w:line="276" w:lineRule="auto"/>
              <w:rPr>
                <w:rStyle w:val="a3"/>
                <w:szCs w:val="21"/>
              </w:rPr>
            </w:pPr>
            <w:r w:rsidRPr="005D409A">
              <w:rPr>
                <w:rStyle w:val="a3"/>
                <w:szCs w:val="21"/>
              </w:rPr>
              <w:t>风险收益特征</w:t>
            </w:r>
          </w:p>
        </w:tc>
        <w:tc>
          <w:tcPr>
            <w:tcW w:w="6864" w:type="dxa"/>
            <w:gridSpan w:val="2"/>
          </w:tcPr>
          <w:p w:rsidR="001F292B" w:rsidRPr="005D409A" w:rsidRDefault="001F292B" w:rsidP="00BD5A1E">
            <w:pPr>
              <w:spacing w:line="276" w:lineRule="auto"/>
              <w:rPr>
                <w:kern w:val="0"/>
                <w:szCs w:val="21"/>
              </w:rPr>
            </w:pPr>
            <w:r w:rsidRPr="005D409A">
              <w:rPr>
                <w:kern w:val="0"/>
                <w:szCs w:val="21"/>
              </w:rPr>
              <w:t>从基金资产整体运作来看，本基金为债券型基金，属于低风险基金产品，其长期平均风险和预期收益率低于股票型基金、混合型基金，高于货币市场基金。</w:t>
            </w:r>
          </w:p>
        </w:tc>
      </w:tr>
      <w:tr w:rsidR="001F292B" w:rsidRPr="005D409A" w:rsidTr="001F292B">
        <w:tc>
          <w:tcPr>
            <w:tcW w:w="1550" w:type="dxa"/>
            <w:vMerge w:val="restart"/>
          </w:tcPr>
          <w:p w:rsidR="001F292B" w:rsidRPr="005D409A" w:rsidRDefault="001F292B" w:rsidP="00BD5A1E">
            <w:pPr>
              <w:spacing w:line="276" w:lineRule="auto"/>
              <w:rPr>
                <w:szCs w:val="21"/>
              </w:rPr>
            </w:pPr>
            <w:r w:rsidRPr="005D409A">
              <w:rPr>
                <w:kern w:val="0"/>
                <w:szCs w:val="21"/>
              </w:rPr>
              <w:t>下属分级基金的风险收益特征</w:t>
            </w:r>
          </w:p>
        </w:tc>
        <w:tc>
          <w:tcPr>
            <w:tcW w:w="3409" w:type="dxa"/>
          </w:tcPr>
          <w:p w:rsidR="001F292B" w:rsidRPr="005D409A" w:rsidRDefault="001F292B" w:rsidP="00BD5A1E">
            <w:pPr>
              <w:spacing w:line="276" w:lineRule="auto"/>
              <w:jc w:val="center"/>
              <w:rPr>
                <w:kern w:val="0"/>
                <w:szCs w:val="21"/>
              </w:rPr>
            </w:pPr>
            <w:r w:rsidRPr="005D409A">
              <w:rPr>
                <w:kern w:val="0"/>
                <w:szCs w:val="21"/>
              </w:rPr>
              <w:t>大成景祥分级债</w:t>
            </w:r>
            <w:r w:rsidRPr="005D409A">
              <w:rPr>
                <w:kern w:val="0"/>
                <w:szCs w:val="21"/>
              </w:rPr>
              <w:t>A</w:t>
            </w:r>
          </w:p>
        </w:tc>
        <w:tc>
          <w:tcPr>
            <w:tcW w:w="3455" w:type="dxa"/>
          </w:tcPr>
          <w:p w:rsidR="001F292B" w:rsidRPr="005D409A" w:rsidRDefault="001F292B" w:rsidP="00BD5A1E">
            <w:pPr>
              <w:spacing w:line="276" w:lineRule="auto"/>
              <w:jc w:val="center"/>
              <w:rPr>
                <w:kern w:val="0"/>
                <w:szCs w:val="21"/>
              </w:rPr>
            </w:pPr>
            <w:r w:rsidRPr="005D409A">
              <w:rPr>
                <w:kern w:val="0"/>
                <w:szCs w:val="21"/>
              </w:rPr>
              <w:t>大成景祥分级债</w:t>
            </w:r>
            <w:r w:rsidRPr="005D409A">
              <w:rPr>
                <w:kern w:val="0"/>
                <w:szCs w:val="21"/>
              </w:rPr>
              <w:t>B</w:t>
            </w:r>
          </w:p>
        </w:tc>
      </w:tr>
      <w:tr w:rsidR="001F292B" w:rsidRPr="005D409A" w:rsidTr="001F292B">
        <w:trPr>
          <w:trHeight w:val="158"/>
        </w:trPr>
        <w:tc>
          <w:tcPr>
            <w:tcW w:w="1550" w:type="dxa"/>
            <w:vMerge/>
          </w:tcPr>
          <w:p w:rsidR="001F292B" w:rsidRPr="005D409A" w:rsidRDefault="001F292B" w:rsidP="00BD5A1E">
            <w:pPr>
              <w:spacing w:line="276" w:lineRule="auto"/>
              <w:rPr>
                <w:szCs w:val="21"/>
              </w:rPr>
            </w:pPr>
          </w:p>
        </w:tc>
        <w:tc>
          <w:tcPr>
            <w:tcW w:w="3409" w:type="dxa"/>
          </w:tcPr>
          <w:p w:rsidR="001F292B" w:rsidRPr="005D409A" w:rsidRDefault="001F292B" w:rsidP="00BD5A1E">
            <w:pPr>
              <w:spacing w:line="276" w:lineRule="auto"/>
              <w:ind w:right="360"/>
              <w:rPr>
                <w:kern w:val="0"/>
                <w:szCs w:val="21"/>
              </w:rPr>
            </w:pPr>
            <w:r w:rsidRPr="005D409A">
              <w:rPr>
                <w:kern w:val="0"/>
                <w:szCs w:val="21"/>
              </w:rPr>
              <w:t>景祥</w:t>
            </w:r>
            <w:r w:rsidRPr="005D409A">
              <w:rPr>
                <w:kern w:val="0"/>
                <w:szCs w:val="21"/>
              </w:rPr>
              <w:t>A</w:t>
            </w:r>
            <w:r w:rsidRPr="005D409A">
              <w:rPr>
                <w:kern w:val="0"/>
                <w:szCs w:val="21"/>
              </w:rPr>
              <w:t>份额将表现出较低风险、稳健收益的明显特征，其预期收益和预期风险要低于普通的债券型基金份额。</w:t>
            </w:r>
          </w:p>
        </w:tc>
        <w:tc>
          <w:tcPr>
            <w:tcW w:w="3455" w:type="dxa"/>
          </w:tcPr>
          <w:p w:rsidR="001F292B" w:rsidRPr="005D409A" w:rsidRDefault="001F292B" w:rsidP="00BD5A1E">
            <w:pPr>
              <w:spacing w:line="276" w:lineRule="auto"/>
              <w:rPr>
                <w:kern w:val="0"/>
                <w:szCs w:val="21"/>
              </w:rPr>
            </w:pPr>
            <w:r w:rsidRPr="005D409A">
              <w:rPr>
                <w:kern w:val="0"/>
                <w:szCs w:val="21"/>
              </w:rPr>
              <w:t>景祥</w:t>
            </w:r>
            <w:r w:rsidRPr="005D409A">
              <w:rPr>
                <w:kern w:val="0"/>
                <w:szCs w:val="21"/>
              </w:rPr>
              <w:t>B</w:t>
            </w:r>
            <w:r w:rsidRPr="005D409A">
              <w:rPr>
                <w:kern w:val="0"/>
                <w:szCs w:val="21"/>
              </w:rPr>
              <w:t>份额表现出高风险、高收益的显著特征，其预期收益和预期风险要高于普通的债券型基金份额。</w:t>
            </w:r>
          </w:p>
        </w:tc>
      </w:tr>
    </w:tbl>
    <w:p w:rsidR="001F292B" w:rsidRPr="001F292B" w:rsidRDefault="001F292B" w:rsidP="008905D2">
      <w:pPr>
        <w:spacing w:line="360" w:lineRule="auto"/>
        <w:jc w:val="center"/>
        <w:rPr>
          <w:b/>
        </w:rPr>
      </w:pPr>
    </w:p>
    <w:p w:rsidR="00BD5A1E" w:rsidRDefault="00BD5A1E">
      <w:pPr>
        <w:widowControl/>
        <w:jc w:val="left"/>
        <w:rPr>
          <w:b/>
        </w:rPr>
      </w:pPr>
      <w:r>
        <w:rPr>
          <w:b/>
        </w:rPr>
        <w:br w:type="page"/>
      </w:r>
    </w:p>
    <w:p w:rsidR="00963A23" w:rsidRPr="00CB2D30" w:rsidRDefault="003A43D0" w:rsidP="008905D2">
      <w:pPr>
        <w:spacing w:line="360" w:lineRule="auto"/>
        <w:jc w:val="center"/>
        <w:rPr>
          <w:b/>
        </w:rPr>
      </w:pPr>
      <w:r w:rsidRPr="00CB2D30">
        <w:rPr>
          <w:rFonts w:hint="eastAsia"/>
          <w:b/>
        </w:rPr>
        <w:t>三、财务会计报表</w:t>
      </w:r>
    </w:p>
    <w:p w:rsidR="003A43D0" w:rsidRPr="001F292B" w:rsidRDefault="008905D2" w:rsidP="008905D2">
      <w:pPr>
        <w:spacing w:line="360" w:lineRule="auto"/>
        <w:rPr>
          <w:b/>
        </w:rPr>
      </w:pPr>
      <w:r w:rsidRPr="001F292B">
        <w:rPr>
          <w:rFonts w:hint="eastAsia"/>
          <w:b/>
        </w:rPr>
        <w:t xml:space="preserve">1. </w:t>
      </w:r>
      <w:r w:rsidR="003A43D0" w:rsidRPr="001F292B">
        <w:rPr>
          <w:rFonts w:hint="eastAsia"/>
          <w:b/>
        </w:rPr>
        <w:t>资产负债表（已经审计）</w:t>
      </w:r>
    </w:p>
    <w:p w:rsidR="003A43D0" w:rsidRPr="001F292B" w:rsidRDefault="003A43D0" w:rsidP="008905D2">
      <w:pPr>
        <w:spacing w:line="360" w:lineRule="auto"/>
        <w:rPr>
          <w:b/>
        </w:rPr>
      </w:pPr>
      <w:r w:rsidRPr="001F292B">
        <w:rPr>
          <w:rFonts w:hint="eastAsia"/>
          <w:b/>
        </w:rPr>
        <w:t>会计主体：</w:t>
      </w:r>
      <w:r w:rsidR="008905D2" w:rsidRPr="001F292B">
        <w:rPr>
          <w:b/>
          <w:kern w:val="0"/>
          <w:szCs w:val="21"/>
        </w:rPr>
        <w:t>大成景祥分级债券型证券投资基金</w:t>
      </w:r>
    </w:p>
    <w:p w:rsidR="003A43D0" w:rsidRPr="001F292B" w:rsidRDefault="003A43D0" w:rsidP="008905D2">
      <w:pPr>
        <w:spacing w:line="360" w:lineRule="auto"/>
        <w:rPr>
          <w:b/>
        </w:rPr>
      </w:pPr>
      <w:r w:rsidRPr="001F292B">
        <w:rPr>
          <w:rFonts w:hint="eastAsia"/>
          <w:b/>
        </w:rPr>
        <w:t>报告截止日：</w:t>
      </w:r>
      <w:r w:rsidRPr="001F292B">
        <w:rPr>
          <w:rFonts w:hint="eastAsia"/>
          <w:b/>
        </w:rPr>
        <w:t xml:space="preserve"> 2016 </w:t>
      </w:r>
      <w:r w:rsidRPr="001F292B">
        <w:rPr>
          <w:rFonts w:hint="eastAsia"/>
          <w:b/>
        </w:rPr>
        <w:t>年</w:t>
      </w:r>
      <w:r w:rsidR="008905D2" w:rsidRPr="001F292B">
        <w:rPr>
          <w:rFonts w:hint="eastAsia"/>
          <w:b/>
        </w:rPr>
        <w:t>11</w:t>
      </w:r>
      <w:r w:rsidRPr="001F292B">
        <w:rPr>
          <w:rFonts w:hint="eastAsia"/>
          <w:b/>
        </w:rPr>
        <w:t>月</w:t>
      </w:r>
      <w:r w:rsidRPr="001F292B">
        <w:rPr>
          <w:rFonts w:hint="eastAsia"/>
          <w:b/>
        </w:rPr>
        <w:t xml:space="preserve"> 18 </w:t>
      </w:r>
      <w:r w:rsidRPr="001F292B">
        <w:rPr>
          <w:rFonts w:hint="eastAsia"/>
          <w:b/>
        </w:rPr>
        <w:t>日</w:t>
      </w:r>
      <w:r w:rsidR="008905D2" w:rsidRPr="001F292B">
        <w:rPr>
          <w:rFonts w:hint="eastAsia"/>
          <w:b/>
        </w:rPr>
        <w:t>（基金合同到期日）</w:t>
      </w:r>
    </w:p>
    <w:p w:rsidR="003A43D0" w:rsidRDefault="008905D2" w:rsidP="008905D2">
      <w:pPr>
        <w:spacing w:line="360" w:lineRule="auto"/>
        <w:jc w:val="right"/>
      </w:pPr>
      <w:r>
        <w:rPr>
          <w:rFonts w:hint="eastAsia"/>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126"/>
        <w:gridCol w:w="2410"/>
        <w:gridCol w:w="1843"/>
      </w:tblGrid>
      <w:tr w:rsidR="00CB2D30" w:rsidRPr="005D409A" w:rsidTr="00CB2D30">
        <w:trPr>
          <w:trHeight w:val="5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5D409A" w:rsidRDefault="00CB2D30" w:rsidP="003260A3">
            <w:pPr>
              <w:pStyle w:val="a4"/>
              <w:jc w:val="center"/>
              <w:rPr>
                <w:rFonts w:ascii="Times New Roman" w:hAnsi="Times New Roman"/>
                <w:b/>
                <w:kern w:val="2"/>
                <w:sz w:val="21"/>
                <w:szCs w:val="21"/>
              </w:rPr>
            </w:pPr>
            <w:r w:rsidRPr="005D409A">
              <w:rPr>
                <w:rFonts w:ascii="Times New Roman" w:hAnsi="Times New Roman"/>
                <w:b/>
                <w:kern w:val="2"/>
                <w:sz w:val="21"/>
                <w:szCs w:val="21"/>
              </w:rPr>
              <w:t>资</w:t>
            </w:r>
            <w:r w:rsidRPr="005D409A">
              <w:rPr>
                <w:rFonts w:ascii="Times New Roman" w:hAnsi="Times New Roman"/>
                <w:b/>
                <w:kern w:val="2"/>
                <w:sz w:val="21"/>
                <w:szCs w:val="21"/>
              </w:rPr>
              <w:t xml:space="preserve"> </w:t>
            </w:r>
            <w:r w:rsidRPr="005D409A">
              <w:rPr>
                <w:rFonts w:ascii="Times New Roman" w:hAnsi="Times New Roman"/>
                <w:b/>
                <w:kern w:val="2"/>
                <w:sz w:val="21"/>
                <w:szCs w:val="21"/>
              </w:rPr>
              <w:t>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5D409A" w:rsidRDefault="00CB2D30" w:rsidP="003260A3">
            <w:pPr>
              <w:pStyle w:val="a4"/>
              <w:spacing w:before="0" w:beforeAutospacing="0" w:after="0" w:afterAutospacing="0"/>
              <w:jc w:val="center"/>
              <w:rPr>
                <w:rFonts w:ascii="Times New Roman" w:hAnsi="Times New Roman"/>
                <w:b/>
                <w:kern w:val="2"/>
                <w:sz w:val="21"/>
                <w:szCs w:val="21"/>
              </w:rPr>
            </w:pPr>
            <w:r>
              <w:rPr>
                <w:rFonts w:ascii="Times New Roman" w:hAnsi="Times New Roman" w:hint="eastAsia"/>
                <w:b/>
                <w:kern w:val="2"/>
                <w:sz w:val="21"/>
                <w:szCs w:val="21"/>
              </w:rPr>
              <w:t>期末余额</w:t>
            </w:r>
          </w:p>
        </w:tc>
        <w:tc>
          <w:tcPr>
            <w:tcW w:w="2410" w:type="dxa"/>
            <w:shd w:val="clear" w:color="auto" w:fill="auto"/>
            <w:vAlign w:val="center"/>
          </w:tcPr>
          <w:p w:rsidR="00CB2D30" w:rsidRPr="005D409A" w:rsidRDefault="00CB2D30" w:rsidP="003260A3">
            <w:pPr>
              <w:pStyle w:val="a4"/>
              <w:jc w:val="center"/>
              <w:rPr>
                <w:rFonts w:ascii="Times New Roman" w:hAnsi="Times New Roman"/>
                <w:b/>
                <w:kern w:val="2"/>
                <w:sz w:val="21"/>
                <w:szCs w:val="21"/>
              </w:rPr>
            </w:pPr>
            <w:r w:rsidRPr="005D409A">
              <w:rPr>
                <w:rFonts w:ascii="Times New Roman" w:hAnsi="Times New Roman"/>
                <w:b/>
                <w:kern w:val="2"/>
                <w:sz w:val="21"/>
                <w:szCs w:val="21"/>
              </w:rPr>
              <w:t>负债和所有者权益</w:t>
            </w:r>
          </w:p>
        </w:tc>
        <w:tc>
          <w:tcPr>
            <w:tcW w:w="1843" w:type="dxa"/>
            <w:shd w:val="clear" w:color="auto" w:fill="auto"/>
            <w:vAlign w:val="center"/>
          </w:tcPr>
          <w:p w:rsidR="00CB2D30" w:rsidRPr="005D409A" w:rsidRDefault="00CB2D30" w:rsidP="003260A3">
            <w:pPr>
              <w:pStyle w:val="a4"/>
              <w:spacing w:before="0" w:beforeAutospacing="0" w:after="0" w:afterAutospacing="0"/>
              <w:jc w:val="center"/>
              <w:rPr>
                <w:rFonts w:ascii="Times New Roman" w:hAnsi="Times New Roman"/>
                <w:b/>
                <w:kern w:val="2"/>
                <w:sz w:val="21"/>
                <w:szCs w:val="21"/>
              </w:rPr>
            </w:pPr>
            <w:r>
              <w:rPr>
                <w:rFonts w:ascii="Times New Roman" w:hAnsi="Times New Roman" w:hint="eastAsia"/>
                <w:b/>
                <w:kern w:val="2"/>
                <w:sz w:val="21"/>
                <w:szCs w:val="21"/>
              </w:rPr>
              <w:t>期末余额</w:t>
            </w:r>
          </w:p>
        </w:tc>
      </w:tr>
      <w:tr w:rsidR="00CB2D30" w:rsidRPr="005D409A" w:rsidTr="00CB2D30">
        <w:trPr>
          <w:trHeight w:val="253"/>
        </w:trPr>
        <w:tc>
          <w:tcPr>
            <w:tcW w:w="1985" w:type="dxa"/>
            <w:tcBorders>
              <w:top w:val="single" w:sz="4" w:space="0" w:color="auto"/>
              <w:left w:val="single" w:sz="4" w:space="0" w:color="auto"/>
              <w:bottom w:val="single" w:sz="4" w:space="0" w:color="auto"/>
              <w:right w:val="single" w:sz="4" w:space="0" w:color="auto"/>
            </w:tcBorders>
            <w:vAlign w:val="center"/>
          </w:tcPr>
          <w:p w:rsidR="00CB2D30" w:rsidRPr="005D409A" w:rsidRDefault="00CB2D30" w:rsidP="003260A3">
            <w:pPr>
              <w:pStyle w:val="a4"/>
              <w:rPr>
                <w:rFonts w:ascii="Times New Roman" w:hAnsi="Times New Roman"/>
                <w:b/>
                <w:kern w:val="2"/>
                <w:sz w:val="21"/>
                <w:szCs w:val="21"/>
              </w:rPr>
            </w:pPr>
            <w:r w:rsidRPr="005D409A">
              <w:rPr>
                <w:rFonts w:ascii="Times New Roman" w:hAnsi="Times New Roman"/>
                <w:b/>
                <w:kern w:val="2"/>
                <w:sz w:val="21"/>
                <w:szCs w:val="21"/>
              </w:rPr>
              <w:t>资</w:t>
            </w:r>
            <w:r w:rsidRPr="005D409A">
              <w:rPr>
                <w:rFonts w:ascii="Times New Roman" w:hAnsi="Times New Roman"/>
                <w:b/>
                <w:kern w:val="2"/>
                <w:sz w:val="21"/>
                <w:szCs w:val="21"/>
              </w:rPr>
              <w:t xml:space="preserve"> </w:t>
            </w:r>
            <w:r w:rsidRPr="005D409A">
              <w:rPr>
                <w:rFonts w:ascii="Times New Roman" w:hAnsi="Times New Roman"/>
                <w:b/>
                <w:kern w:val="2"/>
                <w:sz w:val="21"/>
                <w:szCs w:val="21"/>
              </w:rPr>
              <w:t>产：</w:t>
            </w:r>
          </w:p>
        </w:tc>
        <w:tc>
          <w:tcPr>
            <w:tcW w:w="2126" w:type="dxa"/>
            <w:tcBorders>
              <w:top w:val="single" w:sz="4" w:space="0" w:color="auto"/>
              <w:left w:val="single" w:sz="4" w:space="0" w:color="auto"/>
              <w:bottom w:val="single" w:sz="4" w:space="0" w:color="auto"/>
              <w:right w:val="single" w:sz="4" w:space="0" w:color="auto"/>
            </w:tcBorders>
          </w:tcPr>
          <w:p w:rsidR="00CB2D30" w:rsidRPr="005D409A" w:rsidRDefault="00CB2D30" w:rsidP="003260A3">
            <w:pPr>
              <w:pStyle w:val="a4"/>
              <w:jc w:val="right"/>
              <w:rPr>
                <w:rFonts w:ascii="Times New Roman" w:hAnsi="Times New Roman"/>
                <w:kern w:val="2"/>
                <w:sz w:val="21"/>
                <w:szCs w:val="21"/>
              </w:rPr>
            </w:pPr>
          </w:p>
        </w:tc>
        <w:tc>
          <w:tcPr>
            <w:tcW w:w="2410" w:type="dxa"/>
            <w:vAlign w:val="center"/>
          </w:tcPr>
          <w:p w:rsidR="00CB2D30" w:rsidRPr="005D409A" w:rsidRDefault="00CB2D30" w:rsidP="003260A3">
            <w:pPr>
              <w:pStyle w:val="a4"/>
              <w:rPr>
                <w:rFonts w:ascii="Times New Roman" w:hAnsi="Times New Roman"/>
                <w:b/>
                <w:kern w:val="2"/>
                <w:sz w:val="21"/>
                <w:szCs w:val="21"/>
              </w:rPr>
            </w:pPr>
            <w:r w:rsidRPr="005D409A">
              <w:rPr>
                <w:rFonts w:ascii="Times New Roman" w:hAnsi="Times New Roman"/>
                <w:b/>
                <w:kern w:val="2"/>
                <w:sz w:val="21"/>
                <w:szCs w:val="21"/>
              </w:rPr>
              <w:t>负</w:t>
            </w:r>
            <w:r w:rsidRPr="005D409A">
              <w:rPr>
                <w:rFonts w:ascii="Times New Roman" w:hAnsi="Times New Roman"/>
                <w:b/>
                <w:kern w:val="2"/>
                <w:sz w:val="21"/>
                <w:szCs w:val="21"/>
              </w:rPr>
              <w:t xml:space="preserve"> </w:t>
            </w:r>
            <w:r w:rsidRPr="005D409A">
              <w:rPr>
                <w:rFonts w:ascii="Times New Roman" w:hAnsi="Times New Roman"/>
                <w:b/>
                <w:kern w:val="2"/>
                <w:sz w:val="21"/>
                <w:szCs w:val="21"/>
              </w:rPr>
              <w:t>债：</w:t>
            </w:r>
          </w:p>
        </w:tc>
        <w:tc>
          <w:tcPr>
            <w:tcW w:w="1843" w:type="dxa"/>
          </w:tcPr>
          <w:p w:rsidR="00CB2D30" w:rsidRPr="005D409A" w:rsidRDefault="00CB2D30" w:rsidP="003260A3">
            <w:pPr>
              <w:pStyle w:val="a4"/>
              <w:jc w:val="right"/>
              <w:rPr>
                <w:rFonts w:ascii="Times New Roman" w:hAnsi="Times New Roman"/>
                <w:kern w:val="2"/>
                <w:sz w:val="21"/>
                <w:szCs w:val="21"/>
              </w:rPr>
            </w:pP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银行存款</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2,150,400,674.45</w:t>
            </w:r>
          </w:p>
        </w:tc>
        <w:tc>
          <w:tcPr>
            <w:tcW w:w="2410" w:type="dxa"/>
          </w:tcPr>
          <w:p w:rsidR="00EF3B56" w:rsidRPr="005D409A" w:rsidRDefault="00EF3B56" w:rsidP="003260A3">
            <w:pPr>
              <w:pStyle w:val="a5"/>
              <w:rPr>
                <w:szCs w:val="21"/>
              </w:rPr>
            </w:pPr>
            <w:r>
              <w:rPr>
                <w:rFonts w:hint="eastAsia"/>
                <w:color w:val="000000"/>
                <w:sz w:val="22"/>
                <w:szCs w:val="22"/>
              </w:rPr>
              <w:t>短期借款</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67"/>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结算备付金</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456,384.15</w:t>
            </w:r>
          </w:p>
        </w:tc>
        <w:tc>
          <w:tcPr>
            <w:tcW w:w="2410" w:type="dxa"/>
          </w:tcPr>
          <w:p w:rsidR="00EF3B56" w:rsidRPr="005D409A" w:rsidRDefault="00EF3B56" w:rsidP="003260A3">
            <w:pPr>
              <w:pStyle w:val="a5"/>
              <w:rPr>
                <w:szCs w:val="21"/>
              </w:rPr>
            </w:pPr>
            <w:r>
              <w:rPr>
                <w:rFonts w:hint="eastAsia"/>
                <w:color w:val="000000"/>
                <w:sz w:val="22"/>
                <w:szCs w:val="22"/>
              </w:rPr>
              <w:t>交易性金融负债</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存出保证金</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23,287.66</w:t>
            </w:r>
          </w:p>
        </w:tc>
        <w:tc>
          <w:tcPr>
            <w:tcW w:w="2410" w:type="dxa"/>
          </w:tcPr>
          <w:p w:rsidR="00EF3B56" w:rsidRPr="005D409A" w:rsidRDefault="00EF3B56" w:rsidP="003260A3">
            <w:pPr>
              <w:pStyle w:val="a5"/>
              <w:rPr>
                <w:szCs w:val="21"/>
              </w:rPr>
            </w:pPr>
            <w:r>
              <w:rPr>
                <w:rFonts w:hint="eastAsia"/>
                <w:color w:val="000000"/>
                <w:sz w:val="22"/>
                <w:szCs w:val="22"/>
              </w:rPr>
              <w:t>衍生金融负债</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交易性金融资产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10,938,622.38</w:t>
            </w:r>
          </w:p>
        </w:tc>
        <w:tc>
          <w:tcPr>
            <w:tcW w:w="2410" w:type="dxa"/>
          </w:tcPr>
          <w:p w:rsidR="00EF3B56" w:rsidRPr="005D409A" w:rsidRDefault="00EF3B56" w:rsidP="003260A3">
            <w:pPr>
              <w:pStyle w:val="a5"/>
              <w:rPr>
                <w:szCs w:val="21"/>
              </w:rPr>
            </w:pPr>
            <w:r>
              <w:rPr>
                <w:rFonts w:hint="eastAsia"/>
                <w:color w:val="000000"/>
                <w:sz w:val="22"/>
                <w:szCs w:val="22"/>
              </w:rPr>
              <w:t>卖出回购金融资产款</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其中：股票投资</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应付证券清算款</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055A29">
            <w:pPr>
              <w:pStyle w:val="a4"/>
              <w:ind w:firstLineChars="300" w:firstLine="660"/>
              <w:rPr>
                <w:rFonts w:ascii="Times New Roman" w:hAnsi="Times New Roman"/>
                <w:kern w:val="2"/>
                <w:sz w:val="21"/>
                <w:szCs w:val="21"/>
              </w:rPr>
            </w:pPr>
            <w:r>
              <w:rPr>
                <w:rFonts w:hint="eastAsia"/>
                <w:color w:val="000000"/>
                <w:sz w:val="22"/>
                <w:szCs w:val="22"/>
              </w:rPr>
              <w:t>债券投资</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szCs w:val="21"/>
              </w:rPr>
            </w:pPr>
            <w:r>
              <w:rPr>
                <w:rFonts w:hint="eastAsia"/>
                <w:color w:val="000000"/>
                <w:sz w:val="22"/>
                <w:szCs w:val="22"/>
              </w:rPr>
              <w:t>10,938,622.38</w:t>
            </w:r>
          </w:p>
        </w:tc>
        <w:tc>
          <w:tcPr>
            <w:tcW w:w="2410" w:type="dxa"/>
          </w:tcPr>
          <w:p w:rsidR="00EF3B56" w:rsidRPr="005D409A" w:rsidRDefault="00EF3B56" w:rsidP="003260A3">
            <w:pPr>
              <w:pStyle w:val="a5"/>
              <w:rPr>
                <w:szCs w:val="21"/>
              </w:rPr>
            </w:pPr>
            <w:r>
              <w:rPr>
                <w:rFonts w:hint="eastAsia"/>
                <w:color w:val="000000"/>
                <w:sz w:val="22"/>
                <w:szCs w:val="22"/>
              </w:rPr>
              <w:t>应付赎回款</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8"/>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055A29">
            <w:pPr>
              <w:pStyle w:val="a4"/>
              <w:ind w:firstLineChars="300" w:firstLine="660"/>
              <w:rPr>
                <w:rFonts w:ascii="Times New Roman" w:hAnsi="Times New Roman"/>
                <w:kern w:val="2"/>
                <w:sz w:val="21"/>
                <w:szCs w:val="21"/>
              </w:rPr>
            </w:pPr>
            <w:r>
              <w:rPr>
                <w:rFonts w:hint="eastAsia"/>
                <w:color w:val="000000"/>
                <w:sz w:val="22"/>
                <w:szCs w:val="22"/>
              </w:rPr>
              <w:t>资产支持证券投资</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应付管理人报酬</w:t>
            </w:r>
          </w:p>
        </w:tc>
        <w:tc>
          <w:tcPr>
            <w:tcW w:w="1843" w:type="dxa"/>
            <w:vAlign w:val="bottom"/>
          </w:tcPr>
          <w:p w:rsidR="00EF3B56" w:rsidRPr="005D409A" w:rsidRDefault="00EF3B56" w:rsidP="005A011A">
            <w:pPr>
              <w:jc w:val="right"/>
              <w:rPr>
                <w:kern w:val="0"/>
                <w:szCs w:val="21"/>
              </w:rPr>
            </w:pPr>
            <w:r>
              <w:rPr>
                <w:rFonts w:hint="eastAsia"/>
                <w:color w:val="000000"/>
                <w:sz w:val="22"/>
                <w:szCs w:val="22"/>
              </w:rPr>
              <w:t>1,179,765.93</w:t>
            </w:r>
          </w:p>
        </w:tc>
      </w:tr>
      <w:tr w:rsidR="00EF3B56" w:rsidRPr="005D409A" w:rsidTr="00055A29">
        <w:trPr>
          <w:trHeight w:val="267"/>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055A29">
            <w:pPr>
              <w:pStyle w:val="a4"/>
              <w:ind w:firstLineChars="300" w:firstLine="660"/>
              <w:rPr>
                <w:rFonts w:ascii="Times New Roman" w:hAnsi="Times New Roman"/>
                <w:kern w:val="2"/>
                <w:sz w:val="21"/>
                <w:szCs w:val="21"/>
              </w:rPr>
            </w:pPr>
            <w:r>
              <w:rPr>
                <w:rFonts w:hint="eastAsia"/>
                <w:color w:val="000000"/>
                <w:sz w:val="22"/>
                <w:szCs w:val="22"/>
              </w:rPr>
              <w:t>基金投资</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应付托管费</w:t>
            </w:r>
          </w:p>
        </w:tc>
        <w:tc>
          <w:tcPr>
            <w:tcW w:w="1843" w:type="dxa"/>
            <w:vAlign w:val="bottom"/>
          </w:tcPr>
          <w:p w:rsidR="00EF3B56" w:rsidRPr="005D409A" w:rsidRDefault="00EF3B56" w:rsidP="003260A3">
            <w:pPr>
              <w:jc w:val="right"/>
              <w:rPr>
                <w:kern w:val="0"/>
                <w:szCs w:val="21"/>
              </w:rPr>
            </w:pPr>
            <w:r>
              <w:rPr>
                <w:rFonts w:hint="eastAsia"/>
                <w:color w:val="000000"/>
                <w:sz w:val="22"/>
                <w:szCs w:val="22"/>
              </w:rPr>
              <w:t>224,291.30</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衍生金融资产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应付销售服务费</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买入返售金融资产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应付交易费用</w:t>
            </w:r>
          </w:p>
        </w:tc>
        <w:tc>
          <w:tcPr>
            <w:tcW w:w="1843" w:type="dxa"/>
            <w:vAlign w:val="bottom"/>
          </w:tcPr>
          <w:p w:rsidR="00EF3B56" w:rsidRPr="005D409A" w:rsidRDefault="00EF3B56" w:rsidP="003260A3">
            <w:pPr>
              <w:jc w:val="right"/>
              <w:rPr>
                <w:kern w:val="0"/>
                <w:szCs w:val="21"/>
              </w:rPr>
            </w:pPr>
            <w:r>
              <w:rPr>
                <w:rFonts w:hint="eastAsia"/>
                <w:color w:val="000000"/>
                <w:sz w:val="22"/>
                <w:szCs w:val="22"/>
              </w:rPr>
              <w:t>18,518.96</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应收证券清算款</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应付税费</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67"/>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应收利息</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570,684.14</w:t>
            </w:r>
          </w:p>
        </w:tc>
        <w:tc>
          <w:tcPr>
            <w:tcW w:w="2410" w:type="dxa"/>
          </w:tcPr>
          <w:p w:rsidR="00EF3B56" w:rsidRPr="005D409A" w:rsidRDefault="00EF3B56" w:rsidP="003260A3">
            <w:pPr>
              <w:pStyle w:val="a5"/>
              <w:rPr>
                <w:szCs w:val="21"/>
              </w:rPr>
            </w:pPr>
            <w:r>
              <w:rPr>
                <w:rFonts w:hint="eastAsia"/>
                <w:color w:val="000000"/>
                <w:sz w:val="22"/>
                <w:szCs w:val="22"/>
              </w:rPr>
              <w:t>应付利息</w:t>
            </w:r>
          </w:p>
        </w:tc>
        <w:tc>
          <w:tcPr>
            <w:tcW w:w="1843" w:type="dxa"/>
            <w:vAlign w:val="bottom"/>
          </w:tcPr>
          <w:p w:rsidR="00EF3B56" w:rsidRPr="005D409A" w:rsidRDefault="001662E8" w:rsidP="003260A3">
            <w:pPr>
              <w:jc w:val="right"/>
              <w:rPr>
                <w:kern w:val="0"/>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应收股利</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应付利润</w:t>
            </w:r>
          </w:p>
        </w:tc>
        <w:tc>
          <w:tcPr>
            <w:tcW w:w="1843" w:type="dxa"/>
            <w:vAlign w:val="bottom"/>
          </w:tcPr>
          <w:p w:rsidR="00EF3B56" w:rsidRPr="005D409A" w:rsidRDefault="001662E8" w:rsidP="003260A3">
            <w:pPr>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应收申购款</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kern w:val="0"/>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color w:val="000000"/>
                <w:sz w:val="22"/>
                <w:szCs w:val="22"/>
              </w:rPr>
              <w:t>其他负债</w:t>
            </w:r>
          </w:p>
        </w:tc>
        <w:tc>
          <w:tcPr>
            <w:tcW w:w="1843" w:type="dxa"/>
            <w:vAlign w:val="bottom"/>
          </w:tcPr>
          <w:p w:rsidR="00EF3B56" w:rsidRPr="005D409A" w:rsidRDefault="00EF3B56" w:rsidP="003260A3">
            <w:pPr>
              <w:jc w:val="right"/>
              <w:rPr>
                <w:kern w:val="0"/>
                <w:szCs w:val="21"/>
              </w:rPr>
            </w:pPr>
            <w:r>
              <w:rPr>
                <w:rFonts w:hint="eastAsia"/>
                <w:color w:val="000000"/>
                <w:sz w:val="22"/>
                <w:szCs w:val="22"/>
              </w:rPr>
              <w:t>101,140</w:t>
            </w:r>
            <w:r w:rsidR="00BC3EB9">
              <w:rPr>
                <w:rFonts w:hint="eastAsia"/>
                <w:color w:val="000000"/>
                <w:sz w:val="22"/>
                <w:szCs w:val="22"/>
              </w:rPr>
              <w:t>.00</w:t>
            </w:r>
          </w:p>
        </w:tc>
      </w:tr>
      <w:tr w:rsidR="00EF3B56" w:rsidRPr="005D409A" w:rsidTr="00055A29">
        <w:trPr>
          <w:trHeight w:val="253"/>
        </w:trPr>
        <w:tc>
          <w:tcPr>
            <w:tcW w:w="1985"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pStyle w:val="a5"/>
              <w:rPr>
                <w:szCs w:val="21"/>
              </w:rPr>
            </w:pPr>
            <w:r>
              <w:rPr>
                <w:rFonts w:hint="eastAsia"/>
                <w:color w:val="000000"/>
                <w:sz w:val="22"/>
                <w:szCs w:val="22"/>
              </w:rPr>
              <w:t>其他资产</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5D409A" w:rsidRDefault="00EF3B56" w:rsidP="003260A3">
            <w:pPr>
              <w:jc w:val="right"/>
              <w:rPr>
                <w:szCs w:val="21"/>
              </w:rPr>
            </w:pPr>
            <w:r>
              <w:rPr>
                <w:rFonts w:hint="eastAsia"/>
                <w:color w:val="000000"/>
                <w:sz w:val="22"/>
                <w:szCs w:val="22"/>
              </w:rPr>
              <w:t>-</w:t>
            </w:r>
            <w:r>
              <w:rPr>
                <w:rFonts w:hint="eastAsia"/>
                <w:color w:val="000000"/>
                <w:sz w:val="22"/>
                <w:szCs w:val="22"/>
              </w:rPr>
              <w:t xml:space="preserve">　</w:t>
            </w:r>
          </w:p>
        </w:tc>
        <w:tc>
          <w:tcPr>
            <w:tcW w:w="2410" w:type="dxa"/>
          </w:tcPr>
          <w:p w:rsidR="00EF3B56" w:rsidRPr="005D409A" w:rsidRDefault="00EF3B56" w:rsidP="003260A3">
            <w:pPr>
              <w:pStyle w:val="a5"/>
              <w:rPr>
                <w:szCs w:val="21"/>
              </w:rPr>
            </w:pPr>
            <w:r>
              <w:rPr>
                <w:rFonts w:hint="eastAsia"/>
                <w:b/>
                <w:bCs/>
                <w:color w:val="000000"/>
                <w:sz w:val="22"/>
                <w:szCs w:val="22"/>
              </w:rPr>
              <w:t>负债合计</w:t>
            </w:r>
          </w:p>
        </w:tc>
        <w:tc>
          <w:tcPr>
            <w:tcW w:w="1843" w:type="dxa"/>
            <w:vAlign w:val="bottom"/>
          </w:tcPr>
          <w:p w:rsidR="00EF3B56" w:rsidRPr="005D409A" w:rsidRDefault="00EF3B56" w:rsidP="003260A3">
            <w:pPr>
              <w:jc w:val="right"/>
              <w:rPr>
                <w:kern w:val="0"/>
                <w:szCs w:val="21"/>
              </w:rPr>
            </w:pPr>
            <w:r>
              <w:rPr>
                <w:rFonts w:hint="eastAsia"/>
                <w:color w:val="000000"/>
                <w:sz w:val="22"/>
                <w:szCs w:val="22"/>
              </w:rPr>
              <w:t>1,523,716.19</w:t>
            </w:r>
          </w:p>
        </w:tc>
      </w:tr>
      <w:tr w:rsidR="00CB2D30" w:rsidRPr="005D409A" w:rsidTr="00CB2D30">
        <w:trPr>
          <w:trHeight w:val="253"/>
        </w:trPr>
        <w:tc>
          <w:tcPr>
            <w:tcW w:w="1985" w:type="dxa"/>
            <w:tcBorders>
              <w:top w:val="single" w:sz="4" w:space="0" w:color="auto"/>
              <w:left w:val="single" w:sz="4" w:space="0" w:color="auto"/>
              <w:bottom w:val="single" w:sz="4" w:space="0" w:color="auto"/>
              <w:right w:val="single" w:sz="4" w:space="0" w:color="auto"/>
            </w:tcBorders>
            <w:vAlign w:val="center"/>
          </w:tcPr>
          <w:p w:rsidR="00CB2D30" w:rsidRPr="005D409A" w:rsidRDefault="00CB2D30" w:rsidP="003260A3">
            <w:pPr>
              <w:pStyle w:val="a5"/>
              <w:rPr>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5D409A" w:rsidRDefault="00CB2D30" w:rsidP="003260A3">
            <w:pPr>
              <w:jc w:val="right"/>
              <w:rPr>
                <w:kern w:val="0"/>
                <w:szCs w:val="21"/>
              </w:rPr>
            </w:pPr>
          </w:p>
        </w:tc>
        <w:tc>
          <w:tcPr>
            <w:tcW w:w="2410" w:type="dxa"/>
            <w:vAlign w:val="center"/>
          </w:tcPr>
          <w:p w:rsidR="00CB2D30" w:rsidRPr="005D409A" w:rsidRDefault="00CB2D30" w:rsidP="003260A3">
            <w:pPr>
              <w:pStyle w:val="a4"/>
              <w:rPr>
                <w:rFonts w:ascii="Times New Roman" w:hAnsi="Times New Roman"/>
                <w:b/>
                <w:kern w:val="2"/>
                <w:sz w:val="21"/>
                <w:szCs w:val="21"/>
              </w:rPr>
            </w:pPr>
            <w:r w:rsidRPr="005D409A">
              <w:rPr>
                <w:rFonts w:ascii="Times New Roman" w:hAnsi="Times New Roman"/>
                <w:b/>
                <w:kern w:val="2"/>
                <w:sz w:val="21"/>
                <w:szCs w:val="21"/>
              </w:rPr>
              <w:t>所有者权益：</w:t>
            </w:r>
          </w:p>
        </w:tc>
        <w:tc>
          <w:tcPr>
            <w:tcW w:w="1843" w:type="dxa"/>
          </w:tcPr>
          <w:p w:rsidR="00CB2D30" w:rsidRPr="005D409A" w:rsidRDefault="00CB2D30" w:rsidP="003260A3">
            <w:pPr>
              <w:jc w:val="right"/>
              <w:rPr>
                <w:kern w:val="0"/>
                <w:szCs w:val="21"/>
              </w:rPr>
            </w:pPr>
          </w:p>
        </w:tc>
      </w:tr>
      <w:tr w:rsidR="00EF3B56" w:rsidRPr="005D409A" w:rsidTr="00055A29">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EF3B56" w:rsidRPr="00EF3B56" w:rsidRDefault="00EF3B56" w:rsidP="003260A3">
            <w:pPr>
              <w:pStyle w:val="a5"/>
              <w:rPr>
                <w:b/>
                <w:szCs w:val="21"/>
              </w:rPr>
            </w:pPr>
            <w:r w:rsidRPr="00EF3B56">
              <w:rPr>
                <w:b/>
                <w:szCs w:val="21"/>
              </w:rPr>
              <w:t>资产总计</w:t>
            </w:r>
          </w:p>
        </w:tc>
        <w:tc>
          <w:tcPr>
            <w:tcW w:w="2126" w:type="dxa"/>
            <w:tcBorders>
              <w:top w:val="single" w:sz="4" w:space="0" w:color="auto"/>
              <w:left w:val="single" w:sz="4" w:space="0" w:color="auto"/>
              <w:bottom w:val="single" w:sz="4" w:space="0" w:color="auto"/>
              <w:right w:val="single" w:sz="4" w:space="0" w:color="auto"/>
            </w:tcBorders>
          </w:tcPr>
          <w:p w:rsidR="00EF3B56" w:rsidRPr="00EF3B56" w:rsidRDefault="00EF3B56" w:rsidP="00EF3B56">
            <w:pPr>
              <w:jc w:val="right"/>
              <w:rPr>
                <w:rFonts w:ascii="宋体" w:hAnsi="宋体" w:cs="宋体"/>
                <w:color w:val="000000"/>
                <w:sz w:val="22"/>
                <w:szCs w:val="22"/>
              </w:rPr>
            </w:pPr>
            <w:r>
              <w:rPr>
                <w:rFonts w:hint="eastAsia"/>
                <w:color w:val="000000"/>
                <w:sz w:val="22"/>
                <w:szCs w:val="22"/>
              </w:rPr>
              <w:t>2,162,389,652.78</w:t>
            </w:r>
          </w:p>
        </w:tc>
        <w:tc>
          <w:tcPr>
            <w:tcW w:w="2410" w:type="dxa"/>
            <w:vAlign w:val="center"/>
          </w:tcPr>
          <w:p w:rsidR="00EF3B56" w:rsidRPr="005D409A" w:rsidRDefault="00EF3B56" w:rsidP="003260A3">
            <w:pPr>
              <w:pStyle w:val="a5"/>
              <w:rPr>
                <w:szCs w:val="21"/>
              </w:rPr>
            </w:pPr>
            <w:r w:rsidRPr="005D409A">
              <w:rPr>
                <w:szCs w:val="21"/>
              </w:rPr>
              <w:t>实收基金</w:t>
            </w:r>
          </w:p>
        </w:tc>
        <w:tc>
          <w:tcPr>
            <w:tcW w:w="1843" w:type="dxa"/>
            <w:vAlign w:val="bottom"/>
          </w:tcPr>
          <w:p w:rsidR="00EF3B56" w:rsidRPr="005D409A" w:rsidRDefault="00EF3B56" w:rsidP="003260A3">
            <w:pPr>
              <w:jc w:val="right"/>
              <w:rPr>
                <w:kern w:val="0"/>
                <w:szCs w:val="21"/>
              </w:rPr>
            </w:pPr>
            <w:r>
              <w:rPr>
                <w:rFonts w:hint="eastAsia"/>
                <w:color w:val="000000"/>
                <w:sz w:val="22"/>
                <w:szCs w:val="22"/>
              </w:rPr>
              <w:t>1,510,067,774.73</w:t>
            </w:r>
          </w:p>
        </w:tc>
      </w:tr>
      <w:tr w:rsidR="00EF3B56" w:rsidRPr="005D409A" w:rsidTr="00055A29">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p>
        </w:tc>
        <w:tc>
          <w:tcPr>
            <w:tcW w:w="2126" w:type="dxa"/>
            <w:tcBorders>
              <w:top w:val="single" w:sz="4" w:space="0" w:color="auto"/>
              <w:left w:val="single" w:sz="4" w:space="0" w:color="auto"/>
              <w:bottom w:val="single" w:sz="4" w:space="0" w:color="auto"/>
              <w:right w:val="single" w:sz="4" w:space="0" w:color="auto"/>
            </w:tcBorders>
          </w:tcPr>
          <w:p w:rsidR="00EF3B56" w:rsidRPr="005D409A" w:rsidRDefault="00EF3B56" w:rsidP="003260A3">
            <w:pPr>
              <w:jc w:val="right"/>
              <w:rPr>
                <w:kern w:val="0"/>
                <w:szCs w:val="21"/>
              </w:rPr>
            </w:pPr>
          </w:p>
        </w:tc>
        <w:tc>
          <w:tcPr>
            <w:tcW w:w="2410" w:type="dxa"/>
            <w:vAlign w:val="center"/>
          </w:tcPr>
          <w:p w:rsidR="00EF3B56" w:rsidRPr="005D409A" w:rsidRDefault="00EF3B56" w:rsidP="003260A3">
            <w:pPr>
              <w:pStyle w:val="a5"/>
              <w:rPr>
                <w:szCs w:val="21"/>
              </w:rPr>
            </w:pPr>
            <w:r w:rsidRPr="005D409A">
              <w:rPr>
                <w:szCs w:val="21"/>
              </w:rPr>
              <w:t>未分配利润</w:t>
            </w:r>
          </w:p>
        </w:tc>
        <w:tc>
          <w:tcPr>
            <w:tcW w:w="1843" w:type="dxa"/>
            <w:vAlign w:val="bottom"/>
          </w:tcPr>
          <w:p w:rsidR="00EF3B56" w:rsidRPr="005D409A" w:rsidRDefault="00EF3B56" w:rsidP="003260A3">
            <w:pPr>
              <w:jc w:val="right"/>
              <w:rPr>
                <w:kern w:val="0"/>
                <w:szCs w:val="21"/>
              </w:rPr>
            </w:pPr>
            <w:r>
              <w:rPr>
                <w:rFonts w:hint="eastAsia"/>
                <w:color w:val="000000"/>
                <w:sz w:val="22"/>
                <w:szCs w:val="22"/>
              </w:rPr>
              <w:t>650,798,161.86</w:t>
            </w:r>
          </w:p>
        </w:tc>
      </w:tr>
      <w:tr w:rsidR="00CB2D30" w:rsidRPr="005D409A" w:rsidTr="00CB2D30">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CB2D30" w:rsidRPr="005D409A" w:rsidRDefault="00CB2D30" w:rsidP="003260A3">
            <w:pPr>
              <w:pStyle w:val="a5"/>
              <w:rPr>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5D409A" w:rsidRDefault="00CB2D30" w:rsidP="003260A3">
            <w:pPr>
              <w:jc w:val="right"/>
              <w:rPr>
                <w:kern w:val="0"/>
                <w:szCs w:val="21"/>
              </w:rPr>
            </w:pPr>
          </w:p>
        </w:tc>
        <w:tc>
          <w:tcPr>
            <w:tcW w:w="2410" w:type="dxa"/>
            <w:vAlign w:val="center"/>
          </w:tcPr>
          <w:p w:rsidR="00CB2D30" w:rsidRPr="00EF3B56" w:rsidRDefault="00CB2D30" w:rsidP="003260A3">
            <w:pPr>
              <w:pStyle w:val="a5"/>
              <w:rPr>
                <w:b/>
                <w:szCs w:val="21"/>
              </w:rPr>
            </w:pPr>
            <w:r w:rsidRPr="00EF3B56">
              <w:rPr>
                <w:b/>
                <w:szCs w:val="21"/>
              </w:rPr>
              <w:t>所有者权益合计</w:t>
            </w:r>
          </w:p>
        </w:tc>
        <w:tc>
          <w:tcPr>
            <w:tcW w:w="1843" w:type="dxa"/>
          </w:tcPr>
          <w:p w:rsidR="00CB2D30" w:rsidRPr="00EF3B56" w:rsidRDefault="00EF3B56" w:rsidP="00EF3B56">
            <w:pPr>
              <w:jc w:val="right"/>
              <w:rPr>
                <w:rFonts w:ascii="宋体" w:hAnsi="宋体" w:cs="宋体"/>
                <w:color w:val="000000"/>
                <w:sz w:val="22"/>
                <w:szCs w:val="22"/>
              </w:rPr>
            </w:pPr>
            <w:r>
              <w:rPr>
                <w:rFonts w:hint="eastAsia"/>
                <w:color w:val="000000"/>
                <w:sz w:val="22"/>
                <w:szCs w:val="22"/>
              </w:rPr>
              <w:t>2,160,865,936.59</w:t>
            </w:r>
          </w:p>
        </w:tc>
      </w:tr>
      <w:tr w:rsidR="00CB2D30" w:rsidRPr="005D409A" w:rsidTr="00CB2D30">
        <w:trPr>
          <w:trHeight w:val="267"/>
        </w:trPr>
        <w:tc>
          <w:tcPr>
            <w:tcW w:w="1985" w:type="dxa"/>
            <w:tcBorders>
              <w:top w:val="single" w:sz="4" w:space="0" w:color="auto"/>
              <w:left w:val="single" w:sz="4" w:space="0" w:color="auto"/>
              <w:bottom w:val="single" w:sz="4" w:space="0" w:color="auto"/>
              <w:right w:val="single" w:sz="4" w:space="0" w:color="auto"/>
            </w:tcBorders>
            <w:vAlign w:val="center"/>
          </w:tcPr>
          <w:p w:rsidR="00CB2D30" w:rsidRPr="005D409A" w:rsidRDefault="00CB2D30" w:rsidP="003260A3">
            <w:pPr>
              <w:pStyle w:val="a5"/>
              <w:rPr>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5D409A" w:rsidRDefault="00CB2D30" w:rsidP="003260A3">
            <w:pPr>
              <w:jc w:val="right"/>
              <w:rPr>
                <w:kern w:val="0"/>
                <w:szCs w:val="21"/>
              </w:rPr>
            </w:pPr>
          </w:p>
        </w:tc>
        <w:tc>
          <w:tcPr>
            <w:tcW w:w="2410" w:type="dxa"/>
            <w:vAlign w:val="center"/>
          </w:tcPr>
          <w:p w:rsidR="00CB2D30" w:rsidRPr="00EF3B56" w:rsidRDefault="00CB2D30" w:rsidP="003260A3">
            <w:pPr>
              <w:pStyle w:val="a5"/>
              <w:rPr>
                <w:b/>
                <w:szCs w:val="21"/>
              </w:rPr>
            </w:pPr>
            <w:r w:rsidRPr="00EF3B56">
              <w:rPr>
                <w:b/>
                <w:szCs w:val="21"/>
              </w:rPr>
              <w:t>负债和所有者权益总计</w:t>
            </w:r>
          </w:p>
        </w:tc>
        <w:tc>
          <w:tcPr>
            <w:tcW w:w="1843" w:type="dxa"/>
          </w:tcPr>
          <w:p w:rsidR="00CB2D30" w:rsidRPr="00EF3B56" w:rsidRDefault="00EF3B56" w:rsidP="00EF3B56">
            <w:pPr>
              <w:jc w:val="right"/>
              <w:rPr>
                <w:rFonts w:ascii="宋体" w:hAnsi="宋体" w:cs="宋体"/>
                <w:color w:val="000000"/>
                <w:sz w:val="22"/>
                <w:szCs w:val="22"/>
              </w:rPr>
            </w:pPr>
            <w:r>
              <w:rPr>
                <w:rFonts w:hint="eastAsia"/>
                <w:color w:val="000000"/>
                <w:sz w:val="22"/>
                <w:szCs w:val="22"/>
              </w:rPr>
              <w:t>2,162,389,652.78</w:t>
            </w:r>
          </w:p>
        </w:tc>
      </w:tr>
    </w:tbl>
    <w:p w:rsidR="008905D2" w:rsidRDefault="008905D2" w:rsidP="008905D2">
      <w:pPr>
        <w:pStyle w:val="Default"/>
        <w:spacing w:line="360" w:lineRule="auto"/>
        <w:rPr>
          <w:sz w:val="23"/>
          <w:szCs w:val="23"/>
        </w:rPr>
      </w:pPr>
    </w:p>
    <w:p w:rsidR="001133A2" w:rsidRDefault="001133A2">
      <w:pPr>
        <w:widowControl/>
        <w:jc w:val="left"/>
        <w:rPr>
          <w:rFonts w:ascii="宋体" w:hAnsiTheme="minorHAnsi" w:cs="宋体"/>
          <w:b/>
          <w:color w:val="000000"/>
          <w:kern w:val="0"/>
          <w:szCs w:val="21"/>
        </w:rPr>
      </w:pPr>
      <w:r>
        <w:rPr>
          <w:b/>
          <w:szCs w:val="21"/>
        </w:rPr>
        <w:br w:type="page"/>
      </w:r>
    </w:p>
    <w:p w:rsidR="008905D2" w:rsidRPr="00304A72" w:rsidRDefault="008905D2" w:rsidP="008905D2">
      <w:pPr>
        <w:pStyle w:val="Default"/>
        <w:spacing w:line="360" w:lineRule="auto"/>
        <w:rPr>
          <w:b/>
          <w:sz w:val="21"/>
          <w:szCs w:val="21"/>
        </w:rPr>
      </w:pPr>
      <w:r w:rsidRPr="00304A72">
        <w:rPr>
          <w:rFonts w:hint="eastAsia"/>
          <w:b/>
          <w:sz w:val="21"/>
          <w:szCs w:val="21"/>
        </w:rPr>
        <w:t>2.利润表</w:t>
      </w:r>
      <w:r w:rsidRPr="00304A72">
        <w:rPr>
          <w:b/>
          <w:sz w:val="21"/>
          <w:szCs w:val="21"/>
        </w:rPr>
        <w:t>(</w:t>
      </w:r>
      <w:r w:rsidRPr="00304A72">
        <w:rPr>
          <w:rFonts w:hint="eastAsia"/>
          <w:b/>
          <w:sz w:val="21"/>
          <w:szCs w:val="21"/>
        </w:rPr>
        <w:t>已经审计</w:t>
      </w:r>
      <w:r w:rsidRPr="00304A72">
        <w:rPr>
          <w:b/>
          <w:sz w:val="21"/>
          <w:szCs w:val="21"/>
        </w:rPr>
        <w:t xml:space="preserve">) </w:t>
      </w:r>
    </w:p>
    <w:p w:rsidR="008905D2" w:rsidRPr="00304A72" w:rsidRDefault="008905D2" w:rsidP="008905D2">
      <w:pPr>
        <w:pStyle w:val="Default"/>
        <w:spacing w:line="360" w:lineRule="auto"/>
        <w:rPr>
          <w:b/>
          <w:sz w:val="21"/>
          <w:szCs w:val="21"/>
        </w:rPr>
      </w:pPr>
      <w:r w:rsidRPr="00304A72">
        <w:rPr>
          <w:rFonts w:hint="eastAsia"/>
          <w:b/>
          <w:sz w:val="21"/>
          <w:szCs w:val="21"/>
        </w:rPr>
        <w:t>会计主体：</w:t>
      </w:r>
      <w:r w:rsidRPr="00304A72">
        <w:rPr>
          <w:b/>
          <w:sz w:val="21"/>
          <w:szCs w:val="21"/>
        </w:rPr>
        <w:t>大成景祥分级债券型证券投资基金</w:t>
      </w:r>
    </w:p>
    <w:p w:rsidR="008905D2" w:rsidRPr="00304A72" w:rsidRDefault="008905D2" w:rsidP="008905D2">
      <w:pPr>
        <w:spacing w:line="360" w:lineRule="auto"/>
        <w:jc w:val="left"/>
        <w:rPr>
          <w:b/>
          <w:szCs w:val="21"/>
        </w:rPr>
      </w:pPr>
      <w:r w:rsidRPr="00304A72">
        <w:rPr>
          <w:rFonts w:hint="eastAsia"/>
          <w:b/>
          <w:szCs w:val="21"/>
        </w:rPr>
        <w:t>本报告期：</w:t>
      </w:r>
      <w:r w:rsidRPr="00304A72">
        <w:rPr>
          <w:b/>
          <w:szCs w:val="21"/>
        </w:rPr>
        <w:t>201</w:t>
      </w:r>
      <w:r w:rsidRPr="00304A72">
        <w:rPr>
          <w:rFonts w:hint="eastAsia"/>
          <w:b/>
          <w:szCs w:val="21"/>
        </w:rPr>
        <w:t>6</w:t>
      </w:r>
      <w:r w:rsidRPr="00304A72">
        <w:rPr>
          <w:rFonts w:hint="eastAsia"/>
          <w:b/>
          <w:szCs w:val="21"/>
        </w:rPr>
        <w:t>年</w:t>
      </w:r>
      <w:r w:rsidRPr="00304A72">
        <w:rPr>
          <w:b/>
          <w:szCs w:val="21"/>
        </w:rPr>
        <w:t>1</w:t>
      </w:r>
      <w:r w:rsidRPr="00304A72">
        <w:rPr>
          <w:rFonts w:hint="eastAsia"/>
          <w:b/>
          <w:szCs w:val="21"/>
        </w:rPr>
        <w:t>月</w:t>
      </w:r>
      <w:r w:rsidRPr="00304A72">
        <w:rPr>
          <w:b/>
          <w:szCs w:val="21"/>
        </w:rPr>
        <w:t>1</w:t>
      </w:r>
      <w:r w:rsidRPr="00304A72">
        <w:rPr>
          <w:rFonts w:hint="eastAsia"/>
          <w:b/>
          <w:szCs w:val="21"/>
        </w:rPr>
        <w:t>日至</w:t>
      </w:r>
      <w:r w:rsidRPr="00304A72">
        <w:rPr>
          <w:b/>
          <w:szCs w:val="21"/>
        </w:rPr>
        <w:t>201</w:t>
      </w:r>
      <w:r w:rsidRPr="00304A72">
        <w:rPr>
          <w:rFonts w:hint="eastAsia"/>
          <w:b/>
          <w:szCs w:val="21"/>
        </w:rPr>
        <w:t>6</w:t>
      </w:r>
      <w:r w:rsidRPr="00304A72">
        <w:rPr>
          <w:rFonts w:hint="eastAsia"/>
          <w:b/>
          <w:szCs w:val="21"/>
        </w:rPr>
        <w:t>年</w:t>
      </w:r>
      <w:r w:rsidRPr="00304A72">
        <w:rPr>
          <w:rFonts w:hint="eastAsia"/>
          <w:b/>
          <w:szCs w:val="21"/>
        </w:rPr>
        <w:t>11</w:t>
      </w:r>
      <w:r w:rsidRPr="00304A72">
        <w:rPr>
          <w:rFonts w:hint="eastAsia"/>
          <w:b/>
          <w:szCs w:val="21"/>
        </w:rPr>
        <w:t>月</w:t>
      </w:r>
      <w:r w:rsidRPr="00304A72">
        <w:rPr>
          <w:rFonts w:hint="eastAsia"/>
          <w:b/>
          <w:szCs w:val="21"/>
        </w:rPr>
        <w:t>18</w:t>
      </w:r>
      <w:r w:rsidRPr="00304A72">
        <w:rPr>
          <w:rFonts w:hint="eastAsia"/>
          <w:b/>
          <w:szCs w:val="21"/>
        </w:rPr>
        <w:t>日（基金合同到期日）</w:t>
      </w:r>
    </w:p>
    <w:p w:rsidR="008905D2" w:rsidRDefault="008905D2" w:rsidP="008905D2">
      <w:pPr>
        <w:spacing w:line="360" w:lineRule="auto"/>
        <w:jc w:val="right"/>
      </w:pPr>
      <w:r>
        <w:rPr>
          <w:rFonts w:hint="eastAsia"/>
        </w:rPr>
        <w:t>单位：人民币元</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26"/>
        <w:gridCol w:w="3394"/>
      </w:tblGrid>
      <w:tr w:rsidR="00CB2D30" w:rsidRPr="005D409A" w:rsidTr="00CB2D30">
        <w:trPr>
          <w:trHeight w:val="585"/>
        </w:trPr>
        <w:tc>
          <w:tcPr>
            <w:tcW w:w="3008" w:type="pct"/>
            <w:tcBorders>
              <w:top w:val="single" w:sz="4" w:space="0" w:color="auto"/>
              <w:left w:val="single" w:sz="4" w:space="0" w:color="auto"/>
              <w:bottom w:val="single" w:sz="4" w:space="0" w:color="auto"/>
              <w:right w:val="single" w:sz="4" w:space="0" w:color="auto"/>
            </w:tcBorders>
            <w:shd w:val="clear" w:color="auto" w:fill="auto"/>
            <w:vAlign w:val="center"/>
          </w:tcPr>
          <w:p w:rsidR="00CB2D30" w:rsidRPr="005D409A" w:rsidRDefault="00CB2D30" w:rsidP="003260A3">
            <w:pPr>
              <w:pStyle w:val="a4"/>
              <w:jc w:val="center"/>
              <w:rPr>
                <w:rFonts w:ascii="Times New Roman" w:hAnsi="Times New Roman"/>
                <w:b/>
                <w:kern w:val="2"/>
                <w:sz w:val="21"/>
                <w:szCs w:val="21"/>
              </w:rPr>
            </w:pPr>
            <w:r w:rsidRPr="005D409A">
              <w:rPr>
                <w:rFonts w:ascii="Times New Roman" w:hAnsi="Times New Roman"/>
                <w:b/>
                <w:kern w:val="2"/>
                <w:sz w:val="21"/>
                <w:szCs w:val="21"/>
              </w:rPr>
              <w:t>项</w:t>
            </w:r>
            <w:r w:rsidRPr="005D409A">
              <w:rPr>
                <w:rFonts w:ascii="Times New Roman" w:hAnsi="Times New Roman"/>
                <w:b/>
                <w:kern w:val="2"/>
                <w:sz w:val="21"/>
                <w:szCs w:val="21"/>
              </w:rPr>
              <w:t xml:space="preserve"> </w:t>
            </w:r>
            <w:r w:rsidRPr="005D409A">
              <w:rPr>
                <w:rFonts w:ascii="Times New Roman" w:hAnsi="Times New Roman"/>
                <w:b/>
                <w:kern w:val="2"/>
                <w:sz w:val="21"/>
                <w:szCs w:val="21"/>
              </w:rPr>
              <w:t>目</w:t>
            </w:r>
          </w:p>
        </w:tc>
        <w:tc>
          <w:tcPr>
            <w:tcW w:w="1992" w:type="pct"/>
            <w:tcBorders>
              <w:top w:val="single" w:sz="4" w:space="0" w:color="auto"/>
              <w:left w:val="single" w:sz="4" w:space="0" w:color="auto"/>
              <w:bottom w:val="single" w:sz="4" w:space="0" w:color="auto"/>
              <w:right w:val="single" w:sz="4" w:space="0" w:color="auto"/>
            </w:tcBorders>
            <w:shd w:val="clear" w:color="auto" w:fill="auto"/>
            <w:vAlign w:val="center"/>
          </w:tcPr>
          <w:p w:rsidR="00CB2D30" w:rsidRPr="005D409A" w:rsidRDefault="00CB2D30" w:rsidP="003260A3">
            <w:pPr>
              <w:pStyle w:val="a4"/>
              <w:spacing w:before="0" w:beforeAutospacing="0" w:after="0" w:afterAutospacing="0"/>
              <w:jc w:val="center"/>
              <w:rPr>
                <w:rFonts w:ascii="Times New Roman" w:hAnsi="Times New Roman"/>
                <w:b/>
                <w:kern w:val="2"/>
                <w:sz w:val="21"/>
                <w:szCs w:val="21"/>
              </w:rPr>
            </w:pPr>
            <w:r w:rsidRPr="005D409A">
              <w:rPr>
                <w:rFonts w:ascii="Times New Roman" w:hAnsi="Times New Roman"/>
                <w:b/>
                <w:kern w:val="2"/>
                <w:sz w:val="21"/>
                <w:szCs w:val="21"/>
              </w:rPr>
              <w:t>本期</w:t>
            </w:r>
          </w:p>
          <w:p w:rsidR="00CB2D30" w:rsidRPr="005D409A" w:rsidRDefault="00CB2D30" w:rsidP="003260A3">
            <w:pPr>
              <w:pStyle w:val="a4"/>
              <w:spacing w:before="0" w:beforeAutospacing="0" w:after="0" w:afterAutospacing="0"/>
              <w:jc w:val="center"/>
              <w:rPr>
                <w:rFonts w:ascii="Times New Roman" w:hAnsi="Times New Roman"/>
                <w:b/>
                <w:kern w:val="2"/>
                <w:sz w:val="21"/>
                <w:szCs w:val="21"/>
              </w:rPr>
            </w:pPr>
            <w:r>
              <w:rPr>
                <w:rFonts w:ascii="Times New Roman" w:hAnsi="Times New Roman"/>
                <w:b/>
                <w:kern w:val="2"/>
                <w:sz w:val="21"/>
                <w:szCs w:val="21"/>
              </w:rPr>
              <w:t>201</w:t>
            </w:r>
            <w:r>
              <w:rPr>
                <w:rFonts w:ascii="Times New Roman" w:hAnsi="Times New Roman" w:hint="eastAsia"/>
                <w:b/>
                <w:kern w:val="2"/>
                <w:sz w:val="21"/>
                <w:szCs w:val="21"/>
              </w:rPr>
              <w:t>6</w:t>
            </w:r>
            <w:r w:rsidRPr="005D409A">
              <w:rPr>
                <w:rFonts w:ascii="Times New Roman" w:hAnsi="Times New Roman"/>
                <w:b/>
                <w:kern w:val="2"/>
                <w:sz w:val="21"/>
                <w:szCs w:val="21"/>
              </w:rPr>
              <w:t>年</w:t>
            </w:r>
            <w:r w:rsidRPr="005D409A">
              <w:rPr>
                <w:rFonts w:ascii="Times New Roman" w:hAnsi="Times New Roman"/>
                <w:b/>
                <w:kern w:val="2"/>
                <w:sz w:val="21"/>
                <w:szCs w:val="21"/>
              </w:rPr>
              <w:t>1</w:t>
            </w:r>
            <w:r w:rsidRPr="005D409A">
              <w:rPr>
                <w:rFonts w:ascii="Times New Roman" w:hAnsi="Times New Roman"/>
                <w:b/>
                <w:kern w:val="2"/>
                <w:sz w:val="21"/>
                <w:szCs w:val="21"/>
              </w:rPr>
              <w:t>月</w:t>
            </w:r>
            <w:r w:rsidRPr="005D409A">
              <w:rPr>
                <w:rFonts w:ascii="Times New Roman" w:hAnsi="Times New Roman"/>
                <w:b/>
                <w:kern w:val="2"/>
                <w:sz w:val="21"/>
                <w:szCs w:val="21"/>
              </w:rPr>
              <w:t>1</w:t>
            </w:r>
            <w:r w:rsidRPr="005D409A">
              <w:rPr>
                <w:rFonts w:ascii="Times New Roman" w:hAnsi="Times New Roman"/>
                <w:b/>
                <w:kern w:val="2"/>
                <w:sz w:val="21"/>
                <w:szCs w:val="21"/>
              </w:rPr>
              <w:t>日至</w:t>
            </w:r>
            <w:r w:rsidRPr="00CB2D30">
              <w:rPr>
                <w:rFonts w:ascii="Times New Roman" w:hAnsi="Times New Roman" w:hint="eastAsia"/>
                <w:b/>
                <w:kern w:val="2"/>
                <w:sz w:val="21"/>
                <w:szCs w:val="21"/>
              </w:rPr>
              <w:t>2016</w:t>
            </w:r>
            <w:r w:rsidRPr="00CB2D30">
              <w:rPr>
                <w:rFonts w:ascii="Times New Roman" w:hAnsi="Times New Roman" w:hint="eastAsia"/>
                <w:b/>
                <w:kern w:val="2"/>
                <w:sz w:val="21"/>
                <w:szCs w:val="21"/>
              </w:rPr>
              <w:t>年</w:t>
            </w:r>
            <w:r w:rsidRPr="00CB2D30">
              <w:rPr>
                <w:rFonts w:ascii="Times New Roman" w:hAnsi="Times New Roman" w:hint="eastAsia"/>
                <w:b/>
                <w:kern w:val="2"/>
                <w:sz w:val="21"/>
                <w:szCs w:val="21"/>
              </w:rPr>
              <w:t>11</w:t>
            </w:r>
            <w:r w:rsidRPr="00CB2D30">
              <w:rPr>
                <w:rFonts w:ascii="Times New Roman" w:hAnsi="Times New Roman" w:hint="eastAsia"/>
                <w:b/>
                <w:kern w:val="2"/>
                <w:sz w:val="21"/>
                <w:szCs w:val="21"/>
              </w:rPr>
              <w:t>月</w:t>
            </w:r>
            <w:r w:rsidRPr="00CB2D30">
              <w:rPr>
                <w:rFonts w:ascii="Times New Roman" w:hAnsi="Times New Roman" w:hint="eastAsia"/>
                <w:b/>
                <w:kern w:val="2"/>
                <w:sz w:val="21"/>
                <w:szCs w:val="21"/>
              </w:rPr>
              <w:t>18</w:t>
            </w:r>
            <w:r w:rsidRPr="00CB2D30">
              <w:rPr>
                <w:rFonts w:ascii="Times New Roman" w:hAnsi="Times New Roman" w:hint="eastAsia"/>
                <w:b/>
                <w:kern w:val="2"/>
                <w:sz w:val="21"/>
                <w:szCs w:val="21"/>
              </w:rPr>
              <w:t>日（基金合同到期日）</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rPr>
                <w:rFonts w:ascii="Times New Roman" w:hAnsi="Times New Roman"/>
                <w:b/>
                <w:kern w:val="2"/>
                <w:sz w:val="21"/>
                <w:szCs w:val="21"/>
              </w:rPr>
            </w:pPr>
            <w:r w:rsidRPr="005D409A">
              <w:rPr>
                <w:rFonts w:ascii="Times New Roman" w:hAnsi="Times New Roman"/>
                <w:b/>
                <w:kern w:val="2"/>
                <w:sz w:val="21"/>
                <w:szCs w:val="21"/>
              </w:rPr>
              <w:t>一、收入</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78,153,108.14</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1.</w:t>
            </w:r>
            <w:r w:rsidRPr="005D409A">
              <w:rPr>
                <w:szCs w:val="21"/>
              </w:rPr>
              <w:t>利息收入</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87,559,046.75</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其中：存款利息收入</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849,100.60</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债券利息收入</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82,673,404.46</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资产支持证券利息收入</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买入返售金融资产收入</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4,036,541.69</w:t>
            </w:r>
          </w:p>
        </w:tc>
      </w:tr>
      <w:tr w:rsidR="00EF3B56" w:rsidRPr="005D409A" w:rsidTr="003260A3">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其他利息收入</w:t>
            </w:r>
          </w:p>
        </w:tc>
        <w:tc>
          <w:tcPr>
            <w:tcW w:w="1992" w:type="pct"/>
            <w:vAlign w:val="center"/>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2.</w:t>
            </w:r>
            <w:r w:rsidRPr="005D409A">
              <w:rPr>
                <w:szCs w:val="21"/>
              </w:rPr>
              <w:t>投资收益（损失以</w:t>
            </w:r>
            <w:r w:rsidRPr="005D409A">
              <w:rPr>
                <w:szCs w:val="21"/>
              </w:rPr>
              <w:t>“-”</w:t>
            </w:r>
            <w:r w:rsidRPr="005D409A">
              <w:rPr>
                <w:szCs w:val="21"/>
              </w:rPr>
              <w:t>填列）</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27,489,571.86</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其中：股票投资收益</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color w:val="000000"/>
                <w:kern w:val="2"/>
                <w:sz w:val="21"/>
                <w:szCs w:val="21"/>
              </w:rPr>
              <w:t>基金投资收益</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债券投资收益</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27,489,571.86</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资产支持证券投资收益</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3260A3">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贵金属投资收益</w:t>
            </w:r>
          </w:p>
        </w:tc>
        <w:tc>
          <w:tcPr>
            <w:tcW w:w="1992" w:type="pct"/>
            <w:vAlign w:val="center"/>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衍生工具收益</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ind w:firstLineChars="300" w:firstLine="630"/>
              <w:rPr>
                <w:rFonts w:ascii="Times New Roman" w:hAnsi="Times New Roman"/>
                <w:kern w:val="2"/>
                <w:sz w:val="21"/>
                <w:szCs w:val="21"/>
              </w:rPr>
            </w:pPr>
            <w:r w:rsidRPr="005D409A">
              <w:rPr>
                <w:rFonts w:ascii="Times New Roman" w:hAnsi="Times New Roman"/>
                <w:kern w:val="2"/>
                <w:sz w:val="21"/>
                <w:szCs w:val="21"/>
              </w:rPr>
              <w:t>股利收益</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3.</w:t>
            </w:r>
            <w:r w:rsidRPr="005D409A">
              <w:rPr>
                <w:szCs w:val="21"/>
              </w:rPr>
              <w:t>公允价值变动收益（损失以</w:t>
            </w:r>
            <w:r w:rsidRPr="005D409A">
              <w:rPr>
                <w:szCs w:val="21"/>
              </w:rPr>
              <w:t>“-”</w:t>
            </w:r>
            <w:r w:rsidRPr="005D409A">
              <w:rPr>
                <w:szCs w:val="21"/>
              </w:rPr>
              <w:t>号填列）</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-36,895,510.47</w:t>
            </w:r>
          </w:p>
        </w:tc>
      </w:tr>
      <w:tr w:rsidR="00EF3B56" w:rsidRPr="005D409A" w:rsidTr="003260A3">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4.</w:t>
            </w:r>
            <w:r w:rsidRPr="005D409A">
              <w:rPr>
                <w:color w:val="000000"/>
                <w:szCs w:val="21"/>
              </w:rPr>
              <w:t>汇兑收益</w:t>
            </w:r>
            <w:r w:rsidRPr="005D409A">
              <w:rPr>
                <w:szCs w:val="21"/>
              </w:rPr>
              <w:t>（损失以</w:t>
            </w:r>
            <w:r w:rsidRPr="005D409A">
              <w:rPr>
                <w:szCs w:val="21"/>
              </w:rPr>
              <w:t>“-”</w:t>
            </w:r>
            <w:r w:rsidRPr="005D409A">
              <w:rPr>
                <w:szCs w:val="21"/>
              </w:rPr>
              <w:t>号填列）</w:t>
            </w:r>
          </w:p>
        </w:tc>
        <w:tc>
          <w:tcPr>
            <w:tcW w:w="1992" w:type="pct"/>
            <w:vAlign w:val="center"/>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5.</w:t>
            </w:r>
            <w:r w:rsidRPr="005D409A">
              <w:rPr>
                <w:szCs w:val="21"/>
              </w:rPr>
              <w:t>其他收入（损失以</w:t>
            </w:r>
            <w:r w:rsidRPr="005D409A">
              <w:rPr>
                <w:szCs w:val="21"/>
              </w:rPr>
              <w:t>“-”</w:t>
            </w:r>
            <w:r w:rsidRPr="005D409A">
              <w:rPr>
                <w:szCs w:val="21"/>
              </w:rPr>
              <w:t>号填列）</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rPr>
                <w:rFonts w:ascii="Times New Roman" w:hAnsi="Times New Roman"/>
                <w:b/>
                <w:kern w:val="2"/>
                <w:sz w:val="21"/>
                <w:szCs w:val="21"/>
              </w:rPr>
            </w:pPr>
            <w:r w:rsidRPr="005D409A">
              <w:rPr>
                <w:rFonts w:ascii="Times New Roman" w:hAnsi="Times New Roman"/>
                <w:b/>
                <w:sz w:val="21"/>
                <w:szCs w:val="21"/>
              </w:rPr>
              <w:t>减：</w:t>
            </w:r>
            <w:r w:rsidRPr="005D409A">
              <w:rPr>
                <w:rFonts w:ascii="Times New Roman" w:hAnsi="Times New Roman"/>
                <w:b/>
                <w:kern w:val="2"/>
                <w:sz w:val="21"/>
                <w:szCs w:val="21"/>
              </w:rPr>
              <w:t>二、费用</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19,215,125.87</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1</w:t>
            </w:r>
            <w:r w:rsidRPr="005D409A">
              <w:rPr>
                <w:szCs w:val="21"/>
              </w:rPr>
              <w:t>．管理人报酬</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6,842,481.93</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2</w:t>
            </w:r>
            <w:r w:rsidRPr="005D409A">
              <w:rPr>
                <w:szCs w:val="21"/>
              </w:rPr>
              <w:t>．托管费</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3,421,240.98</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3</w:t>
            </w:r>
            <w:r w:rsidRPr="005D409A">
              <w:rPr>
                <w:szCs w:val="21"/>
              </w:rPr>
              <w:t>．销售服务费</w:t>
            </w:r>
          </w:p>
        </w:tc>
        <w:tc>
          <w:tcPr>
            <w:tcW w:w="1992" w:type="pct"/>
            <w:vAlign w:val="bottom"/>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4</w:t>
            </w:r>
            <w:r w:rsidRPr="005D409A">
              <w:rPr>
                <w:szCs w:val="21"/>
              </w:rPr>
              <w:t>．交易费用</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80,232.19</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5</w:t>
            </w:r>
            <w:r w:rsidRPr="005D409A">
              <w:rPr>
                <w:szCs w:val="21"/>
              </w:rPr>
              <w:t>．利息支出</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8,417,434.39</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其中：卖出回购金融资产支出</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8,417,434.39</w:t>
            </w:r>
          </w:p>
        </w:tc>
      </w:tr>
      <w:tr w:rsidR="00EF3B56" w:rsidRPr="005D409A" w:rsidTr="00055A29">
        <w:trPr>
          <w:trHeight w:val="284"/>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szCs w:val="21"/>
              </w:rPr>
            </w:pPr>
            <w:r w:rsidRPr="005D409A">
              <w:rPr>
                <w:szCs w:val="21"/>
              </w:rPr>
              <w:t>6</w:t>
            </w:r>
            <w:r w:rsidRPr="005D409A">
              <w:rPr>
                <w:szCs w:val="21"/>
              </w:rPr>
              <w:t>．其他费用</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453,736.38</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rPr>
                <w:rFonts w:ascii="Times New Roman" w:hAnsi="Times New Roman"/>
                <w:b/>
                <w:kern w:val="2"/>
                <w:sz w:val="21"/>
                <w:szCs w:val="21"/>
              </w:rPr>
            </w:pPr>
            <w:r w:rsidRPr="005D409A">
              <w:rPr>
                <w:rFonts w:ascii="Times New Roman" w:hAnsi="Times New Roman"/>
                <w:b/>
                <w:kern w:val="2"/>
                <w:sz w:val="21"/>
                <w:szCs w:val="21"/>
              </w:rPr>
              <w:t>三、利润总额（亏损总额以</w:t>
            </w:r>
            <w:r w:rsidRPr="005D409A">
              <w:rPr>
                <w:rFonts w:ascii="Times New Roman" w:hAnsi="Times New Roman"/>
                <w:b/>
                <w:kern w:val="2"/>
                <w:sz w:val="21"/>
                <w:szCs w:val="21"/>
              </w:rPr>
              <w:t>“-”</w:t>
            </w:r>
            <w:r w:rsidRPr="005D409A">
              <w:rPr>
                <w:rFonts w:ascii="Times New Roman" w:hAnsi="Times New Roman"/>
                <w:b/>
                <w:kern w:val="2"/>
                <w:sz w:val="21"/>
                <w:szCs w:val="21"/>
              </w:rPr>
              <w:t>号填列）</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58,937,982.27</w:t>
            </w:r>
          </w:p>
        </w:tc>
      </w:tr>
      <w:tr w:rsidR="00EF3B56" w:rsidRPr="005D409A" w:rsidTr="003260A3">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5"/>
              <w:rPr>
                <w:b/>
                <w:color w:val="000000"/>
                <w:szCs w:val="21"/>
              </w:rPr>
            </w:pPr>
            <w:r w:rsidRPr="005D409A">
              <w:rPr>
                <w:szCs w:val="21"/>
              </w:rPr>
              <w:t>减：所得税费用</w:t>
            </w:r>
          </w:p>
        </w:tc>
        <w:tc>
          <w:tcPr>
            <w:tcW w:w="1992" w:type="pct"/>
            <w:vAlign w:val="center"/>
          </w:tcPr>
          <w:p w:rsidR="00EF3B56" w:rsidRPr="005D409A" w:rsidRDefault="004864A5" w:rsidP="00EF3B56">
            <w:pPr>
              <w:pStyle w:val="a5"/>
              <w:jc w:val="right"/>
              <w:rPr>
                <w:szCs w:val="21"/>
              </w:rPr>
            </w:pPr>
            <w:r>
              <w:rPr>
                <w:rFonts w:hint="eastAsia"/>
                <w:color w:val="000000"/>
                <w:sz w:val="22"/>
                <w:szCs w:val="22"/>
              </w:rPr>
              <w:t>-</w:t>
            </w:r>
            <w:r w:rsidR="00EF3B56">
              <w:rPr>
                <w:rFonts w:hint="eastAsia"/>
                <w:color w:val="000000"/>
                <w:sz w:val="22"/>
                <w:szCs w:val="22"/>
              </w:rPr>
              <w:t xml:space="preserve">　</w:t>
            </w:r>
          </w:p>
        </w:tc>
      </w:tr>
      <w:tr w:rsidR="00EF3B56" w:rsidRPr="005D409A" w:rsidTr="00055A29">
        <w:trPr>
          <w:trHeight w:val="299"/>
        </w:trPr>
        <w:tc>
          <w:tcPr>
            <w:tcW w:w="3008" w:type="pct"/>
            <w:tcBorders>
              <w:top w:val="single" w:sz="4" w:space="0" w:color="auto"/>
              <w:left w:val="single" w:sz="4" w:space="0" w:color="auto"/>
              <w:bottom w:val="single" w:sz="4" w:space="0" w:color="auto"/>
              <w:right w:val="single" w:sz="4" w:space="0" w:color="auto"/>
            </w:tcBorders>
            <w:vAlign w:val="center"/>
          </w:tcPr>
          <w:p w:rsidR="00EF3B56" w:rsidRPr="005D409A" w:rsidRDefault="00EF3B56" w:rsidP="003260A3">
            <w:pPr>
              <w:pStyle w:val="a4"/>
              <w:rPr>
                <w:rFonts w:ascii="Times New Roman" w:hAnsi="Times New Roman"/>
                <w:kern w:val="2"/>
                <w:sz w:val="21"/>
                <w:szCs w:val="21"/>
              </w:rPr>
            </w:pPr>
            <w:r w:rsidRPr="005D409A">
              <w:rPr>
                <w:rFonts w:ascii="Times New Roman" w:hAnsi="Times New Roman"/>
                <w:b/>
                <w:kern w:val="2"/>
                <w:sz w:val="21"/>
                <w:szCs w:val="21"/>
              </w:rPr>
              <w:t>四、净利润（净亏损以</w:t>
            </w:r>
            <w:r w:rsidRPr="005D409A">
              <w:rPr>
                <w:rFonts w:ascii="Times New Roman" w:hAnsi="Times New Roman"/>
                <w:b/>
                <w:kern w:val="2"/>
                <w:sz w:val="21"/>
                <w:szCs w:val="21"/>
              </w:rPr>
              <w:t>“-”</w:t>
            </w:r>
            <w:r w:rsidRPr="005D409A">
              <w:rPr>
                <w:rFonts w:ascii="Times New Roman" w:hAnsi="Times New Roman"/>
                <w:b/>
                <w:kern w:val="2"/>
                <w:sz w:val="21"/>
                <w:szCs w:val="21"/>
              </w:rPr>
              <w:t>号填列）</w:t>
            </w:r>
          </w:p>
        </w:tc>
        <w:tc>
          <w:tcPr>
            <w:tcW w:w="1992" w:type="pct"/>
            <w:vAlign w:val="bottom"/>
          </w:tcPr>
          <w:p w:rsidR="00EF3B56" w:rsidRPr="005D409A" w:rsidRDefault="00EF3B56" w:rsidP="00EF3B56">
            <w:pPr>
              <w:pStyle w:val="a5"/>
              <w:jc w:val="right"/>
              <w:rPr>
                <w:szCs w:val="21"/>
              </w:rPr>
            </w:pPr>
            <w:r>
              <w:rPr>
                <w:rFonts w:hint="eastAsia"/>
                <w:color w:val="000000"/>
                <w:sz w:val="22"/>
                <w:szCs w:val="22"/>
              </w:rPr>
              <w:t>58,937,982.27</w:t>
            </w:r>
          </w:p>
        </w:tc>
      </w:tr>
    </w:tbl>
    <w:p w:rsidR="00151936" w:rsidRPr="0009177E" w:rsidRDefault="00151936" w:rsidP="008A1CA6">
      <w:pPr>
        <w:spacing w:line="360" w:lineRule="auto"/>
        <w:jc w:val="left"/>
      </w:pPr>
    </w:p>
    <w:p w:rsidR="00BD5A1E" w:rsidRDefault="00BD5A1E">
      <w:pPr>
        <w:widowControl/>
        <w:jc w:val="left"/>
        <w:rPr>
          <w:b/>
        </w:rPr>
      </w:pPr>
      <w:r>
        <w:rPr>
          <w:b/>
        </w:rPr>
        <w:br w:type="page"/>
      </w:r>
    </w:p>
    <w:p w:rsidR="00151936" w:rsidRPr="00CB2D30" w:rsidRDefault="007374CC" w:rsidP="008A1CA6">
      <w:pPr>
        <w:spacing w:line="360" w:lineRule="auto"/>
        <w:jc w:val="center"/>
        <w:rPr>
          <w:b/>
        </w:rPr>
      </w:pPr>
      <w:r>
        <w:rPr>
          <w:rFonts w:hint="eastAsia"/>
          <w:b/>
        </w:rPr>
        <w:t>四</w:t>
      </w:r>
      <w:r w:rsidR="00151936" w:rsidRPr="00CB2D30">
        <w:rPr>
          <w:rFonts w:hint="eastAsia"/>
          <w:b/>
        </w:rPr>
        <w:t>、基金财产分配</w:t>
      </w:r>
    </w:p>
    <w:p w:rsidR="0046346C" w:rsidRPr="0046346C" w:rsidRDefault="0046346C" w:rsidP="0046346C">
      <w:pPr>
        <w:spacing w:line="360" w:lineRule="auto"/>
        <w:ind w:firstLineChars="202" w:firstLine="424"/>
      </w:pPr>
      <w:r>
        <w:rPr>
          <w:rFonts w:hint="eastAsia"/>
        </w:rPr>
        <w:t>根据《大成景祥分级债券型证券投资基金基金合同》</w:t>
      </w:r>
      <w:r w:rsidRPr="005B142B">
        <w:rPr>
          <w:rFonts w:hint="eastAsia"/>
          <w:szCs w:val="21"/>
        </w:rPr>
        <w:t>（以下简称</w:t>
      </w:r>
      <w:r>
        <w:rPr>
          <w:rFonts w:hint="eastAsia"/>
          <w:szCs w:val="21"/>
        </w:rPr>
        <w:t>“</w:t>
      </w:r>
      <w:r w:rsidRPr="005B142B">
        <w:rPr>
          <w:rFonts w:hint="eastAsia"/>
          <w:szCs w:val="21"/>
        </w:rPr>
        <w:t>基金合同</w:t>
      </w:r>
      <w:r>
        <w:rPr>
          <w:rFonts w:hint="eastAsia"/>
          <w:szCs w:val="21"/>
        </w:rPr>
        <w:t>”</w:t>
      </w:r>
      <w:r w:rsidRPr="005B142B">
        <w:rPr>
          <w:rFonts w:hint="eastAsia"/>
          <w:szCs w:val="21"/>
        </w:rPr>
        <w:t>）</w:t>
      </w:r>
      <w:r>
        <w:rPr>
          <w:rFonts w:hint="eastAsia"/>
        </w:rPr>
        <w:t>的约定，</w:t>
      </w:r>
      <w:r>
        <w:rPr>
          <w:rFonts w:hint="eastAsia"/>
          <w:szCs w:val="21"/>
        </w:rPr>
        <w:t>本基金</w:t>
      </w:r>
      <w:r>
        <w:rPr>
          <w:rFonts w:hint="eastAsia"/>
        </w:rPr>
        <w:t>存续期限为</w:t>
      </w:r>
      <w:r>
        <w:t>3</w:t>
      </w:r>
      <w:r>
        <w:rPr>
          <w:rFonts w:hint="eastAsia"/>
        </w:rPr>
        <w:t>年，基金合同到期日为基金合同生效日后</w:t>
      </w:r>
      <w:r>
        <w:t>3</w:t>
      </w:r>
      <w:r>
        <w:rPr>
          <w:rFonts w:hint="eastAsia"/>
        </w:rPr>
        <w:t>年对日的前一日，即</w:t>
      </w:r>
      <w:r>
        <w:t>2016</w:t>
      </w:r>
      <w:r>
        <w:rPr>
          <w:rFonts w:hint="eastAsia"/>
        </w:rPr>
        <w:t>年</w:t>
      </w:r>
      <w:r>
        <w:t>11</w:t>
      </w:r>
      <w:r>
        <w:rPr>
          <w:rFonts w:hint="eastAsia"/>
        </w:rPr>
        <w:t>月</w:t>
      </w:r>
      <w:r>
        <w:t>18</w:t>
      </w:r>
      <w:r>
        <w:rPr>
          <w:rFonts w:hint="eastAsia"/>
        </w:rPr>
        <w:t>日。</w:t>
      </w:r>
      <w:r w:rsidRPr="003A4EC1">
        <w:rPr>
          <w:rFonts w:hint="eastAsia"/>
        </w:rPr>
        <w:t>基金合同到期时，基金管理人有权在不召开本基金</w:t>
      </w:r>
      <w:r>
        <w:rPr>
          <w:rFonts w:hint="eastAsia"/>
        </w:rPr>
        <w:t>份额</w:t>
      </w:r>
      <w:r w:rsidRPr="003A4EC1">
        <w:rPr>
          <w:rFonts w:hint="eastAsia"/>
        </w:rPr>
        <w:t>持有人大会的情况下，将本基金转换为大成债券基金。</w:t>
      </w:r>
      <w:r>
        <w:rPr>
          <w:rFonts w:hint="eastAsia"/>
        </w:rPr>
        <w:t>景祥</w:t>
      </w:r>
      <w:r>
        <w:t>A</w:t>
      </w:r>
      <w:r>
        <w:rPr>
          <w:rFonts w:hint="eastAsia"/>
        </w:rPr>
        <w:t>和景祥</w:t>
      </w:r>
      <w:r>
        <w:t>B</w:t>
      </w:r>
      <w:r>
        <w:rPr>
          <w:rFonts w:hint="eastAsia"/>
        </w:rPr>
        <w:t>的基金份额持有人可以选择在基金合同到期日赎回景祥</w:t>
      </w:r>
      <w:r>
        <w:t>A</w:t>
      </w:r>
      <w:r>
        <w:rPr>
          <w:rFonts w:hint="eastAsia"/>
        </w:rPr>
        <w:t>和景祥</w:t>
      </w:r>
      <w:r>
        <w:t>B</w:t>
      </w:r>
      <w:r>
        <w:rPr>
          <w:rFonts w:hint="eastAsia"/>
        </w:rPr>
        <w:t>份额或默认到期后自动转换为大成债券基金</w:t>
      </w:r>
      <w:r>
        <w:t>C</w:t>
      </w:r>
      <w:r>
        <w:rPr>
          <w:rFonts w:hint="eastAsia"/>
        </w:rPr>
        <w:t>类份额。基金份额转换基准日为本基金合同到期日的下一个工作日，即</w:t>
      </w:r>
      <w:r>
        <w:t>2016</w:t>
      </w:r>
      <w:r>
        <w:rPr>
          <w:rFonts w:hint="eastAsia"/>
        </w:rPr>
        <w:t>年</w:t>
      </w:r>
      <w:r>
        <w:t>11</w:t>
      </w:r>
      <w:r>
        <w:rPr>
          <w:rFonts w:hint="eastAsia"/>
        </w:rPr>
        <w:t>月</w:t>
      </w:r>
      <w:r>
        <w:t>21</w:t>
      </w:r>
      <w:r>
        <w:rPr>
          <w:rFonts w:hint="eastAsia"/>
        </w:rPr>
        <w:t>日。</w:t>
      </w:r>
    </w:p>
    <w:p w:rsidR="005B7BB7" w:rsidRDefault="005B7BB7" w:rsidP="00A108FD">
      <w:pPr>
        <w:spacing w:line="360" w:lineRule="auto"/>
        <w:ind w:firstLineChars="200" w:firstLine="420"/>
        <w:jc w:val="left"/>
      </w:pPr>
      <w:r>
        <w:rPr>
          <w:rFonts w:hint="eastAsia"/>
        </w:rPr>
        <w:t>对</w:t>
      </w:r>
      <w:r w:rsidR="00CA5C59">
        <w:rPr>
          <w:rFonts w:hint="eastAsia"/>
        </w:rPr>
        <w:t>本基金</w:t>
      </w:r>
      <w:r w:rsidR="0046346C">
        <w:rPr>
          <w:rFonts w:hint="eastAsia"/>
        </w:rPr>
        <w:t>的资产、负债及自基金合同到期日（不含）至基金份额转换基准日（含）期间</w:t>
      </w:r>
      <w:r w:rsidR="00A108FD">
        <w:rPr>
          <w:rFonts w:hint="eastAsia"/>
        </w:rPr>
        <w:t>产生的收益和日后清算费用进行核算，</w:t>
      </w:r>
      <w:r w:rsidR="0046346C">
        <w:rPr>
          <w:rFonts w:hint="eastAsia"/>
        </w:rPr>
        <w:t>全部工作按清算原则和清算手续进行。具体</w:t>
      </w:r>
      <w:r>
        <w:rPr>
          <w:rFonts w:hint="eastAsia"/>
        </w:rPr>
        <w:t>情况如下：</w:t>
      </w:r>
    </w:p>
    <w:p w:rsidR="005B7BB7" w:rsidRPr="00BC3EB9" w:rsidRDefault="005B7BB7" w:rsidP="005B7BB7">
      <w:pPr>
        <w:spacing w:line="360" w:lineRule="auto"/>
        <w:jc w:val="left"/>
        <w:rPr>
          <w:b/>
        </w:rPr>
      </w:pPr>
      <w:r w:rsidRPr="00BC3EB9">
        <w:rPr>
          <w:rFonts w:hint="eastAsia"/>
          <w:b/>
        </w:rPr>
        <w:t>1</w:t>
      </w:r>
      <w:r w:rsidRPr="00BC3EB9">
        <w:rPr>
          <w:rFonts w:hint="eastAsia"/>
          <w:b/>
        </w:rPr>
        <w:t>、资产处置情况</w:t>
      </w:r>
    </w:p>
    <w:p w:rsidR="005B7BB7" w:rsidRDefault="005B7BB7" w:rsidP="005B7BB7">
      <w:pPr>
        <w:spacing w:line="360" w:lineRule="auto"/>
        <w:jc w:val="left"/>
      </w:pPr>
      <w:r>
        <w:rPr>
          <w:rFonts w:hint="eastAsia"/>
        </w:rPr>
        <w:t>(1)</w:t>
      </w:r>
      <w:r w:rsidR="00BC58F2">
        <w:rPr>
          <w:rFonts w:hint="eastAsia"/>
        </w:rPr>
        <w:t>合同</w:t>
      </w:r>
      <w:r>
        <w:rPr>
          <w:rFonts w:hint="eastAsia"/>
        </w:rPr>
        <w:t>终止日银行存款为人民币</w:t>
      </w:r>
      <w:r w:rsidR="007374CC" w:rsidRPr="007374CC">
        <w:t>2</w:t>
      </w:r>
      <w:r w:rsidR="007374CC">
        <w:rPr>
          <w:rFonts w:hint="eastAsia"/>
        </w:rPr>
        <w:t>,</w:t>
      </w:r>
      <w:r w:rsidR="007374CC" w:rsidRPr="007374CC">
        <w:t>150</w:t>
      </w:r>
      <w:r w:rsidR="007374CC">
        <w:rPr>
          <w:rFonts w:hint="eastAsia"/>
        </w:rPr>
        <w:t>,</w:t>
      </w:r>
      <w:r w:rsidR="007374CC" w:rsidRPr="007374CC">
        <w:t>400</w:t>
      </w:r>
      <w:r w:rsidR="007374CC">
        <w:rPr>
          <w:rFonts w:hint="eastAsia"/>
        </w:rPr>
        <w:t>,</w:t>
      </w:r>
      <w:r w:rsidR="007374CC" w:rsidRPr="007374CC">
        <w:t>674.45</w:t>
      </w:r>
      <w:r>
        <w:rPr>
          <w:rFonts w:hint="eastAsia"/>
        </w:rPr>
        <w:t>元。</w:t>
      </w:r>
    </w:p>
    <w:p w:rsidR="00BC58F2" w:rsidRDefault="00BC58F2" w:rsidP="005B7BB7">
      <w:pPr>
        <w:spacing w:line="360" w:lineRule="auto"/>
        <w:jc w:val="left"/>
      </w:pPr>
      <w:r>
        <w:rPr>
          <w:rFonts w:hint="eastAsia"/>
        </w:rPr>
        <w:t>(2)</w:t>
      </w:r>
      <w:r>
        <w:rPr>
          <w:rFonts w:hint="eastAsia"/>
        </w:rPr>
        <w:t>合同终止日结算备付金为人民币</w:t>
      </w:r>
      <w:r w:rsidR="007374CC" w:rsidRPr="007374CC">
        <w:t>456,384.15</w:t>
      </w:r>
      <w:r>
        <w:rPr>
          <w:rFonts w:hint="eastAsia"/>
        </w:rPr>
        <w:t>元。</w:t>
      </w:r>
    </w:p>
    <w:p w:rsidR="00BC58F2" w:rsidRDefault="00BC58F2" w:rsidP="005B7BB7">
      <w:pPr>
        <w:spacing w:line="360" w:lineRule="auto"/>
        <w:jc w:val="left"/>
      </w:pPr>
      <w:r>
        <w:rPr>
          <w:rFonts w:hint="eastAsia"/>
        </w:rPr>
        <w:t>(3)</w:t>
      </w:r>
      <w:r>
        <w:rPr>
          <w:rFonts w:hint="eastAsia"/>
        </w:rPr>
        <w:t>合同终止日结算保证金为人民币</w:t>
      </w:r>
      <w:r w:rsidR="007374CC" w:rsidRPr="007374CC">
        <w:t>23,287.66</w:t>
      </w:r>
      <w:r>
        <w:rPr>
          <w:rFonts w:hint="eastAsia"/>
        </w:rPr>
        <w:t>元。</w:t>
      </w:r>
    </w:p>
    <w:p w:rsidR="005B7BB7" w:rsidRDefault="00BC58F2" w:rsidP="005B7BB7">
      <w:pPr>
        <w:spacing w:line="360" w:lineRule="auto"/>
        <w:jc w:val="left"/>
      </w:pPr>
      <w:r>
        <w:rPr>
          <w:rFonts w:hint="eastAsia"/>
        </w:rPr>
        <w:t>(4</w:t>
      </w:r>
      <w:r w:rsidR="005B7BB7">
        <w:rPr>
          <w:rFonts w:hint="eastAsia"/>
        </w:rPr>
        <w:t>)</w:t>
      </w:r>
      <w:r>
        <w:rPr>
          <w:rFonts w:hint="eastAsia"/>
        </w:rPr>
        <w:t>合同终止日</w:t>
      </w:r>
      <w:r w:rsidR="005B7BB7">
        <w:rPr>
          <w:rFonts w:hint="eastAsia"/>
        </w:rPr>
        <w:t>应收利息为人民币</w:t>
      </w:r>
      <w:r w:rsidR="007374CC" w:rsidRPr="007374CC">
        <w:t>570,684.14</w:t>
      </w:r>
      <w:r>
        <w:rPr>
          <w:rFonts w:hint="eastAsia"/>
        </w:rPr>
        <w:t xml:space="preserve"> </w:t>
      </w:r>
      <w:r w:rsidR="005B7BB7">
        <w:rPr>
          <w:rFonts w:hint="eastAsia"/>
        </w:rPr>
        <w:t>元。</w:t>
      </w:r>
      <w:r w:rsidR="005B7BB7">
        <w:rPr>
          <w:rFonts w:hint="eastAsia"/>
        </w:rPr>
        <w:t xml:space="preserve"> </w:t>
      </w:r>
    </w:p>
    <w:p w:rsidR="00BC58F2" w:rsidRDefault="00BC58F2" w:rsidP="005B7BB7">
      <w:pPr>
        <w:spacing w:line="360" w:lineRule="auto"/>
        <w:jc w:val="left"/>
      </w:pPr>
      <w:r>
        <w:rPr>
          <w:rFonts w:hint="eastAsia"/>
        </w:rPr>
        <w:t>(5)</w:t>
      </w:r>
      <w:r>
        <w:rPr>
          <w:rFonts w:hint="eastAsia"/>
        </w:rPr>
        <w:t>合同终止日交易性金融资产人民币为</w:t>
      </w:r>
      <w:r w:rsidRPr="00BC58F2">
        <w:t>10,938,622.38</w:t>
      </w:r>
      <w:r>
        <w:rPr>
          <w:rFonts w:hint="eastAsia"/>
        </w:rPr>
        <w:t>元，为本基金持有的下述未变现债券资产：</w:t>
      </w:r>
    </w:p>
    <w:tbl>
      <w:tblPr>
        <w:tblStyle w:val="a8"/>
        <w:tblW w:w="0" w:type="auto"/>
        <w:tblLook w:val="04A0"/>
      </w:tblPr>
      <w:tblGrid>
        <w:gridCol w:w="1101"/>
        <w:gridCol w:w="1134"/>
        <w:gridCol w:w="1134"/>
        <w:gridCol w:w="1842"/>
        <w:gridCol w:w="851"/>
        <w:gridCol w:w="1369"/>
        <w:gridCol w:w="1091"/>
      </w:tblGrid>
      <w:tr w:rsidR="00BC58F2" w:rsidTr="005E7E47">
        <w:tc>
          <w:tcPr>
            <w:tcW w:w="1101" w:type="dxa"/>
          </w:tcPr>
          <w:p w:rsidR="00BC58F2" w:rsidRPr="005E7E47" w:rsidRDefault="00BC58F2" w:rsidP="005B7BB7">
            <w:pPr>
              <w:spacing w:line="360" w:lineRule="auto"/>
              <w:jc w:val="left"/>
              <w:rPr>
                <w:b/>
              </w:rPr>
            </w:pPr>
            <w:r w:rsidRPr="005E7E47">
              <w:rPr>
                <w:rFonts w:hint="eastAsia"/>
                <w:b/>
              </w:rPr>
              <w:t>交易场所</w:t>
            </w:r>
          </w:p>
        </w:tc>
        <w:tc>
          <w:tcPr>
            <w:tcW w:w="1134" w:type="dxa"/>
          </w:tcPr>
          <w:p w:rsidR="00BC58F2" w:rsidRPr="005E7E47" w:rsidRDefault="00BC58F2" w:rsidP="005B7BB7">
            <w:pPr>
              <w:spacing w:line="360" w:lineRule="auto"/>
              <w:jc w:val="left"/>
              <w:rPr>
                <w:b/>
              </w:rPr>
            </w:pPr>
            <w:r w:rsidRPr="005E7E47">
              <w:rPr>
                <w:rFonts w:hint="eastAsia"/>
                <w:b/>
              </w:rPr>
              <w:t>债券名称</w:t>
            </w:r>
          </w:p>
        </w:tc>
        <w:tc>
          <w:tcPr>
            <w:tcW w:w="1134" w:type="dxa"/>
          </w:tcPr>
          <w:p w:rsidR="00BC58F2" w:rsidRPr="005E7E47" w:rsidRDefault="00BC58F2" w:rsidP="005B7BB7">
            <w:pPr>
              <w:spacing w:line="360" w:lineRule="auto"/>
              <w:jc w:val="left"/>
              <w:rPr>
                <w:b/>
              </w:rPr>
            </w:pPr>
            <w:r w:rsidRPr="005E7E47">
              <w:rPr>
                <w:rFonts w:hint="eastAsia"/>
                <w:b/>
              </w:rPr>
              <w:t>债券代码</w:t>
            </w:r>
          </w:p>
        </w:tc>
        <w:tc>
          <w:tcPr>
            <w:tcW w:w="1842" w:type="dxa"/>
          </w:tcPr>
          <w:p w:rsidR="00BC58F2" w:rsidRPr="005E7E47" w:rsidRDefault="00BC58F2" w:rsidP="005B7BB7">
            <w:pPr>
              <w:spacing w:line="360" w:lineRule="auto"/>
              <w:jc w:val="left"/>
              <w:rPr>
                <w:b/>
              </w:rPr>
            </w:pPr>
            <w:r w:rsidRPr="005E7E47">
              <w:rPr>
                <w:rFonts w:hint="eastAsia"/>
                <w:b/>
              </w:rPr>
              <w:t>合同到期日估值价格（元）</w:t>
            </w:r>
          </w:p>
        </w:tc>
        <w:tc>
          <w:tcPr>
            <w:tcW w:w="851" w:type="dxa"/>
          </w:tcPr>
          <w:p w:rsidR="00BC58F2" w:rsidRPr="005E7E47" w:rsidRDefault="00BC58F2" w:rsidP="005B7BB7">
            <w:pPr>
              <w:spacing w:line="360" w:lineRule="auto"/>
              <w:jc w:val="left"/>
              <w:rPr>
                <w:b/>
              </w:rPr>
            </w:pPr>
            <w:r w:rsidRPr="005E7E47">
              <w:rPr>
                <w:rFonts w:hint="eastAsia"/>
                <w:b/>
              </w:rPr>
              <w:t>数量</w:t>
            </w:r>
          </w:p>
        </w:tc>
        <w:tc>
          <w:tcPr>
            <w:tcW w:w="1369" w:type="dxa"/>
          </w:tcPr>
          <w:p w:rsidR="00BC58F2" w:rsidRPr="005E7E47" w:rsidRDefault="00BC58F2" w:rsidP="005B7BB7">
            <w:pPr>
              <w:spacing w:line="360" w:lineRule="auto"/>
              <w:jc w:val="left"/>
              <w:rPr>
                <w:b/>
              </w:rPr>
            </w:pPr>
            <w:r w:rsidRPr="005E7E47">
              <w:rPr>
                <w:rFonts w:hint="eastAsia"/>
                <w:b/>
              </w:rPr>
              <w:t>合同到期日市值（元）</w:t>
            </w:r>
          </w:p>
        </w:tc>
        <w:tc>
          <w:tcPr>
            <w:tcW w:w="1091" w:type="dxa"/>
          </w:tcPr>
          <w:p w:rsidR="00BC58F2" w:rsidRPr="005E7E47" w:rsidRDefault="00BC58F2" w:rsidP="005B7BB7">
            <w:pPr>
              <w:spacing w:line="360" w:lineRule="auto"/>
              <w:jc w:val="left"/>
              <w:rPr>
                <w:b/>
              </w:rPr>
            </w:pPr>
            <w:r w:rsidRPr="005E7E47">
              <w:rPr>
                <w:rFonts w:hint="eastAsia"/>
                <w:b/>
              </w:rPr>
              <w:t>停牌时间</w:t>
            </w:r>
          </w:p>
        </w:tc>
      </w:tr>
      <w:tr w:rsidR="00BC58F2" w:rsidTr="005E7E47">
        <w:tc>
          <w:tcPr>
            <w:tcW w:w="1101" w:type="dxa"/>
          </w:tcPr>
          <w:p w:rsidR="00BC58F2" w:rsidRDefault="005E7E47" w:rsidP="005B7BB7">
            <w:pPr>
              <w:spacing w:line="360" w:lineRule="auto"/>
              <w:jc w:val="left"/>
            </w:pPr>
            <w:r>
              <w:rPr>
                <w:rFonts w:hint="eastAsia"/>
              </w:rPr>
              <w:t>上交所</w:t>
            </w:r>
          </w:p>
        </w:tc>
        <w:tc>
          <w:tcPr>
            <w:tcW w:w="1134" w:type="dxa"/>
          </w:tcPr>
          <w:p w:rsidR="00BC58F2" w:rsidRDefault="005E7E47" w:rsidP="005B7BB7">
            <w:pPr>
              <w:spacing w:line="360" w:lineRule="auto"/>
              <w:jc w:val="left"/>
            </w:pPr>
            <w:r>
              <w:rPr>
                <w:rFonts w:hint="eastAsia"/>
              </w:rPr>
              <w:t>电气转债</w:t>
            </w:r>
          </w:p>
        </w:tc>
        <w:tc>
          <w:tcPr>
            <w:tcW w:w="1134" w:type="dxa"/>
          </w:tcPr>
          <w:p w:rsidR="00BC58F2" w:rsidRDefault="005E7E47" w:rsidP="005B7BB7">
            <w:pPr>
              <w:spacing w:line="360" w:lineRule="auto"/>
              <w:jc w:val="left"/>
            </w:pPr>
            <w:r>
              <w:rPr>
                <w:rFonts w:hint="eastAsia"/>
              </w:rPr>
              <w:t>113008</w:t>
            </w:r>
          </w:p>
        </w:tc>
        <w:tc>
          <w:tcPr>
            <w:tcW w:w="1842" w:type="dxa"/>
          </w:tcPr>
          <w:p w:rsidR="00BC58F2" w:rsidRDefault="005E7E47" w:rsidP="005B7BB7">
            <w:pPr>
              <w:spacing w:line="360" w:lineRule="auto"/>
              <w:jc w:val="left"/>
            </w:pPr>
            <w:r>
              <w:rPr>
                <w:rFonts w:hint="eastAsia"/>
              </w:rPr>
              <w:t>114.43</w:t>
            </w:r>
          </w:p>
        </w:tc>
        <w:tc>
          <w:tcPr>
            <w:tcW w:w="851" w:type="dxa"/>
          </w:tcPr>
          <w:p w:rsidR="00BC58F2" w:rsidRDefault="005E7E47" w:rsidP="005B7BB7">
            <w:pPr>
              <w:spacing w:line="360" w:lineRule="auto"/>
              <w:jc w:val="left"/>
            </w:pPr>
            <w:r>
              <w:rPr>
                <w:rFonts w:hint="eastAsia"/>
              </w:rPr>
              <w:t>19,110</w:t>
            </w:r>
          </w:p>
        </w:tc>
        <w:tc>
          <w:tcPr>
            <w:tcW w:w="1369" w:type="dxa"/>
          </w:tcPr>
          <w:p w:rsidR="00BC58F2" w:rsidRDefault="005E7E47" w:rsidP="005B7BB7">
            <w:pPr>
              <w:spacing w:line="360" w:lineRule="auto"/>
              <w:jc w:val="left"/>
            </w:pPr>
            <w:r>
              <w:rPr>
                <w:rFonts w:hint="eastAsia"/>
              </w:rPr>
              <w:t>2,186,757.30</w:t>
            </w:r>
          </w:p>
        </w:tc>
        <w:tc>
          <w:tcPr>
            <w:tcW w:w="1091" w:type="dxa"/>
          </w:tcPr>
          <w:p w:rsidR="00BC58F2" w:rsidRDefault="005E7E47" w:rsidP="005B7BB7">
            <w:pPr>
              <w:spacing w:line="360" w:lineRule="auto"/>
              <w:jc w:val="left"/>
            </w:pPr>
            <w:r>
              <w:rPr>
                <w:rFonts w:hint="eastAsia"/>
              </w:rPr>
              <w:t>2016-8-31</w:t>
            </w:r>
          </w:p>
        </w:tc>
      </w:tr>
      <w:tr w:rsidR="00BC58F2" w:rsidTr="005E7E47">
        <w:tc>
          <w:tcPr>
            <w:tcW w:w="1101" w:type="dxa"/>
          </w:tcPr>
          <w:p w:rsidR="00BC58F2" w:rsidRDefault="005E7E47" w:rsidP="005B7BB7">
            <w:pPr>
              <w:spacing w:line="360" w:lineRule="auto"/>
              <w:jc w:val="left"/>
            </w:pPr>
            <w:r>
              <w:rPr>
                <w:rFonts w:hint="eastAsia"/>
              </w:rPr>
              <w:t>深交所</w:t>
            </w:r>
          </w:p>
        </w:tc>
        <w:tc>
          <w:tcPr>
            <w:tcW w:w="1134" w:type="dxa"/>
          </w:tcPr>
          <w:p w:rsidR="00BC58F2" w:rsidRDefault="005E7E47" w:rsidP="005B7BB7">
            <w:pPr>
              <w:spacing w:line="360" w:lineRule="auto"/>
              <w:jc w:val="left"/>
            </w:pPr>
            <w:r>
              <w:rPr>
                <w:rFonts w:hint="eastAsia"/>
              </w:rPr>
              <w:t>汽模转债</w:t>
            </w:r>
          </w:p>
        </w:tc>
        <w:tc>
          <w:tcPr>
            <w:tcW w:w="1134" w:type="dxa"/>
          </w:tcPr>
          <w:p w:rsidR="00BC58F2" w:rsidRDefault="005E7E47" w:rsidP="005B7BB7">
            <w:pPr>
              <w:spacing w:line="360" w:lineRule="auto"/>
              <w:jc w:val="left"/>
            </w:pPr>
            <w:r>
              <w:rPr>
                <w:rFonts w:hint="eastAsia"/>
              </w:rPr>
              <w:t>128011</w:t>
            </w:r>
          </w:p>
        </w:tc>
        <w:tc>
          <w:tcPr>
            <w:tcW w:w="1842" w:type="dxa"/>
          </w:tcPr>
          <w:p w:rsidR="00BC58F2" w:rsidRDefault="005E7E47" w:rsidP="005B7BB7">
            <w:pPr>
              <w:spacing w:line="360" w:lineRule="auto"/>
              <w:jc w:val="left"/>
            </w:pPr>
            <w:r>
              <w:rPr>
                <w:rFonts w:hint="eastAsia"/>
              </w:rPr>
              <w:t>139.02</w:t>
            </w:r>
          </w:p>
        </w:tc>
        <w:tc>
          <w:tcPr>
            <w:tcW w:w="851" w:type="dxa"/>
          </w:tcPr>
          <w:p w:rsidR="00BC58F2" w:rsidRDefault="005E7E47" w:rsidP="005B7BB7">
            <w:pPr>
              <w:spacing w:line="360" w:lineRule="auto"/>
              <w:jc w:val="left"/>
            </w:pPr>
            <w:r>
              <w:rPr>
                <w:rFonts w:hint="eastAsia"/>
              </w:rPr>
              <w:t>62,954</w:t>
            </w:r>
          </w:p>
        </w:tc>
        <w:tc>
          <w:tcPr>
            <w:tcW w:w="1369" w:type="dxa"/>
          </w:tcPr>
          <w:p w:rsidR="00BC58F2" w:rsidRDefault="005E7E47" w:rsidP="005B7BB7">
            <w:pPr>
              <w:spacing w:line="360" w:lineRule="auto"/>
              <w:jc w:val="left"/>
            </w:pPr>
            <w:r>
              <w:rPr>
                <w:rFonts w:hint="eastAsia"/>
              </w:rPr>
              <w:t>8,751</w:t>
            </w:r>
            <w:r w:rsidR="00301575">
              <w:rPr>
                <w:rFonts w:hint="eastAsia"/>
              </w:rPr>
              <w:t>,</w:t>
            </w:r>
            <w:r>
              <w:rPr>
                <w:rFonts w:hint="eastAsia"/>
              </w:rPr>
              <w:t>865.08</w:t>
            </w:r>
          </w:p>
        </w:tc>
        <w:tc>
          <w:tcPr>
            <w:tcW w:w="1091" w:type="dxa"/>
          </w:tcPr>
          <w:p w:rsidR="00BC58F2" w:rsidRDefault="005E7E47" w:rsidP="005B7BB7">
            <w:pPr>
              <w:spacing w:line="360" w:lineRule="auto"/>
              <w:jc w:val="left"/>
            </w:pPr>
            <w:r>
              <w:rPr>
                <w:rFonts w:hint="eastAsia"/>
              </w:rPr>
              <w:t>2016-9-13</w:t>
            </w:r>
          </w:p>
        </w:tc>
      </w:tr>
    </w:tbl>
    <w:p w:rsidR="0083459B" w:rsidRDefault="00197A7D" w:rsidP="005B7BB7">
      <w:pPr>
        <w:spacing w:line="360" w:lineRule="auto"/>
        <w:jc w:val="left"/>
      </w:pPr>
      <w:r>
        <w:rPr>
          <w:rFonts w:hint="eastAsia"/>
        </w:rPr>
        <w:t>注：</w:t>
      </w:r>
      <w:r w:rsidR="0083459B" w:rsidRPr="0083459B">
        <w:rPr>
          <w:rFonts w:hint="eastAsia"/>
        </w:rPr>
        <w:t>停牌券复牌后卖出所得以现金形式按转换基准日</w:t>
      </w:r>
      <w:r>
        <w:rPr>
          <w:rFonts w:hint="eastAsia"/>
        </w:rPr>
        <w:t>（</w:t>
      </w:r>
      <w:r>
        <w:rPr>
          <w:rFonts w:hint="eastAsia"/>
        </w:rPr>
        <w:t>11</w:t>
      </w:r>
      <w:r>
        <w:rPr>
          <w:rFonts w:hint="eastAsia"/>
        </w:rPr>
        <w:t>月</w:t>
      </w:r>
      <w:r>
        <w:rPr>
          <w:rFonts w:hint="eastAsia"/>
        </w:rPr>
        <w:t>21</w:t>
      </w:r>
      <w:r>
        <w:rPr>
          <w:rFonts w:hint="eastAsia"/>
        </w:rPr>
        <w:t>日）</w:t>
      </w:r>
      <w:r w:rsidR="0083459B" w:rsidRPr="0083459B">
        <w:rPr>
          <w:rFonts w:hint="eastAsia"/>
        </w:rPr>
        <w:t>持有景祥</w:t>
      </w:r>
      <w:r w:rsidR="0083459B" w:rsidRPr="0083459B">
        <w:rPr>
          <w:rFonts w:hint="eastAsia"/>
        </w:rPr>
        <w:t>B</w:t>
      </w:r>
      <w:r w:rsidR="0083459B" w:rsidRPr="0083459B">
        <w:rPr>
          <w:rFonts w:hint="eastAsia"/>
        </w:rPr>
        <w:t>份额比例分配给相应持有人。</w:t>
      </w:r>
    </w:p>
    <w:p w:rsidR="005B7BB7" w:rsidRPr="00BC3EB9" w:rsidRDefault="005B7BB7" w:rsidP="005B7BB7">
      <w:pPr>
        <w:spacing w:line="360" w:lineRule="auto"/>
        <w:jc w:val="left"/>
        <w:rPr>
          <w:b/>
        </w:rPr>
      </w:pPr>
      <w:r w:rsidRPr="00BC3EB9">
        <w:rPr>
          <w:rFonts w:hint="eastAsia"/>
          <w:b/>
        </w:rPr>
        <w:t>2</w:t>
      </w:r>
      <w:r w:rsidRPr="00BC3EB9">
        <w:rPr>
          <w:rFonts w:hint="eastAsia"/>
          <w:b/>
        </w:rPr>
        <w:t>、负债清偿情况</w:t>
      </w:r>
      <w:r w:rsidRPr="00BC3EB9">
        <w:rPr>
          <w:rFonts w:hint="eastAsia"/>
          <w:b/>
        </w:rPr>
        <w:tab/>
      </w:r>
    </w:p>
    <w:p w:rsidR="005B7BB7" w:rsidRDefault="005B7BB7" w:rsidP="005B7BB7">
      <w:pPr>
        <w:spacing w:line="360" w:lineRule="auto"/>
        <w:jc w:val="left"/>
      </w:pPr>
      <w:r>
        <w:rPr>
          <w:rFonts w:hint="eastAsia"/>
        </w:rPr>
        <w:t>(1)</w:t>
      </w:r>
      <w:r w:rsidR="00197A7D">
        <w:rPr>
          <w:rFonts w:hint="eastAsia"/>
        </w:rPr>
        <w:t>合同</w:t>
      </w:r>
      <w:r>
        <w:rPr>
          <w:rFonts w:hint="eastAsia"/>
        </w:rPr>
        <w:t>终止日应付管理人报酬为人民币</w:t>
      </w:r>
      <w:r w:rsidR="007374CC" w:rsidRPr="007374CC">
        <w:t>1,179,765.93</w:t>
      </w:r>
      <w:r w:rsidR="003505D8">
        <w:rPr>
          <w:rFonts w:hint="eastAsia"/>
        </w:rPr>
        <w:t>元</w:t>
      </w:r>
      <w:r>
        <w:rPr>
          <w:rFonts w:hint="eastAsia"/>
        </w:rPr>
        <w:t>。</w:t>
      </w:r>
    </w:p>
    <w:p w:rsidR="005B7BB7" w:rsidRDefault="005B7BB7" w:rsidP="005B7BB7">
      <w:pPr>
        <w:spacing w:line="360" w:lineRule="auto"/>
        <w:jc w:val="left"/>
      </w:pPr>
      <w:r>
        <w:rPr>
          <w:rFonts w:hint="eastAsia"/>
        </w:rPr>
        <w:t>(2)</w:t>
      </w:r>
      <w:r w:rsidR="00197A7D">
        <w:rPr>
          <w:rFonts w:hint="eastAsia"/>
        </w:rPr>
        <w:t>合同</w:t>
      </w:r>
      <w:r>
        <w:rPr>
          <w:rFonts w:hint="eastAsia"/>
        </w:rPr>
        <w:t>终止日应付托管费为人民币</w:t>
      </w:r>
      <w:r w:rsidR="007374CC" w:rsidRPr="007374CC">
        <w:t>224,291.30</w:t>
      </w:r>
      <w:r>
        <w:rPr>
          <w:rFonts w:hint="eastAsia"/>
        </w:rPr>
        <w:t>元。</w:t>
      </w:r>
    </w:p>
    <w:p w:rsidR="005B7BB7" w:rsidRDefault="005B7BB7" w:rsidP="005B7BB7">
      <w:pPr>
        <w:spacing w:line="360" w:lineRule="auto"/>
        <w:jc w:val="left"/>
      </w:pPr>
      <w:r>
        <w:rPr>
          <w:rFonts w:hint="eastAsia"/>
        </w:rPr>
        <w:t>(3)</w:t>
      </w:r>
      <w:r w:rsidR="007374CC">
        <w:rPr>
          <w:rFonts w:hint="eastAsia"/>
        </w:rPr>
        <w:t>合同终止日应付交易费用为人民币</w:t>
      </w:r>
      <w:r w:rsidR="007374CC" w:rsidRPr="007374CC">
        <w:t>18,518.96</w:t>
      </w:r>
      <w:r w:rsidR="007374CC">
        <w:rPr>
          <w:rFonts w:hint="eastAsia"/>
        </w:rPr>
        <w:t>元</w:t>
      </w:r>
      <w:r w:rsidR="003505D8">
        <w:rPr>
          <w:rFonts w:hint="eastAsia"/>
        </w:rPr>
        <w:t>。</w:t>
      </w:r>
    </w:p>
    <w:p w:rsidR="0083459B" w:rsidRPr="00BC3EB9" w:rsidRDefault="007374CC" w:rsidP="005B7BB7">
      <w:pPr>
        <w:spacing w:line="360" w:lineRule="auto"/>
        <w:jc w:val="left"/>
      </w:pPr>
      <w:r>
        <w:rPr>
          <w:rFonts w:hint="eastAsia"/>
        </w:rPr>
        <w:t>(4)</w:t>
      </w:r>
      <w:r>
        <w:rPr>
          <w:rFonts w:hint="eastAsia"/>
        </w:rPr>
        <w:t>合同终止日其他负债为人民币</w:t>
      </w:r>
      <w:r w:rsidRPr="007374CC">
        <w:t>101,140</w:t>
      </w:r>
      <w:r w:rsidR="00930979">
        <w:rPr>
          <w:rFonts w:hint="eastAsia"/>
        </w:rPr>
        <w:t>.00</w:t>
      </w:r>
      <w:r>
        <w:rPr>
          <w:rFonts w:hint="eastAsia"/>
        </w:rPr>
        <w:t>元</w:t>
      </w:r>
      <w:r w:rsidR="003505D8">
        <w:rPr>
          <w:rFonts w:hint="eastAsia"/>
        </w:rPr>
        <w:t>，其中</w:t>
      </w:r>
      <w:r w:rsidR="00BC3EB9">
        <w:rPr>
          <w:rFonts w:hint="eastAsia"/>
        </w:rPr>
        <w:t>1,840.00</w:t>
      </w:r>
      <w:r w:rsidR="002527DF">
        <w:rPr>
          <w:rFonts w:hint="eastAsia"/>
        </w:rPr>
        <w:t>元为截至合同终止日应</w:t>
      </w:r>
      <w:r w:rsidR="00BC3EB9">
        <w:rPr>
          <w:rFonts w:hint="eastAsia"/>
        </w:rPr>
        <w:t>付的银行汇划费，</w:t>
      </w:r>
      <w:r w:rsidR="00BC3EB9">
        <w:rPr>
          <w:rFonts w:hint="eastAsia"/>
        </w:rPr>
        <w:t>90,000.00</w:t>
      </w:r>
      <w:r w:rsidR="00BC3EB9">
        <w:rPr>
          <w:rFonts w:hint="eastAsia"/>
        </w:rPr>
        <w:t>元为预提审计费，</w:t>
      </w:r>
      <w:r w:rsidR="00BC3EB9">
        <w:rPr>
          <w:rFonts w:hint="eastAsia"/>
        </w:rPr>
        <w:t>9,300</w:t>
      </w:r>
      <w:r w:rsidR="00BC3EB9">
        <w:rPr>
          <w:rFonts w:hint="eastAsia"/>
        </w:rPr>
        <w:t>元为预提上清所、中债登账户维护费，将于合同到期日后进行支付。</w:t>
      </w:r>
    </w:p>
    <w:p w:rsidR="005B7BB7" w:rsidRPr="00BC3EB9" w:rsidRDefault="005B7BB7" w:rsidP="005B7BB7">
      <w:pPr>
        <w:spacing w:line="360" w:lineRule="auto"/>
        <w:jc w:val="left"/>
        <w:rPr>
          <w:b/>
        </w:rPr>
      </w:pPr>
      <w:r w:rsidRPr="00BC3EB9">
        <w:rPr>
          <w:rFonts w:hint="eastAsia"/>
          <w:b/>
        </w:rPr>
        <w:t>3</w:t>
      </w:r>
      <w:r w:rsidRPr="00BC3EB9">
        <w:rPr>
          <w:rFonts w:hint="eastAsia"/>
          <w:b/>
        </w:rPr>
        <w:t>、</w:t>
      </w:r>
      <w:r w:rsidR="008A26BA" w:rsidRPr="00BC3EB9">
        <w:rPr>
          <w:rFonts w:hint="eastAsia"/>
          <w:b/>
        </w:rPr>
        <w:t>合同到期期间</w:t>
      </w:r>
      <w:r w:rsidRPr="00BC3EB9">
        <w:rPr>
          <w:rFonts w:hint="eastAsia"/>
          <w:b/>
        </w:rPr>
        <w:t>损益情况</w:t>
      </w:r>
    </w:p>
    <w:tbl>
      <w:tblPr>
        <w:tblStyle w:val="a8"/>
        <w:tblW w:w="0" w:type="auto"/>
        <w:tblLook w:val="04A0"/>
      </w:tblPr>
      <w:tblGrid>
        <w:gridCol w:w="4410"/>
        <w:gridCol w:w="4112"/>
      </w:tblGrid>
      <w:tr w:rsidR="0083459B" w:rsidTr="00950E81">
        <w:trPr>
          <w:trHeight w:val="900"/>
        </w:trPr>
        <w:tc>
          <w:tcPr>
            <w:tcW w:w="8522" w:type="dxa"/>
            <w:gridSpan w:val="2"/>
          </w:tcPr>
          <w:p w:rsidR="0020039F" w:rsidRDefault="0020039F" w:rsidP="00BD5A1E">
            <w:pPr>
              <w:spacing w:line="276" w:lineRule="auto"/>
              <w:jc w:val="center"/>
            </w:pPr>
            <w:r>
              <w:rPr>
                <w:rFonts w:hint="eastAsia"/>
              </w:rPr>
              <w:t>合同到期期间损益情况</w:t>
            </w:r>
          </w:p>
          <w:p w:rsidR="00E05487" w:rsidRDefault="00E05487" w:rsidP="00BD5A1E">
            <w:pPr>
              <w:spacing w:line="276" w:lineRule="auto"/>
              <w:jc w:val="right"/>
            </w:pPr>
            <w:r>
              <w:rPr>
                <w:rFonts w:hint="eastAsia"/>
              </w:rPr>
              <w:t>单位：人民币元</w:t>
            </w:r>
          </w:p>
        </w:tc>
      </w:tr>
      <w:tr w:rsidR="00950E81" w:rsidTr="005B3270">
        <w:trPr>
          <w:trHeight w:val="357"/>
        </w:trPr>
        <w:tc>
          <w:tcPr>
            <w:tcW w:w="8522" w:type="dxa"/>
            <w:gridSpan w:val="2"/>
          </w:tcPr>
          <w:p w:rsidR="00950E81" w:rsidRDefault="00950E81" w:rsidP="00BD5A1E">
            <w:pPr>
              <w:spacing w:line="276" w:lineRule="auto"/>
              <w:jc w:val="left"/>
            </w:pPr>
            <w:r w:rsidRPr="00E05487">
              <w:rPr>
                <w:rFonts w:hint="eastAsia"/>
              </w:rPr>
              <w:t>项目</w:t>
            </w:r>
          </w:p>
        </w:tc>
      </w:tr>
      <w:tr w:rsidR="00950E81" w:rsidTr="00950E81">
        <w:trPr>
          <w:trHeight w:val="465"/>
        </w:trPr>
        <w:tc>
          <w:tcPr>
            <w:tcW w:w="4410" w:type="dxa"/>
          </w:tcPr>
          <w:p w:rsidR="00950E81" w:rsidRDefault="00930979" w:rsidP="00BD5A1E">
            <w:pPr>
              <w:spacing w:line="276" w:lineRule="auto"/>
              <w:jc w:val="left"/>
            </w:pPr>
            <w:r>
              <w:rPr>
                <w:rFonts w:hint="eastAsia"/>
              </w:rPr>
              <w:t>一、期间</w:t>
            </w:r>
            <w:r w:rsidR="00950E81" w:rsidRPr="00E05487">
              <w:rPr>
                <w:rFonts w:hint="eastAsia"/>
              </w:rPr>
              <w:t>收益</w:t>
            </w:r>
          </w:p>
        </w:tc>
        <w:tc>
          <w:tcPr>
            <w:tcW w:w="4112" w:type="dxa"/>
          </w:tcPr>
          <w:p w:rsidR="00950E81" w:rsidRDefault="00950E81" w:rsidP="00BD5A1E">
            <w:pPr>
              <w:spacing w:line="276" w:lineRule="auto"/>
              <w:jc w:val="left"/>
            </w:pPr>
          </w:p>
        </w:tc>
      </w:tr>
      <w:tr w:rsidR="00950E81" w:rsidTr="005B3270">
        <w:trPr>
          <w:trHeight w:val="399"/>
        </w:trPr>
        <w:tc>
          <w:tcPr>
            <w:tcW w:w="4410" w:type="dxa"/>
          </w:tcPr>
          <w:p w:rsidR="00950E81" w:rsidRPr="00E05487" w:rsidRDefault="00950E81" w:rsidP="00BD5A1E">
            <w:pPr>
              <w:spacing w:line="276" w:lineRule="auto"/>
              <w:jc w:val="left"/>
            </w:pPr>
            <w:r w:rsidRPr="002F306B">
              <w:rPr>
                <w:rFonts w:ascii="宋体" w:hAnsi="宋体" w:cs="Arial" w:hint="eastAsia"/>
                <w:szCs w:val="21"/>
              </w:rPr>
              <w:t>存款利息收入</w:t>
            </w:r>
            <w:r>
              <w:rPr>
                <w:rFonts w:ascii="宋体" w:hAnsi="宋体" w:cs="Arial" w:hint="eastAsia"/>
                <w:szCs w:val="21"/>
              </w:rPr>
              <w:t>（注1）</w:t>
            </w:r>
          </w:p>
        </w:tc>
        <w:tc>
          <w:tcPr>
            <w:tcW w:w="4112" w:type="dxa"/>
          </w:tcPr>
          <w:p w:rsidR="00950E81" w:rsidRPr="00E05487" w:rsidRDefault="005B3270" w:rsidP="00BD5A1E">
            <w:pPr>
              <w:spacing w:line="276" w:lineRule="auto"/>
              <w:jc w:val="right"/>
            </w:pPr>
            <w:r w:rsidRPr="005B3270">
              <w:t>129,088.77</w:t>
            </w:r>
          </w:p>
        </w:tc>
      </w:tr>
      <w:tr w:rsidR="00950E81" w:rsidTr="00BC3EB9">
        <w:trPr>
          <w:trHeight w:val="565"/>
        </w:trPr>
        <w:tc>
          <w:tcPr>
            <w:tcW w:w="4410" w:type="dxa"/>
          </w:tcPr>
          <w:p w:rsidR="00950E81" w:rsidRPr="00950E81" w:rsidRDefault="00930979" w:rsidP="00BD5A1E">
            <w:pPr>
              <w:spacing w:line="276" w:lineRule="auto"/>
              <w:jc w:val="left"/>
              <w:rPr>
                <w:b/>
              </w:rPr>
            </w:pPr>
            <w:r>
              <w:rPr>
                <w:rFonts w:ascii="宋体" w:hAnsi="宋体" w:cs="Arial" w:hint="eastAsia"/>
                <w:b/>
                <w:szCs w:val="21"/>
              </w:rPr>
              <w:t>期间</w:t>
            </w:r>
            <w:r w:rsidR="00950E81" w:rsidRPr="00950E81">
              <w:rPr>
                <w:rFonts w:ascii="宋体" w:hAnsi="宋体" w:cs="Arial" w:hint="eastAsia"/>
                <w:b/>
                <w:szCs w:val="21"/>
              </w:rPr>
              <w:t>收入小计①</w:t>
            </w:r>
          </w:p>
        </w:tc>
        <w:tc>
          <w:tcPr>
            <w:tcW w:w="4112" w:type="dxa"/>
          </w:tcPr>
          <w:p w:rsidR="00950E81" w:rsidRDefault="005B3270" w:rsidP="00BD5A1E">
            <w:pPr>
              <w:spacing w:line="276" w:lineRule="auto"/>
              <w:jc w:val="right"/>
            </w:pPr>
            <w:r w:rsidRPr="005B3270">
              <w:t>129,088.77</w:t>
            </w:r>
          </w:p>
        </w:tc>
      </w:tr>
      <w:tr w:rsidR="00950E81" w:rsidTr="005B3270">
        <w:trPr>
          <w:trHeight w:val="346"/>
        </w:trPr>
        <w:tc>
          <w:tcPr>
            <w:tcW w:w="4410" w:type="dxa"/>
          </w:tcPr>
          <w:p w:rsidR="00950E81" w:rsidRPr="002F306B" w:rsidRDefault="00950E81" w:rsidP="00BD5A1E">
            <w:pPr>
              <w:spacing w:line="276" w:lineRule="auto"/>
              <w:jc w:val="left"/>
              <w:rPr>
                <w:rFonts w:ascii="宋体" w:hAnsi="宋体" w:cs="Arial"/>
                <w:szCs w:val="21"/>
              </w:rPr>
            </w:pPr>
            <w:r>
              <w:rPr>
                <w:rFonts w:hint="eastAsia"/>
              </w:rPr>
              <w:t>二、清算费用</w:t>
            </w:r>
          </w:p>
        </w:tc>
        <w:tc>
          <w:tcPr>
            <w:tcW w:w="4112" w:type="dxa"/>
          </w:tcPr>
          <w:p w:rsidR="00950E81" w:rsidRPr="002F306B" w:rsidRDefault="00950E81" w:rsidP="00BD5A1E">
            <w:pPr>
              <w:spacing w:line="276" w:lineRule="auto"/>
              <w:jc w:val="left"/>
              <w:rPr>
                <w:rFonts w:ascii="宋体" w:hAnsi="宋体" w:cs="Arial"/>
                <w:szCs w:val="21"/>
              </w:rPr>
            </w:pPr>
          </w:p>
        </w:tc>
      </w:tr>
      <w:tr w:rsidR="00950E81" w:rsidTr="005B3270">
        <w:trPr>
          <w:trHeight w:val="268"/>
        </w:trPr>
        <w:tc>
          <w:tcPr>
            <w:tcW w:w="4410" w:type="dxa"/>
            <w:tcBorders>
              <w:bottom w:val="single" w:sz="4" w:space="0" w:color="auto"/>
            </w:tcBorders>
          </w:tcPr>
          <w:p w:rsidR="00950E81" w:rsidRDefault="00950E81" w:rsidP="00BD5A1E">
            <w:pPr>
              <w:widowControl/>
              <w:spacing w:line="276" w:lineRule="auto"/>
              <w:jc w:val="left"/>
            </w:pPr>
            <w:r>
              <w:rPr>
                <w:rFonts w:hint="eastAsia"/>
              </w:rPr>
              <w:t>银行手续费（注</w:t>
            </w:r>
            <w:r>
              <w:rPr>
                <w:rFonts w:hint="eastAsia"/>
              </w:rPr>
              <w:t>2</w:t>
            </w:r>
            <w:r>
              <w:rPr>
                <w:rFonts w:hint="eastAsia"/>
              </w:rPr>
              <w:t>）</w:t>
            </w:r>
          </w:p>
        </w:tc>
        <w:tc>
          <w:tcPr>
            <w:tcW w:w="4112" w:type="dxa"/>
            <w:tcBorders>
              <w:bottom w:val="single" w:sz="4" w:space="0" w:color="auto"/>
            </w:tcBorders>
          </w:tcPr>
          <w:p w:rsidR="00950E81" w:rsidRDefault="005B3270" w:rsidP="00BD5A1E">
            <w:pPr>
              <w:widowControl/>
              <w:spacing w:line="276" w:lineRule="auto"/>
              <w:jc w:val="right"/>
            </w:pPr>
            <w:r>
              <w:rPr>
                <w:rFonts w:hint="eastAsia"/>
              </w:rPr>
              <w:t>800</w:t>
            </w:r>
            <w:r w:rsidR="00930979">
              <w:rPr>
                <w:rFonts w:hint="eastAsia"/>
              </w:rPr>
              <w:t>.00</w:t>
            </w:r>
          </w:p>
        </w:tc>
      </w:tr>
      <w:tr w:rsidR="00950E81" w:rsidTr="005B3270">
        <w:trPr>
          <w:trHeight w:val="373"/>
        </w:trPr>
        <w:tc>
          <w:tcPr>
            <w:tcW w:w="4410" w:type="dxa"/>
            <w:tcBorders>
              <w:top w:val="single" w:sz="4" w:space="0" w:color="auto"/>
              <w:bottom w:val="single" w:sz="4" w:space="0" w:color="auto"/>
            </w:tcBorders>
          </w:tcPr>
          <w:p w:rsidR="00950E81" w:rsidRPr="00950E81" w:rsidRDefault="00950E81" w:rsidP="00BD5A1E">
            <w:pPr>
              <w:widowControl/>
              <w:spacing w:line="276" w:lineRule="auto"/>
              <w:jc w:val="left"/>
              <w:rPr>
                <w:b/>
              </w:rPr>
            </w:pPr>
            <w:r w:rsidRPr="00950E81">
              <w:rPr>
                <w:rFonts w:ascii="宋体" w:hAnsi="宋体" w:cs="Arial" w:hint="eastAsia"/>
                <w:b/>
                <w:szCs w:val="21"/>
              </w:rPr>
              <w:t>清算费用小计②</w:t>
            </w:r>
          </w:p>
        </w:tc>
        <w:tc>
          <w:tcPr>
            <w:tcW w:w="4112" w:type="dxa"/>
            <w:tcBorders>
              <w:top w:val="single" w:sz="4" w:space="0" w:color="auto"/>
              <w:bottom w:val="single" w:sz="4" w:space="0" w:color="auto"/>
            </w:tcBorders>
          </w:tcPr>
          <w:p w:rsidR="00950E81" w:rsidRDefault="005B3270" w:rsidP="00BD5A1E">
            <w:pPr>
              <w:widowControl/>
              <w:spacing w:line="276" w:lineRule="auto"/>
              <w:jc w:val="right"/>
            </w:pPr>
            <w:r>
              <w:rPr>
                <w:rFonts w:hint="eastAsia"/>
              </w:rPr>
              <w:t>800</w:t>
            </w:r>
            <w:r w:rsidR="00930979">
              <w:rPr>
                <w:rFonts w:hint="eastAsia"/>
              </w:rPr>
              <w:t>.00</w:t>
            </w:r>
          </w:p>
        </w:tc>
      </w:tr>
      <w:tr w:rsidR="00950E81" w:rsidTr="005B3270">
        <w:trPr>
          <w:trHeight w:val="337"/>
        </w:trPr>
        <w:tc>
          <w:tcPr>
            <w:tcW w:w="4410" w:type="dxa"/>
            <w:tcBorders>
              <w:top w:val="single" w:sz="4" w:space="0" w:color="auto"/>
            </w:tcBorders>
          </w:tcPr>
          <w:p w:rsidR="00950E81" w:rsidRPr="00950E81" w:rsidRDefault="00930979" w:rsidP="00BD5A1E">
            <w:pPr>
              <w:widowControl/>
              <w:spacing w:line="276" w:lineRule="auto"/>
              <w:jc w:val="left"/>
              <w:rPr>
                <w:b/>
              </w:rPr>
            </w:pPr>
            <w:r>
              <w:rPr>
                <w:rFonts w:ascii="宋体" w:hAnsi="宋体" w:cs="Arial" w:hint="eastAsia"/>
                <w:b/>
                <w:szCs w:val="21"/>
              </w:rPr>
              <w:t>三、期间</w:t>
            </w:r>
            <w:r w:rsidR="00950E81" w:rsidRPr="00950E81">
              <w:rPr>
                <w:rFonts w:ascii="宋体" w:hAnsi="宋体" w:cs="Arial" w:hint="eastAsia"/>
                <w:b/>
                <w:szCs w:val="21"/>
              </w:rPr>
              <w:t>净收益①-②</w:t>
            </w:r>
          </w:p>
        </w:tc>
        <w:tc>
          <w:tcPr>
            <w:tcW w:w="4112" w:type="dxa"/>
            <w:tcBorders>
              <w:top w:val="single" w:sz="4" w:space="0" w:color="auto"/>
            </w:tcBorders>
          </w:tcPr>
          <w:p w:rsidR="00950E81" w:rsidRDefault="005B3270" w:rsidP="00BD5A1E">
            <w:pPr>
              <w:widowControl/>
              <w:spacing w:line="276" w:lineRule="auto"/>
              <w:jc w:val="right"/>
            </w:pPr>
            <w:r w:rsidRPr="005B3270">
              <w:t>128,288.77</w:t>
            </w:r>
          </w:p>
        </w:tc>
      </w:tr>
    </w:tbl>
    <w:p w:rsidR="0083459B" w:rsidRDefault="00E05487" w:rsidP="005B7BB7">
      <w:pPr>
        <w:spacing w:line="360" w:lineRule="auto"/>
        <w:jc w:val="left"/>
      </w:pPr>
      <w:r>
        <w:rPr>
          <w:rFonts w:hint="eastAsia"/>
        </w:rPr>
        <w:t>注</w:t>
      </w:r>
      <w:r>
        <w:rPr>
          <w:rFonts w:hint="eastAsia"/>
        </w:rPr>
        <w:t>1</w:t>
      </w:r>
      <w:r>
        <w:rPr>
          <w:rFonts w:hint="eastAsia"/>
        </w:rPr>
        <w:t>：存款利息收入是自</w:t>
      </w:r>
      <w:r>
        <w:rPr>
          <w:rFonts w:hint="eastAsia"/>
        </w:rPr>
        <w:t>2016</w:t>
      </w:r>
      <w:r>
        <w:rPr>
          <w:rFonts w:hint="eastAsia"/>
        </w:rPr>
        <w:t>年</w:t>
      </w:r>
      <w:r>
        <w:rPr>
          <w:rFonts w:hint="eastAsia"/>
        </w:rPr>
        <w:t>11</w:t>
      </w:r>
      <w:r>
        <w:rPr>
          <w:rFonts w:hint="eastAsia"/>
        </w:rPr>
        <w:t>月</w:t>
      </w:r>
      <w:r>
        <w:rPr>
          <w:rFonts w:hint="eastAsia"/>
        </w:rPr>
        <w:t>19</w:t>
      </w:r>
      <w:r>
        <w:rPr>
          <w:rFonts w:hint="eastAsia"/>
        </w:rPr>
        <w:t>日至</w:t>
      </w:r>
      <w:r>
        <w:rPr>
          <w:rFonts w:hint="eastAsia"/>
        </w:rPr>
        <w:t>2016</w:t>
      </w:r>
      <w:r>
        <w:rPr>
          <w:rFonts w:hint="eastAsia"/>
        </w:rPr>
        <w:t>年</w:t>
      </w:r>
      <w:r>
        <w:rPr>
          <w:rFonts w:hint="eastAsia"/>
        </w:rPr>
        <w:t>11</w:t>
      </w:r>
      <w:r>
        <w:rPr>
          <w:rFonts w:hint="eastAsia"/>
        </w:rPr>
        <w:t>月</w:t>
      </w:r>
      <w:r>
        <w:rPr>
          <w:rFonts w:hint="eastAsia"/>
        </w:rPr>
        <w:t>21</w:t>
      </w:r>
      <w:r>
        <w:rPr>
          <w:rFonts w:hint="eastAsia"/>
        </w:rPr>
        <w:t>日期间的银行存款利息及结算备付金</w:t>
      </w:r>
      <w:r w:rsidR="00930979">
        <w:rPr>
          <w:rFonts w:hint="eastAsia"/>
        </w:rPr>
        <w:t>、保证金利息</w:t>
      </w:r>
      <w:r>
        <w:rPr>
          <w:rFonts w:hint="eastAsia"/>
        </w:rPr>
        <w:t>。</w:t>
      </w:r>
    </w:p>
    <w:p w:rsidR="00E05487" w:rsidRDefault="00E05487" w:rsidP="005B7BB7">
      <w:pPr>
        <w:spacing w:line="360" w:lineRule="auto"/>
        <w:jc w:val="left"/>
      </w:pPr>
      <w:r>
        <w:rPr>
          <w:rFonts w:hint="eastAsia"/>
        </w:rPr>
        <w:t>注</w:t>
      </w:r>
      <w:r>
        <w:rPr>
          <w:rFonts w:hint="eastAsia"/>
        </w:rPr>
        <w:t>2</w:t>
      </w:r>
      <w:r w:rsidR="005B3270">
        <w:rPr>
          <w:rFonts w:hint="eastAsia"/>
        </w:rPr>
        <w:t>：</w:t>
      </w:r>
      <w:r w:rsidR="00D321D7">
        <w:rPr>
          <w:rFonts w:hint="eastAsia"/>
        </w:rPr>
        <w:t>预估的</w:t>
      </w:r>
      <w:r w:rsidR="005B3270">
        <w:rPr>
          <w:rFonts w:hint="eastAsia"/>
        </w:rPr>
        <w:t>基金清算期间银行</w:t>
      </w:r>
      <w:r w:rsidR="008A25BB">
        <w:rPr>
          <w:rFonts w:hint="eastAsia"/>
        </w:rPr>
        <w:t>汇划费</w:t>
      </w:r>
      <w:r w:rsidR="005B3270">
        <w:rPr>
          <w:rFonts w:hint="eastAsia"/>
        </w:rPr>
        <w:t>。</w:t>
      </w:r>
    </w:p>
    <w:p w:rsidR="00950E81" w:rsidRPr="00E05487" w:rsidRDefault="0009177E" w:rsidP="005B7BB7">
      <w:pPr>
        <w:spacing w:line="360" w:lineRule="auto"/>
        <w:jc w:val="left"/>
      </w:pPr>
      <w:r>
        <w:rPr>
          <w:rFonts w:hint="eastAsia"/>
        </w:rPr>
        <w:t xml:space="preserve"> </w:t>
      </w:r>
    </w:p>
    <w:p w:rsidR="00E6695B" w:rsidRPr="00BC3EB9" w:rsidRDefault="004C5D87" w:rsidP="005B7BB7">
      <w:pPr>
        <w:spacing w:line="360" w:lineRule="auto"/>
        <w:jc w:val="left"/>
        <w:rPr>
          <w:b/>
        </w:rPr>
      </w:pPr>
      <w:r w:rsidRPr="00BC3EB9">
        <w:rPr>
          <w:rFonts w:hint="eastAsia"/>
          <w:b/>
        </w:rPr>
        <w:t>4</w:t>
      </w:r>
      <w:r w:rsidRPr="00BC3EB9">
        <w:rPr>
          <w:rFonts w:hint="eastAsia"/>
          <w:b/>
        </w:rPr>
        <w:t>、资产处置及负债清偿后的剩余财产分配情况</w:t>
      </w:r>
    </w:p>
    <w:p w:rsidR="009251C7" w:rsidRDefault="00E6695B" w:rsidP="009251C7">
      <w:pPr>
        <w:spacing w:line="360" w:lineRule="auto"/>
        <w:jc w:val="right"/>
      </w:pPr>
      <w:r>
        <w:rPr>
          <w:rFonts w:hint="eastAsia"/>
        </w:rPr>
        <w:t>单位：人民币元</w:t>
      </w:r>
    </w:p>
    <w:tbl>
      <w:tblPr>
        <w:tblW w:w="5000" w:type="pct"/>
        <w:tblLook w:val="04A0"/>
      </w:tblPr>
      <w:tblGrid>
        <w:gridCol w:w="4786"/>
        <w:gridCol w:w="1842"/>
        <w:gridCol w:w="1894"/>
      </w:tblGrid>
      <w:tr w:rsidR="00DA59C3" w:rsidRPr="009251C7" w:rsidTr="00DA59C3">
        <w:trPr>
          <w:trHeight w:val="315"/>
        </w:trPr>
        <w:tc>
          <w:tcPr>
            <w:tcW w:w="28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A59C3" w:rsidRPr="00241BEC" w:rsidRDefault="00DA59C3" w:rsidP="00BD5A1E">
            <w:pPr>
              <w:widowControl/>
              <w:spacing w:line="276" w:lineRule="auto"/>
              <w:jc w:val="left"/>
              <w:rPr>
                <w:b/>
                <w:color w:val="000000"/>
                <w:kern w:val="0"/>
                <w:szCs w:val="21"/>
              </w:rPr>
            </w:pPr>
            <w:r w:rsidRPr="00241BEC">
              <w:rPr>
                <w:rFonts w:ascii="宋体" w:hAnsi="宋体" w:hint="eastAsia"/>
                <w:b/>
                <w:color w:val="000000"/>
                <w:kern w:val="0"/>
                <w:szCs w:val="21"/>
              </w:rPr>
              <w:t>项目</w:t>
            </w:r>
          </w:p>
        </w:tc>
        <w:tc>
          <w:tcPr>
            <w:tcW w:w="1081" w:type="pct"/>
            <w:tcBorders>
              <w:top w:val="single" w:sz="8" w:space="0" w:color="auto"/>
              <w:left w:val="nil"/>
              <w:bottom w:val="single" w:sz="8" w:space="0" w:color="auto"/>
              <w:right w:val="single" w:sz="8" w:space="0" w:color="auto"/>
            </w:tcBorders>
            <w:shd w:val="clear" w:color="auto" w:fill="auto"/>
            <w:vAlign w:val="center"/>
            <w:hideMark/>
          </w:tcPr>
          <w:p w:rsidR="00DA59C3" w:rsidRPr="00241BEC" w:rsidRDefault="00DA59C3" w:rsidP="00BD5A1E">
            <w:pPr>
              <w:widowControl/>
              <w:spacing w:line="276" w:lineRule="auto"/>
              <w:jc w:val="left"/>
              <w:rPr>
                <w:b/>
                <w:color w:val="000000"/>
                <w:kern w:val="0"/>
                <w:szCs w:val="21"/>
              </w:rPr>
            </w:pPr>
            <w:r w:rsidRPr="00241BEC">
              <w:rPr>
                <w:b/>
                <w:color w:val="000000"/>
                <w:kern w:val="0"/>
                <w:szCs w:val="21"/>
              </w:rPr>
              <w:t>A</w:t>
            </w:r>
            <w:r w:rsidRPr="00241BEC">
              <w:rPr>
                <w:rFonts w:ascii="宋体" w:hAnsi="宋体" w:hint="eastAsia"/>
                <w:b/>
                <w:color w:val="000000"/>
                <w:kern w:val="0"/>
                <w:szCs w:val="21"/>
              </w:rPr>
              <w:t>类份额</w:t>
            </w:r>
          </w:p>
        </w:tc>
        <w:tc>
          <w:tcPr>
            <w:tcW w:w="1111" w:type="pct"/>
            <w:tcBorders>
              <w:top w:val="single" w:sz="8" w:space="0" w:color="auto"/>
              <w:left w:val="nil"/>
              <w:bottom w:val="single" w:sz="8" w:space="0" w:color="auto"/>
              <w:right w:val="single" w:sz="8" w:space="0" w:color="auto"/>
            </w:tcBorders>
            <w:shd w:val="clear" w:color="auto" w:fill="auto"/>
            <w:vAlign w:val="center"/>
            <w:hideMark/>
          </w:tcPr>
          <w:p w:rsidR="00DA59C3" w:rsidRPr="00241BEC" w:rsidRDefault="00DA59C3" w:rsidP="00BD5A1E">
            <w:pPr>
              <w:widowControl/>
              <w:spacing w:line="276" w:lineRule="auto"/>
              <w:jc w:val="left"/>
              <w:rPr>
                <w:b/>
                <w:color w:val="000000"/>
                <w:kern w:val="0"/>
                <w:szCs w:val="21"/>
              </w:rPr>
            </w:pPr>
            <w:r w:rsidRPr="00241BEC">
              <w:rPr>
                <w:b/>
                <w:color w:val="000000"/>
                <w:kern w:val="0"/>
                <w:szCs w:val="21"/>
              </w:rPr>
              <w:t>B</w:t>
            </w:r>
            <w:r w:rsidRPr="00241BEC">
              <w:rPr>
                <w:rFonts w:ascii="宋体" w:hAnsi="宋体" w:hint="eastAsia"/>
                <w:b/>
                <w:color w:val="000000"/>
                <w:kern w:val="0"/>
                <w:szCs w:val="21"/>
              </w:rPr>
              <w:t>类份额</w:t>
            </w:r>
          </w:p>
        </w:tc>
      </w:tr>
      <w:tr w:rsidR="00FF4539" w:rsidRPr="009251C7" w:rsidTr="008A1E14">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9251C7" w:rsidRDefault="00FF4539" w:rsidP="00BD5A1E">
            <w:pPr>
              <w:widowControl/>
              <w:spacing w:line="276" w:lineRule="auto"/>
              <w:jc w:val="left"/>
              <w:rPr>
                <w:b/>
                <w:color w:val="000000"/>
                <w:kern w:val="0"/>
                <w:szCs w:val="21"/>
              </w:rPr>
            </w:pPr>
            <w:r w:rsidRPr="009251C7">
              <w:rPr>
                <w:rFonts w:ascii="宋体" w:hAnsi="宋体" w:hint="eastAsia"/>
                <w:b/>
                <w:color w:val="000000"/>
                <w:kern w:val="0"/>
                <w:szCs w:val="21"/>
              </w:rPr>
              <w:t>一、合同到期日</w:t>
            </w:r>
            <w:r w:rsidRPr="009251C7">
              <w:rPr>
                <w:b/>
                <w:color w:val="000000"/>
                <w:kern w:val="0"/>
                <w:szCs w:val="21"/>
              </w:rPr>
              <w:t>2016</w:t>
            </w:r>
            <w:r w:rsidRPr="009251C7">
              <w:rPr>
                <w:rFonts w:ascii="宋体" w:hAnsi="宋体" w:hint="eastAsia"/>
                <w:b/>
                <w:color w:val="000000"/>
                <w:kern w:val="0"/>
                <w:szCs w:val="21"/>
              </w:rPr>
              <w:t>年</w:t>
            </w:r>
            <w:r w:rsidRPr="009251C7">
              <w:rPr>
                <w:b/>
                <w:color w:val="000000"/>
                <w:kern w:val="0"/>
                <w:szCs w:val="21"/>
              </w:rPr>
              <w:t>11</w:t>
            </w:r>
            <w:r w:rsidRPr="009251C7">
              <w:rPr>
                <w:rFonts w:ascii="宋体" w:hAnsi="宋体" w:hint="eastAsia"/>
                <w:b/>
                <w:color w:val="000000"/>
                <w:kern w:val="0"/>
                <w:szCs w:val="21"/>
              </w:rPr>
              <w:t>月</w:t>
            </w:r>
            <w:r w:rsidRPr="009251C7">
              <w:rPr>
                <w:b/>
                <w:color w:val="000000"/>
                <w:kern w:val="0"/>
                <w:szCs w:val="21"/>
              </w:rPr>
              <w:t>18</w:t>
            </w:r>
            <w:r w:rsidRPr="009251C7">
              <w:rPr>
                <w:rFonts w:ascii="宋体" w:hAnsi="宋体" w:hint="eastAsia"/>
                <w:b/>
                <w:color w:val="000000"/>
                <w:kern w:val="0"/>
                <w:szCs w:val="21"/>
              </w:rPr>
              <w:t>日基金净资产</w:t>
            </w:r>
          </w:p>
        </w:tc>
        <w:tc>
          <w:tcPr>
            <w:tcW w:w="108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left"/>
              <w:rPr>
                <w:color w:val="000000"/>
                <w:kern w:val="0"/>
                <w:szCs w:val="21"/>
              </w:rPr>
            </w:pPr>
            <w:r w:rsidRPr="00A96799">
              <w:t xml:space="preserve"> 1,186,414,613.85 </w:t>
            </w:r>
          </w:p>
        </w:tc>
        <w:tc>
          <w:tcPr>
            <w:tcW w:w="111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A96799">
              <w:t xml:space="preserve"> 974,451,322.74 </w:t>
            </w:r>
          </w:p>
        </w:tc>
      </w:tr>
      <w:tr w:rsidR="00FF4539" w:rsidRPr="009251C7" w:rsidTr="008A1E14">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9251C7" w:rsidRDefault="00FF4539" w:rsidP="00BD5A1E">
            <w:pPr>
              <w:widowControl/>
              <w:spacing w:line="276" w:lineRule="auto"/>
              <w:jc w:val="left"/>
              <w:rPr>
                <w:rFonts w:ascii="宋体" w:hAnsi="宋体" w:cs="宋体"/>
                <w:color w:val="000000"/>
                <w:kern w:val="0"/>
                <w:szCs w:val="21"/>
              </w:rPr>
            </w:pPr>
            <w:r w:rsidRPr="009251C7">
              <w:rPr>
                <w:rFonts w:ascii="宋体" w:hAnsi="宋体" w:cs="宋体" w:hint="eastAsia"/>
                <w:color w:val="000000"/>
                <w:kern w:val="0"/>
                <w:szCs w:val="21"/>
              </w:rPr>
              <w:t>减：确认赎回金额</w:t>
            </w:r>
          </w:p>
        </w:tc>
        <w:tc>
          <w:tcPr>
            <w:tcW w:w="108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left"/>
              <w:rPr>
                <w:color w:val="000000"/>
                <w:kern w:val="0"/>
                <w:szCs w:val="21"/>
              </w:rPr>
            </w:pPr>
            <w:r w:rsidRPr="0070500F">
              <w:t xml:space="preserve"> 1,027,221,333.08 </w:t>
            </w:r>
          </w:p>
        </w:tc>
        <w:tc>
          <w:tcPr>
            <w:tcW w:w="111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70500F">
              <w:t xml:space="preserve"> 958,775,730.65 </w:t>
            </w:r>
          </w:p>
        </w:tc>
      </w:tr>
      <w:tr w:rsidR="00FF4539" w:rsidRPr="009251C7" w:rsidTr="008A1E14">
        <w:trPr>
          <w:trHeight w:val="315"/>
        </w:trPr>
        <w:tc>
          <w:tcPr>
            <w:tcW w:w="2808" w:type="pct"/>
            <w:tcBorders>
              <w:top w:val="nil"/>
              <w:left w:val="single" w:sz="8" w:space="0" w:color="auto"/>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left"/>
              <w:rPr>
                <w:rFonts w:ascii="宋体" w:hAnsi="宋体" w:cs="宋体"/>
                <w:color w:val="000000"/>
                <w:kern w:val="0"/>
                <w:szCs w:val="21"/>
              </w:rPr>
            </w:pPr>
            <w:r w:rsidRPr="00D23ACB">
              <w:rPr>
                <w:rFonts w:hint="eastAsia"/>
              </w:rPr>
              <w:t>赎回后基金净资产</w:t>
            </w:r>
            <w:r w:rsidR="008A1E14" w:rsidRPr="009251C7">
              <w:rPr>
                <w:rFonts w:ascii="宋体" w:hAnsi="宋体" w:cs="宋体" w:hint="eastAsia"/>
                <w:color w:val="000000"/>
                <w:kern w:val="0"/>
                <w:szCs w:val="21"/>
              </w:rPr>
              <w:t>（</w:t>
            </w:r>
            <w:r w:rsidR="008A1E14" w:rsidRPr="00B877FC">
              <w:rPr>
                <w:color w:val="000000"/>
                <w:kern w:val="0"/>
                <w:szCs w:val="21"/>
              </w:rPr>
              <w:t>注</w:t>
            </w:r>
            <w:r w:rsidR="008A1E14" w:rsidRPr="00B877FC">
              <w:rPr>
                <w:color w:val="000000"/>
                <w:kern w:val="0"/>
                <w:szCs w:val="21"/>
              </w:rPr>
              <w:t>1</w:t>
            </w:r>
            <w:r w:rsidR="008A1E14" w:rsidRPr="00B877FC">
              <w:rPr>
                <w:color w:val="000000"/>
                <w:kern w:val="0"/>
                <w:szCs w:val="21"/>
              </w:rPr>
              <w:t>）</w:t>
            </w:r>
          </w:p>
        </w:tc>
        <w:tc>
          <w:tcPr>
            <w:tcW w:w="108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D23ACB">
              <w:rPr>
                <w:rFonts w:hint="eastAsia"/>
              </w:rPr>
              <w:t xml:space="preserve"> 159,720,356.26 </w:t>
            </w:r>
          </w:p>
        </w:tc>
        <w:tc>
          <w:tcPr>
            <w:tcW w:w="111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D23ACB">
              <w:rPr>
                <w:rFonts w:hint="eastAsia"/>
              </w:rPr>
              <w:t xml:space="preserve"> 15,148,516.60 </w:t>
            </w:r>
          </w:p>
        </w:tc>
      </w:tr>
      <w:tr w:rsidR="00FF4539" w:rsidRPr="009251C7" w:rsidTr="008A1E14">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9251C7" w:rsidRDefault="00FF4539" w:rsidP="00BD5A1E">
            <w:pPr>
              <w:widowControl/>
              <w:spacing w:line="276" w:lineRule="auto"/>
              <w:jc w:val="left"/>
              <w:rPr>
                <w:color w:val="000000"/>
                <w:kern w:val="0"/>
                <w:szCs w:val="21"/>
              </w:rPr>
            </w:pPr>
            <w:r w:rsidRPr="009251C7">
              <w:rPr>
                <w:rFonts w:ascii="宋体" w:hAnsi="宋体" w:hint="eastAsia"/>
                <w:color w:val="000000"/>
                <w:kern w:val="0"/>
                <w:szCs w:val="21"/>
              </w:rPr>
              <w:t>加：清算期间净收益（注</w:t>
            </w:r>
            <w:r w:rsidRPr="009251C7">
              <w:rPr>
                <w:color w:val="000000"/>
                <w:kern w:val="0"/>
                <w:szCs w:val="21"/>
              </w:rPr>
              <w:t>2</w:t>
            </w:r>
            <w:r w:rsidRPr="009251C7">
              <w:rPr>
                <w:rFonts w:ascii="宋体" w:hAnsi="宋体" w:hint="eastAsia"/>
                <w:color w:val="000000"/>
                <w:kern w:val="0"/>
                <w:szCs w:val="21"/>
              </w:rPr>
              <w:t>）</w:t>
            </w:r>
          </w:p>
        </w:tc>
        <w:tc>
          <w:tcPr>
            <w:tcW w:w="108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F17AB5">
              <w:t xml:space="preserve"> 117,175.39 </w:t>
            </w:r>
          </w:p>
        </w:tc>
        <w:tc>
          <w:tcPr>
            <w:tcW w:w="111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F17AB5">
              <w:t xml:space="preserve"> 11,113.38 </w:t>
            </w:r>
          </w:p>
        </w:tc>
      </w:tr>
      <w:tr w:rsidR="00DA59C3" w:rsidRPr="009251C7" w:rsidTr="00DA59C3">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DA59C3" w:rsidRPr="009251C7" w:rsidRDefault="00DA59C3" w:rsidP="00BD5A1E">
            <w:pPr>
              <w:widowControl/>
              <w:spacing w:line="276" w:lineRule="auto"/>
              <w:jc w:val="left"/>
              <w:rPr>
                <w:color w:val="000000"/>
                <w:kern w:val="0"/>
                <w:szCs w:val="21"/>
              </w:rPr>
            </w:pPr>
            <w:r w:rsidRPr="009251C7">
              <w:rPr>
                <w:color w:val="000000"/>
                <w:kern w:val="0"/>
                <w:szCs w:val="21"/>
              </w:rPr>
              <w:t xml:space="preserve">　</w:t>
            </w:r>
          </w:p>
        </w:tc>
        <w:tc>
          <w:tcPr>
            <w:tcW w:w="1081" w:type="pct"/>
            <w:tcBorders>
              <w:top w:val="nil"/>
              <w:left w:val="nil"/>
              <w:bottom w:val="single" w:sz="8" w:space="0" w:color="auto"/>
              <w:right w:val="single" w:sz="8" w:space="0" w:color="auto"/>
            </w:tcBorders>
            <w:shd w:val="clear" w:color="auto" w:fill="auto"/>
            <w:vAlign w:val="center"/>
            <w:hideMark/>
          </w:tcPr>
          <w:p w:rsidR="00DA59C3" w:rsidRPr="009251C7" w:rsidRDefault="00DA59C3" w:rsidP="00BD5A1E">
            <w:pPr>
              <w:widowControl/>
              <w:spacing w:line="276" w:lineRule="auto"/>
              <w:jc w:val="left"/>
              <w:rPr>
                <w:color w:val="000000"/>
                <w:kern w:val="0"/>
                <w:szCs w:val="21"/>
              </w:rPr>
            </w:pPr>
            <w:r w:rsidRPr="009251C7">
              <w:rPr>
                <w:color w:val="000000"/>
                <w:kern w:val="0"/>
                <w:szCs w:val="21"/>
              </w:rPr>
              <w:t xml:space="preserve">　</w:t>
            </w:r>
          </w:p>
        </w:tc>
        <w:tc>
          <w:tcPr>
            <w:tcW w:w="1111" w:type="pct"/>
            <w:tcBorders>
              <w:top w:val="nil"/>
              <w:left w:val="nil"/>
              <w:bottom w:val="single" w:sz="8" w:space="0" w:color="auto"/>
              <w:right w:val="single" w:sz="8" w:space="0" w:color="auto"/>
            </w:tcBorders>
            <w:shd w:val="clear" w:color="auto" w:fill="auto"/>
            <w:vAlign w:val="center"/>
            <w:hideMark/>
          </w:tcPr>
          <w:p w:rsidR="00DA59C3" w:rsidRPr="009251C7" w:rsidRDefault="00DA59C3" w:rsidP="00BD5A1E">
            <w:pPr>
              <w:widowControl/>
              <w:spacing w:line="276" w:lineRule="auto"/>
              <w:jc w:val="left"/>
              <w:rPr>
                <w:color w:val="000000"/>
                <w:kern w:val="0"/>
                <w:szCs w:val="21"/>
              </w:rPr>
            </w:pPr>
            <w:r w:rsidRPr="009251C7">
              <w:rPr>
                <w:color w:val="000000"/>
                <w:kern w:val="0"/>
                <w:szCs w:val="21"/>
              </w:rPr>
              <w:t xml:space="preserve">　</w:t>
            </w:r>
          </w:p>
        </w:tc>
      </w:tr>
      <w:tr w:rsidR="00FF4539" w:rsidRPr="009251C7" w:rsidTr="00FF4539">
        <w:trPr>
          <w:trHeight w:val="356"/>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9251C7" w:rsidRDefault="00FF4539" w:rsidP="00BD5A1E">
            <w:pPr>
              <w:widowControl/>
              <w:spacing w:line="276" w:lineRule="auto"/>
              <w:jc w:val="left"/>
              <w:rPr>
                <w:b/>
                <w:color w:val="000000"/>
                <w:kern w:val="0"/>
                <w:szCs w:val="21"/>
              </w:rPr>
            </w:pPr>
            <w:r w:rsidRPr="009251C7">
              <w:rPr>
                <w:rFonts w:ascii="宋体" w:hAnsi="宋体" w:hint="eastAsia"/>
                <w:b/>
                <w:color w:val="000000"/>
                <w:kern w:val="0"/>
                <w:szCs w:val="21"/>
              </w:rPr>
              <w:t>二、</w:t>
            </w:r>
            <w:r w:rsidR="008A1E14">
              <w:rPr>
                <w:rFonts w:ascii="宋体" w:hAnsi="宋体" w:hint="eastAsia"/>
                <w:b/>
                <w:color w:val="000000"/>
                <w:kern w:val="0"/>
                <w:szCs w:val="21"/>
              </w:rPr>
              <w:t>转换基准日</w:t>
            </w:r>
            <w:r w:rsidRPr="009251C7">
              <w:rPr>
                <w:b/>
                <w:color w:val="000000"/>
                <w:kern w:val="0"/>
                <w:szCs w:val="21"/>
              </w:rPr>
              <w:t>2016</w:t>
            </w:r>
            <w:r w:rsidRPr="009251C7">
              <w:rPr>
                <w:rFonts w:ascii="宋体" w:hAnsi="宋体" w:hint="eastAsia"/>
                <w:b/>
                <w:color w:val="000000"/>
                <w:kern w:val="0"/>
                <w:szCs w:val="21"/>
              </w:rPr>
              <w:t>年</w:t>
            </w:r>
            <w:r w:rsidRPr="009251C7">
              <w:rPr>
                <w:b/>
                <w:color w:val="000000"/>
                <w:kern w:val="0"/>
                <w:szCs w:val="21"/>
              </w:rPr>
              <w:t>11</w:t>
            </w:r>
            <w:r w:rsidRPr="009251C7">
              <w:rPr>
                <w:rFonts w:ascii="宋体" w:hAnsi="宋体" w:hint="eastAsia"/>
                <w:b/>
                <w:color w:val="000000"/>
                <w:kern w:val="0"/>
                <w:szCs w:val="21"/>
              </w:rPr>
              <w:t>月</w:t>
            </w:r>
            <w:r w:rsidRPr="009251C7">
              <w:rPr>
                <w:b/>
                <w:color w:val="000000"/>
                <w:kern w:val="0"/>
                <w:szCs w:val="21"/>
              </w:rPr>
              <w:t>21</w:t>
            </w:r>
            <w:r w:rsidRPr="009251C7">
              <w:rPr>
                <w:rFonts w:ascii="宋体" w:hAnsi="宋体" w:hint="eastAsia"/>
                <w:b/>
                <w:color w:val="000000"/>
                <w:kern w:val="0"/>
                <w:szCs w:val="21"/>
              </w:rPr>
              <w:t>日基金净资产</w:t>
            </w:r>
          </w:p>
        </w:tc>
        <w:tc>
          <w:tcPr>
            <w:tcW w:w="108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C92C49">
              <w:t xml:space="preserve"> 159,837,531.65 </w:t>
            </w:r>
          </w:p>
        </w:tc>
        <w:tc>
          <w:tcPr>
            <w:tcW w:w="111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C92C49">
              <w:t xml:space="preserve"> 15,159,629.98 </w:t>
            </w:r>
          </w:p>
        </w:tc>
      </w:tr>
      <w:tr w:rsidR="00FF4539" w:rsidRPr="009251C7" w:rsidTr="008A1E14">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FF4539" w:rsidRPr="009251C7" w:rsidRDefault="00FF4539" w:rsidP="00BD5A1E">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其中：已</w:t>
            </w:r>
            <w:r w:rsidRPr="009251C7">
              <w:rPr>
                <w:rFonts w:ascii="宋体" w:hAnsi="宋体" w:cs="宋体" w:hint="eastAsia"/>
                <w:color w:val="000000"/>
                <w:kern w:val="0"/>
                <w:szCs w:val="21"/>
              </w:rPr>
              <w:t>变现资产（</w:t>
            </w:r>
            <w:r w:rsidRPr="00FF4539">
              <w:rPr>
                <w:color w:val="000000"/>
                <w:kern w:val="0"/>
                <w:szCs w:val="21"/>
              </w:rPr>
              <w:t>注</w:t>
            </w:r>
            <w:r w:rsidRPr="00FF4539">
              <w:rPr>
                <w:color w:val="000000"/>
                <w:kern w:val="0"/>
                <w:szCs w:val="21"/>
              </w:rPr>
              <w:t>3</w:t>
            </w:r>
            <w:r w:rsidRPr="00FF4539">
              <w:rPr>
                <w:color w:val="000000"/>
                <w:kern w:val="0"/>
                <w:szCs w:val="21"/>
              </w:rPr>
              <w:t>）</w:t>
            </w:r>
          </w:p>
        </w:tc>
        <w:tc>
          <w:tcPr>
            <w:tcW w:w="108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A70318">
              <w:t xml:space="preserve"> 159,837,531.65 </w:t>
            </w:r>
          </w:p>
        </w:tc>
        <w:tc>
          <w:tcPr>
            <w:tcW w:w="1111" w:type="pct"/>
            <w:tcBorders>
              <w:top w:val="nil"/>
              <w:left w:val="nil"/>
              <w:bottom w:val="single" w:sz="8" w:space="0" w:color="auto"/>
              <w:right w:val="single" w:sz="8" w:space="0" w:color="auto"/>
            </w:tcBorders>
            <w:shd w:val="clear" w:color="auto" w:fill="auto"/>
            <w:hideMark/>
          </w:tcPr>
          <w:p w:rsidR="00FF4539" w:rsidRPr="009251C7" w:rsidRDefault="00FF4539" w:rsidP="00BD5A1E">
            <w:pPr>
              <w:widowControl/>
              <w:spacing w:line="276" w:lineRule="auto"/>
              <w:jc w:val="right"/>
              <w:rPr>
                <w:color w:val="000000"/>
                <w:kern w:val="0"/>
                <w:szCs w:val="21"/>
              </w:rPr>
            </w:pPr>
            <w:r w:rsidRPr="00A70318">
              <w:t xml:space="preserve"> 3,744,454.76 </w:t>
            </w:r>
          </w:p>
        </w:tc>
      </w:tr>
      <w:tr w:rsidR="00DA59C3" w:rsidRPr="009251C7" w:rsidTr="00DA59C3">
        <w:trPr>
          <w:trHeight w:val="315"/>
        </w:trPr>
        <w:tc>
          <w:tcPr>
            <w:tcW w:w="2808" w:type="pct"/>
            <w:tcBorders>
              <w:top w:val="nil"/>
              <w:left w:val="single" w:sz="8" w:space="0" w:color="auto"/>
              <w:bottom w:val="single" w:sz="8" w:space="0" w:color="auto"/>
              <w:right w:val="single" w:sz="8" w:space="0" w:color="auto"/>
            </w:tcBorders>
            <w:shd w:val="clear" w:color="auto" w:fill="auto"/>
            <w:vAlign w:val="center"/>
            <w:hideMark/>
          </w:tcPr>
          <w:p w:rsidR="00DA59C3" w:rsidRPr="009251C7" w:rsidRDefault="00DA59C3" w:rsidP="00BD5A1E">
            <w:pPr>
              <w:widowControl/>
              <w:spacing w:line="276" w:lineRule="auto"/>
              <w:jc w:val="left"/>
              <w:rPr>
                <w:color w:val="000000"/>
                <w:kern w:val="0"/>
                <w:szCs w:val="21"/>
              </w:rPr>
            </w:pPr>
            <w:r w:rsidRPr="009251C7">
              <w:rPr>
                <w:color w:val="000000"/>
                <w:kern w:val="0"/>
                <w:szCs w:val="21"/>
              </w:rPr>
              <w:t xml:space="preserve">      </w:t>
            </w:r>
            <w:r w:rsidRPr="009251C7">
              <w:rPr>
                <w:rFonts w:ascii="宋体" w:hAnsi="宋体" w:hint="eastAsia"/>
                <w:color w:val="000000"/>
                <w:kern w:val="0"/>
                <w:szCs w:val="21"/>
              </w:rPr>
              <w:t>未变现资产</w:t>
            </w:r>
            <w:r w:rsidRPr="009251C7">
              <w:rPr>
                <w:color w:val="000000"/>
                <w:kern w:val="0"/>
                <w:szCs w:val="21"/>
              </w:rPr>
              <w:t xml:space="preserve">                                                           </w:t>
            </w:r>
          </w:p>
        </w:tc>
        <w:tc>
          <w:tcPr>
            <w:tcW w:w="1081" w:type="pct"/>
            <w:tcBorders>
              <w:top w:val="nil"/>
              <w:left w:val="nil"/>
              <w:bottom w:val="single" w:sz="8" w:space="0" w:color="auto"/>
              <w:right w:val="single" w:sz="8" w:space="0" w:color="auto"/>
            </w:tcBorders>
            <w:shd w:val="clear" w:color="auto" w:fill="auto"/>
            <w:vAlign w:val="center"/>
            <w:hideMark/>
          </w:tcPr>
          <w:p w:rsidR="00DA59C3" w:rsidRPr="009251C7" w:rsidRDefault="00DA59C3" w:rsidP="00BD5A1E">
            <w:pPr>
              <w:widowControl/>
              <w:spacing w:line="276" w:lineRule="auto"/>
              <w:jc w:val="right"/>
              <w:rPr>
                <w:color w:val="000000"/>
                <w:kern w:val="0"/>
                <w:szCs w:val="21"/>
              </w:rPr>
            </w:pPr>
            <w:r>
              <w:rPr>
                <w:rFonts w:hint="eastAsia"/>
                <w:color w:val="000000"/>
                <w:kern w:val="0"/>
                <w:szCs w:val="21"/>
              </w:rPr>
              <w:t>-</w:t>
            </w:r>
            <w:r w:rsidRPr="009251C7">
              <w:rPr>
                <w:color w:val="000000"/>
                <w:kern w:val="0"/>
                <w:szCs w:val="21"/>
              </w:rPr>
              <w:t xml:space="preserve">　</w:t>
            </w:r>
          </w:p>
        </w:tc>
        <w:tc>
          <w:tcPr>
            <w:tcW w:w="1111" w:type="pct"/>
            <w:tcBorders>
              <w:top w:val="nil"/>
              <w:left w:val="nil"/>
              <w:bottom w:val="single" w:sz="8" w:space="0" w:color="auto"/>
              <w:right w:val="single" w:sz="8" w:space="0" w:color="auto"/>
            </w:tcBorders>
            <w:shd w:val="clear" w:color="auto" w:fill="auto"/>
            <w:vAlign w:val="center"/>
            <w:hideMark/>
          </w:tcPr>
          <w:p w:rsidR="00DA59C3" w:rsidRPr="009251C7" w:rsidRDefault="00FF4539" w:rsidP="00BD5A1E">
            <w:pPr>
              <w:widowControl/>
              <w:spacing w:line="276" w:lineRule="auto"/>
              <w:jc w:val="right"/>
              <w:rPr>
                <w:color w:val="000000"/>
                <w:kern w:val="0"/>
                <w:szCs w:val="21"/>
              </w:rPr>
            </w:pPr>
            <w:r w:rsidRPr="00FF4539">
              <w:rPr>
                <w:color w:val="000000"/>
                <w:kern w:val="0"/>
                <w:szCs w:val="21"/>
              </w:rPr>
              <w:t>11,415,175.22</w:t>
            </w:r>
          </w:p>
        </w:tc>
      </w:tr>
    </w:tbl>
    <w:p w:rsidR="00662C9B" w:rsidRDefault="00267534" w:rsidP="00C57E2F">
      <w:pPr>
        <w:spacing w:line="360" w:lineRule="auto"/>
        <w:jc w:val="left"/>
      </w:pPr>
      <w:r w:rsidRPr="00402CDE">
        <w:t>注</w:t>
      </w:r>
      <w:r w:rsidRPr="00402CDE">
        <w:t>1</w:t>
      </w:r>
      <w:r w:rsidRPr="00402CDE">
        <w:t>：</w:t>
      </w:r>
      <w:r w:rsidR="00662C9B" w:rsidRPr="00402CDE">
        <w:t>根据《关于大成景祥分级债券型证券投资基金之景祥</w:t>
      </w:r>
      <w:r w:rsidR="00662C9B" w:rsidRPr="00402CDE">
        <w:t xml:space="preserve">A </w:t>
      </w:r>
      <w:r w:rsidR="00662C9B" w:rsidRPr="00402CDE">
        <w:t>份额、景祥</w:t>
      </w:r>
      <w:r w:rsidR="0030205E" w:rsidRPr="00402CDE">
        <w:t>B</w:t>
      </w:r>
      <w:r w:rsidR="00662C9B" w:rsidRPr="00402CDE">
        <w:t>份额开放赎回业务的公告》，本基金在基金合同到期日的已变现基金资产优先满足景祥</w:t>
      </w:r>
      <w:r w:rsidR="0030205E" w:rsidRPr="00402CDE">
        <w:t>A</w:t>
      </w:r>
      <w:r w:rsidR="00662C9B" w:rsidRPr="00402CDE">
        <w:t>份额持有人的赎回款支付或份额转换</w:t>
      </w:r>
      <w:r w:rsidR="00662C9B" w:rsidRPr="00821E6F">
        <w:t>，基金管理人对所有景祥</w:t>
      </w:r>
      <w:r w:rsidR="0030205E" w:rsidRPr="00821E6F">
        <w:t>A</w:t>
      </w:r>
      <w:r w:rsidR="00B877FC" w:rsidRPr="00821E6F">
        <w:t>份额的有效赎回申请</w:t>
      </w:r>
      <w:r w:rsidR="00B877FC" w:rsidRPr="00821E6F">
        <w:rPr>
          <w:rFonts w:hint="eastAsia"/>
        </w:rPr>
        <w:t>及份额转换按约定收益率</w:t>
      </w:r>
      <w:r w:rsidR="00B877FC" w:rsidRPr="00821E6F">
        <w:t>全部确认</w:t>
      </w:r>
      <w:r w:rsidR="00B877FC" w:rsidRPr="00821E6F">
        <w:rPr>
          <w:rFonts w:hint="eastAsia"/>
        </w:rPr>
        <w:t>。</w:t>
      </w:r>
      <w:r w:rsidR="00662C9B" w:rsidRPr="00402CDE">
        <w:t>景祥</w:t>
      </w:r>
      <w:r w:rsidR="00662C9B" w:rsidRPr="00402CDE">
        <w:t>B</w:t>
      </w:r>
      <w:r w:rsidR="00662C9B" w:rsidRPr="00402CDE">
        <w:t>份额的赎回申请以</w:t>
      </w:r>
      <w:r w:rsidR="00662C9B" w:rsidRPr="00402CDE">
        <w:t>“</w:t>
      </w:r>
      <w:r w:rsidR="00662C9B" w:rsidRPr="00402CDE">
        <w:t>已变现基金资产总额减去归属于景祥</w:t>
      </w:r>
      <w:r w:rsidR="00662C9B" w:rsidRPr="00402CDE">
        <w:t xml:space="preserve">A </w:t>
      </w:r>
      <w:r w:rsidR="000D615E" w:rsidRPr="00402CDE">
        <w:t>份额的基金资产</w:t>
      </w:r>
      <w:r w:rsidR="000D615E" w:rsidRPr="00402CDE">
        <w:t>”</w:t>
      </w:r>
      <w:r w:rsidR="000D615E" w:rsidRPr="00402CDE">
        <w:t>为限进行确认。</w:t>
      </w:r>
    </w:p>
    <w:p w:rsidR="004C5D87" w:rsidRPr="00402CDE" w:rsidRDefault="000D615E" w:rsidP="005B7BB7">
      <w:pPr>
        <w:spacing w:line="360" w:lineRule="auto"/>
        <w:jc w:val="left"/>
      </w:pPr>
      <w:r w:rsidRPr="00402CDE">
        <w:rPr>
          <w:szCs w:val="21"/>
        </w:rPr>
        <w:t>注</w:t>
      </w:r>
      <w:r w:rsidRPr="00402CDE">
        <w:rPr>
          <w:szCs w:val="21"/>
        </w:rPr>
        <w:t>2</w:t>
      </w:r>
      <w:r w:rsidRPr="00402CDE">
        <w:rPr>
          <w:szCs w:val="21"/>
        </w:rPr>
        <w:t>：</w:t>
      </w:r>
      <w:r w:rsidR="00C57E2F" w:rsidRPr="00402CDE">
        <w:t>根据《关于大成景祥分级债券型证券投资基金运作周期届满与基金份额转换的公告》基金管理人对本基金自基金合同到期日（不含）至基金份额转换基准日（含）期间产生的收益归基金份额转换基准日登记在册的基金份额持有人所有，扣除合同到期日后预估的银行划款手续费，按照基金份额持有人持有份额对应的基金资产净值比例分配，并于转换基准日转换为大成债券</w:t>
      </w:r>
      <w:r w:rsidR="00C57E2F" w:rsidRPr="00402CDE">
        <w:t xml:space="preserve">C </w:t>
      </w:r>
      <w:r w:rsidR="00C57E2F" w:rsidRPr="00402CDE">
        <w:t>类份额。</w:t>
      </w:r>
    </w:p>
    <w:p w:rsidR="00DC2BA0" w:rsidRPr="00402CDE" w:rsidRDefault="000D615E" w:rsidP="005B7BB7">
      <w:pPr>
        <w:spacing w:line="360" w:lineRule="auto"/>
        <w:jc w:val="left"/>
        <w:rPr>
          <w:szCs w:val="21"/>
        </w:rPr>
      </w:pPr>
      <w:r w:rsidRPr="00402CDE">
        <w:rPr>
          <w:szCs w:val="21"/>
        </w:rPr>
        <w:t>注</w:t>
      </w:r>
      <w:r w:rsidRPr="00402CDE">
        <w:rPr>
          <w:szCs w:val="21"/>
        </w:rPr>
        <w:t>3</w:t>
      </w:r>
      <w:r w:rsidRPr="00402CDE">
        <w:rPr>
          <w:szCs w:val="21"/>
        </w:rPr>
        <w:t>：</w:t>
      </w:r>
      <w:r w:rsidR="007074E0" w:rsidRPr="00402CDE">
        <w:rPr>
          <w:szCs w:val="21"/>
        </w:rPr>
        <w:t>2016</w:t>
      </w:r>
      <w:r w:rsidR="007074E0" w:rsidRPr="00402CDE">
        <w:rPr>
          <w:szCs w:val="21"/>
        </w:rPr>
        <w:t>年</w:t>
      </w:r>
      <w:r w:rsidR="00DC2BA0" w:rsidRPr="00402CDE">
        <w:rPr>
          <w:szCs w:val="21"/>
        </w:rPr>
        <w:t>11</w:t>
      </w:r>
      <w:r w:rsidR="00DC2BA0" w:rsidRPr="00402CDE">
        <w:rPr>
          <w:szCs w:val="21"/>
        </w:rPr>
        <w:t>月</w:t>
      </w:r>
      <w:r w:rsidR="00DC2BA0" w:rsidRPr="00402CDE">
        <w:rPr>
          <w:szCs w:val="21"/>
        </w:rPr>
        <w:t>21</w:t>
      </w:r>
      <w:r w:rsidR="00DC2BA0" w:rsidRPr="00402CDE">
        <w:rPr>
          <w:szCs w:val="21"/>
        </w:rPr>
        <w:t>日</w:t>
      </w:r>
      <w:r w:rsidRPr="00402CDE">
        <w:rPr>
          <w:szCs w:val="21"/>
        </w:rPr>
        <w:t>景祥</w:t>
      </w:r>
      <w:r w:rsidRPr="00402CDE">
        <w:rPr>
          <w:szCs w:val="21"/>
        </w:rPr>
        <w:t>A</w:t>
      </w:r>
      <w:r w:rsidRPr="00402CDE">
        <w:rPr>
          <w:szCs w:val="21"/>
        </w:rPr>
        <w:t>份额</w:t>
      </w:r>
      <w:r w:rsidR="00DC2BA0" w:rsidRPr="00402CDE">
        <w:rPr>
          <w:szCs w:val="21"/>
        </w:rPr>
        <w:t>基金净资产全部为已</w:t>
      </w:r>
      <w:r w:rsidRPr="00402CDE">
        <w:rPr>
          <w:szCs w:val="21"/>
        </w:rPr>
        <w:t>变现资产，</w:t>
      </w:r>
      <w:r w:rsidR="00DC2BA0" w:rsidRPr="00402CDE">
        <w:rPr>
          <w:szCs w:val="21"/>
        </w:rPr>
        <w:t>将转换成</w:t>
      </w:r>
      <w:r w:rsidRPr="00402CDE">
        <w:rPr>
          <w:szCs w:val="21"/>
        </w:rPr>
        <w:t>大成债券</w:t>
      </w:r>
      <w:r w:rsidRPr="00402CDE">
        <w:rPr>
          <w:szCs w:val="21"/>
        </w:rPr>
        <w:t>C</w:t>
      </w:r>
      <w:r w:rsidRPr="00402CDE">
        <w:rPr>
          <w:szCs w:val="21"/>
        </w:rPr>
        <w:t>类份额</w:t>
      </w:r>
      <w:r w:rsidR="00DC2BA0" w:rsidRPr="00402CDE">
        <w:rPr>
          <w:szCs w:val="21"/>
        </w:rPr>
        <w:t>；景祥</w:t>
      </w:r>
      <w:r w:rsidR="00DC2BA0" w:rsidRPr="00402CDE">
        <w:rPr>
          <w:szCs w:val="21"/>
        </w:rPr>
        <w:t>B</w:t>
      </w:r>
      <w:r w:rsidR="00DC2BA0" w:rsidRPr="00402CDE">
        <w:rPr>
          <w:szCs w:val="21"/>
        </w:rPr>
        <w:t>份额基金净资产中</w:t>
      </w:r>
      <w:r w:rsidR="00B877FC" w:rsidRPr="00A70318">
        <w:t>3,744,454.76</w:t>
      </w:r>
      <w:r w:rsidR="00DC2BA0" w:rsidRPr="00402CDE">
        <w:rPr>
          <w:szCs w:val="21"/>
        </w:rPr>
        <w:t>为已变现资产，将转换为大成债券</w:t>
      </w:r>
      <w:r w:rsidR="00DC2BA0" w:rsidRPr="00402CDE">
        <w:rPr>
          <w:szCs w:val="21"/>
        </w:rPr>
        <w:t>C</w:t>
      </w:r>
      <w:r w:rsidR="007074E0" w:rsidRPr="00402CDE">
        <w:rPr>
          <w:szCs w:val="21"/>
        </w:rPr>
        <w:t>份额，未变现资产</w:t>
      </w:r>
      <w:r w:rsidR="00B877FC" w:rsidRPr="00FF4539">
        <w:rPr>
          <w:color w:val="000000"/>
          <w:kern w:val="0"/>
          <w:szCs w:val="21"/>
        </w:rPr>
        <w:t>11,415,175.22</w:t>
      </w:r>
      <w:r w:rsidR="007074E0" w:rsidRPr="00402CDE">
        <w:rPr>
          <w:szCs w:val="21"/>
        </w:rPr>
        <w:t>将于资产变现后，以现金形式按转换基准日持有景祥</w:t>
      </w:r>
      <w:r w:rsidR="007074E0" w:rsidRPr="00402CDE">
        <w:rPr>
          <w:szCs w:val="21"/>
        </w:rPr>
        <w:t>B</w:t>
      </w:r>
      <w:r w:rsidR="007074E0" w:rsidRPr="00402CDE">
        <w:rPr>
          <w:szCs w:val="21"/>
        </w:rPr>
        <w:t>份额比例分配给相应持有人。</w:t>
      </w:r>
    </w:p>
    <w:p w:rsidR="00A92F7C" w:rsidRDefault="00A92F7C" w:rsidP="005B7BB7">
      <w:pPr>
        <w:spacing w:line="360" w:lineRule="auto"/>
        <w:jc w:val="left"/>
      </w:pPr>
    </w:p>
    <w:p w:rsidR="00151936" w:rsidRPr="009C684F" w:rsidRDefault="005B7BB7" w:rsidP="008A1CA6">
      <w:pPr>
        <w:spacing w:line="360" w:lineRule="auto"/>
        <w:jc w:val="left"/>
      </w:pPr>
      <w:r>
        <w:rPr>
          <w:rFonts w:hint="eastAsia"/>
        </w:rPr>
        <w:t xml:space="preserve">    </w:t>
      </w:r>
      <w:r>
        <w:rPr>
          <w:rFonts w:hint="eastAsia"/>
        </w:rPr>
        <w:t>由于在</w:t>
      </w:r>
      <w:r w:rsidR="00197A7D">
        <w:rPr>
          <w:rFonts w:hint="eastAsia"/>
        </w:rPr>
        <w:t>合同到期</w:t>
      </w:r>
      <w:r>
        <w:rPr>
          <w:rFonts w:hint="eastAsia"/>
        </w:rPr>
        <w:t>日后收回的银行存款利息、支付的银行划款手续费等均为合理估计金额，如有差异由本</w:t>
      </w:r>
      <w:r w:rsidR="00197A7D">
        <w:rPr>
          <w:rFonts w:hint="eastAsia"/>
        </w:rPr>
        <w:t>基金</w:t>
      </w:r>
      <w:r>
        <w:rPr>
          <w:rFonts w:hint="eastAsia"/>
        </w:rPr>
        <w:t>管理人承担。</w:t>
      </w:r>
    </w:p>
    <w:p w:rsidR="00151936" w:rsidRPr="00197A7D" w:rsidRDefault="00151936" w:rsidP="008A1CA6">
      <w:pPr>
        <w:spacing w:line="360" w:lineRule="auto"/>
        <w:jc w:val="left"/>
      </w:pPr>
    </w:p>
    <w:p w:rsidR="00151936" w:rsidRPr="00CB2D30" w:rsidRDefault="00151936" w:rsidP="008A1CA6">
      <w:pPr>
        <w:spacing w:line="360" w:lineRule="auto"/>
        <w:jc w:val="center"/>
        <w:rPr>
          <w:b/>
        </w:rPr>
      </w:pPr>
      <w:r w:rsidRPr="00CB2D30">
        <w:rPr>
          <w:rFonts w:hint="eastAsia"/>
          <w:b/>
        </w:rPr>
        <w:t>六、备查文件目录</w:t>
      </w:r>
    </w:p>
    <w:p w:rsidR="00151936" w:rsidRDefault="00151936" w:rsidP="008A1CA6">
      <w:pPr>
        <w:spacing w:line="360" w:lineRule="auto"/>
        <w:jc w:val="left"/>
      </w:pPr>
      <w:r>
        <w:rPr>
          <w:rFonts w:hint="eastAsia"/>
        </w:rPr>
        <w:t>1</w:t>
      </w:r>
      <w:r>
        <w:rPr>
          <w:rFonts w:hint="eastAsia"/>
        </w:rPr>
        <w:t>、备查文件目录</w:t>
      </w:r>
    </w:p>
    <w:p w:rsidR="00151936" w:rsidRDefault="00151936" w:rsidP="008A1CA6">
      <w:pPr>
        <w:spacing w:line="360" w:lineRule="auto"/>
        <w:jc w:val="left"/>
      </w:pPr>
      <w:r>
        <w:rPr>
          <w:rFonts w:hint="eastAsia"/>
        </w:rPr>
        <w:t>（</w:t>
      </w:r>
      <w:r>
        <w:rPr>
          <w:rFonts w:hint="eastAsia"/>
        </w:rPr>
        <w:t>1</w:t>
      </w:r>
      <w:r>
        <w:rPr>
          <w:rFonts w:hint="eastAsia"/>
        </w:rPr>
        <w:t>）《</w:t>
      </w:r>
      <w:r w:rsidR="00427A88" w:rsidRPr="00427A88">
        <w:rPr>
          <w:rFonts w:hint="eastAsia"/>
        </w:rPr>
        <w:t>大成景祥分级债券型证券投资基金</w:t>
      </w:r>
      <w:r w:rsidR="00427A88" w:rsidRPr="00427A88">
        <w:rPr>
          <w:rFonts w:hint="eastAsia"/>
        </w:rPr>
        <w:t>2016</w:t>
      </w:r>
      <w:r w:rsidR="00427A88" w:rsidRPr="00427A88">
        <w:rPr>
          <w:rFonts w:hint="eastAsia"/>
        </w:rPr>
        <w:t>年</w:t>
      </w:r>
      <w:r w:rsidR="00427A88" w:rsidRPr="00427A88">
        <w:rPr>
          <w:rFonts w:hint="eastAsia"/>
        </w:rPr>
        <w:t>1</w:t>
      </w:r>
      <w:r w:rsidR="00427A88" w:rsidRPr="00427A88">
        <w:rPr>
          <w:rFonts w:hint="eastAsia"/>
        </w:rPr>
        <w:t>月</w:t>
      </w:r>
      <w:r w:rsidR="00427A88" w:rsidRPr="00427A88">
        <w:rPr>
          <w:rFonts w:hint="eastAsia"/>
        </w:rPr>
        <w:t>1</w:t>
      </w:r>
      <w:r w:rsidR="00427A88" w:rsidRPr="00427A88">
        <w:rPr>
          <w:rFonts w:hint="eastAsia"/>
        </w:rPr>
        <w:t>日至</w:t>
      </w:r>
      <w:r w:rsidR="00427A88" w:rsidRPr="00427A88">
        <w:rPr>
          <w:rFonts w:hint="eastAsia"/>
        </w:rPr>
        <w:t>2016</w:t>
      </w:r>
      <w:r w:rsidR="00427A88" w:rsidRPr="00427A88">
        <w:rPr>
          <w:rFonts w:hint="eastAsia"/>
        </w:rPr>
        <w:t>年</w:t>
      </w:r>
      <w:r w:rsidR="00427A88" w:rsidRPr="00427A88">
        <w:rPr>
          <w:rFonts w:hint="eastAsia"/>
        </w:rPr>
        <w:t>11</w:t>
      </w:r>
      <w:r w:rsidR="00427A88" w:rsidRPr="00427A88">
        <w:rPr>
          <w:rFonts w:hint="eastAsia"/>
        </w:rPr>
        <w:t>月</w:t>
      </w:r>
      <w:r w:rsidR="00427A88" w:rsidRPr="00427A88">
        <w:rPr>
          <w:rFonts w:hint="eastAsia"/>
        </w:rPr>
        <w:t>18</w:t>
      </w:r>
      <w:r w:rsidR="00427A88" w:rsidRPr="00427A88">
        <w:rPr>
          <w:rFonts w:hint="eastAsia"/>
        </w:rPr>
        <w:t>日</w:t>
      </w:r>
      <w:r w:rsidR="00427A88" w:rsidRPr="00427A88">
        <w:rPr>
          <w:rFonts w:hint="eastAsia"/>
        </w:rPr>
        <w:t>(</w:t>
      </w:r>
      <w:r w:rsidR="00427A88" w:rsidRPr="00427A88">
        <w:rPr>
          <w:rFonts w:hint="eastAsia"/>
        </w:rPr>
        <w:t>基金合同到期日</w:t>
      </w:r>
      <w:r w:rsidR="00427A88" w:rsidRPr="00427A88">
        <w:rPr>
          <w:rFonts w:hint="eastAsia"/>
        </w:rPr>
        <w:t>)</w:t>
      </w:r>
      <w:r w:rsidR="00427A88" w:rsidRPr="00427A88">
        <w:rPr>
          <w:rFonts w:hint="eastAsia"/>
        </w:rPr>
        <w:t>止期间的财务报表及审计报告</w:t>
      </w:r>
      <w:r w:rsidR="00112B3F">
        <w:rPr>
          <w:rFonts w:hint="eastAsia"/>
        </w:rPr>
        <w:t>》</w:t>
      </w:r>
    </w:p>
    <w:p w:rsidR="00197A7D" w:rsidRDefault="00197A7D" w:rsidP="008A1CA6">
      <w:pPr>
        <w:spacing w:line="360" w:lineRule="auto"/>
        <w:jc w:val="left"/>
      </w:pPr>
      <w:r>
        <w:rPr>
          <w:rFonts w:hint="eastAsia"/>
        </w:rPr>
        <w:t>（</w:t>
      </w:r>
      <w:r>
        <w:rPr>
          <w:rFonts w:hint="eastAsia"/>
        </w:rPr>
        <w:t>2</w:t>
      </w:r>
      <w:r>
        <w:rPr>
          <w:rFonts w:hint="eastAsia"/>
        </w:rPr>
        <w:t>）</w:t>
      </w:r>
      <w:r w:rsidRPr="005D409A">
        <w:rPr>
          <w:szCs w:val="21"/>
        </w:rPr>
        <w:t>《大成景祥分级债券型证券投资基金基金合同》</w:t>
      </w:r>
    </w:p>
    <w:p w:rsidR="00151936" w:rsidRDefault="00112B3F" w:rsidP="008A1CA6">
      <w:pPr>
        <w:spacing w:line="360" w:lineRule="auto"/>
        <w:jc w:val="left"/>
      </w:pPr>
      <w:r>
        <w:rPr>
          <w:rFonts w:hint="eastAsia"/>
        </w:rPr>
        <w:t>2</w:t>
      </w:r>
      <w:r>
        <w:rPr>
          <w:rFonts w:hint="eastAsia"/>
        </w:rPr>
        <w:t>、</w:t>
      </w:r>
      <w:r w:rsidR="00151936">
        <w:rPr>
          <w:rFonts w:hint="eastAsia"/>
        </w:rPr>
        <w:t>存放地点</w:t>
      </w:r>
    </w:p>
    <w:p w:rsidR="00151936" w:rsidRDefault="00151936" w:rsidP="008A1CA6">
      <w:pPr>
        <w:spacing w:line="360" w:lineRule="auto"/>
        <w:jc w:val="left"/>
      </w:pPr>
      <w:r>
        <w:rPr>
          <w:rFonts w:hint="eastAsia"/>
        </w:rPr>
        <w:t>基金管理人的办公住所。</w:t>
      </w:r>
    </w:p>
    <w:p w:rsidR="00151936" w:rsidRDefault="00112B3F" w:rsidP="008A1CA6">
      <w:pPr>
        <w:spacing w:line="360" w:lineRule="auto"/>
        <w:jc w:val="left"/>
      </w:pPr>
      <w:r>
        <w:rPr>
          <w:rFonts w:hint="eastAsia"/>
        </w:rPr>
        <w:t>3</w:t>
      </w:r>
      <w:r>
        <w:rPr>
          <w:rFonts w:hint="eastAsia"/>
        </w:rPr>
        <w:t>、</w:t>
      </w:r>
      <w:r w:rsidR="00151936">
        <w:rPr>
          <w:rFonts w:hint="eastAsia"/>
        </w:rPr>
        <w:t>查阅方式</w:t>
      </w:r>
    </w:p>
    <w:p w:rsidR="00151936" w:rsidRDefault="00151936" w:rsidP="008A1CA6">
      <w:pPr>
        <w:spacing w:line="360" w:lineRule="auto"/>
        <w:jc w:val="left"/>
      </w:pPr>
      <w:r>
        <w:rPr>
          <w:rFonts w:hint="eastAsia"/>
        </w:rPr>
        <w:t>投资者可在营业时间</w:t>
      </w:r>
      <w:r w:rsidR="00112B3F">
        <w:rPr>
          <w:rFonts w:hint="eastAsia"/>
        </w:rPr>
        <w:t>内至基金管理人的办公场所</w:t>
      </w:r>
      <w:r>
        <w:rPr>
          <w:rFonts w:hint="eastAsia"/>
        </w:rPr>
        <w:t>免费查阅</w:t>
      </w:r>
      <w:r w:rsidR="00112B3F">
        <w:rPr>
          <w:rFonts w:hint="eastAsia"/>
        </w:rPr>
        <w:t>。</w:t>
      </w:r>
    </w:p>
    <w:p w:rsidR="00151936" w:rsidRDefault="00151936" w:rsidP="008A1CA6">
      <w:pPr>
        <w:spacing w:line="360" w:lineRule="auto"/>
        <w:jc w:val="left"/>
      </w:pPr>
    </w:p>
    <w:p w:rsidR="00151936" w:rsidRDefault="00151936" w:rsidP="008A1CA6">
      <w:pPr>
        <w:spacing w:line="360" w:lineRule="auto"/>
        <w:jc w:val="left"/>
      </w:pPr>
    </w:p>
    <w:p w:rsidR="00427A88" w:rsidRPr="00427A88" w:rsidRDefault="00427A88" w:rsidP="008A1CA6">
      <w:pPr>
        <w:spacing w:line="360" w:lineRule="auto"/>
        <w:jc w:val="right"/>
      </w:pPr>
      <w:r w:rsidRPr="00427A88">
        <w:rPr>
          <w:rFonts w:hint="eastAsia"/>
        </w:rPr>
        <w:t>大成基金管理有限公司</w:t>
      </w:r>
    </w:p>
    <w:p w:rsidR="00151936" w:rsidRPr="00165DE8" w:rsidRDefault="00151936" w:rsidP="008A1CA6">
      <w:pPr>
        <w:spacing w:line="360" w:lineRule="auto"/>
        <w:jc w:val="right"/>
      </w:pPr>
      <w:r w:rsidRPr="00427A88">
        <w:rPr>
          <w:rFonts w:hint="eastAsia"/>
        </w:rPr>
        <w:t>2016</w:t>
      </w:r>
      <w:r w:rsidRPr="00427A88">
        <w:rPr>
          <w:rFonts w:hint="eastAsia"/>
        </w:rPr>
        <w:t>年</w:t>
      </w:r>
      <w:r w:rsidR="00112B3F" w:rsidRPr="00427A88">
        <w:rPr>
          <w:rFonts w:hint="eastAsia"/>
        </w:rPr>
        <w:t>11</w:t>
      </w:r>
      <w:r w:rsidRPr="00427A88">
        <w:rPr>
          <w:rFonts w:hint="eastAsia"/>
        </w:rPr>
        <w:t>月</w:t>
      </w:r>
      <w:r w:rsidR="009847C6">
        <w:rPr>
          <w:rFonts w:hint="eastAsia"/>
        </w:rPr>
        <w:t>24</w:t>
      </w:r>
      <w:r w:rsidRPr="00427A88">
        <w:rPr>
          <w:rFonts w:hint="eastAsia"/>
        </w:rPr>
        <w:t>日</w:t>
      </w:r>
    </w:p>
    <w:sectPr w:rsidR="00151936" w:rsidRPr="00165DE8" w:rsidSect="00C7699F">
      <w:headerReference w:type="default" r:id="rId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959AE" w15:done="0"/>
  <w15:commentEx w15:paraId="5DD1412E" w15:done="0"/>
  <w15:commentEx w15:paraId="0A1C10C1" w15:done="0"/>
  <w15:commentEx w15:paraId="7ABE3717" w15:done="0"/>
  <w15:commentEx w15:paraId="6A5A0979" w15:done="0"/>
  <w15:commentEx w15:paraId="7BFA75AB" w15:done="0"/>
  <w15:commentEx w15:paraId="31CCB42B" w15:done="0"/>
  <w15:commentEx w15:paraId="1528A3A0" w15:done="0"/>
  <w15:commentEx w15:paraId="5319E7F9" w15:done="0"/>
  <w15:commentEx w15:paraId="5027CAA2" w15:done="0"/>
  <w15:commentEx w15:paraId="263558DF" w15:done="0"/>
  <w15:commentEx w15:paraId="679F1BBB" w15:done="0"/>
  <w15:commentEx w15:paraId="5DF7C207" w15:done="0"/>
  <w15:commentEx w15:paraId="6980C0B3" w15:done="0"/>
  <w15:commentEx w15:paraId="3B836A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7DF" w:rsidRDefault="002527DF" w:rsidP="005B7BB7">
      <w:r>
        <w:separator/>
      </w:r>
    </w:p>
  </w:endnote>
  <w:endnote w:type="continuationSeparator" w:id="0">
    <w:p w:rsidR="002527DF" w:rsidRDefault="002527DF" w:rsidP="005B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596307"/>
      <w:docPartObj>
        <w:docPartGallery w:val="Page Numbers (Bottom of Page)"/>
        <w:docPartUnique/>
      </w:docPartObj>
    </w:sdtPr>
    <w:sdtContent>
      <w:p w:rsidR="002527DF" w:rsidRDefault="00C7699F">
        <w:pPr>
          <w:pStyle w:val="a7"/>
          <w:jc w:val="center"/>
        </w:pPr>
        <w:r>
          <w:fldChar w:fldCharType="begin"/>
        </w:r>
        <w:r w:rsidR="002527DF">
          <w:instrText>PAGE   \* MERGEFORMAT</w:instrText>
        </w:r>
        <w:r>
          <w:fldChar w:fldCharType="separate"/>
        </w:r>
        <w:r w:rsidR="005C24B1" w:rsidRPr="005C24B1">
          <w:rPr>
            <w:noProof/>
            <w:lang w:val="zh-CN"/>
          </w:rPr>
          <w:t>1</w:t>
        </w:r>
        <w:r>
          <w:fldChar w:fldCharType="end"/>
        </w:r>
      </w:p>
    </w:sdtContent>
  </w:sdt>
  <w:p w:rsidR="002527DF" w:rsidRDefault="002527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7DF" w:rsidRDefault="002527DF" w:rsidP="005B7BB7">
      <w:r>
        <w:separator/>
      </w:r>
    </w:p>
  </w:footnote>
  <w:footnote w:type="continuationSeparator" w:id="0">
    <w:p w:rsidR="002527DF" w:rsidRDefault="002527DF" w:rsidP="005B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7DF" w:rsidRDefault="002527DF" w:rsidP="005B7BB7">
    <w:pPr>
      <w:pStyle w:val="a6"/>
      <w:jc w:val="right"/>
    </w:pPr>
    <w:r>
      <w:rPr>
        <w:rFonts w:hint="eastAsia"/>
      </w:rPr>
      <w:t>大成景祥分级债券型证券投资基金合同到期报告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lie Tao">
    <w15:presenceInfo w15:providerId="None" w15:userId="Kaylie Tao"/>
  </w15:person>
  <w15:person w15:author="Weimin Yu">
    <w15:presenceInfo w15:providerId="None" w15:userId="Weimin Y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836"/>
    <w:rsid w:val="000128F0"/>
    <w:rsid w:val="00055A29"/>
    <w:rsid w:val="00082949"/>
    <w:rsid w:val="0009177E"/>
    <w:rsid w:val="000D0A84"/>
    <w:rsid w:val="000D615E"/>
    <w:rsid w:val="000F738E"/>
    <w:rsid w:val="00103570"/>
    <w:rsid w:val="00112B3F"/>
    <w:rsid w:val="001133A2"/>
    <w:rsid w:val="00151936"/>
    <w:rsid w:val="00165DE8"/>
    <w:rsid w:val="001662E8"/>
    <w:rsid w:val="001679D7"/>
    <w:rsid w:val="00171D4A"/>
    <w:rsid w:val="00197A7D"/>
    <w:rsid w:val="001B7A5F"/>
    <w:rsid w:val="001D7A7E"/>
    <w:rsid w:val="001E40B4"/>
    <w:rsid w:val="001F292B"/>
    <w:rsid w:val="001F7395"/>
    <w:rsid w:val="0020039F"/>
    <w:rsid w:val="002011B9"/>
    <w:rsid w:val="00241BEC"/>
    <w:rsid w:val="00241DE5"/>
    <w:rsid w:val="002465AA"/>
    <w:rsid w:val="00246634"/>
    <w:rsid w:val="002527DF"/>
    <w:rsid w:val="00267534"/>
    <w:rsid w:val="002B729A"/>
    <w:rsid w:val="00301575"/>
    <w:rsid w:val="0030205E"/>
    <w:rsid w:val="00304A72"/>
    <w:rsid w:val="003059F0"/>
    <w:rsid w:val="003260A3"/>
    <w:rsid w:val="00333AF0"/>
    <w:rsid w:val="00337182"/>
    <w:rsid w:val="003505D8"/>
    <w:rsid w:val="00363F8D"/>
    <w:rsid w:val="00384FB8"/>
    <w:rsid w:val="003A2BF2"/>
    <w:rsid w:val="003A43D0"/>
    <w:rsid w:val="003D1212"/>
    <w:rsid w:val="003D6877"/>
    <w:rsid w:val="0040039A"/>
    <w:rsid w:val="00402CDE"/>
    <w:rsid w:val="004219A6"/>
    <w:rsid w:val="00427A88"/>
    <w:rsid w:val="0046346C"/>
    <w:rsid w:val="004634B8"/>
    <w:rsid w:val="004864A5"/>
    <w:rsid w:val="00486F59"/>
    <w:rsid w:val="004B4579"/>
    <w:rsid w:val="004C5D87"/>
    <w:rsid w:val="004D24AB"/>
    <w:rsid w:val="004D3A99"/>
    <w:rsid w:val="004E7F2C"/>
    <w:rsid w:val="00577C79"/>
    <w:rsid w:val="00590B4D"/>
    <w:rsid w:val="005A011A"/>
    <w:rsid w:val="005B3270"/>
    <w:rsid w:val="005B7BB7"/>
    <w:rsid w:val="005C24B1"/>
    <w:rsid w:val="005D468C"/>
    <w:rsid w:val="005E0C7A"/>
    <w:rsid w:val="005E7E47"/>
    <w:rsid w:val="00604D52"/>
    <w:rsid w:val="00605CB0"/>
    <w:rsid w:val="00662C9B"/>
    <w:rsid w:val="00665B05"/>
    <w:rsid w:val="006A306D"/>
    <w:rsid w:val="006A7C1F"/>
    <w:rsid w:val="006F0665"/>
    <w:rsid w:val="007074E0"/>
    <w:rsid w:val="007374CC"/>
    <w:rsid w:val="007B2155"/>
    <w:rsid w:val="007F7FA7"/>
    <w:rsid w:val="0080054A"/>
    <w:rsid w:val="00821E6F"/>
    <w:rsid w:val="0083459B"/>
    <w:rsid w:val="0085420D"/>
    <w:rsid w:val="0086464B"/>
    <w:rsid w:val="008905D2"/>
    <w:rsid w:val="00897331"/>
    <w:rsid w:val="0089773F"/>
    <w:rsid w:val="008A1CA6"/>
    <w:rsid w:val="008A1E14"/>
    <w:rsid w:val="008A25BB"/>
    <w:rsid w:val="008A26BA"/>
    <w:rsid w:val="008C54C4"/>
    <w:rsid w:val="008F2E11"/>
    <w:rsid w:val="00903A6D"/>
    <w:rsid w:val="009251C7"/>
    <w:rsid w:val="0092773F"/>
    <w:rsid w:val="00930979"/>
    <w:rsid w:val="00950E81"/>
    <w:rsid w:val="00962482"/>
    <w:rsid w:val="00963A23"/>
    <w:rsid w:val="009847C6"/>
    <w:rsid w:val="009C28B8"/>
    <w:rsid w:val="009C684F"/>
    <w:rsid w:val="00A108FD"/>
    <w:rsid w:val="00A17542"/>
    <w:rsid w:val="00A246A4"/>
    <w:rsid w:val="00A401F5"/>
    <w:rsid w:val="00A86686"/>
    <w:rsid w:val="00A92F7C"/>
    <w:rsid w:val="00B46405"/>
    <w:rsid w:val="00B52F42"/>
    <w:rsid w:val="00B64836"/>
    <w:rsid w:val="00B877FC"/>
    <w:rsid w:val="00BB37CE"/>
    <w:rsid w:val="00BC3EB9"/>
    <w:rsid w:val="00BC58F2"/>
    <w:rsid w:val="00BD5A1E"/>
    <w:rsid w:val="00C40FCA"/>
    <w:rsid w:val="00C47511"/>
    <w:rsid w:val="00C57E2F"/>
    <w:rsid w:val="00C70585"/>
    <w:rsid w:val="00C74B30"/>
    <w:rsid w:val="00C7699F"/>
    <w:rsid w:val="00CA5C59"/>
    <w:rsid w:val="00CB2D30"/>
    <w:rsid w:val="00CF7C0E"/>
    <w:rsid w:val="00D03C44"/>
    <w:rsid w:val="00D07F0B"/>
    <w:rsid w:val="00D321D7"/>
    <w:rsid w:val="00D32EEA"/>
    <w:rsid w:val="00D56281"/>
    <w:rsid w:val="00D71B55"/>
    <w:rsid w:val="00DA59C3"/>
    <w:rsid w:val="00DB7F3C"/>
    <w:rsid w:val="00DC2BA0"/>
    <w:rsid w:val="00E05487"/>
    <w:rsid w:val="00E5544F"/>
    <w:rsid w:val="00E6695B"/>
    <w:rsid w:val="00EA3772"/>
    <w:rsid w:val="00EF3B56"/>
    <w:rsid w:val="00F1013B"/>
    <w:rsid w:val="00F26B90"/>
    <w:rsid w:val="00F37A44"/>
    <w:rsid w:val="00F641CF"/>
    <w:rsid w:val="00F7217C"/>
    <w:rsid w:val="00FD166D"/>
    <w:rsid w:val="00FF4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1184601">
      <w:bodyDiv w:val="1"/>
      <w:marLeft w:val="0"/>
      <w:marRight w:val="0"/>
      <w:marTop w:val="0"/>
      <w:marBottom w:val="0"/>
      <w:divBdr>
        <w:top w:val="none" w:sz="0" w:space="0" w:color="auto"/>
        <w:left w:val="none" w:sz="0" w:space="0" w:color="auto"/>
        <w:bottom w:val="none" w:sz="0" w:space="0" w:color="auto"/>
        <w:right w:val="none" w:sz="0" w:space="0" w:color="auto"/>
      </w:divBdr>
    </w:div>
    <w:div w:id="220096972">
      <w:bodyDiv w:val="1"/>
      <w:marLeft w:val="0"/>
      <w:marRight w:val="0"/>
      <w:marTop w:val="0"/>
      <w:marBottom w:val="0"/>
      <w:divBdr>
        <w:top w:val="none" w:sz="0" w:space="0" w:color="auto"/>
        <w:left w:val="none" w:sz="0" w:space="0" w:color="auto"/>
        <w:bottom w:val="none" w:sz="0" w:space="0" w:color="auto"/>
        <w:right w:val="none" w:sz="0" w:space="0" w:color="auto"/>
      </w:divBdr>
    </w:div>
    <w:div w:id="467479122">
      <w:bodyDiv w:val="1"/>
      <w:marLeft w:val="0"/>
      <w:marRight w:val="0"/>
      <w:marTop w:val="0"/>
      <w:marBottom w:val="0"/>
      <w:divBdr>
        <w:top w:val="none" w:sz="0" w:space="0" w:color="auto"/>
        <w:left w:val="none" w:sz="0" w:space="0" w:color="auto"/>
        <w:bottom w:val="none" w:sz="0" w:space="0" w:color="auto"/>
        <w:right w:val="none" w:sz="0" w:space="0" w:color="auto"/>
      </w:divBdr>
    </w:div>
    <w:div w:id="521163642">
      <w:bodyDiv w:val="1"/>
      <w:marLeft w:val="0"/>
      <w:marRight w:val="0"/>
      <w:marTop w:val="0"/>
      <w:marBottom w:val="0"/>
      <w:divBdr>
        <w:top w:val="none" w:sz="0" w:space="0" w:color="auto"/>
        <w:left w:val="none" w:sz="0" w:space="0" w:color="auto"/>
        <w:bottom w:val="none" w:sz="0" w:space="0" w:color="auto"/>
        <w:right w:val="none" w:sz="0" w:space="0" w:color="auto"/>
      </w:divBdr>
    </w:div>
    <w:div w:id="805973746">
      <w:bodyDiv w:val="1"/>
      <w:marLeft w:val="0"/>
      <w:marRight w:val="0"/>
      <w:marTop w:val="0"/>
      <w:marBottom w:val="0"/>
      <w:divBdr>
        <w:top w:val="none" w:sz="0" w:space="0" w:color="auto"/>
        <w:left w:val="none" w:sz="0" w:space="0" w:color="auto"/>
        <w:bottom w:val="none" w:sz="0" w:space="0" w:color="auto"/>
        <w:right w:val="none" w:sz="0" w:space="0" w:color="auto"/>
      </w:divBdr>
    </w:div>
    <w:div w:id="847982118">
      <w:bodyDiv w:val="1"/>
      <w:marLeft w:val="0"/>
      <w:marRight w:val="0"/>
      <w:marTop w:val="0"/>
      <w:marBottom w:val="0"/>
      <w:divBdr>
        <w:top w:val="none" w:sz="0" w:space="0" w:color="auto"/>
        <w:left w:val="none" w:sz="0" w:space="0" w:color="auto"/>
        <w:bottom w:val="none" w:sz="0" w:space="0" w:color="auto"/>
        <w:right w:val="none" w:sz="0" w:space="0" w:color="auto"/>
      </w:divBdr>
    </w:div>
    <w:div w:id="1001279555">
      <w:bodyDiv w:val="1"/>
      <w:marLeft w:val="0"/>
      <w:marRight w:val="0"/>
      <w:marTop w:val="0"/>
      <w:marBottom w:val="0"/>
      <w:divBdr>
        <w:top w:val="none" w:sz="0" w:space="0" w:color="auto"/>
        <w:left w:val="none" w:sz="0" w:space="0" w:color="auto"/>
        <w:bottom w:val="none" w:sz="0" w:space="0" w:color="auto"/>
        <w:right w:val="none" w:sz="0" w:space="0" w:color="auto"/>
      </w:divBdr>
    </w:div>
    <w:div w:id="1036272725">
      <w:bodyDiv w:val="1"/>
      <w:marLeft w:val="0"/>
      <w:marRight w:val="0"/>
      <w:marTop w:val="0"/>
      <w:marBottom w:val="0"/>
      <w:divBdr>
        <w:top w:val="none" w:sz="0" w:space="0" w:color="auto"/>
        <w:left w:val="none" w:sz="0" w:space="0" w:color="auto"/>
        <w:bottom w:val="none" w:sz="0" w:space="0" w:color="auto"/>
        <w:right w:val="none" w:sz="0" w:space="0" w:color="auto"/>
      </w:divBdr>
    </w:div>
    <w:div w:id="1043823839">
      <w:bodyDiv w:val="1"/>
      <w:marLeft w:val="0"/>
      <w:marRight w:val="0"/>
      <w:marTop w:val="0"/>
      <w:marBottom w:val="0"/>
      <w:divBdr>
        <w:top w:val="none" w:sz="0" w:space="0" w:color="auto"/>
        <w:left w:val="none" w:sz="0" w:space="0" w:color="auto"/>
        <w:bottom w:val="none" w:sz="0" w:space="0" w:color="auto"/>
        <w:right w:val="none" w:sz="0" w:space="0" w:color="auto"/>
      </w:divBdr>
    </w:div>
    <w:div w:id="1190605677">
      <w:bodyDiv w:val="1"/>
      <w:marLeft w:val="0"/>
      <w:marRight w:val="0"/>
      <w:marTop w:val="0"/>
      <w:marBottom w:val="0"/>
      <w:divBdr>
        <w:top w:val="none" w:sz="0" w:space="0" w:color="auto"/>
        <w:left w:val="none" w:sz="0" w:space="0" w:color="auto"/>
        <w:bottom w:val="none" w:sz="0" w:space="0" w:color="auto"/>
        <w:right w:val="none" w:sz="0" w:space="0" w:color="auto"/>
      </w:divBdr>
    </w:div>
    <w:div w:id="1251626309">
      <w:bodyDiv w:val="1"/>
      <w:marLeft w:val="0"/>
      <w:marRight w:val="0"/>
      <w:marTop w:val="0"/>
      <w:marBottom w:val="0"/>
      <w:divBdr>
        <w:top w:val="none" w:sz="0" w:space="0" w:color="auto"/>
        <w:left w:val="none" w:sz="0" w:space="0" w:color="auto"/>
        <w:bottom w:val="none" w:sz="0" w:space="0" w:color="auto"/>
        <w:right w:val="none" w:sz="0" w:space="0" w:color="auto"/>
      </w:divBdr>
    </w:div>
    <w:div w:id="1266886665">
      <w:bodyDiv w:val="1"/>
      <w:marLeft w:val="0"/>
      <w:marRight w:val="0"/>
      <w:marTop w:val="0"/>
      <w:marBottom w:val="0"/>
      <w:divBdr>
        <w:top w:val="none" w:sz="0" w:space="0" w:color="auto"/>
        <w:left w:val="none" w:sz="0" w:space="0" w:color="auto"/>
        <w:bottom w:val="none" w:sz="0" w:space="0" w:color="auto"/>
        <w:right w:val="none" w:sz="0" w:space="0" w:color="auto"/>
      </w:divBdr>
    </w:div>
    <w:div w:id="1280376964">
      <w:bodyDiv w:val="1"/>
      <w:marLeft w:val="0"/>
      <w:marRight w:val="0"/>
      <w:marTop w:val="0"/>
      <w:marBottom w:val="0"/>
      <w:divBdr>
        <w:top w:val="none" w:sz="0" w:space="0" w:color="auto"/>
        <w:left w:val="none" w:sz="0" w:space="0" w:color="auto"/>
        <w:bottom w:val="none" w:sz="0" w:space="0" w:color="auto"/>
        <w:right w:val="none" w:sz="0" w:space="0" w:color="auto"/>
      </w:divBdr>
    </w:div>
    <w:div w:id="1352343575">
      <w:bodyDiv w:val="1"/>
      <w:marLeft w:val="0"/>
      <w:marRight w:val="0"/>
      <w:marTop w:val="0"/>
      <w:marBottom w:val="0"/>
      <w:divBdr>
        <w:top w:val="none" w:sz="0" w:space="0" w:color="auto"/>
        <w:left w:val="none" w:sz="0" w:space="0" w:color="auto"/>
        <w:bottom w:val="none" w:sz="0" w:space="0" w:color="auto"/>
        <w:right w:val="none" w:sz="0" w:space="0" w:color="auto"/>
      </w:divBdr>
    </w:div>
    <w:div w:id="1401556047">
      <w:bodyDiv w:val="1"/>
      <w:marLeft w:val="0"/>
      <w:marRight w:val="0"/>
      <w:marTop w:val="0"/>
      <w:marBottom w:val="0"/>
      <w:divBdr>
        <w:top w:val="none" w:sz="0" w:space="0" w:color="auto"/>
        <w:left w:val="none" w:sz="0" w:space="0" w:color="auto"/>
        <w:bottom w:val="none" w:sz="0" w:space="0" w:color="auto"/>
        <w:right w:val="none" w:sz="0" w:space="0" w:color="auto"/>
      </w:divBdr>
    </w:div>
    <w:div w:id="1405490151">
      <w:bodyDiv w:val="1"/>
      <w:marLeft w:val="0"/>
      <w:marRight w:val="0"/>
      <w:marTop w:val="0"/>
      <w:marBottom w:val="0"/>
      <w:divBdr>
        <w:top w:val="none" w:sz="0" w:space="0" w:color="auto"/>
        <w:left w:val="none" w:sz="0" w:space="0" w:color="auto"/>
        <w:bottom w:val="none" w:sz="0" w:space="0" w:color="auto"/>
        <w:right w:val="none" w:sz="0" w:space="0" w:color="auto"/>
      </w:divBdr>
    </w:div>
    <w:div w:id="1926304835">
      <w:bodyDiv w:val="1"/>
      <w:marLeft w:val="0"/>
      <w:marRight w:val="0"/>
      <w:marTop w:val="0"/>
      <w:marBottom w:val="0"/>
      <w:divBdr>
        <w:top w:val="none" w:sz="0" w:space="0" w:color="auto"/>
        <w:left w:val="none" w:sz="0" w:space="0" w:color="auto"/>
        <w:bottom w:val="none" w:sz="0" w:space="0" w:color="auto"/>
        <w:right w:val="none" w:sz="0" w:space="0" w:color="auto"/>
      </w:divBdr>
    </w:div>
    <w:div w:id="1966425103">
      <w:bodyDiv w:val="1"/>
      <w:marLeft w:val="0"/>
      <w:marRight w:val="0"/>
      <w:marTop w:val="0"/>
      <w:marBottom w:val="0"/>
      <w:divBdr>
        <w:top w:val="none" w:sz="0" w:space="0" w:color="auto"/>
        <w:left w:val="none" w:sz="0" w:space="0" w:color="auto"/>
        <w:bottom w:val="none" w:sz="0" w:space="0" w:color="auto"/>
        <w:right w:val="none" w:sz="0" w:space="0" w:color="auto"/>
      </w:divBdr>
    </w:div>
    <w:div w:id="2039500183">
      <w:bodyDiv w:val="1"/>
      <w:marLeft w:val="0"/>
      <w:marRight w:val="0"/>
      <w:marTop w:val="0"/>
      <w:marBottom w:val="0"/>
      <w:divBdr>
        <w:top w:val="none" w:sz="0" w:space="0" w:color="auto"/>
        <w:left w:val="none" w:sz="0" w:space="0" w:color="auto"/>
        <w:bottom w:val="none" w:sz="0" w:space="0" w:color="auto"/>
        <w:right w:val="none" w:sz="0" w:space="0" w:color="auto"/>
      </w:divBdr>
    </w:div>
    <w:div w:id="2132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CC19-480D-4975-8B00-2CF04629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张昕</dc:creator>
  <cp:lastModifiedBy>cnstock</cp:lastModifiedBy>
  <cp:revision>2</cp:revision>
  <cp:lastPrinted>2016-11-23T06:57:00Z</cp:lastPrinted>
  <dcterms:created xsi:type="dcterms:W3CDTF">2016-11-23T16:29:00Z</dcterms:created>
  <dcterms:modified xsi:type="dcterms:W3CDTF">2016-11-23T16:29:00Z</dcterms:modified>
</cp:coreProperties>
</file>