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E9" w:rsidRDefault="00A448E9" w:rsidP="00A448E9">
      <w:pPr>
        <w:ind w:firstLine="0"/>
        <w:rPr>
          <w:b/>
          <w:bCs/>
          <w:sz w:val="36"/>
          <w:szCs w:val="36"/>
        </w:rPr>
      </w:pPr>
    </w:p>
    <w:p w:rsidR="00A448E9" w:rsidRDefault="00A448E9" w:rsidP="00A448E9">
      <w:pPr>
        <w:ind w:firstLine="0"/>
        <w:jc w:val="center"/>
        <w:rPr>
          <w:b/>
          <w:bCs/>
          <w:sz w:val="44"/>
          <w:szCs w:val="44"/>
        </w:rPr>
      </w:pPr>
    </w:p>
    <w:p w:rsidR="00A448E9" w:rsidRPr="007164C5" w:rsidRDefault="004C7AD0" w:rsidP="00A448E9">
      <w:pPr>
        <w:ind w:firstLine="0"/>
        <w:jc w:val="center"/>
        <w:rPr>
          <w:b/>
          <w:bCs/>
          <w:sz w:val="28"/>
          <w:szCs w:val="28"/>
        </w:rPr>
      </w:pPr>
      <w:r w:rsidRPr="007164C5">
        <w:rPr>
          <w:rFonts w:hint="eastAsia"/>
          <w:b/>
          <w:bCs/>
          <w:sz w:val="28"/>
          <w:szCs w:val="28"/>
        </w:rPr>
        <w:t>华宸未来沪深</w:t>
      </w:r>
      <w:r w:rsidRPr="007164C5">
        <w:rPr>
          <w:rFonts w:hint="eastAsia"/>
          <w:b/>
          <w:bCs/>
          <w:sz w:val="28"/>
          <w:szCs w:val="28"/>
        </w:rPr>
        <w:t>300</w:t>
      </w:r>
      <w:r w:rsidRPr="007164C5">
        <w:rPr>
          <w:rFonts w:hint="eastAsia"/>
          <w:b/>
          <w:bCs/>
          <w:sz w:val="28"/>
          <w:szCs w:val="28"/>
        </w:rPr>
        <w:t>指数增强型发起式证券投资基金（</w:t>
      </w:r>
      <w:r w:rsidRPr="007164C5">
        <w:rPr>
          <w:rFonts w:hint="eastAsia"/>
          <w:b/>
          <w:bCs/>
          <w:sz w:val="28"/>
          <w:szCs w:val="28"/>
        </w:rPr>
        <w:t>LOF</w:t>
      </w:r>
      <w:r w:rsidRPr="007164C5">
        <w:rPr>
          <w:rFonts w:hint="eastAsia"/>
          <w:b/>
          <w:bCs/>
          <w:sz w:val="28"/>
          <w:szCs w:val="28"/>
        </w:rPr>
        <w:t>）</w:t>
      </w:r>
    </w:p>
    <w:p w:rsidR="001862BD" w:rsidRPr="007164C5" w:rsidRDefault="004C7AD0" w:rsidP="00A448E9">
      <w:pPr>
        <w:ind w:firstLine="0"/>
        <w:jc w:val="center"/>
        <w:rPr>
          <w:rStyle w:val="a6"/>
          <w:sz w:val="28"/>
          <w:szCs w:val="28"/>
        </w:rPr>
      </w:pPr>
      <w:r w:rsidRPr="007164C5">
        <w:rPr>
          <w:rStyle w:val="a6"/>
          <w:rFonts w:hint="eastAsia"/>
          <w:sz w:val="28"/>
          <w:szCs w:val="28"/>
        </w:rPr>
        <w:t>清算报告</w:t>
      </w:r>
    </w:p>
    <w:p w:rsidR="001862BD" w:rsidRPr="007164C5" w:rsidRDefault="001862BD" w:rsidP="005B3983">
      <w:pPr>
        <w:rPr>
          <w:rStyle w:val="a6"/>
          <w:szCs w:val="21"/>
        </w:rPr>
      </w:pPr>
    </w:p>
    <w:p w:rsidR="00A448E9" w:rsidRDefault="00A448E9" w:rsidP="00A448E9">
      <w:pPr>
        <w:jc w:val="center"/>
        <w:rPr>
          <w:rStyle w:val="a6"/>
          <w:sz w:val="36"/>
          <w:szCs w:val="36"/>
        </w:rPr>
      </w:pPr>
    </w:p>
    <w:p w:rsidR="007164C5" w:rsidRDefault="007164C5" w:rsidP="00A448E9">
      <w:pPr>
        <w:jc w:val="center"/>
        <w:rPr>
          <w:rStyle w:val="a6"/>
          <w:sz w:val="36"/>
          <w:szCs w:val="36"/>
        </w:rPr>
      </w:pPr>
    </w:p>
    <w:p w:rsidR="00A448E9" w:rsidRPr="0000364E" w:rsidRDefault="00A448E9" w:rsidP="00A448E9">
      <w:pPr>
        <w:jc w:val="center"/>
        <w:rPr>
          <w:rStyle w:val="a6"/>
          <w:sz w:val="36"/>
          <w:szCs w:val="36"/>
        </w:rPr>
      </w:pPr>
    </w:p>
    <w:p w:rsidR="00A448E9" w:rsidRDefault="00A448E9" w:rsidP="00A448E9">
      <w:pPr>
        <w:jc w:val="center"/>
        <w:rPr>
          <w:rStyle w:val="a6"/>
          <w:sz w:val="36"/>
          <w:szCs w:val="36"/>
        </w:rPr>
      </w:pPr>
    </w:p>
    <w:p w:rsidR="00A448E9" w:rsidRDefault="00A448E9" w:rsidP="00A448E9">
      <w:pPr>
        <w:jc w:val="center"/>
        <w:rPr>
          <w:rStyle w:val="a6"/>
          <w:sz w:val="36"/>
          <w:szCs w:val="36"/>
        </w:rPr>
      </w:pPr>
    </w:p>
    <w:p w:rsidR="00A448E9" w:rsidRDefault="00A448E9" w:rsidP="00A448E9">
      <w:pPr>
        <w:jc w:val="center"/>
        <w:rPr>
          <w:rStyle w:val="a6"/>
          <w:sz w:val="36"/>
          <w:szCs w:val="36"/>
        </w:rPr>
      </w:pPr>
    </w:p>
    <w:p w:rsidR="00A448E9" w:rsidRDefault="00A448E9" w:rsidP="00A448E9">
      <w:pPr>
        <w:jc w:val="center"/>
        <w:rPr>
          <w:rStyle w:val="a6"/>
          <w:sz w:val="36"/>
          <w:szCs w:val="36"/>
        </w:rPr>
      </w:pPr>
    </w:p>
    <w:p w:rsidR="00A448E9" w:rsidRDefault="00A448E9" w:rsidP="00A448E9">
      <w:pPr>
        <w:jc w:val="center"/>
        <w:rPr>
          <w:rStyle w:val="a6"/>
          <w:sz w:val="36"/>
          <w:szCs w:val="36"/>
        </w:rPr>
      </w:pPr>
    </w:p>
    <w:p w:rsidR="00A448E9" w:rsidRPr="007164C5" w:rsidRDefault="00A448E9" w:rsidP="007164C5">
      <w:pPr>
        <w:ind w:left="840" w:firstLineChars="331" w:firstLine="930"/>
        <w:jc w:val="left"/>
        <w:rPr>
          <w:rStyle w:val="a6"/>
          <w:sz w:val="28"/>
          <w:szCs w:val="28"/>
        </w:rPr>
      </w:pPr>
      <w:r w:rsidRPr="007164C5">
        <w:rPr>
          <w:rStyle w:val="a6"/>
          <w:rFonts w:hint="eastAsia"/>
          <w:sz w:val="28"/>
          <w:szCs w:val="28"/>
        </w:rPr>
        <w:t>基金管理人：华宸未来基金管理有限公司</w:t>
      </w:r>
    </w:p>
    <w:p w:rsidR="00A448E9" w:rsidRPr="007164C5" w:rsidRDefault="00A448E9" w:rsidP="007164C5">
      <w:pPr>
        <w:ind w:left="840" w:firstLineChars="331" w:firstLine="930"/>
        <w:jc w:val="left"/>
        <w:rPr>
          <w:b/>
          <w:bCs/>
          <w:sz w:val="28"/>
          <w:szCs w:val="28"/>
        </w:rPr>
      </w:pPr>
      <w:r w:rsidRPr="007164C5">
        <w:rPr>
          <w:rStyle w:val="a6"/>
          <w:rFonts w:hint="eastAsia"/>
          <w:sz w:val="28"/>
          <w:szCs w:val="28"/>
        </w:rPr>
        <w:t>基金托管人：</w:t>
      </w:r>
      <w:r w:rsidRPr="007164C5">
        <w:rPr>
          <w:rFonts w:hint="eastAsia"/>
          <w:b/>
          <w:bCs/>
          <w:sz w:val="28"/>
          <w:szCs w:val="28"/>
        </w:rPr>
        <w:t>中信银行股份有限公司</w:t>
      </w:r>
    </w:p>
    <w:p w:rsidR="00D21709" w:rsidRDefault="00D21709" w:rsidP="007164C5">
      <w:pPr>
        <w:ind w:left="840" w:firstLineChars="331" w:firstLine="930"/>
        <w:jc w:val="left"/>
        <w:rPr>
          <w:b/>
          <w:bCs/>
          <w:sz w:val="28"/>
          <w:szCs w:val="28"/>
        </w:rPr>
      </w:pPr>
      <w:r>
        <w:rPr>
          <w:rFonts w:hint="eastAsia"/>
          <w:b/>
          <w:bCs/>
          <w:sz w:val="28"/>
          <w:szCs w:val="28"/>
        </w:rPr>
        <w:t>清算报告出具日：</w:t>
      </w:r>
      <w:r>
        <w:rPr>
          <w:rFonts w:hint="eastAsia"/>
          <w:b/>
          <w:bCs/>
          <w:sz w:val="28"/>
          <w:szCs w:val="28"/>
        </w:rPr>
        <w:t>2016</w:t>
      </w:r>
      <w:r>
        <w:rPr>
          <w:rFonts w:hint="eastAsia"/>
          <w:b/>
          <w:bCs/>
          <w:sz w:val="28"/>
          <w:szCs w:val="28"/>
        </w:rPr>
        <w:t>年</w:t>
      </w:r>
      <w:r>
        <w:rPr>
          <w:rFonts w:hint="eastAsia"/>
          <w:b/>
          <w:bCs/>
          <w:sz w:val="28"/>
          <w:szCs w:val="28"/>
        </w:rPr>
        <w:t>7</w:t>
      </w:r>
      <w:r>
        <w:rPr>
          <w:rFonts w:hint="eastAsia"/>
          <w:b/>
          <w:bCs/>
          <w:sz w:val="28"/>
          <w:szCs w:val="28"/>
        </w:rPr>
        <w:t>月</w:t>
      </w:r>
      <w:r>
        <w:rPr>
          <w:rFonts w:hint="eastAsia"/>
          <w:b/>
          <w:bCs/>
          <w:sz w:val="28"/>
          <w:szCs w:val="28"/>
        </w:rPr>
        <w:t>7</w:t>
      </w:r>
      <w:r>
        <w:rPr>
          <w:rFonts w:hint="eastAsia"/>
          <w:b/>
          <w:bCs/>
          <w:sz w:val="28"/>
          <w:szCs w:val="28"/>
        </w:rPr>
        <w:t>日</w:t>
      </w:r>
    </w:p>
    <w:p w:rsidR="00A448E9" w:rsidRPr="007164C5" w:rsidRDefault="00D21709" w:rsidP="007164C5">
      <w:pPr>
        <w:ind w:left="840" w:firstLineChars="331" w:firstLine="930"/>
        <w:jc w:val="left"/>
        <w:rPr>
          <w:b/>
          <w:bCs/>
          <w:sz w:val="28"/>
          <w:szCs w:val="28"/>
        </w:rPr>
      </w:pPr>
      <w:r>
        <w:rPr>
          <w:rFonts w:hint="eastAsia"/>
          <w:b/>
          <w:bCs/>
          <w:sz w:val="28"/>
          <w:szCs w:val="28"/>
        </w:rPr>
        <w:t>清算报告公告日</w:t>
      </w:r>
      <w:r w:rsidR="00A448E9" w:rsidRPr="007164C5">
        <w:rPr>
          <w:rFonts w:hint="eastAsia"/>
          <w:b/>
          <w:bCs/>
          <w:sz w:val="28"/>
          <w:szCs w:val="28"/>
        </w:rPr>
        <w:t>：</w:t>
      </w:r>
      <w:r w:rsidR="00A448E9" w:rsidRPr="007164C5">
        <w:rPr>
          <w:rFonts w:hint="eastAsia"/>
          <w:b/>
          <w:bCs/>
          <w:sz w:val="28"/>
          <w:szCs w:val="28"/>
        </w:rPr>
        <w:t>2016</w:t>
      </w:r>
      <w:r w:rsidR="00A448E9" w:rsidRPr="007164C5">
        <w:rPr>
          <w:rFonts w:hint="eastAsia"/>
          <w:b/>
          <w:bCs/>
          <w:sz w:val="28"/>
          <w:szCs w:val="28"/>
        </w:rPr>
        <w:t>年</w:t>
      </w:r>
      <w:r w:rsidR="005E7141">
        <w:rPr>
          <w:rFonts w:hint="eastAsia"/>
          <w:b/>
          <w:bCs/>
          <w:sz w:val="28"/>
          <w:szCs w:val="28"/>
        </w:rPr>
        <w:t>10</w:t>
      </w:r>
      <w:r w:rsidR="00A448E9" w:rsidRPr="007164C5">
        <w:rPr>
          <w:rFonts w:hint="eastAsia"/>
          <w:b/>
          <w:bCs/>
          <w:sz w:val="28"/>
          <w:szCs w:val="28"/>
        </w:rPr>
        <w:t>月</w:t>
      </w:r>
      <w:r w:rsidR="005E7141">
        <w:rPr>
          <w:rFonts w:hint="eastAsia"/>
          <w:b/>
          <w:bCs/>
          <w:sz w:val="28"/>
          <w:szCs w:val="28"/>
        </w:rPr>
        <w:t>21</w:t>
      </w:r>
      <w:r w:rsidR="00A448E9" w:rsidRPr="007164C5">
        <w:rPr>
          <w:rFonts w:hint="eastAsia"/>
          <w:b/>
          <w:bCs/>
          <w:sz w:val="28"/>
          <w:szCs w:val="28"/>
        </w:rPr>
        <w:t>日</w:t>
      </w:r>
    </w:p>
    <w:p w:rsidR="00A448E9" w:rsidRDefault="00A448E9" w:rsidP="004A353D">
      <w:pPr>
        <w:ind w:firstLineChars="281" w:firstLine="1016"/>
        <w:jc w:val="left"/>
        <w:rPr>
          <w:b/>
          <w:bCs/>
          <w:sz w:val="36"/>
          <w:szCs w:val="36"/>
        </w:rPr>
      </w:pPr>
    </w:p>
    <w:p w:rsidR="00A448E9" w:rsidRDefault="00A448E9" w:rsidP="00A448E9">
      <w:pPr>
        <w:ind w:firstLineChars="281" w:firstLine="1016"/>
        <w:rPr>
          <w:b/>
          <w:bCs/>
          <w:sz w:val="36"/>
          <w:szCs w:val="36"/>
        </w:rPr>
      </w:pPr>
    </w:p>
    <w:p w:rsidR="00A448E9" w:rsidRDefault="00A448E9" w:rsidP="00A448E9">
      <w:pPr>
        <w:ind w:firstLineChars="281" w:firstLine="1016"/>
        <w:rPr>
          <w:b/>
          <w:bCs/>
          <w:sz w:val="36"/>
          <w:szCs w:val="36"/>
        </w:rPr>
      </w:pPr>
    </w:p>
    <w:p w:rsidR="00A448E9" w:rsidRDefault="00A448E9" w:rsidP="00A448E9">
      <w:pPr>
        <w:ind w:firstLineChars="281" w:firstLine="1016"/>
        <w:rPr>
          <w:b/>
          <w:bCs/>
          <w:sz w:val="36"/>
          <w:szCs w:val="36"/>
        </w:rPr>
      </w:pPr>
    </w:p>
    <w:p w:rsidR="00A448E9" w:rsidRPr="00A448E9" w:rsidRDefault="00A448E9" w:rsidP="00A448E9">
      <w:pPr>
        <w:ind w:firstLineChars="281" w:firstLine="1016"/>
        <w:rPr>
          <w:rStyle w:val="a6"/>
          <w:sz w:val="36"/>
          <w:szCs w:val="36"/>
        </w:rPr>
      </w:pPr>
    </w:p>
    <w:p w:rsidR="007164C5" w:rsidRDefault="007164C5" w:rsidP="004D1EF5">
      <w:pPr>
        <w:ind w:firstLine="0"/>
        <w:jc w:val="left"/>
        <w:rPr>
          <w:rStyle w:val="a6"/>
          <w:szCs w:val="21"/>
        </w:rPr>
      </w:pPr>
      <w:r>
        <w:rPr>
          <w:rStyle w:val="a6"/>
          <w:szCs w:val="21"/>
        </w:rPr>
        <w:lastRenderedPageBreak/>
        <w:br w:type="page"/>
      </w:r>
    </w:p>
    <w:p w:rsidR="001862BD" w:rsidRPr="008B70D3" w:rsidRDefault="00C22082" w:rsidP="004D1EF5">
      <w:pPr>
        <w:ind w:firstLine="0"/>
        <w:jc w:val="left"/>
        <w:rPr>
          <w:rStyle w:val="a6"/>
          <w:szCs w:val="21"/>
        </w:rPr>
      </w:pPr>
      <w:r w:rsidRPr="008B70D3">
        <w:rPr>
          <w:rStyle w:val="a6"/>
          <w:rFonts w:hint="eastAsia"/>
          <w:szCs w:val="21"/>
        </w:rPr>
        <w:t>一、</w:t>
      </w:r>
      <w:r w:rsidR="001862BD" w:rsidRPr="008B70D3">
        <w:rPr>
          <w:rStyle w:val="a6"/>
          <w:rFonts w:hint="eastAsia"/>
          <w:szCs w:val="21"/>
        </w:rPr>
        <w:t>重要提示</w:t>
      </w:r>
    </w:p>
    <w:p w:rsidR="001862BD" w:rsidRPr="008B70D3" w:rsidRDefault="00954FD2" w:rsidP="004D1EF5">
      <w:pPr>
        <w:spacing w:before="120" w:after="120" w:line="300" w:lineRule="auto"/>
        <w:ind w:firstLine="0"/>
        <w:jc w:val="left"/>
        <w:rPr>
          <w:rStyle w:val="a6"/>
          <w:rFonts w:ascii="宋体" w:hAnsi="宋体"/>
          <w:b w:val="0"/>
          <w:bCs w:val="0"/>
          <w:color w:val="auto"/>
          <w:szCs w:val="21"/>
        </w:rPr>
      </w:pPr>
      <w:r w:rsidRPr="008B70D3">
        <w:rPr>
          <w:rStyle w:val="a6"/>
          <w:rFonts w:ascii="宋体" w:hAnsi="宋体" w:hint="eastAsia"/>
          <w:b w:val="0"/>
          <w:bCs w:val="0"/>
          <w:color w:val="auto"/>
          <w:szCs w:val="21"/>
        </w:rPr>
        <w:t>华宸未来沪深</w:t>
      </w:r>
      <w:r w:rsidRPr="008B70D3">
        <w:rPr>
          <w:rStyle w:val="a6"/>
          <w:rFonts w:hint="eastAsia"/>
          <w:b w:val="0"/>
          <w:bCs w:val="0"/>
          <w:color w:val="auto"/>
          <w:szCs w:val="21"/>
        </w:rPr>
        <w:t>300</w:t>
      </w:r>
      <w:r w:rsidRPr="008B70D3">
        <w:rPr>
          <w:rStyle w:val="a6"/>
          <w:rFonts w:ascii="宋体" w:hAnsi="宋体" w:hint="eastAsia"/>
          <w:b w:val="0"/>
          <w:bCs w:val="0"/>
          <w:color w:val="auto"/>
          <w:szCs w:val="21"/>
        </w:rPr>
        <w:t>指数增强型发起式证券投资基金（</w:t>
      </w:r>
      <w:r w:rsidRPr="008B70D3">
        <w:rPr>
          <w:rStyle w:val="a6"/>
          <w:rFonts w:hint="eastAsia"/>
          <w:b w:val="0"/>
          <w:bCs w:val="0"/>
          <w:color w:val="auto"/>
          <w:szCs w:val="21"/>
        </w:rPr>
        <w:t>LOF</w:t>
      </w:r>
      <w:r w:rsidRPr="008B70D3">
        <w:rPr>
          <w:rStyle w:val="a6"/>
          <w:rFonts w:ascii="宋体" w:hAnsi="宋体" w:hint="eastAsia"/>
          <w:b w:val="0"/>
          <w:bCs w:val="0"/>
          <w:color w:val="auto"/>
          <w:szCs w:val="21"/>
        </w:rPr>
        <w:t>） (以下简称“本基金”)，经中国证券监督管理委员会（以下简称“中国证监会”）证监许可[</w:t>
      </w:r>
      <w:r w:rsidRPr="008B70D3">
        <w:rPr>
          <w:rStyle w:val="a6"/>
          <w:rFonts w:hint="eastAsia"/>
          <w:b w:val="0"/>
          <w:bCs w:val="0"/>
          <w:color w:val="auto"/>
          <w:szCs w:val="21"/>
        </w:rPr>
        <w:t>2013</w:t>
      </w:r>
      <w:r w:rsidRPr="008B70D3">
        <w:rPr>
          <w:rStyle w:val="a6"/>
          <w:rFonts w:ascii="宋体" w:hAnsi="宋体" w:hint="eastAsia"/>
          <w:b w:val="0"/>
          <w:bCs w:val="0"/>
          <w:color w:val="auto"/>
          <w:szCs w:val="21"/>
        </w:rPr>
        <w:t>]</w:t>
      </w:r>
      <w:r w:rsidRPr="008B70D3">
        <w:rPr>
          <w:rStyle w:val="a6"/>
          <w:rFonts w:hint="eastAsia"/>
          <w:b w:val="0"/>
          <w:bCs w:val="0"/>
          <w:color w:val="auto"/>
          <w:szCs w:val="21"/>
        </w:rPr>
        <w:t>49</w:t>
      </w:r>
      <w:r w:rsidR="004944D7" w:rsidRPr="008B70D3">
        <w:rPr>
          <w:rStyle w:val="a6"/>
          <w:rFonts w:ascii="宋体" w:hAnsi="宋体" w:hint="eastAsia"/>
          <w:b w:val="0"/>
          <w:bCs w:val="0"/>
          <w:color w:val="auto"/>
          <w:szCs w:val="21"/>
        </w:rPr>
        <w:t>号文</w:t>
      </w:r>
      <w:r w:rsidR="005B3983" w:rsidRPr="008B70D3">
        <w:rPr>
          <w:rStyle w:val="a6"/>
          <w:rFonts w:ascii="宋体" w:hAnsi="宋体" w:hint="eastAsia"/>
          <w:b w:val="0"/>
          <w:bCs w:val="0"/>
          <w:color w:val="auto"/>
          <w:szCs w:val="21"/>
        </w:rPr>
        <w:t>的核准</w:t>
      </w:r>
      <w:r w:rsidRPr="008B70D3">
        <w:rPr>
          <w:rStyle w:val="a6"/>
          <w:rFonts w:ascii="宋体" w:hAnsi="宋体" w:hint="eastAsia"/>
          <w:b w:val="0"/>
          <w:bCs w:val="0"/>
          <w:color w:val="auto"/>
          <w:szCs w:val="21"/>
        </w:rPr>
        <w:t>，</w:t>
      </w:r>
      <w:r w:rsidR="00AE1B69" w:rsidRPr="008B70D3">
        <w:rPr>
          <w:rStyle w:val="a6"/>
          <w:rFonts w:ascii="宋体" w:hAnsi="宋体" w:hint="eastAsia"/>
          <w:b w:val="0"/>
          <w:bCs w:val="0"/>
          <w:color w:val="auto"/>
          <w:szCs w:val="21"/>
        </w:rPr>
        <w:t>由</w:t>
      </w:r>
      <w:r w:rsidR="005B3983" w:rsidRPr="008B70D3">
        <w:rPr>
          <w:rStyle w:val="a6"/>
          <w:rFonts w:ascii="宋体" w:hAnsi="宋体" w:hint="eastAsia"/>
          <w:b w:val="0"/>
          <w:bCs w:val="0"/>
          <w:color w:val="auto"/>
          <w:szCs w:val="21"/>
        </w:rPr>
        <w:t>华宸未来基金管理有限公司</w:t>
      </w:r>
      <w:r w:rsidR="005B3983" w:rsidRPr="008B70D3">
        <w:rPr>
          <w:rFonts w:ascii="宋体" w:hAnsi="宋体" w:hint="eastAsia"/>
          <w:color w:val="auto"/>
          <w:szCs w:val="21"/>
        </w:rPr>
        <w:t>依照《中华人民共和国证券投资基金法》和《华宸未来沪深</w:t>
      </w:r>
      <w:r w:rsidR="005B3983" w:rsidRPr="008B70D3">
        <w:rPr>
          <w:rFonts w:hint="eastAsia"/>
          <w:color w:val="auto"/>
          <w:szCs w:val="21"/>
        </w:rPr>
        <w:t>300</w:t>
      </w:r>
      <w:r w:rsidR="005B3983" w:rsidRPr="008B70D3">
        <w:rPr>
          <w:rFonts w:ascii="宋体" w:hAnsi="宋体" w:hint="eastAsia"/>
          <w:color w:val="auto"/>
          <w:szCs w:val="21"/>
        </w:rPr>
        <w:t>指数增强型发起式证券投资基金（</w:t>
      </w:r>
      <w:r w:rsidR="005B3983" w:rsidRPr="008B70D3">
        <w:rPr>
          <w:rFonts w:hint="eastAsia"/>
          <w:color w:val="auto"/>
          <w:szCs w:val="21"/>
        </w:rPr>
        <w:t>LOF</w:t>
      </w:r>
      <w:r w:rsidR="005B3983" w:rsidRPr="008B70D3">
        <w:rPr>
          <w:rFonts w:ascii="宋体" w:hAnsi="宋体" w:hint="eastAsia"/>
          <w:color w:val="auto"/>
          <w:szCs w:val="21"/>
        </w:rPr>
        <w:t>）基金合同》负责公开募集。</w:t>
      </w:r>
      <w:r w:rsidR="001862BD" w:rsidRPr="008B70D3">
        <w:rPr>
          <w:rStyle w:val="a6"/>
          <w:rFonts w:ascii="宋体" w:hAnsi="宋体" w:hint="eastAsia"/>
          <w:b w:val="0"/>
          <w:bCs w:val="0"/>
          <w:color w:val="auto"/>
          <w:szCs w:val="21"/>
        </w:rPr>
        <w:t>于</w:t>
      </w:r>
      <w:r w:rsidR="001862BD" w:rsidRPr="008B70D3">
        <w:rPr>
          <w:rStyle w:val="a6"/>
          <w:rFonts w:hint="eastAsia"/>
          <w:b w:val="0"/>
          <w:bCs w:val="0"/>
          <w:color w:val="auto"/>
          <w:szCs w:val="21"/>
        </w:rPr>
        <w:t>201</w:t>
      </w:r>
      <w:r w:rsidR="004944D7" w:rsidRPr="008B70D3">
        <w:rPr>
          <w:rStyle w:val="a6"/>
          <w:rFonts w:hint="eastAsia"/>
          <w:b w:val="0"/>
          <w:bCs w:val="0"/>
          <w:color w:val="auto"/>
          <w:szCs w:val="21"/>
        </w:rPr>
        <w:t>3</w:t>
      </w:r>
      <w:r w:rsidR="001862BD" w:rsidRPr="008B70D3">
        <w:rPr>
          <w:rStyle w:val="a6"/>
          <w:rFonts w:ascii="宋体" w:hAnsi="宋体" w:hint="eastAsia"/>
          <w:b w:val="0"/>
          <w:bCs w:val="0"/>
          <w:color w:val="auto"/>
          <w:szCs w:val="21"/>
        </w:rPr>
        <w:t>年</w:t>
      </w:r>
      <w:r w:rsidR="004944D7" w:rsidRPr="008B70D3">
        <w:rPr>
          <w:rStyle w:val="a6"/>
          <w:rFonts w:hint="eastAsia"/>
          <w:b w:val="0"/>
          <w:bCs w:val="0"/>
          <w:color w:val="auto"/>
          <w:szCs w:val="21"/>
        </w:rPr>
        <w:t>4</w:t>
      </w:r>
      <w:r w:rsidR="001862BD" w:rsidRPr="008B70D3">
        <w:rPr>
          <w:rStyle w:val="a6"/>
          <w:rFonts w:ascii="宋体" w:hAnsi="宋体" w:hint="eastAsia"/>
          <w:b w:val="0"/>
          <w:bCs w:val="0"/>
          <w:color w:val="auto"/>
          <w:szCs w:val="21"/>
        </w:rPr>
        <w:t>月</w:t>
      </w:r>
      <w:r w:rsidR="004944D7" w:rsidRPr="008B70D3">
        <w:rPr>
          <w:rStyle w:val="a6"/>
          <w:rFonts w:hint="eastAsia"/>
          <w:b w:val="0"/>
          <w:bCs w:val="0"/>
          <w:color w:val="auto"/>
          <w:szCs w:val="21"/>
        </w:rPr>
        <w:t>26</w:t>
      </w:r>
      <w:r w:rsidR="001862BD" w:rsidRPr="008B70D3">
        <w:rPr>
          <w:rStyle w:val="a6"/>
          <w:rFonts w:ascii="宋体" w:hAnsi="宋体" w:hint="eastAsia"/>
          <w:b w:val="0"/>
          <w:bCs w:val="0"/>
          <w:color w:val="auto"/>
          <w:szCs w:val="21"/>
        </w:rPr>
        <w:t>日成立并正式运作</w:t>
      </w:r>
      <w:r w:rsidR="004944D7" w:rsidRPr="008B70D3">
        <w:rPr>
          <w:rStyle w:val="a6"/>
          <w:rFonts w:ascii="宋体" w:hAnsi="宋体" w:hint="eastAsia"/>
          <w:b w:val="0"/>
          <w:bCs w:val="0"/>
          <w:color w:val="auto"/>
          <w:szCs w:val="21"/>
        </w:rPr>
        <w:t>，</w:t>
      </w:r>
      <w:r w:rsidR="005B3983" w:rsidRPr="008B70D3">
        <w:rPr>
          <w:rStyle w:val="a6"/>
          <w:rFonts w:ascii="宋体" w:hAnsi="宋体" w:hint="eastAsia"/>
          <w:b w:val="0"/>
          <w:bCs w:val="0"/>
          <w:color w:val="auto"/>
          <w:szCs w:val="21"/>
        </w:rPr>
        <w:t>本基金的基金管理人为华宸未来基金管理有限公司（以下简称“基金管理人”），</w:t>
      </w:r>
      <w:r w:rsidR="004944D7" w:rsidRPr="008B70D3">
        <w:rPr>
          <w:rStyle w:val="a6"/>
          <w:rFonts w:ascii="宋体" w:hAnsi="宋体" w:hint="eastAsia"/>
          <w:b w:val="0"/>
          <w:bCs w:val="0"/>
          <w:color w:val="auto"/>
          <w:szCs w:val="21"/>
        </w:rPr>
        <w:t>基金托管人为中信银行股份有限公司</w:t>
      </w:r>
      <w:r w:rsidR="005B3983" w:rsidRPr="008B70D3">
        <w:rPr>
          <w:rStyle w:val="a6"/>
          <w:rFonts w:ascii="宋体" w:hAnsi="宋体" w:hint="eastAsia"/>
          <w:b w:val="0"/>
          <w:bCs w:val="0"/>
          <w:color w:val="auto"/>
          <w:szCs w:val="21"/>
        </w:rPr>
        <w:t>（以下简称“基金托管人”或“中信银行”）</w:t>
      </w:r>
      <w:r w:rsidR="001862BD" w:rsidRPr="008B70D3">
        <w:rPr>
          <w:rStyle w:val="a6"/>
          <w:rFonts w:ascii="宋体" w:hAnsi="宋体" w:hint="eastAsia"/>
          <w:b w:val="0"/>
          <w:bCs w:val="0"/>
          <w:color w:val="auto"/>
          <w:szCs w:val="21"/>
        </w:rPr>
        <w:t>。</w:t>
      </w:r>
    </w:p>
    <w:p w:rsidR="001862BD" w:rsidRPr="008B70D3" w:rsidRDefault="009E628B" w:rsidP="004D1EF5">
      <w:pPr>
        <w:spacing w:before="120" w:after="120" w:line="300" w:lineRule="auto"/>
        <w:ind w:firstLine="0"/>
        <w:jc w:val="left"/>
        <w:rPr>
          <w:rStyle w:val="a6"/>
          <w:rFonts w:ascii="宋体" w:hAnsi="宋体"/>
          <w:b w:val="0"/>
          <w:color w:val="auto"/>
          <w:szCs w:val="21"/>
        </w:rPr>
      </w:pPr>
      <w:r w:rsidRPr="008B70D3">
        <w:rPr>
          <w:rStyle w:val="a6"/>
          <w:rFonts w:ascii="宋体" w:hAnsi="宋体" w:hint="eastAsia"/>
          <w:b w:val="0"/>
          <w:color w:val="auto"/>
          <w:szCs w:val="21"/>
        </w:rPr>
        <w:t>依据</w:t>
      </w:r>
      <w:r w:rsidR="001862BD" w:rsidRPr="008B70D3">
        <w:rPr>
          <w:rStyle w:val="a6"/>
          <w:rFonts w:ascii="宋体" w:hAnsi="宋体" w:hint="eastAsia"/>
          <w:b w:val="0"/>
          <w:color w:val="auto"/>
          <w:szCs w:val="21"/>
        </w:rPr>
        <w:t>《</w:t>
      </w:r>
      <w:r w:rsidR="005B3983" w:rsidRPr="008B70D3">
        <w:rPr>
          <w:rFonts w:ascii="宋体" w:hAnsi="宋体" w:hint="eastAsia"/>
          <w:color w:val="auto"/>
          <w:szCs w:val="21"/>
        </w:rPr>
        <w:t>华宸未来沪深</w:t>
      </w:r>
      <w:r w:rsidR="005B3983" w:rsidRPr="008B70D3">
        <w:rPr>
          <w:rFonts w:hint="eastAsia"/>
          <w:color w:val="auto"/>
          <w:szCs w:val="21"/>
        </w:rPr>
        <w:t>300</w:t>
      </w:r>
      <w:r w:rsidR="005B3983" w:rsidRPr="008B70D3">
        <w:rPr>
          <w:rFonts w:ascii="宋体" w:hAnsi="宋体" w:hint="eastAsia"/>
          <w:color w:val="auto"/>
          <w:szCs w:val="21"/>
        </w:rPr>
        <w:t>指数增强型发起式证券投资基金（</w:t>
      </w:r>
      <w:r w:rsidR="005B3983" w:rsidRPr="008B70D3">
        <w:rPr>
          <w:rFonts w:hint="eastAsia"/>
          <w:color w:val="auto"/>
          <w:szCs w:val="21"/>
        </w:rPr>
        <w:t>LOF</w:t>
      </w:r>
      <w:r w:rsidR="005B3983" w:rsidRPr="008B70D3">
        <w:rPr>
          <w:rFonts w:ascii="宋体" w:hAnsi="宋体" w:hint="eastAsia"/>
          <w:color w:val="auto"/>
          <w:szCs w:val="21"/>
        </w:rPr>
        <w:t>）基金合同</w:t>
      </w:r>
      <w:r w:rsidR="001862BD" w:rsidRPr="008B70D3">
        <w:rPr>
          <w:rStyle w:val="a6"/>
          <w:rFonts w:ascii="宋体" w:hAnsi="宋体" w:hint="eastAsia"/>
          <w:b w:val="0"/>
          <w:color w:val="auto"/>
          <w:szCs w:val="21"/>
        </w:rPr>
        <w:t>》（以下简称</w:t>
      </w:r>
      <w:r w:rsidRPr="008B70D3">
        <w:rPr>
          <w:rStyle w:val="a6"/>
          <w:rFonts w:ascii="宋体" w:hAnsi="宋体" w:hint="eastAsia"/>
          <w:b w:val="0"/>
          <w:color w:val="auto"/>
          <w:szCs w:val="21"/>
        </w:rPr>
        <w:t>“</w:t>
      </w:r>
      <w:r w:rsidR="001862BD" w:rsidRPr="008B70D3">
        <w:rPr>
          <w:rStyle w:val="a6"/>
          <w:rFonts w:ascii="宋体" w:hAnsi="宋体" w:hint="eastAsia"/>
          <w:b w:val="0"/>
          <w:color w:val="auto"/>
          <w:szCs w:val="21"/>
        </w:rPr>
        <w:t>《基金合同》</w:t>
      </w:r>
      <w:r w:rsidRPr="008B70D3">
        <w:rPr>
          <w:rStyle w:val="a6"/>
          <w:rFonts w:ascii="宋体" w:hAnsi="宋体" w:hint="eastAsia"/>
          <w:b w:val="0"/>
          <w:color w:val="auto"/>
          <w:szCs w:val="21"/>
        </w:rPr>
        <w:t>”</w:t>
      </w:r>
      <w:r w:rsidR="007F3222" w:rsidRPr="008B70D3">
        <w:rPr>
          <w:rStyle w:val="a6"/>
          <w:rFonts w:ascii="宋体" w:hAnsi="宋体" w:hint="eastAsia"/>
          <w:b w:val="0"/>
          <w:color w:val="auto"/>
          <w:szCs w:val="21"/>
        </w:rPr>
        <w:t>或“基金合同”</w:t>
      </w:r>
      <w:r w:rsidRPr="008B70D3">
        <w:rPr>
          <w:rStyle w:val="a6"/>
          <w:rFonts w:ascii="宋体" w:hAnsi="宋体" w:hint="eastAsia"/>
          <w:b w:val="0"/>
          <w:color w:val="auto"/>
          <w:szCs w:val="21"/>
        </w:rPr>
        <w:t>）</w:t>
      </w:r>
      <w:r w:rsidR="007F3222" w:rsidRPr="008B70D3">
        <w:rPr>
          <w:rStyle w:val="a6"/>
          <w:rFonts w:ascii="宋体" w:hAnsi="宋体" w:hint="eastAsia"/>
          <w:b w:val="0"/>
          <w:color w:val="auto"/>
          <w:szCs w:val="21"/>
        </w:rPr>
        <w:t>第六部分“四、基金的自动终止”的约定：“本基金基金合同生效三年后，若基金资产规模低于</w:t>
      </w:r>
      <w:r w:rsidR="007F3222" w:rsidRPr="008B70D3">
        <w:rPr>
          <w:rStyle w:val="a6"/>
          <w:rFonts w:hint="eastAsia"/>
          <w:b w:val="0"/>
          <w:color w:val="auto"/>
          <w:szCs w:val="21"/>
        </w:rPr>
        <w:t>2</w:t>
      </w:r>
      <w:r w:rsidR="007F3222" w:rsidRPr="008B70D3">
        <w:rPr>
          <w:rStyle w:val="a6"/>
          <w:rFonts w:ascii="宋体" w:hAnsi="宋体" w:hint="eastAsia"/>
          <w:b w:val="0"/>
          <w:color w:val="auto"/>
          <w:szCs w:val="21"/>
        </w:rPr>
        <w:t>亿元的</w:t>
      </w:r>
      <w:r w:rsidR="001862BD" w:rsidRPr="008B70D3">
        <w:rPr>
          <w:rStyle w:val="a6"/>
          <w:rFonts w:ascii="宋体" w:hAnsi="宋体" w:hint="eastAsia"/>
          <w:b w:val="0"/>
          <w:color w:val="auto"/>
          <w:szCs w:val="21"/>
        </w:rPr>
        <w:t>，</w:t>
      </w:r>
      <w:r w:rsidR="007F3222" w:rsidRPr="008B70D3">
        <w:rPr>
          <w:rStyle w:val="a6"/>
          <w:rFonts w:ascii="宋体" w:hAnsi="宋体" w:hint="eastAsia"/>
          <w:b w:val="0"/>
          <w:color w:val="auto"/>
          <w:szCs w:val="21"/>
        </w:rPr>
        <w:t>基金合同自动终止。同时不得通过召开基金份额持有人大会的方式延续。”本基金基金合同生效日起三年后的对应日即</w:t>
      </w:r>
      <w:r w:rsidR="007F3222" w:rsidRPr="008B70D3">
        <w:rPr>
          <w:rStyle w:val="a6"/>
          <w:rFonts w:hint="eastAsia"/>
          <w:b w:val="0"/>
          <w:color w:val="auto"/>
          <w:szCs w:val="21"/>
        </w:rPr>
        <w:t>2016</w:t>
      </w:r>
      <w:r w:rsidR="007F3222" w:rsidRPr="008B70D3">
        <w:rPr>
          <w:rStyle w:val="a6"/>
          <w:rFonts w:ascii="宋体" w:hAnsi="宋体" w:hint="eastAsia"/>
          <w:b w:val="0"/>
          <w:color w:val="auto"/>
          <w:szCs w:val="21"/>
        </w:rPr>
        <w:t>年</w:t>
      </w:r>
      <w:r w:rsidR="007F3222" w:rsidRPr="008B70D3">
        <w:rPr>
          <w:rStyle w:val="a6"/>
          <w:rFonts w:hint="eastAsia"/>
          <w:b w:val="0"/>
          <w:color w:val="auto"/>
          <w:szCs w:val="21"/>
        </w:rPr>
        <w:t>4</w:t>
      </w:r>
      <w:r w:rsidR="007F3222" w:rsidRPr="008B70D3">
        <w:rPr>
          <w:rStyle w:val="a6"/>
          <w:rFonts w:ascii="宋体" w:hAnsi="宋体" w:hint="eastAsia"/>
          <w:b w:val="0"/>
          <w:color w:val="auto"/>
          <w:szCs w:val="21"/>
        </w:rPr>
        <w:t>月</w:t>
      </w:r>
      <w:r w:rsidR="007F3222" w:rsidRPr="008B70D3">
        <w:rPr>
          <w:rStyle w:val="a6"/>
          <w:rFonts w:hint="eastAsia"/>
          <w:b w:val="0"/>
          <w:color w:val="auto"/>
          <w:szCs w:val="21"/>
        </w:rPr>
        <w:t>26</w:t>
      </w:r>
      <w:r w:rsidR="007F3222" w:rsidRPr="008B70D3">
        <w:rPr>
          <w:rStyle w:val="a6"/>
          <w:rFonts w:ascii="宋体" w:hAnsi="宋体" w:hint="eastAsia"/>
          <w:b w:val="0"/>
          <w:color w:val="auto"/>
          <w:szCs w:val="21"/>
        </w:rPr>
        <w:t>日本基金资产规模为</w:t>
      </w:r>
      <w:r w:rsidR="00823307" w:rsidRPr="008B70D3">
        <w:rPr>
          <w:rStyle w:val="a6"/>
          <w:rFonts w:hint="eastAsia"/>
          <w:b w:val="0"/>
          <w:color w:val="auto"/>
          <w:szCs w:val="21"/>
        </w:rPr>
        <w:t>0</w:t>
      </w:r>
      <w:r w:rsidR="00823307" w:rsidRPr="008B70D3">
        <w:rPr>
          <w:rStyle w:val="a6"/>
          <w:rFonts w:ascii="宋体" w:hAnsi="宋体" w:hint="eastAsia"/>
          <w:b w:val="0"/>
          <w:color w:val="auto"/>
          <w:szCs w:val="21"/>
        </w:rPr>
        <w:t>.</w:t>
      </w:r>
      <w:r w:rsidR="00823307" w:rsidRPr="008B70D3">
        <w:rPr>
          <w:rStyle w:val="a6"/>
          <w:rFonts w:hint="eastAsia"/>
          <w:b w:val="0"/>
          <w:color w:val="auto"/>
          <w:szCs w:val="21"/>
        </w:rPr>
        <w:t>15</w:t>
      </w:r>
      <w:r w:rsidR="007F3222" w:rsidRPr="008B70D3">
        <w:rPr>
          <w:rStyle w:val="a6"/>
          <w:rFonts w:ascii="宋体" w:hAnsi="宋体" w:hint="eastAsia"/>
          <w:b w:val="0"/>
          <w:color w:val="auto"/>
          <w:szCs w:val="21"/>
        </w:rPr>
        <w:t>亿元。已出现触发基金合同终止的上述情形，根据基金合同约定，不需召开基金份额持有人大会，基金管理人终止本基金基金合同并依法履行基金财产清算程序。</w:t>
      </w:r>
      <w:r w:rsidR="001862BD" w:rsidRPr="008B70D3">
        <w:rPr>
          <w:rStyle w:val="a6"/>
          <w:rFonts w:ascii="宋体" w:hAnsi="宋体" w:hint="eastAsia"/>
          <w:b w:val="0"/>
          <w:color w:val="auto"/>
          <w:szCs w:val="21"/>
        </w:rPr>
        <w:t>本基金</w:t>
      </w:r>
      <w:r w:rsidR="00420A15" w:rsidRPr="008B70D3">
        <w:rPr>
          <w:rStyle w:val="a6"/>
          <w:rFonts w:ascii="宋体" w:hAnsi="宋体" w:hint="eastAsia"/>
          <w:b w:val="0"/>
          <w:color w:val="auto"/>
          <w:szCs w:val="21"/>
        </w:rPr>
        <w:t>《</w:t>
      </w:r>
      <w:r w:rsidR="001862BD" w:rsidRPr="008B70D3">
        <w:rPr>
          <w:rStyle w:val="a6"/>
          <w:rFonts w:ascii="宋体" w:hAnsi="宋体" w:hint="eastAsia"/>
          <w:b w:val="0"/>
          <w:color w:val="auto"/>
          <w:szCs w:val="21"/>
        </w:rPr>
        <w:t>基金合同</w:t>
      </w:r>
      <w:r w:rsidR="00420A15" w:rsidRPr="008B70D3">
        <w:rPr>
          <w:rStyle w:val="a6"/>
          <w:rFonts w:ascii="宋体" w:hAnsi="宋体" w:hint="eastAsia"/>
          <w:b w:val="0"/>
          <w:color w:val="auto"/>
          <w:szCs w:val="21"/>
        </w:rPr>
        <w:t>》</w:t>
      </w:r>
      <w:r w:rsidR="001862BD" w:rsidRPr="008B70D3">
        <w:rPr>
          <w:rStyle w:val="a6"/>
          <w:rFonts w:ascii="宋体" w:hAnsi="宋体" w:hint="eastAsia"/>
          <w:b w:val="0"/>
          <w:color w:val="auto"/>
          <w:szCs w:val="21"/>
        </w:rPr>
        <w:t>终止及清算的公告详见刊登在</w:t>
      </w:r>
      <w:r w:rsidR="001862BD" w:rsidRPr="008B70D3">
        <w:rPr>
          <w:rStyle w:val="a6"/>
          <w:rFonts w:hint="eastAsia"/>
          <w:b w:val="0"/>
          <w:color w:val="auto"/>
          <w:szCs w:val="21"/>
        </w:rPr>
        <w:t>201</w:t>
      </w:r>
      <w:r w:rsidR="00823307" w:rsidRPr="008B70D3">
        <w:rPr>
          <w:rStyle w:val="a6"/>
          <w:rFonts w:hint="eastAsia"/>
          <w:b w:val="0"/>
          <w:color w:val="auto"/>
          <w:szCs w:val="21"/>
        </w:rPr>
        <w:t>6</w:t>
      </w:r>
      <w:r w:rsidR="001862BD" w:rsidRPr="008B70D3">
        <w:rPr>
          <w:rStyle w:val="a6"/>
          <w:rFonts w:ascii="宋体" w:hAnsi="宋体" w:hint="eastAsia"/>
          <w:b w:val="0"/>
          <w:color w:val="auto"/>
          <w:szCs w:val="21"/>
        </w:rPr>
        <w:t>年</w:t>
      </w:r>
      <w:r w:rsidR="00823307" w:rsidRPr="008B70D3">
        <w:rPr>
          <w:rStyle w:val="a6"/>
          <w:rFonts w:hint="eastAsia"/>
          <w:b w:val="0"/>
          <w:color w:val="auto"/>
          <w:szCs w:val="21"/>
        </w:rPr>
        <w:t>4</w:t>
      </w:r>
      <w:r w:rsidR="001862BD" w:rsidRPr="008B70D3">
        <w:rPr>
          <w:rStyle w:val="a6"/>
          <w:rFonts w:ascii="宋体" w:hAnsi="宋体" w:hint="eastAsia"/>
          <w:b w:val="0"/>
          <w:color w:val="auto"/>
          <w:szCs w:val="21"/>
        </w:rPr>
        <w:t>月</w:t>
      </w:r>
      <w:r w:rsidR="00823307" w:rsidRPr="008B70D3">
        <w:rPr>
          <w:rStyle w:val="a6"/>
          <w:rFonts w:hint="eastAsia"/>
          <w:b w:val="0"/>
          <w:color w:val="auto"/>
          <w:szCs w:val="21"/>
        </w:rPr>
        <w:t>27</w:t>
      </w:r>
      <w:r w:rsidR="001862BD" w:rsidRPr="008B70D3">
        <w:rPr>
          <w:rStyle w:val="a6"/>
          <w:rFonts w:ascii="宋体" w:hAnsi="宋体" w:hint="eastAsia"/>
          <w:b w:val="0"/>
          <w:color w:val="auto"/>
          <w:szCs w:val="21"/>
        </w:rPr>
        <w:t>日《上海证券报》、《中国证券报》、《证券时报》和基金管理人网站（</w:t>
      </w:r>
      <w:r w:rsidR="001862BD" w:rsidRPr="008B70D3">
        <w:rPr>
          <w:rStyle w:val="a6"/>
          <w:b w:val="0"/>
          <w:color w:val="auto"/>
          <w:szCs w:val="21"/>
        </w:rPr>
        <w:t>www</w:t>
      </w:r>
      <w:r w:rsidR="001862BD" w:rsidRPr="008B70D3">
        <w:rPr>
          <w:rStyle w:val="a6"/>
          <w:rFonts w:ascii="宋体" w:hAnsi="宋体"/>
          <w:b w:val="0"/>
          <w:color w:val="auto"/>
          <w:szCs w:val="21"/>
        </w:rPr>
        <w:t>.</w:t>
      </w:r>
      <w:r w:rsidR="00420A15" w:rsidRPr="008B70D3">
        <w:rPr>
          <w:rStyle w:val="a6"/>
          <w:rFonts w:hint="eastAsia"/>
          <w:b w:val="0"/>
          <w:color w:val="auto"/>
          <w:szCs w:val="21"/>
        </w:rPr>
        <w:t>hcmiraefund</w:t>
      </w:r>
      <w:r w:rsidR="001862BD" w:rsidRPr="008B70D3">
        <w:rPr>
          <w:rStyle w:val="a6"/>
          <w:rFonts w:ascii="宋体" w:hAnsi="宋体"/>
          <w:b w:val="0"/>
          <w:color w:val="auto"/>
          <w:szCs w:val="21"/>
        </w:rPr>
        <w:t>.</w:t>
      </w:r>
      <w:r w:rsidR="001862BD" w:rsidRPr="008B70D3">
        <w:rPr>
          <w:rStyle w:val="a6"/>
          <w:b w:val="0"/>
          <w:color w:val="auto"/>
          <w:szCs w:val="21"/>
        </w:rPr>
        <w:t>com</w:t>
      </w:r>
      <w:r w:rsidR="001862BD" w:rsidRPr="008B70D3">
        <w:rPr>
          <w:rStyle w:val="a6"/>
          <w:rFonts w:ascii="宋体" w:hAnsi="宋体" w:hint="eastAsia"/>
          <w:b w:val="0"/>
          <w:color w:val="auto"/>
          <w:szCs w:val="21"/>
        </w:rPr>
        <w:t>）上的《关于</w:t>
      </w:r>
      <w:r w:rsidR="00420A15" w:rsidRPr="008B70D3">
        <w:rPr>
          <w:rFonts w:ascii="宋体" w:hAnsi="宋体" w:hint="eastAsia"/>
          <w:color w:val="auto"/>
          <w:szCs w:val="21"/>
        </w:rPr>
        <w:t>华宸未来沪深</w:t>
      </w:r>
      <w:r w:rsidR="00420A15" w:rsidRPr="008B70D3">
        <w:rPr>
          <w:rFonts w:hint="eastAsia"/>
          <w:color w:val="auto"/>
          <w:szCs w:val="21"/>
        </w:rPr>
        <w:t>300</w:t>
      </w:r>
      <w:r w:rsidR="00420A15" w:rsidRPr="008B70D3">
        <w:rPr>
          <w:rFonts w:ascii="宋体" w:hAnsi="宋体" w:hint="eastAsia"/>
          <w:color w:val="auto"/>
          <w:szCs w:val="21"/>
        </w:rPr>
        <w:t>指数增强型发起式证券投资基金（</w:t>
      </w:r>
      <w:r w:rsidR="00420A15" w:rsidRPr="008B70D3">
        <w:rPr>
          <w:rFonts w:hint="eastAsia"/>
          <w:color w:val="auto"/>
          <w:szCs w:val="21"/>
        </w:rPr>
        <w:t>LOF</w:t>
      </w:r>
      <w:r w:rsidR="00420A15" w:rsidRPr="008B70D3">
        <w:rPr>
          <w:rFonts w:ascii="宋体" w:hAnsi="宋体" w:hint="eastAsia"/>
          <w:color w:val="auto"/>
          <w:szCs w:val="21"/>
        </w:rPr>
        <w:t>）基金合同</w:t>
      </w:r>
      <w:r w:rsidR="001862BD" w:rsidRPr="008B70D3">
        <w:rPr>
          <w:rStyle w:val="a6"/>
          <w:rFonts w:ascii="宋体" w:hAnsi="宋体" w:hint="eastAsia"/>
          <w:b w:val="0"/>
          <w:color w:val="auto"/>
          <w:szCs w:val="21"/>
        </w:rPr>
        <w:t>终止及基金财产清算的公告》。</w:t>
      </w:r>
    </w:p>
    <w:p w:rsidR="001862BD" w:rsidRPr="008B70D3" w:rsidRDefault="007F3222" w:rsidP="004D1EF5">
      <w:pPr>
        <w:spacing w:before="120" w:after="120" w:line="300" w:lineRule="auto"/>
        <w:ind w:firstLine="0"/>
        <w:jc w:val="left"/>
        <w:rPr>
          <w:rStyle w:val="a6"/>
          <w:rFonts w:ascii="宋体" w:hAnsi="宋体"/>
          <w:b w:val="0"/>
          <w:color w:val="auto"/>
          <w:szCs w:val="21"/>
        </w:rPr>
      </w:pPr>
      <w:r w:rsidRPr="008B70D3">
        <w:rPr>
          <w:rStyle w:val="a6"/>
          <w:rFonts w:ascii="宋体" w:hAnsi="宋体" w:hint="eastAsia"/>
          <w:b w:val="0"/>
          <w:color w:val="auto"/>
          <w:szCs w:val="21"/>
        </w:rPr>
        <w:t>本基金自</w:t>
      </w:r>
      <w:r w:rsidR="00420A15" w:rsidRPr="008B70D3">
        <w:rPr>
          <w:rStyle w:val="a6"/>
          <w:rFonts w:hint="eastAsia"/>
          <w:b w:val="0"/>
          <w:color w:val="auto"/>
          <w:szCs w:val="21"/>
        </w:rPr>
        <w:t>2016</w:t>
      </w:r>
      <w:r w:rsidR="001862BD" w:rsidRPr="008B70D3">
        <w:rPr>
          <w:rStyle w:val="a6"/>
          <w:rFonts w:ascii="宋体" w:hAnsi="宋体" w:hint="eastAsia"/>
          <w:b w:val="0"/>
          <w:color w:val="auto"/>
          <w:szCs w:val="21"/>
        </w:rPr>
        <w:t>年</w:t>
      </w:r>
      <w:r w:rsidR="00420A15" w:rsidRPr="008B70D3">
        <w:rPr>
          <w:rStyle w:val="a6"/>
          <w:rFonts w:hint="eastAsia"/>
          <w:b w:val="0"/>
          <w:color w:val="auto"/>
          <w:szCs w:val="21"/>
        </w:rPr>
        <w:t>4</w:t>
      </w:r>
      <w:r w:rsidR="001862BD" w:rsidRPr="008B70D3">
        <w:rPr>
          <w:rStyle w:val="a6"/>
          <w:rFonts w:ascii="宋体" w:hAnsi="宋体" w:hint="eastAsia"/>
          <w:b w:val="0"/>
          <w:color w:val="auto"/>
          <w:szCs w:val="21"/>
        </w:rPr>
        <w:t>月</w:t>
      </w:r>
      <w:r w:rsidRPr="008B70D3">
        <w:rPr>
          <w:rStyle w:val="a6"/>
          <w:rFonts w:hint="eastAsia"/>
          <w:b w:val="0"/>
          <w:color w:val="auto"/>
          <w:szCs w:val="21"/>
        </w:rPr>
        <w:t>27</w:t>
      </w:r>
      <w:r w:rsidR="001862BD" w:rsidRPr="008B70D3">
        <w:rPr>
          <w:rStyle w:val="a6"/>
          <w:rFonts w:ascii="宋体" w:hAnsi="宋体" w:hint="eastAsia"/>
          <w:b w:val="0"/>
          <w:color w:val="auto"/>
          <w:szCs w:val="21"/>
        </w:rPr>
        <w:t>日</w:t>
      </w:r>
      <w:r w:rsidRPr="008B70D3">
        <w:rPr>
          <w:rStyle w:val="a6"/>
          <w:rFonts w:ascii="宋体" w:hAnsi="宋体" w:hint="eastAsia"/>
          <w:b w:val="0"/>
          <w:color w:val="auto"/>
          <w:szCs w:val="21"/>
        </w:rPr>
        <w:t>起进入清算期</w:t>
      </w:r>
      <w:r w:rsidR="001862BD" w:rsidRPr="008B70D3">
        <w:rPr>
          <w:rStyle w:val="a6"/>
          <w:rFonts w:ascii="宋体" w:hAnsi="宋体" w:hint="eastAsia"/>
          <w:b w:val="0"/>
          <w:color w:val="auto"/>
          <w:szCs w:val="21"/>
        </w:rPr>
        <w:t>，由本基金管理人</w:t>
      </w:r>
      <w:r w:rsidRPr="008B70D3">
        <w:rPr>
          <w:rStyle w:val="a6"/>
          <w:rFonts w:ascii="宋体" w:hAnsi="宋体" w:hint="eastAsia"/>
          <w:b w:val="0"/>
          <w:bCs w:val="0"/>
          <w:color w:val="auto"/>
          <w:szCs w:val="21"/>
        </w:rPr>
        <w:t>华宸未来基金管理有限公司</w:t>
      </w:r>
      <w:r w:rsidR="001862BD" w:rsidRPr="008B70D3">
        <w:rPr>
          <w:rStyle w:val="a6"/>
          <w:rFonts w:ascii="宋体" w:hAnsi="宋体" w:hint="eastAsia"/>
          <w:b w:val="0"/>
          <w:color w:val="auto"/>
          <w:szCs w:val="21"/>
        </w:rPr>
        <w:t>、基金托管人</w:t>
      </w:r>
      <w:r w:rsidRPr="008B70D3">
        <w:rPr>
          <w:rStyle w:val="a6"/>
          <w:rFonts w:ascii="宋体" w:hAnsi="宋体" w:hint="eastAsia"/>
          <w:b w:val="0"/>
          <w:bCs w:val="0"/>
          <w:color w:val="auto"/>
          <w:szCs w:val="21"/>
        </w:rPr>
        <w:t>中信银行股份有限公司</w:t>
      </w:r>
      <w:r w:rsidR="001862BD" w:rsidRPr="008B70D3">
        <w:rPr>
          <w:rStyle w:val="a6"/>
          <w:rFonts w:ascii="宋体" w:hAnsi="宋体" w:hint="eastAsia"/>
          <w:b w:val="0"/>
          <w:color w:val="auto"/>
          <w:szCs w:val="21"/>
        </w:rPr>
        <w:t>、</w:t>
      </w:r>
      <w:r w:rsidRPr="008B70D3">
        <w:rPr>
          <w:rStyle w:val="a6"/>
          <w:rFonts w:ascii="宋体" w:hAnsi="宋体" w:hint="eastAsia"/>
          <w:b w:val="0"/>
          <w:color w:val="auto"/>
          <w:szCs w:val="21"/>
        </w:rPr>
        <w:t>立信</w:t>
      </w:r>
      <w:r w:rsidR="004C7AD0" w:rsidRPr="008B70D3">
        <w:rPr>
          <w:rStyle w:val="a6"/>
          <w:rFonts w:ascii="宋体" w:hAnsi="宋体" w:hint="eastAsia"/>
          <w:b w:val="0"/>
          <w:color w:val="auto"/>
          <w:szCs w:val="21"/>
        </w:rPr>
        <w:t>会计师事务所（特殊普通合伙</w:t>
      </w:r>
      <w:r w:rsidR="001862BD" w:rsidRPr="008B70D3">
        <w:rPr>
          <w:rStyle w:val="a6"/>
          <w:rFonts w:ascii="宋体" w:hAnsi="宋体" w:hint="eastAsia"/>
          <w:b w:val="0"/>
          <w:color w:val="auto"/>
          <w:szCs w:val="21"/>
        </w:rPr>
        <w:t>）和</w:t>
      </w:r>
      <w:r w:rsidR="002F64EC" w:rsidRPr="008B70D3">
        <w:rPr>
          <w:rStyle w:val="a6"/>
          <w:rFonts w:ascii="宋体" w:hAnsi="宋体" w:hint="eastAsia"/>
          <w:b w:val="0"/>
          <w:color w:val="auto"/>
          <w:szCs w:val="21"/>
        </w:rPr>
        <w:t>上海市海华永泰律师事务所</w:t>
      </w:r>
      <w:r w:rsidR="001862BD" w:rsidRPr="008B70D3">
        <w:rPr>
          <w:rStyle w:val="a6"/>
          <w:rFonts w:ascii="宋体" w:hAnsi="宋体" w:hint="eastAsia"/>
          <w:b w:val="0"/>
          <w:color w:val="auto"/>
          <w:szCs w:val="21"/>
        </w:rPr>
        <w:t>组成基金财产清算小组履行基金财产清算程序，并由</w:t>
      </w:r>
      <w:r w:rsidR="004C7AD0" w:rsidRPr="008B70D3">
        <w:rPr>
          <w:rStyle w:val="a6"/>
          <w:rFonts w:ascii="宋体" w:hAnsi="宋体" w:hint="eastAsia"/>
          <w:b w:val="0"/>
          <w:color w:val="auto"/>
          <w:szCs w:val="21"/>
        </w:rPr>
        <w:t>立信会计师事务所（特殊普通合伙</w:t>
      </w:r>
      <w:r w:rsidR="001862BD" w:rsidRPr="008B70D3">
        <w:rPr>
          <w:rStyle w:val="a6"/>
          <w:rFonts w:ascii="宋体" w:hAnsi="宋体" w:hint="eastAsia"/>
          <w:b w:val="0"/>
          <w:color w:val="auto"/>
          <w:szCs w:val="21"/>
        </w:rPr>
        <w:t>）对清算报告进行审计，</w:t>
      </w:r>
      <w:r w:rsidR="002F64EC" w:rsidRPr="008B70D3">
        <w:rPr>
          <w:rStyle w:val="a6"/>
          <w:rFonts w:ascii="宋体" w:hAnsi="宋体" w:hint="eastAsia"/>
          <w:b w:val="0"/>
          <w:color w:val="auto"/>
          <w:szCs w:val="21"/>
        </w:rPr>
        <w:t>上海市海华永泰律师事务所</w:t>
      </w:r>
      <w:r w:rsidR="001862BD" w:rsidRPr="008B70D3">
        <w:rPr>
          <w:rStyle w:val="a6"/>
          <w:rFonts w:ascii="宋体" w:hAnsi="宋体" w:hint="eastAsia"/>
          <w:b w:val="0"/>
          <w:color w:val="auto"/>
          <w:szCs w:val="21"/>
        </w:rPr>
        <w:t>对清算报告出具法律意见。</w:t>
      </w:r>
    </w:p>
    <w:p w:rsidR="004D1EF5" w:rsidRDefault="004D1EF5" w:rsidP="004D1EF5">
      <w:pPr>
        <w:ind w:firstLine="0"/>
        <w:rPr>
          <w:rStyle w:val="a6"/>
          <w:sz w:val="24"/>
        </w:rPr>
      </w:pPr>
      <w:r>
        <w:rPr>
          <w:rStyle w:val="a6"/>
          <w:sz w:val="24"/>
        </w:rPr>
        <w:br w:type="page"/>
      </w:r>
    </w:p>
    <w:p w:rsidR="00465B10" w:rsidRPr="008B70D3" w:rsidRDefault="00465B10" w:rsidP="004D1EF5">
      <w:pPr>
        <w:ind w:firstLine="0"/>
        <w:rPr>
          <w:rStyle w:val="a6"/>
          <w:szCs w:val="21"/>
        </w:rPr>
      </w:pPr>
      <w:r w:rsidRPr="008B70D3">
        <w:rPr>
          <w:rStyle w:val="a6"/>
          <w:rFonts w:hint="eastAsia"/>
          <w:szCs w:val="21"/>
        </w:rPr>
        <w:t>二、基金概况</w:t>
      </w:r>
    </w:p>
    <w:p w:rsidR="001862BD" w:rsidRPr="00D76926" w:rsidRDefault="001862BD" w:rsidP="004D1EF5">
      <w:pPr>
        <w:ind w:firstLine="0"/>
        <w:rPr>
          <w:rStyle w:val="a6"/>
        </w:rPr>
      </w:pPr>
      <w:r w:rsidRPr="00D76926">
        <w:rPr>
          <w:rStyle w:val="a6"/>
          <w:rFonts w:hint="eastAsia"/>
        </w:rPr>
        <w:t>1</w:t>
      </w:r>
      <w:r w:rsidR="00C22082">
        <w:rPr>
          <w:rStyle w:val="a6"/>
          <w:rFonts w:hint="eastAsia"/>
        </w:rPr>
        <w:t>、</w:t>
      </w:r>
      <w:r w:rsidRPr="00D76926">
        <w:rPr>
          <w:rStyle w:val="a6"/>
          <w:rFonts w:hint="eastAsia"/>
        </w:rPr>
        <w:t>基金基本情况</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5245"/>
      </w:tblGrid>
      <w:tr w:rsidR="001862BD" w:rsidRPr="0067409A" w:rsidTr="0067409A">
        <w:tc>
          <w:tcPr>
            <w:tcW w:w="3828"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bCs/>
                <w:color w:val="auto"/>
                <w:szCs w:val="21"/>
              </w:rPr>
            </w:pPr>
            <w:r w:rsidRPr="0067409A">
              <w:rPr>
                <w:bCs/>
                <w:color w:val="auto"/>
                <w:szCs w:val="21"/>
              </w:rPr>
              <w:t>基金名称</w:t>
            </w:r>
          </w:p>
        </w:tc>
        <w:tc>
          <w:tcPr>
            <w:tcW w:w="5245" w:type="dxa"/>
            <w:tcBorders>
              <w:top w:val="single" w:sz="4" w:space="0" w:color="000000"/>
              <w:left w:val="single" w:sz="4" w:space="0" w:color="000000"/>
              <w:bottom w:val="single" w:sz="4" w:space="0" w:color="000000"/>
              <w:right w:val="single" w:sz="4" w:space="0" w:color="000000"/>
            </w:tcBorders>
            <w:hideMark/>
          </w:tcPr>
          <w:p w:rsidR="001862BD" w:rsidRPr="0067409A" w:rsidRDefault="004C7AD0" w:rsidP="0067409A">
            <w:pPr>
              <w:spacing w:line="240" w:lineRule="auto"/>
              <w:ind w:firstLine="0"/>
              <w:rPr>
                <w:bCs/>
                <w:color w:val="auto"/>
                <w:szCs w:val="21"/>
              </w:rPr>
            </w:pPr>
            <w:r w:rsidRPr="0067409A">
              <w:rPr>
                <w:rFonts w:hint="eastAsia"/>
                <w:color w:val="auto"/>
                <w:szCs w:val="21"/>
              </w:rPr>
              <w:t>华宸未来沪深</w:t>
            </w:r>
            <w:r w:rsidRPr="0067409A">
              <w:rPr>
                <w:rFonts w:hint="eastAsia"/>
                <w:color w:val="auto"/>
                <w:szCs w:val="21"/>
              </w:rPr>
              <w:t>300</w:t>
            </w:r>
            <w:r w:rsidRPr="0067409A">
              <w:rPr>
                <w:rFonts w:hint="eastAsia"/>
                <w:color w:val="auto"/>
                <w:szCs w:val="21"/>
              </w:rPr>
              <w:t>指数增强型发起式证券投资基金（</w:t>
            </w:r>
            <w:r w:rsidRPr="0067409A">
              <w:rPr>
                <w:rFonts w:hint="eastAsia"/>
                <w:color w:val="auto"/>
                <w:szCs w:val="21"/>
              </w:rPr>
              <w:t>LOF</w:t>
            </w:r>
            <w:r w:rsidRPr="0067409A">
              <w:rPr>
                <w:rFonts w:hint="eastAsia"/>
                <w:color w:val="auto"/>
                <w:szCs w:val="21"/>
              </w:rPr>
              <w:t>）</w:t>
            </w:r>
          </w:p>
        </w:tc>
      </w:tr>
      <w:tr w:rsidR="001862BD" w:rsidRPr="0067409A" w:rsidTr="0067409A">
        <w:tc>
          <w:tcPr>
            <w:tcW w:w="3828"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color w:val="auto"/>
                <w:szCs w:val="21"/>
              </w:rPr>
            </w:pPr>
            <w:r w:rsidRPr="0067409A">
              <w:rPr>
                <w:color w:val="auto"/>
                <w:szCs w:val="21"/>
              </w:rPr>
              <w:t>基金简称</w:t>
            </w:r>
          </w:p>
        </w:tc>
        <w:tc>
          <w:tcPr>
            <w:tcW w:w="5245" w:type="dxa"/>
            <w:tcBorders>
              <w:top w:val="single" w:sz="4" w:space="0" w:color="000000"/>
              <w:left w:val="single" w:sz="4" w:space="0" w:color="000000"/>
              <w:bottom w:val="single" w:sz="4" w:space="0" w:color="000000"/>
              <w:right w:val="single" w:sz="4" w:space="0" w:color="000000"/>
            </w:tcBorders>
            <w:hideMark/>
          </w:tcPr>
          <w:p w:rsidR="001862BD" w:rsidRPr="0067409A" w:rsidRDefault="004C7AD0" w:rsidP="0067409A">
            <w:pPr>
              <w:spacing w:line="240" w:lineRule="auto"/>
              <w:ind w:firstLine="0"/>
              <w:rPr>
                <w:color w:val="auto"/>
                <w:szCs w:val="21"/>
              </w:rPr>
            </w:pPr>
            <w:r w:rsidRPr="0067409A">
              <w:rPr>
                <w:rFonts w:hint="eastAsia"/>
                <w:color w:val="auto"/>
                <w:szCs w:val="21"/>
              </w:rPr>
              <w:t>华宸</w:t>
            </w:r>
            <w:r w:rsidRPr="0067409A">
              <w:rPr>
                <w:rFonts w:hint="eastAsia"/>
                <w:color w:val="auto"/>
                <w:szCs w:val="21"/>
              </w:rPr>
              <w:t>300</w:t>
            </w:r>
          </w:p>
        </w:tc>
      </w:tr>
      <w:tr w:rsidR="001862BD" w:rsidRPr="0067409A" w:rsidTr="0067409A">
        <w:tc>
          <w:tcPr>
            <w:tcW w:w="3828"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color w:val="auto"/>
                <w:szCs w:val="21"/>
              </w:rPr>
            </w:pPr>
            <w:r w:rsidRPr="0067409A">
              <w:rPr>
                <w:color w:val="auto"/>
                <w:szCs w:val="21"/>
              </w:rPr>
              <w:t>基金主代码</w:t>
            </w:r>
          </w:p>
        </w:tc>
        <w:tc>
          <w:tcPr>
            <w:tcW w:w="5245" w:type="dxa"/>
            <w:tcBorders>
              <w:top w:val="single" w:sz="4" w:space="0" w:color="000000"/>
              <w:left w:val="single" w:sz="4" w:space="0" w:color="000000"/>
              <w:bottom w:val="single" w:sz="4" w:space="0" w:color="000000"/>
              <w:right w:val="single" w:sz="4" w:space="0" w:color="000000"/>
            </w:tcBorders>
            <w:hideMark/>
          </w:tcPr>
          <w:p w:rsidR="001862BD" w:rsidRPr="0067409A" w:rsidRDefault="004C7AD0" w:rsidP="0067409A">
            <w:pPr>
              <w:spacing w:line="240" w:lineRule="auto"/>
              <w:ind w:firstLine="0"/>
              <w:rPr>
                <w:color w:val="auto"/>
                <w:szCs w:val="21"/>
              </w:rPr>
            </w:pPr>
            <w:r w:rsidRPr="0067409A">
              <w:rPr>
                <w:rFonts w:hint="eastAsia"/>
                <w:color w:val="auto"/>
                <w:szCs w:val="21"/>
              </w:rPr>
              <w:t>167901</w:t>
            </w:r>
          </w:p>
        </w:tc>
      </w:tr>
      <w:tr w:rsidR="001862BD" w:rsidRPr="0067409A" w:rsidTr="0067409A">
        <w:tc>
          <w:tcPr>
            <w:tcW w:w="3828"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color w:val="auto"/>
                <w:szCs w:val="21"/>
              </w:rPr>
            </w:pPr>
            <w:r w:rsidRPr="0067409A">
              <w:rPr>
                <w:color w:val="auto"/>
                <w:szCs w:val="21"/>
              </w:rPr>
              <w:t>基金运作方式</w:t>
            </w:r>
          </w:p>
        </w:tc>
        <w:tc>
          <w:tcPr>
            <w:tcW w:w="5245" w:type="dxa"/>
            <w:tcBorders>
              <w:top w:val="single" w:sz="4" w:space="0" w:color="000000"/>
              <w:left w:val="single" w:sz="4" w:space="0" w:color="000000"/>
              <w:bottom w:val="single" w:sz="4" w:space="0" w:color="000000"/>
              <w:right w:val="single" w:sz="4" w:space="0" w:color="000000"/>
            </w:tcBorders>
            <w:hideMark/>
          </w:tcPr>
          <w:p w:rsidR="001862BD" w:rsidRPr="0067409A" w:rsidRDefault="004C7AD0" w:rsidP="0067409A">
            <w:pPr>
              <w:spacing w:line="240" w:lineRule="auto"/>
              <w:ind w:firstLine="0"/>
              <w:rPr>
                <w:color w:val="auto"/>
                <w:szCs w:val="21"/>
              </w:rPr>
            </w:pPr>
            <w:r w:rsidRPr="0067409A">
              <w:rPr>
                <w:rFonts w:hint="eastAsia"/>
                <w:color w:val="auto"/>
                <w:szCs w:val="21"/>
              </w:rPr>
              <w:t>上市</w:t>
            </w:r>
            <w:r w:rsidR="001862BD" w:rsidRPr="0067409A">
              <w:rPr>
                <w:color w:val="auto"/>
                <w:szCs w:val="21"/>
              </w:rPr>
              <w:t>契约型开放式</w:t>
            </w:r>
            <w:r w:rsidRPr="0067409A">
              <w:rPr>
                <w:rFonts w:hint="eastAsia"/>
                <w:color w:val="auto"/>
                <w:szCs w:val="21"/>
              </w:rPr>
              <w:t>（</w:t>
            </w:r>
            <w:r w:rsidRPr="0067409A">
              <w:rPr>
                <w:rFonts w:hint="eastAsia"/>
                <w:color w:val="auto"/>
                <w:szCs w:val="21"/>
              </w:rPr>
              <w:t>LOF</w:t>
            </w:r>
            <w:r w:rsidRPr="0067409A">
              <w:rPr>
                <w:rFonts w:hint="eastAsia"/>
                <w:color w:val="auto"/>
                <w:szCs w:val="21"/>
              </w:rPr>
              <w:t>）</w:t>
            </w:r>
          </w:p>
        </w:tc>
      </w:tr>
      <w:tr w:rsidR="001862BD" w:rsidRPr="0067409A" w:rsidTr="0067409A">
        <w:tc>
          <w:tcPr>
            <w:tcW w:w="3828"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color w:val="auto"/>
                <w:szCs w:val="21"/>
              </w:rPr>
            </w:pPr>
            <w:r w:rsidRPr="0067409A">
              <w:rPr>
                <w:color w:val="auto"/>
                <w:szCs w:val="21"/>
              </w:rPr>
              <w:t>基金合同生效日</w:t>
            </w:r>
          </w:p>
        </w:tc>
        <w:tc>
          <w:tcPr>
            <w:tcW w:w="5245" w:type="dxa"/>
            <w:tcBorders>
              <w:top w:val="single" w:sz="4" w:space="0" w:color="000000"/>
              <w:left w:val="single" w:sz="4" w:space="0" w:color="000000"/>
              <w:bottom w:val="single" w:sz="4" w:space="0" w:color="000000"/>
              <w:right w:val="single" w:sz="4" w:space="0" w:color="000000"/>
            </w:tcBorders>
            <w:hideMark/>
          </w:tcPr>
          <w:p w:rsidR="001862BD" w:rsidRPr="0067409A" w:rsidRDefault="004C7AD0" w:rsidP="003524F7">
            <w:pPr>
              <w:spacing w:line="240" w:lineRule="auto"/>
              <w:ind w:firstLine="0"/>
              <w:rPr>
                <w:color w:val="auto"/>
                <w:szCs w:val="21"/>
              </w:rPr>
            </w:pPr>
            <w:r w:rsidRPr="0067409A">
              <w:rPr>
                <w:color w:val="auto"/>
                <w:szCs w:val="21"/>
              </w:rPr>
              <w:t>201</w:t>
            </w:r>
            <w:r w:rsidRPr="0067409A">
              <w:rPr>
                <w:rFonts w:hint="eastAsia"/>
                <w:color w:val="auto"/>
                <w:szCs w:val="21"/>
              </w:rPr>
              <w:t>3</w:t>
            </w:r>
            <w:r w:rsidR="001862BD" w:rsidRPr="0067409A">
              <w:rPr>
                <w:color w:val="auto"/>
                <w:szCs w:val="21"/>
              </w:rPr>
              <w:t>年</w:t>
            </w:r>
            <w:r w:rsidRPr="0067409A">
              <w:rPr>
                <w:rFonts w:hint="eastAsia"/>
                <w:color w:val="auto"/>
                <w:szCs w:val="21"/>
              </w:rPr>
              <w:t>4</w:t>
            </w:r>
            <w:r w:rsidR="001862BD" w:rsidRPr="0067409A">
              <w:rPr>
                <w:color w:val="auto"/>
                <w:szCs w:val="21"/>
              </w:rPr>
              <w:t>月</w:t>
            </w:r>
            <w:r w:rsidRPr="0067409A">
              <w:rPr>
                <w:color w:val="auto"/>
                <w:szCs w:val="21"/>
              </w:rPr>
              <w:t>2</w:t>
            </w:r>
            <w:r w:rsidRPr="0067409A">
              <w:rPr>
                <w:rFonts w:hint="eastAsia"/>
                <w:color w:val="auto"/>
                <w:szCs w:val="21"/>
              </w:rPr>
              <w:t>6</w:t>
            </w:r>
            <w:r w:rsidR="001862BD" w:rsidRPr="0067409A">
              <w:rPr>
                <w:color w:val="auto"/>
                <w:szCs w:val="21"/>
              </w:rPr>
              <w:t>日</w:t>
            </w:r>
          </w:p>
        </w:tc>
      </w:tr>
      <w:tr w:rsidR="001862BD" w:rsidRPr="0067409A" w:rsidTr="0067409A">
        <w:tc>
          <w:tcPr>
            <w:tcW w:w="3828"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color w:val="auto"/>
                <w:szCs w:val="21"/>
              </w:rPr>
            </w:pPr>
            <w:r w:rsidRPr="0067409A">
              <w:rPr>
                <w:color w:val="auto"/>
                <w:szCs w:val="21"/>
              </w:rPr>
              <w:t>基金管理人</w:t>
            </w:r>
          </w:p>
        </w:tc>
        <w:tc>
          <w:tcPr>
            <w:tcW w:w="5245" w:type="dxa"/>
            <w:tcBorders>
              <w:top w:val="single" w:sz="4" w:space="0" w:color="000000"/>
              <w:left w:val="single" w:sz="4" w:space="0" w:color="000000"/>
              <w:bottom w:val="single" w:sz="4" w:space="0" w:color="000000"/>
              <w:right w:val="single" w:sz="4" w:space="0" w:color="000000"/>
            </w:tcBorders>
            <w:hideMark/>
          </w:tcPr>
          <w:p w:rsidR="001862BD" w:rsidRPr="0067409A" w:rsidRDefault="004C7AD0" w:rsidP="0067409A">
            <w:pPr>
              <w:spacing w:line="240" w:lineRule="auto"/>
              <w:ind w:firstLine="0"/>
              <w:rPr>
                <w:color w:val="auto"/>
                <w:szCs w:val="21"/>
              </w:rPr>
            </w:pPr>
            <w:r w:rsidRPr="0067409A">
              <w:rPr>
                <w:rFonts w:hint="eastAsia"/>
                <w:color w:val="auto"/>
                <w:szCs w:val="21"/>
              </w:rPr>
              <w:t>华宸未来基金管理有限公司</w:t>
            </w:r>
          </w:p>
        </w:tc>
      </w:tr>
      <w:tr w:rsidR="001862BD" w:rsidRPr="0067409A" w:rsidTr="0067409A">
        <w:tc>
          <w:tcPr>
            <w:tcW w:w="3828"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color w:val="auto"/>
                <w:szCs w:val="21"/>
              </w:rPr>
            </w:pPr>
            <w:r w:rsidRPr="0067409A">
              <w:rPr>
                <w:color w:val="auto"/>
                <w:szCs w:val="21"/>
              </w:rPr>
              <w:t>基金托管人</w:t>
            </w:r>
          </w:p>
        </w:tc>
        <w:tc>
          <w:tcPr>
            <w:tcW w:w="5245" w:type="dxa"/>
            <w:tcBorders>
              <w:top w:val="single" w:sz="4" w:space="0" w:color="000000"/>
              <w:left w:val="single" w:sz="4" w:space="0" w:color="000000"/>
              <w:bottom w:val="single" w:sz="4" w:space="0" w:color="000000"/>
              <w:right w:val="single" w:sz="4" w:space="0" w:color="000000"/>
            </w:tcBorders>
            <w:hideMark/>
          </w:tcPr>
          <w:p w:rsidR="001862BD" w:rsidRPr="0067409A" w:rsidRDefault="004C7AD0" w:rsidP="0067409A">
            <w:pPr>
              <w:spacing w:line="240" w:lineRule="auto"/>
              <w:ind w:firstLine="0"/>
              <w:rPr>
                <w:color w:val="auto"/>
                <w:szCs w:val="21"/>
              </w:rPr>
            </w:pPr>
            <w:r w:rsidRPr="0067409A">
              <w:rPr>
                <w:rFonts w:hint="eastAsia"/>
                <w:color w:val="auto"/>
                <w:szCs w:val="21"/>
              </w:rPr>
              <w:t>中信银行股份有限公司</w:t>
            </w:r>
          </w:p>
        </w:tc>
      </w:tr>
      <w:tr w:rsidR="001862BD" w:rsidRPr="0067409A" w:rsidTr="0067409A">
        <w:tc>
          <w:tcPr>
            <w:tcW w:w="3828"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color w:val="auto"/>
                <w:szCs w:val="21"/>
              </w:rPr>
            </w:pPr>
            <w:r w:rsidRPr="0067409A">
              <w:rPr>
                <w:color w:val="auto"/>
                <w:szCs w:val="21"/>
              </w:rPr>
              <w:t>报告期末基金份额总额</w:t>
            </w:r>
          </w:p>
        </w:tc>
        <w:tc>
          <w:tcPr>
            <w:tcW w:w="5245" w:type="dxa"/>
            <w:tcBorders>
              <w:top w:val="single" w:sz="4" w:space="0" w:color="000000"/>
              <w:left w:val="single" w:sz="4" w:space="0" w:color="000000"/>
              <w:bottom w:val="single" w:sz="4" w:space="0" w:color="000000"/>
              <w:right w:val="single" w:sz="4" w:space="0" w:color="000000"/>
            </w:tcBorders>
            <w:hideMark/>
          </w:tcPr>
          <w:p w:rsidR="001862BD" w:rsidRPr="0067409A" w:rsidRDefault="00823307" w:rsidP="0067409A">
            <w:pPr>
              <w:spacing w:line="240" w:lineRule="auto"/>
              <w:ind w:firstLine="0"/>
              <w:rPr>
                <w:color w:val="auto"/>
                <w:szCs w:val="21"/>
              </w:rPr>
            </w:pPr>
            <w:r w:rsidRPr="0067409A">
              <w:rPr>
                <w:rFonts w:hint="eastAsia"/>
                <w:color w:val="auto"/>
                <w:szCs w:val="21"/>
              </w:rPr>
              <w:t>12,260,857.28</w:t>
            </w:r>
            <w:r w:rsidR="001862BD" w:rsidRPr="0067409A">
              <w:rPr>
                <w:color w:val="auto"/>
                <w:szCs w:val="21"/>
              </w:rPr>
              <w:t>份</w:t>
            </w:r>
          </w:p>
        </w:tc>
      </w:tr>
      <w:tr w:rsidR="001862BD" w:rsidRPr="0067409A" w:rsidTr="0067409A">
        <w:tc>
          <w:tcPr>
            <w:tcW w:w="3828"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color w:val="auto"/>
                <w:szCs w:val="21"/>
              </w:rPr>
            </w:pPr>
            <w:r w:rsidRPr="0067409A">
              <w:rPr>
                <w:color w:val="auto"/>
                <w:szCs w:val="21"/>
              </w:rPr>
              <w:t>基金合同存续期</w:t>
            </w:r>
          </w:p>
        </w:tc>
        <w:tc>
          <w:tcPr>
            <w:tcW w:w="5245"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color w:val="auto"/>
                <w:szCs w:val="21"/>
              </w:rPr>
            </w:pPr>
            <w:r w:rsidRPr="0067409A">
              <w:rPr>
                <w:color w:val="auto"/>
                <w:szCs w:val="21"/>
              </w:rPr>
              <w:t>不定期</w:t>
            </w:r>
          </w:p>
        </w:tc>
      </w:tr>
      <w:tr w:rsidR="004C7AD0" w:rsidRPr="0067409A" w:rsidTr="0067409A">
        <w:trPr>
          <w:trHeight w:val="369"/>
        </w:trPr>
        <w:tc>
          <w:tcPr>
            <w:tcW w:w="3828" w:type="dxa"/>
            <w:tcBorders>
              <w:top w:val="single" w:sz="4" w:space="0" w:color="000000"/>
              <w:left w:val="single" w:sz="4" w:space="0" w:color="000000"/>
              <w:bottom w:val="single" w:sz="4" w:space="0" w:color="000000"/>
              <w:right w:val="single" w:sz="4" w:space="0" w:color="000000"/>
            </w:tcBorders>
            <w:hideMark/>
          </w:tcPr>
          <w:p w:rsidR="004C7AD0" w:rsidRPr="0067409A" w:rsidRDefault="004C7AD0" w:rsidP="0067409A">
            <w:pPr>
              <w:spacing w:line="240" w:lineRule="auto"/>
              <w:ind w:firstLine="0"/>
              <w:rPr>
                <w:color w:val="auto"/>
                <w:szCs w:val="21"/>
              </w:rPr>
            </w:pPr>
            <w:r w:rsidRPr="0067409A">
              <w:rPr>
                <w:rFonts w:hint="eastAsia"/>
                <w:color w:val="auto"/>
                <w:szCs w:val="21"/>
              </w:rPr>
              <w:t>基金份额上市的证券交易所</w:t>
            </w:r>
          </w:p>
        </w:tc>
        <w:tc>
          <w:tcPr>
            <w:tcW w:w="5245" w:type="dxa"/>
            <w:tcBorders>
              <w:top w:val="single" w:sz="4" w:space="0" w:color="000000"/>
              <w:left w:val="single" w:sz="4" w:space="0" w:color="000000"/>
              <w:bottom w:val="single" w:sz="4" w:space="0" w:color="000000"/>
              <w:right w:val="single" w:sz="4" w:space="0" w:color="000000"/>
            </w:tcBorders>
            <w:hideMark/>
          </w:tcPr>
          <w:p w:rsidR="004C7AD0" w:rsidRPr="0067409A" w:rsidRDefault="004C7AD0" w:rsidP="0067409A">
            <w:pPr>
              <w:spacing w:line="240" w:lineRule="auto"/>
              <w:ind w:firstLine="0"/>
              <w:rPr>
                <w:color w:val="auto"/>
                <w:szCs w:val="21"/>
              </w:rPr>
            </w:pPr>
            <w:r w:rsidRPr="0067409A">
              <w:rPr>
                <w:rFonts w:hint="eastAsia"/>
                <w:color w:val="auto"/>
                <w:szCs w:val="21"/>
              </w:rPr>
              <w:t>深圳证券交易所</w:t>
            </w:r>
          </w:p>
        </w:tc>
      </w:tr>
      <w:tr w:rsidR="004C7AD0" w:rsidRPr="0067409A" w:rsidTr="0067409A">
        <w:trPr>
          <w:trHeight w:val="369"/>
        </w:trPr>
        <w:tc>
          <w:tcPr>
            <w:tcW w:w="3828" w:type="dxa"/>
            <w:tcBorders>
              <w:top w:val="single" w:sz="4" w:space="0" w:color="000000"/>
              <w:left w:val="single" w:sz="4" w:space="0" w:color="000000"/>
              <w:bottom w:val="single" w:sz="4" w:space="0" w:color="000000"/>
              <w:right w:val="single" w:sz="4" w:space="0" w:color="000000"/>
            </w:tcBorders>
            <w:hideMark/>
          </w:tcPr>
          <w:p w:rsidR="004C7AD0" w:rsidRPr="0067409A" w:rsidRDefault="004C7AD0" w:rsidP="0067409A">
            <w:pPr>
              <w:spacing w:line="240" w:lineRule="auto"/>
              <w:ind w:firstLine="0"/>
              <w:rPr>
                <w:color w:val="auto"/>
                <w:szCs w:val="21"/>
              </w:rPr>
            </w:pPr>
            <w:r w:rsidRPr="0067409A">
              <w:rPr>
                <w:rFonts w:hint="eastAsia"/>
                <w:color w:val="auto"/>
                <w:szCs w:val="21"/>
              </w:rPr>
              <w:t>上市日期</w:t>
            </w:r>
          </w:p>
        </w:tc>
        <w:tc>
          <w:tcPr>
            <w:tcW w:w="5245" w:type="dxa"/>
            <w:tcBorders>
              <w:top w:val="single" w:sz="4" w:space="0" w:color="000000"/>
              <w:left w:val="single" w:sz="4" w:space="0" w:color="000000"/>
              <w:bottom w:val="single" w:sz="4" w:space="0" w:color="000000"/>
              <w:right w:val="single" w:sz="4" w:space="0" w:color="000000"/>
            </w:tcBorders>
            <w:hideMark/>
          </w:tcPr>
          <w:p w:rsidR="004C7AD0" w:rsidRPr="0067409A" w:rsidRDefault="004C7AD0" w:rsidP="003524F7">
            <w:pPr>
              <w:spacing w:line="240" w:lineRule="auto"/>
              <w:ind w:firstLine="0"/>
              <w:rPr>
                <w:color w:val="auto"/>
                <w:szCs w:val="21"/>
              </w:rPr>
            </w:pPr>
            <w:r w:rsidRPr="0067409A">
              <w:rPr>
                <w:rFonts w:hint="eastAsia"/>
                <w:color w:val="auto"/>
                <w:szCs w:val="21"/>
              </w:rPr>
              <w:t>2013</w:t>
            </w:r>
            <w:r w:rsidRPr="0067409A">
              <w:rPr>
                <w:rFonts w:hint="eastAsia"/>
                <w:color w:val="auto"/>
                <w:szCs w:val="21"/>
              </w:rPr>
              <w:t>年</w:t>
            </w:r>
            <w:r w:rsidRPr="0067409A">
              <w:rPr>
                <w:rFonts w:hint="eastAsia"/>
                <w:color w:val="auto"/>
                <w:szCs w:val="21"/>
              </w:rPr>
              <w:t>6</w:t>
            </w:r>
            <w:r w:rsidRPr="0067409A">
              <w:rPr>
                <w:rFonts w:hint="eastAsia"/>
                <w:color w:val="auto"/>
                <w:szCs w:val="21"/>
              </w:rPr>
              <w:t>月</w:t>
            </w:r>
            <w:r w:rsidRPr="0067409A">
              <w:rPr>
                <w:rFonts w:hint="eastAsia"/>
                <w:color w:val="auto"/>
                <w:szCs w:val="21"/>
              </w:rPr>
              <w:t>03</w:t>
            </w:r>
            <w:r w:rsidRPr="0067409A">
              <w:rPr>
                <w:rFonts w:hint="eastAsia"/>
                <w:color w:val="auto"/>
                <w:szCs w:val="21"/>
              </w:rPr>
              <w:t>日</w:t>
            </w:r>
          </w:p>
        </w:tc>
      </w:tr>
    </w:tbl>
    <w:p w:rsidR="00C22082" w:rsidRDefault="00C22082" w:rsidP="009B2A0C">
      <w:pPr>
        <w:ind w:firstLine="0"/>
        <w:rPr>
          <w:rStyle w:val="a6"/>
          <w:rFonts w:ascii="Arial" w:hAnsi="Arial" w:cs="Arial"/>
          <w:bCs w:val="0"/>
          <w:szCs w:val="21"/>
        </w:rPr>
      </w:pPr>
    </w:p>
    <w:p w:rsidR="009B2A0C" w:rsidRPr="009B2A0C" w:rsidRDefault="00C22082" w:rsidP="007164C5">
      <w:pPr>
        <w:ind w:firstLine="0"/>
        <w:rPr>
          <w:b/>
          <w:bCs/>
        </w:rPr>
      </w:pPr>
      <w:r>
        <w:rPr>
          <w:rStyle w:val="a6"/>
          <w:rFonts w:hint="eastAsia"/>
        </w:rPr>
        <w:t>2</w:t>
      </w:r>
      <w:r>
        <w:rPr>
          <w:rStyle w:val="a6"/>
          <w:rFonts w:hint="eastAsia"/>
        </w:rPr>
        <w:t>、</w:t>
      </w:r>
      <w:r w:rsidR="009B2A0C" w:rsidRPr="00D76926">
        <w:rPr>
          <w:rStyle w:val="a6"/>
          <w:rFonts w:hint="eastAsia"/>
        </w:rPr>
        <w:t>基金</w:t>
      </w:r>
      <w:r w:rsidR="009B2A0C">
        <w:rPr>
          <w:rStyle w:val="a6"/>
          <w:rFonts w:hint="eastAsia"/>
        </w:rPr>
        <w:t>产品说明</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4"/>
        <w:gridCol w:w="6459"/>
      </w:tblGrid>
      <w:tr w:rsidR="001862BD" w:rsidRPr="0067409A" w:rsidTr="00182984">
        <w:tc>
          <w:tcPr>
            <w:tcW w:w="2614"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bCs/>
                <w:color w:val="auto"/>
                <w:szCs w:val="21"/>
              </w:rPr>
            </w:pPr>
            <w:r w:rsidRPr="0067409A">
              <w:rPr>
                <w:bCs/>
                <w:color w:val="auto"/>
                <w:szCs w:val="21"/>
              </w:rPr>
              <w:t>投资目标</w:t>
            </w:r>
          </w:p>
        </w:tc>
        <w:tc>
          <w:tcPr>
            <w:tcW w:w="6459" w:type="dxa"/>
            <w:tcBorders>
              <w:top w:val="single" w:sz="4" w:space="0" w:color="000000"/>
              <w:left w:val="single" w:sz="4" w:space="0" w:color="000000"/>
              <w:bottom w:val="single" w:sz="4" w:space="0" w:color="000000"/>
              <w:right w:val="single" w:sz="4" w:space="0" w:color="000000"/>
            </w:tcBorders>
            <w:hideMark/>
          </w:tcPr>
          <w:p w:rsidR="001862BD" w:rsidRPr="0067409A" w:rsidRDefault="004C7AD0" w:rsidP="0067409A">
            <w:pPr>
              <w:spacing w:line="240" w:lineRule="auto"/>
              <w:ind w:firstLine="0"/>
              <w:rPr>
                <w:bCs/>
                <w:color w:val="auto"/>
                <w:szCs w:val="21"/>
              </w:rPr>
            </w:pPr>
            <w:r w:rsidRPr="0067409A">
              <w:rPr>
                <w:rFonts w:hint="eastAsia"/>
                <w:bCs/>
                <w:color w:val="auto"/>
                <w:szCs w:val="21"/>
              </w:rPr>
              <w:t>本基金为增强型股票指数基金，在力求对沪深</w:t>
            </w:r>
            <w:r w:rsidRPr="0067409A">
              <w:rPr>
                <w:rFonts w:hint="eastAsia"/>
                <w:bCs/>
                <w:color w:val="auto"/>
                <w:szCs w:val="21"/>
              </w:rPr>
              <w:t>300</w:t>
            </w:r>
            <w:r w:rsidRPr="0067409A">
              <w:rPr>
                <w:rFonts w:hint="eastAsia"/>
                <w:bCs/>
                <w:color w:val="auto"/>
                <w:szCs w:val="21"/>
              </w:rPr>
              <w:t>指数进行有效跟踪的基础上，通过数量化的方法进行积极的指数组合管理与风险控制，力争实现超越目标指数的投资收益，谋求基金资产的长期增值。本基金力争使日均跟踪偏离度不超过</w:t>
            </w:r>
            <w:r w:rsidRPr="0067409A">
              <w:rPr>
                <w:rFonts w:hint="eastAsia"/>
                <w:bCs/>
                <w:color w:val="auto"/>
                <w:szCs w:val="21"/>
              </w:rPr>
              <w:t>0.5%</w:t>
            </w:r>
            <w:r w:rsidRPr="0067409A">
              <w:rPr>
                <w:rFonts w:hint="eastAsia"/>
                <w:bCs/>
                <w:color w:val="auto"/>
                <w:szCs w:val="21"/>
              </w:rPr>
              <w:t>，年化跟踪误差不超过</w:t>
            </w:r>
            <w:r w:rsidRPr="0067409A">
              <w:rPr>
                <w:rFonts w:hint="eastAsia"/>
                <w:bCs/>
                <w:color w:val="auto"/>
                <w:szCs w:val="21"/>
              </w:rPr>
              <w:t>7.75%</w:t>
            </w:r>
          </w:p>
        </w:tc>
      </w:tr>
      <w:tr w:rsidR="001862BD" w:rsidRPr="0067409A" w:rsidTr="00182984">
        <w:tc>
          <w:tcPr>
            <w:tcW w:w="2614"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bCs/>
                <w:color w:val="auto"/>
                <w:szCs w:val="21"/>
              </w:rPr>
            </w:pPr>
            <w:r w:rsidRPr="0067409A">
              <w:rPr>
                <w:bCs/>
                <w:color w:val="auto"/>
                <w:szCs w:val="21"/>
              </w:rPr>
              <w:t>投资策略</w:t>
            </w:r>
          </w:p>
        </w:tc>
        <w:tc>
          <w:tcPr>
            <w:tcW w:w="6459" w:type="dxa"/>
            <w:tcBorders>
              <w:top w:val="single" w:sz="4" w:space="0" w:color="000000"/>
              <w:left w:val="single" w:sz="4" w:space="0" w:color="000000"/>
              <w:bottom w:val="single" w:sz="4" w:space="0" w:color="000000"/>
              <w:right w:val="single" w:sz="4" w:space="0" w:color="000000"/>
            </w:tcBorders>
            <w:hideMark/>
          </w:tcPr>
          <w:p w:rsidR="001862BD" w:rsidRPr="0067409A" w:rsidRDefault="004C7AD0" w:rsidP="0067409A">
            <w:pPr>
              <w:spacing w:line="240" w:lineRule="auto"/>
              <w:ind w:firstLine="0"/>
              <w:rPr>
                <w:bCs/>
                <w:color w:val="auto"/>
                <w:szCs w:val="21"/>
              </w:rPr>
            </w:pPr>
            <w:r w:rsidRPr="0067409A">
              <w:rPr>
                <w:rFonts w:hint="eastAsia"/>
                <w:bCs/>
                <w:color w:val="auto"/>
                <w:szCs w:val="21"/>
              </w:rPr>
              <w:t>本基金为指数增强型基金，以“指数化投资为主、积极增强投资为辅”，在复制沪深</w:t>
            </w:r>
            <w:r w:rsidRPr="0067409A">
              <w:rPr>
                <w:rFonts w:hint="eastAsia"/>
                <w:bCs/>
                <w:color w:val="auto"/>
                <w:szCs w:val="21"/>
              </w:rPr>
              <w:t>300</w:t>
            </w:r>
            <w:r w:rsidRPr="0067409A">
              <w:rPr>
                <w:rFonts w:hint="eastAsia"/>
                <w:bCs/>
                <w:color w:val="auto"/>
                <w:szCs w:val="21"/>
              </w:rPr>
              <w:t>指数的基础上，结合深入的基本面研究及数量化投资技术对投资组合进行适度优化调整，在控制</w:t>
            </w:r>
            <w:r w:rsidR="0067409A">
              <w:rPr>
                <w:rFonts w:hint="eastAsia"/>
                <w:bCs/>
                <w:color w:val="auto"/>
                <w:szCs w:val="21"/>
              </w:rPr>
              <w:t>与业绩比较基准偏离风险的前提下，力求取得超越标的指数的投资收益</w:t>
            </w:r>
          </w:p>
        </w:tc>
      </w:tr>
      <w:tr w:rsidR="001862BD" w:rsidRPr="0067409A" w:rsidTr="00182984">
        <w:tc>
          <w:tcPr>
            <w:tcW w:w="2614"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bCs/>
                <w:color w:val="auto"/>
                <w:szCs w:val="21"/>
              </w:rPr>
            </w:pPr>
            <w:r w:rsidRPr="0067409A">
              <w:rPr>
                <w:bCs/>
                <w:color w:val="auto"/>
                <w:szCs w:val="21"/>
              </w:rPr>
              <w:t>业绩比较基准</w:t>
            </w:r>
          </w:p>
        </w:tc>
        <w:tc>
          <w:tcPr>
            <w:tcW w:w="6459" w:type="dxa"/>
            <w:tcBorders>
              <w:top w:val="single" w:sz="4" w:space="0" w:color="000000"/>
              <w:left w:val="single" w:sz="4" w:space="0" w:color="000000"/>
              <w:bottom w:val="single" w:sz="4" w:space="0" w:color="000000"/>
              <w:right w:val="single" w:sz="4" w:space="0" w:color="000000"/>
            </w:tcBorders>
            <w:hideMark/>
          </w:tcPr>
          <w:p w:rsidR="001862BD" w:rsidRPr="0067409A" w:rsidRDefault="004C7AD0" w:rsidP="0067409A">
            <w:pPr>
              <w:spacing w:line="240" w:lineRule="auto"/>
              <w:ind w:firstLine="0"/>
              <w:rPr>
                <w:bCs/>
                <w:color w:val="auto"/>
                <w:szCs w:val="21"/>
              </w:rPr>
            </w:pPr>
            <w:r w:rsidRPr="0067409A">
              <w:rPr>
                <w:rFonts w:hint="eastAsia"/>
                <w:bCs/>
                <w:color w:val="auto"/>
                <w:szCs w:val="21"/>
              </w:rPr>
              <w:t>沪深</w:t>
            </w:r>
            <w:r w:rsidRPr="0067409A">
              <w:rPr>
                <w:rFonts w:hint="eastAsia"/>
                <w:bCs/>
                <w:color w:val="auto"/>
                <w:szCs w:val="21"/>
              </w:rPr>
              <w:t>300</w:t>
            </w:r>
            <w:r w:rsidRPr="0067409A">
              <w:rPr>
                <w:rFonts w:hint="eastAsia"/>
                <w:bCs/>
                <w:color w:val="auto"/>
                <w:szCs w:val="21"/>
              </w:rPr>
              <w:t>指数收益率</w:t>
            </w:r>
            <w:r w:rsidRPr="0067409A">
              <w:rPr>
                <w:rFonts w:hint="eastAsia"/>
                <w:bCs/>
                <w:color w:val="auto"/>
                <w:szCs w:val="21"/>
              </w:rPr>
              <w:t xml:space="preserve"> * 95% + </w:t>
            </w:r>
            <w:r w:rsidRPr="0067409A">
              <w:rPr>
                <w:rFonts w:hint="eastAsia"/>
                <w:bCs/>
                <w:color w:val="auto"/>
                <w:szCs w:val="21"/>
              </w:rPr>
              <w:t>银行活期存款利率（税后）</w:t>
            </w:r>
            <w:r w:rsidRPr="0067409A">
              <w:rPr>
                <w:rFonts w:hint="eastAsia"/>
                <w:bCs/>
                <w:color w:val="auto"/>
                <w:szCs w:val="21"/>
              </w:rPr>
              <w:t xml:space="preserve"> * 5%</w:t>
            </w:r>
          </w:p>
        </w:tc>
      </w:tr>
      <w:tr w:rsidR="001862BD" w:rsidRPr="0067409A" w:rsidTr="00182984">
        <w:tc>
          <w:tcPr>
            <w:tcW w:w="2614" w:type="dxa"/>
            <w:tcBorders>
              <w:top w:val="single" w:sz="4" w:space="0" w:color="000000"/>
              <w:left w:val="single" w:sz="4" w:space="0" w:color="000000"/>
              <w:bottom w:val="single" w:sz="4" w:space="0" w:color="000000"/>
              <w:right w:val="single" w:sz="4" w:space="0" w:color="000000"/>
            </w:tcBorders>
            <w:hideMark/>
          </w:tcPr>
          <w:p w:rsidR="001862BD" w:rsidRPr="0067409A" w:rsidRDefault="001862BD" w:rsidP="0067409A">
            <w:pPr>
              <w:spacing w:line="240" w:lineRule="auto"/>
              <w:ind w:firstLine="0"/>
              <w:rPr>
                <w:bCs/>
                <w:color w:val="auto"/>
                <w:szCs w:val="21"/>
              </w:rPr>
            </w:pPr>
            <w:r w:rsidRPr="0067409A">
              <w:rPr>
                <w:bCs/>
                <w:color w:val="auto"/>
                <w:szCs w:val="21"/>
              </w:rPr>
              <w:t>风险收益特征</w:t>
            </w:r>
          </w:p>
        </w:tc>
        <w:tc>
          <w:tcPr>
            <w:tcW w:w="6459" w:type="dxa"/>
            <w:tcBorders>
              <w:top w:val="single" w:sz="4" w:space="0" w:color="000000"/>
              <w:left w:val="single" w:sz="4" w:space="0" w:color="000000"/>
              <w:bottom w:val="single" w:sz="4" w:space="0" w:color="000000"/>
              <w:right w:val="single" w:sz="4" w:space="0" w:color="000000"/>
            </w:tcBorders>
            <w:hideMark/>
          </w:tcPr>
          <w:p w:rsidR="001862BD" w:rsidRPr="0067409A" w:rsidRDefault="004C7AD0" w:rsidP="0067409A">
            <w:pPr>
              <w:spacing w:line="240" w:lineRule="auto"/>
              <w:ind w:firstLine="0"/>
              <w:rPr>
                <w:bCs/>
                <w:color w:val="auto"/>
                <w:szCs w:val="21"/>
              </w:rPr>
            </w:pPr>
            <w:r w:rsidRPr="0067409A">
              <w:rPr>
                <w:rFonts w:hint="eastAsia"/>
                <w:bCs/>
                <w:color w:val="auto"/>
                <w:szCs w:val="21"/>
              </w:rPr>
              <w:t>本基金是一只股票指数增强型基金，属于较高预期风险、较高预期收益的证券投资基金</w:t>
            </w:r>
            <w:r w:rsidR="0067409A">
              <w:rPr>
                <w:rFonts w:hint="eastAsia"/>
                <w:bCs/>
                <w:color w:val="auto"/>
                <w:szCs w:val="21"/>
              </w:rPr>
              <w:t>品种，其预期风险与收益高于混合型基金、债券型基金与货币市场基金</w:t>
            </w:r>
          </w:p>
        </w:tc>
      </w:tr>
    </w:tbl>
    <w:p w:rsidR="007164C5" w:rsidRDefault="007164C5" w:rsidP="0072035A">
      <w:pPr>
        <w:ind w:firstLineChars="199" w:firstLine="479"/>
        <w:rPr>
          <w:b/>
          <w:bCs/>
          <w:sz w:val="24"/>
        </w:rPr>
      </w:pPr>
      <w:r>
        <w:rPr>
          <w:b/>
          <w:bCs/>
          <w:sz w:val="24"/>
        </w:rPr>
        <w:br w:type="page"/>
      </w:r>
    </w:p>
    <w:p w:rsidR="00AE1B69" w:rsidRPr="008B70D3" w:rsidRDefault="00AE1B69" w:rsidP="007164C5">
      <w:pPr>
        <w:ind w:firstLine="0"/>
        <w:rPr>
          <w:bCs/>
          <w:szCs w:val="21"/>
        </w:rPr>
      </w:pPr>
      <w:r w:rsidRPr="008B70D3">
        <w:rPr>
          <w:rFonts w:hint="eastAsia"/>
          <w:b/>
          <w:bCs/>
          <w:szCs w:val="21"/>
        </w:rPr>
        <w:t>三、财务会计报</w:t>
      </w:r>
      <w:r w:rsidRPr="008B70D3">
        <w:rPr>
          <w:b/>
          <w:bCs/>
          <w:szCs w:val="21"/>
        </w:rPr>
        <w:t>告</w:t>
      </w:r>
    </w:p>
    <w:p w:rsidR="00AE1B69" w:rsidRPr="00FD3F1F" w:rsidRDefault="00182984" w:rsidP="00FD3F1F">
      <w:pPr>
        <w:widowControl/>
        <w:tabs>
          <w:tab w:val="left" w:pos="1022"/>
        </w:tabs>
        <w:autoSpaceDE w:val="0"/>
        <w:autoSpaceDN w:val="0"/>
        <w:adjustRightInd w:val="0"/>
        <w:snapToGrid w:val="0"/>
        <w:spacing w:before="120" w:after="120" w:line="300" w:lineRule="auto"/>
        <w:ind w:firstLine="0"/>
        <w:textAlignment w:val="bottom"/>
        <w:rPr>
          <w:rFonts w:ascii="宋体" w:hAnsi="宋体"/>
          <w:b/>
          <w:color w:val="auto"/>
          <w:kern w:val="0"/>
          <w:szCs w:val="21"/>
        </w:rPr>
      </w:pPr>
      <w:r w:rsidRPr="00FD3F1F">
        <w:rPr>
          <w:rFonts w:ascii="宋体" w:hAnsi="宋体" w:hint="eastAsia"/>
          <w:b/>
          <w:color w:val="auto"/>
          <w:kern w:val="0"/>
          <w:szCs w:val="21"/>
        </w:rPr>
        <w:t>1、</w:t>
      </w:r>
      <w:r w:rsidR="00AE1B69" w:rsidRPr="00FD3F1F">
        <w:rPr>
          <w:rFonts w:ascii="宋体" w:hAnsi="宋体" w:hint="eastAsia"/>
          <w:b/>
          <w:color w:val="auto"/>
          <w:kern w:val="0"/>
          <w:szCs w:val="21"/>
        </w:rPr>
        <w:t>资产负债表（经审计</w:t>
      </w:r>
      <w:r w:rsidR="00AE1B69" w:rsidRPr="00FD3F1F">
        <w:rPr>
          <w:rFonts w:ascii="宋体" w:hAnsi="宋体"/>
          <w:b/>
          <w:color w:val="auto"/>
          <w:kern w:val="0"/>
          <w:szCs w:val="21"/>
        </w:rPr>
        <w:t>）</w:t>
      </w:r>
    </w:p>
    <w:p w:rsidR="00AE1B69" w:rsidRPr="00FD3F1F" w:rsidRDefault="00AE1B69" w:rsidP="00FD3F1F">
      <w:pPr>
        <w:widowControl/>
        <w:tabs>
          <w:tab w:val="left" w:pos="1022"/>
        </w:tabs>
        <w:autoSpaceDE w:val="0"/>
        <w:autoSpaceDN w:val="0"/>
        <w:adjustRightInd w:val="0"/>
        <w:snapToGrid w:val="0"/>
        <w:spacing w:before="120" w:after="120" w:line="300" w:lineRule="auto"/>
        <w:ind w:firstLine="0"/>
        <w:textAlignment w:val="bottom"/>
        <w:rPr>
          <w:rFonts w:ascii="宋体" w:hAnsi="宋体"/>
          <w:b/>
          <w:color w:val="auto"/>
          <w:kern w:val="0"/>
          <w:szCs w:val="21"/>
        </w:rPr>
      </w:pPr>
      <w:r w:rsidRPr="00FD3F1F">
        <w:rPr>
          <w:rFonts w:ascii="宋体" w:hAnsi="宋体" w:hint="eastAsia"/>
          <w:b/>
          <w:color w:val="auto"/>
          <w:kern w:val="0"/>
          <w:szCs w:val="21"/>
        </w:rPr>
        <w:t>会计主体：</w:t>
      </w:r>
      <w:r w:rsidR="003E3CA2" w:rsidRPr="00FD3F1F">
        <w:rPr>
          <w:rFonts w:ascii="宋体" w:hAnsi="宋体" w:hint="eastAsia"/>
          <w:b/>
          <w:color w:val="auto"/>
          <w:kern w:val="0"/>
          <w:szCs w:val="21"/>
        </w:rPr>
        <w:t>华宸未来沪深300指数增强型发起式证券投资基金（LOF）</w:t>
      </w:r>
    </w:p>
    <w:p w:rsidR="00182984" w:rsidRPr="00FD3F1F" w:rsidRDefault="00DB6801" w:rsidP="00FD3F1F">
      <w:pPr>
        <w:widowControl/>
        <w:tabs>
          <w:tab w:val="left" w:pos="1022"/>
        </w:tabs>
        <w:autoSpaceDE w:val="0"/>
        <w:autoSpaceDN w:val="0"/>
        <w:adjustRightInd w:val="0"/>
        <w:snapToGrid w:val="0"/>
        <w:spacing w:before="120" w:after="120" w:line="300" w:lineRule="auto"/>
        <w:ind w:firstLine="0"/>
        <w:textAlignment w:val="bottom"/>
        <w:rPr>
          <w:rFonts w:ascii="宋体" w:hAnsi="宋体"/>
          <w:b/>
          <w:color w:val="auto"/>
          <w:kern w:val="0"/>
          <w:szCs w:val="21"/>
        </w:rPr>
      </w:pPr>
      <w:r w:rsidRPr="00FD3F1F">
        <w:rPr>
          <w:rFonts w:ascii="宋体" w:hAnsi="宋体" w:hint="eastAsia"/>
          <w:b/>
          <w:color w:val="auto"/>
          <w:kern w:val="0"/>
          <w:szCs w:val="21"/>
        </w:rPr>
        <w:t>最后运作</w:t>
      </w:r>
      <w:r w:rsidR="00AE1B69" w:rsidRPr="00FD3F1F">
        <w:rPr>
          <w:rFonts w:ascii="宋体" w:hAnsi="宋体" w:hint="eastAsia"/>
          <w:b/>
          <w:color w:val="auto"/>
          <w:kern w:val="0"/>
          <w:szCs w:val="21"/>
        </w:rPr>
        <w:t>日：</w:t>
      </w:r>
      <w:r w:rsidR="003E3CA2" w:rsidRPr="00FD3F1F">
        <w:rPr>
          <w:rFonts w:ascii="宋体" w:hAnsi="宋体"/>
          <w:b/>
          <w:color w:val="auto"/>
          <w:kern w:val="0"/>
          <w:szCs w:val="21"/>
        </w:rPr>
        <w:t>201</w:t>
      </w:r>
      <w:r w:rsidR="003E3CA2" w:rsidRPr="00FD3F1F">
        <w:rPr>
          <w:rFonts w:ascii="宋体" w:hAnsi="宋体" w:hint="eastAsia"/>
          <w:b/>
          <w:color w:val="auto"/>
          <w:kern w:val="0"/>
          <w:szCs w:val="21"/>
        </w:rPr>
        <w:t>6</w:t>
      </w:r>
      <w:r w:rsidR="00AE1B69" w:rsidRPr="00FD3F1F">
        <w:rPr>
          <w:rFonts w:ascii="宋体" w:hAnsi="宋体" w:hint="eastAsia"/>
          <w:b/>
          <w:color w:val="auto"/>
          <w:kern w:val="0"/>
          <w:szCs w:val="21"/>
        </w:rPr>
        <w:t>年</w:t>
      </w:r>
      <w:r w:rsidR="003E3CA2" w:rsidRPr="00FD3F1F">
        <w:rPr>
          <w:rFonts w:ascii="宋体" w:hAnsi="宋体" w:hint="eastAsia"/>
          <w:b/>
          <w:color w:val="auto"/>
          <w:kern w:val="0"/>
          <w:szCs w:val="21"/>
        </w:rPr>
        <w:t>4</w:t>
      </w:r>
      <w:r w:rsidR="00AE1B69" w:rsidRPr="00FD3F1F">
        <w:rPr>
          <w:rFonts w:ascii="宋体" w:hAnsi="宋体" w:hint="eastAsia"/>
          <w:b/>
          <w:color w:val="auto"/>
          <w:kern w:val="0"/>
          <w:szCs w:val="21"/>
        </w:rPr>
        <w:t>月</w:t>
      </w:r>
      <w:r w:rsidR="003E3CA2" w:rsidRPr="00FD3F1F">
        <w:rPr>
          <w:rFonts w:ascii="宋体" w:hAnsi="宋体" w:hint="eastAsia"/>
          <w:b/>
          <w:color w:val="auto"/>
          <w:kern w:val="0"/>
          <w:szCs w:val="21"/>
        </w:rPr>
        <w:t>26</w:t>
      </w:r>
      <w:r w:rsidR="00AE1B69" w:rsidRPr="00FD3F1F">
        <w:rPr>
          <w:rFonts w:ascii="宋体" w:hAnsi="宋体" w:hint="eastAsia"/>
          <w:b/>
          <w:color w:val="auto"/>
          <w:kern w:val="0"/>
          <w:szCs w:val="21"/>
        </w:rPr>
        <w:t>日</w:t>
      </w:r>
    </w:p>
    <w:p w:rsidR="00AE1B69" w:rsidRDefault="00AE1B69" w:rsidP="00182984">
      <w:pPr>
        <w:ind w:leftChars="278" w:left="794" w:hangingChars="100" w:hanging="210"/>
        <w:jc w:val="right"/>
        <w:rPr>
          <w:bCs/>
        </w:rPr>
      </w:pPr>
      <w:r w:rsidRPr="00AE1B69">
        <w:rPr>
          <w:rFonts w:hint="eastAsia"/>
          <w:bCs/>
        </w:rPr>
        <w:t>单位</w:t>
      </w:r>
      <w:r w:rsidRPr="00AE1B69">
        <w:rPr>
          <w:bCs/>
        </w:rPr>
        <w:t>:</w:t>
      </w:r>
      <w:r w:rsidRPr="00AE1B69">
        <w:rPr>
          <w:rFonts w:hint="eastAsia"/>
          <w:bCs/>
        </w:rPr>
        <w:t>人民币</w:t>
      </w:r>
      <w:r w:rsidRPr="00AE1B69">
        <w:rPr>
          <w:bCs/>
        </w:rPr>
        <w:t>元</w:t>
      </w:r>
    </w:p>
    <w:tbl>
      <w:tblPr>
        <w:tblStyle w:val="a8"/>
        <w:tblW w:w="8613" w:type="dxa"/>
        <w:tblLook w:val="04A0"/>
      </w:tblPr>
      <w:tblGrid>
        <w:gridCol w:w="4219"/>
        <w:gridCol w:w="4394"/>
      </w:tblGrid>
      <w:tr w:rsidR="00287DDE" w:rsidTr="00287DDE">
        <w:tc>
          <w:tcPr>
            <w:tcW w:w="4219" w:type="dxa"/>
            <w:vAlign w:val="center"/>
          </w:tcPr>
          <w:p w:rsidR="00287DDE" w:rsidRPr="0011747F" w:rsidRDefault="00287DDE" w:rsidP="0011747F">
            <w:pPr>
              <w:ind w:firstLine="0"/>
              <w:jc w:val="center"/>
              <w:rPr>
                <w:rFonts w:asciiTheme="minorEastAsia" w:eastAsiaTheme="minorEastAsia" w:hAnsiTheme="minorEastAsia"/>
                <w:b/>
                <w:bCs/>
              </w:rPr>
            </w:pPr>
            <w:r w:rsidRPr="0011747F">
              <w:rPr>
                <w:rFonts w:asciiTheme="minorEastAsia" w:eastAsiaTheme="minorEastAsia" w:hAnsiTheme="minorEastAsia" w:hint="eastAsia"/>
                <w:b/>
                <w:bCs/>
              </w:rPr>
              <w:t>项目</w:t>
            </w:r>
          </w:p>
        </w:tc>
        <w:tc>
          <w:tcPr>
            <w:tcW w:w="4394" w:type="dxa"/>
            <w:vAlign w:val="center"/>
          </w:tcPr>
          <w:p w:rsidR="00287DDE" w:rsidRPr="00182984" w:rsidRDefault="00287DDE" w:rsidP="00182984">
            <w:pPr>
              <w:spacing w:line="240" w:lineRule="auto"/>
              <w:ind w:rightChars="-8" w:right="-17" w:firstLine="0"/>
              <w:jc w:val="center"/>
              <w:rPr>
                <w:b/>
                <w:color w:val="auto"/>
                <w:szCs w:val="21"/>
              </w:rPr>
            </w:pPr>
            <w:r w:rsidRPr="00182984">
              <w:rPr>
                <w:rFonts w:hint="eastAsia"/>
                <w:b/>
                <w:color w:val="auto"/>
                <w:szCs w:val="21"/>
              </w:rPr>
              <w:t>2016</w:t>
            </w:r>
            <w:r w:rsidRPr="00182984">
              <w:rPr>
                <w:rFonts w:hint="eastAsia"/>
                <w:b/>
                <w:color w:val="auto"/>
                <w:szCs w:val="21"/>
              </w:rPr>
              <w:t>年</w:t>
            </w:r>
            <w:r w:rsidRPr="00182984">
              <w:rPr>
                <w:rFonts w:hint="eastAsia"/>
                <w:b/>
                <w:color w:val="auto"/>
                <w:szCs w:val="21"/>
              </w:rPr>
              <w:t>4</w:t>
            </w:r>
            <w:r w:rsidRPr="00182984">
              <w:rPr>
                <w:rFonts w:hint="eastAsia"/>
                <w:b/>
                <w:color w:val="auto"/>
                <w:szCs w:val="21"/>
              </w:rPr>
              <w:t>月</w:t>
            </w:r>
            <w:r w:rsidRPr="00182984">
              <w:rPr>
                <w:rFonts w:hint="eastAsia"/>
                <w:b/>
                <w:color w:val="auto"/>
                <w:szCs w:val="21"/>
              </w:rPr>
              <w:t>26</w:t>
            </w:r>
            <w:r w:rsidRPr="00182984">
              <w:rPr>
                <w:rFonts w:hint="eastAsia"/>
                <w:b/>
                <w:color w:val="auto"/>
                <w:szCs w:val="21"/>
              </w:rPr>
              <w:t>日</w:t>
            </w:r>
          </w:p>
          <w:p w:rsidR="00287DDE" w:rsidRPr="00182984" w:rsidRDefault="00287DDE" w:rsidP="00182984">
            <w:pPr>
              <w:spacing w:line="240" w:lineRule="auto"/>
              <w:ind w:rightChars="-8" w:right="-17" w:firstLine="0"/>
              <w:jc w:val="center"/>
              <w:rPr>
                <w:b/>
                <w:color w:val="auto"/>
                <w:szCs w:val="21"/>
              </w:rPr>
            </w:pPr>
            <w:r w:rsidRPr="00182984">
              <w:rPr>
                <w:rFonts w:hint="eastAsia"/>
                <w:b/>
                <w:color w:val="auto"/>
                <w:szCs w:val="21"/>
              </w:rPr>
              <w:t>（基金最后运作日）</w:t>
            </w:r>
          </w:p>
        </w:tc>
      </w:tr>
      <w:tr w:rsidR="00287DDE" w:rsidRPr="0011747F" w:rsidTr="00287DDE">
        <w:tc>
          <w:tcPr>
            <w:tcW w:w="4219" w:type="dxa"/>
            <w:vAlign w:val="center"/>
          </w:tcPr>
          <w:p w:rsidR="00287DDE" w:rsidRPr="0011747F" w:rsidRDefault="00287DDE" w:rsidP="0011747F">
            <w:pPr>
              <w:spacing w:line="240" w:lineRule="auto"/>
              <w:ind w:firstLine="0"/>
              <w:rPr>
                <w:b/>
                <w:color w:val="auto"/>
                <w:szCs w:val="21"/>
              </w:rPr>
            </w:pPr>
            <w:r w:rsidRPr="0011747F">
              <w:rPr>
                <w:b/>
                <w:color w:val="auto"/>
                <w:szCs w:val="21"/>
              </w:rPr>
              <w:t>资产</w:t>
            </w:r>
            <w:r w:rsidRPr="0011747F">
              <w:rPr>
                <w:rFonts w:hint="eastAsia"/>
                <w:b/>
                <w:color w:val="auto"/>
                <w:szCs w:val="21"/>
              </w:rPr>
              <w:t>：</w:t>
            </w:r>
          </w:p>
        </w:tc>
        <w:tc>
          <w:tcPr>
            <w:tcW w:w="4394" w:type="dxa"/>
            <w:vAlign w:val="center"/>
          </w:tcPr>
          <w:p w:rsidR="00287DDE" w:rsidRPr="0011747F" w:rsidRDefault="00287DDE" w:rsidP="0011747F">
            <w:pPr>
              <w:spacing w:line="240" w:lineRule="auto"/>
              <w:ind w:firstLine="0"/>
              <w:rPr>
                <w:b/>
                <w:color w:val="auto"/>
                <w:szCs w:val="21"/>
              </w:rPr>
            </w:pP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rFonts w:hint="eastAsia"/>
                <w:color w:val="auto"/>
                <w:szCs w:val="21"/>
              </w:rPr>
              <w:t>银行存款</w:t>
            </w:r>
          </w:p>
        </w:tc>
        <w:tc>
          <w:tcPr>
            <w:tcW w:w="4394" w:type="dxa"/>
            <w:vAlign w:val="center"/>
          </w:tcPr>
          <w:p w:rsidR="00287DDE" w:rsidRPr="0011747F" w:rsidRDefault="00287DDE" w:rsidP="0011747F">
            <w:pPr>
              <w:spacing w:line="240" w:lineRule="auto"/>
              <w:ind w:firstLine="0"/>
              <w:jc w:val="right"/>
              <w:rPr>
                <w:color w:val="auto"/>
                <w:szCs w:val="21"/>
              </w:rPr>
            </w:pPr>
            <w:r w:rsidRPr="0011747F">
              <w:rPr>
                <w:color w:val="auto"/>
                <w:szCs w:val="21"/>
              </w:rPr>
              <w:t>10,485,702.70</w:t>
            </w: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rFonts w:hint="eastAsia"/>
                <w:color w:val="auto"/>
                <w:szCs w:val="21"/>
              </w:rPr>
              <w:t>结算备付金</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3,249.87</w:t>
            </w: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rFonts w:hint="eastAsia"/>
                <w:color w:val="auto"/>
                <w:szCs w:val="21"/>
              </w:rPr>
              <w:t>交易性金融资产</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937,263.31</w:t>
            </w: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rFonts w:hint="eastAsia"/>
                <w:color w:val="auto"/>
                <w:szCs w:val="21"/>
              </w:rPr>
              <w:t>其中：股票投资</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937,263.31</w:t>
            </w: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rFonts w:hint="eastAsia"/>
                <w:color w:val="auto"/>
                <w:szCs w:val="21"/>
              </w:rPr>
              <w:t>应收证券清算款</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4,352,163.14</w:t>
            </w: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color w:val="auto"/>
                <w:szCs w:val="21"/>
              </w:rPr>
              <w:t>应收利息</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1,225.83</w:t>
            </w: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color w:val="auto"/>
                <w:szCs w:val="21"/>
              </w:rPr>
              <w:t>应收申购款</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998.80</w:t>
            </w:r>
          </w:p>
        </w:tc>
      </w:tr>
      <w:tr w:rsidR="00287DDE" w:rsidRPr="0011747F" w:rsidTr="00287DDE">
        <w:tc>
          <w:tcPr>
            <w:tcW w:w="4219" w:type="dxa"/>
            <w:vAlign w:val="center"/>
          </w:tcPr>
          <w:p w:rsidR="00287DDE" w:rsidRPr="0011747F" w:rsidRDefault="00287DDE" w:rsidP="0011747F">
            <w:pPr>
              <w:spacing w:line="240" w:lineRule="auto"/>
              <w:ind w:firstLine="0"/>
              <w:rPr>
                <w:b/>
                <w:color w:val="auto"/>
                <w:szCs w:val="21"/>
              </w:rPr>
            </w:pPr>
            <w:r w:rsidRPr="0011747F">
              <w:rPr>
                <w:b/>
                <w:color w:val="auto"/>
                <w:szCs w:val="21"/>
              </w:rPr>
              <w:t>资产总计</w:t>
            </w:r>
          </w:p>
        </w:tc>
        <w:tc>
          <w:tcPr>
            <w:tcW w:w="4394" w:type="dxa"/>
            <w:vAlign w:val="center"/>
          </w:tcPr>
          <w:p w:rsidR="00287DDE" w:rsidRPr="0011747F" w:rsidRDefault="00287DDE" w:rsidP="0011747F">
            <w:pPr>
              <w:spacing w:line="240" w:lineRule="auto"/>
              <w:ind w:firstLine="0"/>
              <w:jc w:val="right"/>
              <w:rPr>
                <w:b/>
                <w:color w:val="auto"/>
                <w:szCs w:val="21"/>
              </w:rPr>
            </w:pPr>
            <w:r w:rsidRPr="0011747F">
              <w:rPr>
                <w:rFonts w:hint="eastAsia"/>
                <w:b/>
                <w:color w:val="auto"/>
                <w:szCs w:val="21"/>
              </w:rPr>
              <w:t>15,780,603.65</w:t>
            </w:r>
          </w:p>
        </w:tc>
      </w:tr>
      <w:tr w:rsidR="00287DDE" w:rsidRPr="0011747F" w:rsidTr="00287DDE">
        <w:tc>
          <w:tcPr>
            <w:tcW w:w="4219" w:type="dxa"/>
            <w:vAlign w:val="center"/>
          </w:tcPr>
          <w:p w:rsidR="00287DDE" w:rsidRPr="0011747F" w:rsidRDefault="00287DDE" w:rsidP="0011747F">
            <w:pPr>
              <w:spacing w:line="240" w:lineRule="auto"/>
              <w:ind w:firstLine="0"/>
              <w:rPr>
                <w:b/>
                <w:color w:val="auto"/>
                <w:szCs w:val="21"/>
              </w:rPr>
            </w:pPr>
            <w:r w:rsidRPr="0011747F">
              <w:rPr>
                <w:b/>
                <w:color w:val="auto"/>
                <w:szCs w:val="21"/>
              </w:rPr>
              <w:t>负债和所有者权益</w:t>
            </w:r>
          </w:p>
        </w:tc>
        <w:tc>
          <w:tcPr>
            <w:tcW w:w="4394" w:type="dxa"/>
            <w:vAlign w:val="center"/>
          </w:tcPr>
          <w:p w:rsidR="00287DDE" w:rsidRPr="0011747F" w:rsidRDefault="00287DDE" w:rsidP="0011747F">
            <w:pPr>
              <w:spacing w:line="240" w:lineRule="auto"/>
              <w:ind w:firstLine="0"/>
              <w:rPr>
                <w:b/>
                <w:color w:val="auto"/>
                <w:szCs w:val="21"/>
              </w:rPr>
            </w:pPr>
          </w:p>
        </w:tc>
      </w:tr>
      <w:tr w:rsidR="00287DDE" w:rsidRPr="0011747F" w:rsidTr="00287DDE">
        <w:tc>
          <w:tcPr>
            <w:tcW w:w="4219" w:type="dxa"/>
            <w:vAlign w:val="center"/>
          </w:tcPr>
          <w:p w:rsidR="00287DDE" w:rsidRPr="0011747F" w:rsidRDefault="00287DDE" w:rsidP="0011747F">
            <w:pPr>
              <w:spacing w:line="240" w:lineRule="auto"/>
              <w:ind w:firstLine="0"/>
              <w:rPr>
                <w:b/>
                <w:color w:val="auto"/>
                <w:szCs w:val="21"/>
              </w:rPr>
            </w:pPr>
            <w:r w:rsidRPr="0011747F">
              <w:rPr>
                <w:b/>
                <w:color w:val="auto"/>
                <w:szCs w:val="21"/>
              </w:rPr>
              <w:t>负债：</w:t>
            </w:r>
          </w:p>
        </w:tc>
        <w:tc>
          <w:tcPr>
            <w:tcW w:w="4394" w:type="dxa"/>
            <w:vAlign w:val="center"/>
          </w:tcPr>
          <w:p w:rsidR="00287DDE" w:rsidRPr="0011747F" w:rsidRDefault="00287DDE" w:rsidP="0011747F">
            <w:pPr>
              <w:spacing w:line="240" w:lineRule="auto"/>
              <w:ind w:firstLine="0"/>
              <w:rPr>
                <w:b/>
                <w:color w:val="auto"/>
                <w:szCs w:val="21"/>
              </w:rPr>
            </w:pP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color w:val="auto"/>
                <w:szCs w:val="21"/>
              </w:rPr>
              <w:t>应付赎回款</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169,210.69</w:t>
            </w: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color w:val="auto"/>
                <w:szCs w:val="21"/>
              </w:rPr>
              <w:t>应付管理人报酬</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9,413.17</w:t>
            </w: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color w:val="auto"/>
                <w:szCs w:val="21"/>
              </w:rPr>
              <w:t>应付托管费</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1,764.97</w:t>
            </w: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color w:val="auto"/>
                <w:szCs w:val="21"/>
              </w:rPr>
              <w:t>应付</w:t>
            </w:r>
            <w:r w:rsidRPr="0011747F">
              <w:rPr>
                <w:rFonts w:hint="eastAsia"/>
                <w:color w:val="auto"/>
                <w:szCs w:val="21"/>
              </w:rPr>
              <w:t>交易费用</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20,239.42</w:t>
            </w: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color w:val="auto"/>
                <w:szCs w:val="21"/>
              </w:rPr>
              <w:t>其他负债</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187,797.87</w:t>
            </w:r>
          </w:p>
        </w:tc>
      </w:tr>
      <w:tr w:rsidR="00287DDE" w:rsidRPr="0011747F" w:rsidTr="00287DDE">
        <w:tc>
          <w:tcPr>
            <w:tcW w:w="4219" w:type="dxa"/>
            <w:vAlign w:val="center"/>
          </w:tcPr>
          <w:p w:rsidR="00287DDE" w:rsidRPr="0011747F" w:rsidRDefault="00287DDE" w:rsidP="0011747F">
            <w:pPr>
              <w:spacing w:line="240" w:lineRule="auto"/>
              <w:ind w:firstLine="0"/>
              <w:rPr>
                <w:b/>
                <w:color w:val="auto"/>
                <w:szCs w:val="21"/>
              </w:rPr>
            </w:pPr>
            <w:r w:rsidRPr="0011747F">
              <w:rPr>
                <w:b/>
                <w:color w:val="auto"/>
                <w:szCs w:val="21"/>
              </w:rPr>
              <w:t>负债合计</w:t>
            </w:r>
          </w:p>
        </w:tc>
        <w:tc>
          <w:tcPr>
            <w:tcW w:w="4394" w:type="dxa"/>
            <w:vAlign w:val="center"/>
          </w:tcPr>
          <w:p w:rsidR="00287DDE" w:rsidRPr="0011747F" w:rsidRDefault="00287DDE" w:rsidP="0011747F">
            <w:pPr>
              <w:spacing w:line="240" w:lineRule="auto"/>
              <w:ind w:firstLine="0"/>
              <w:jc w:val="right"/>
              <w:rPr>
                <w:b/>
                <w:color w:val="auto"/>
                <w:szCs w:val="21"/>
              </w:rPr>
            </w:pPr>
            <w:r w:rsidRPr="0011747F">
              <w:rPr>
                <w:rFonts w:hint="eastAsia"/>
                <w:b/>
                <w:color w:val="auto"/>
                <w:szCs w:val="21"/>
              </w:rPr>
              <w:t>388,426.12</w:t>
            </w:r>
          </w:p>
        </w:tc>
      </w:tr>
      <w:tr w:rsidR="00287DDE" w:rsidRPr="0011747F" w:rsidTr="00287DDE">
        <w:tc>
          <w:tcPr>
            <w:tcW w:w="4219" w:type="dxa"/>
            <w:vAlign w:val="center"/>
          </w:tcPr>
          <w:p w:rsidR="00287DDE" w:rsidRPr="0011747F" w:rsidRDefault="00287DDE" w:rsidP="0011747F">
            <w:pPr>
              <w:spacing w:line="240" w:lineRule="auto"/>
              <w:ind w:firstLine="0"/>
              <w:rPr>
                <w:b/>
                <w:color w:val="auto"/>
                <w:szCs w:val="21"/>
              </w:rPr>
            </w:pPr>
            <w:r w:rsidRPr="0011747F">
              <w:rPr>
                <w:b/>
                <w:color w:val="auto"/>
                <w:szCs w:val="21"/>
              </w:rPr>
              <w:t>所有者权益：</w:t>
            </w:r>
          </w:p>
        </w:tc>
        <w:tc>
          <w:tcPr>
            <w:tcW w:w="4394" w:type="dxa"/>
            <w:vAlign w:val="center"/>
          </w:tcPr>
          <w:p w:rsidR="00287DDE" w:rsidRPr="0011747F" w:rsidRDefault="00287DDE" w:rsidP="0011747F">
            <w:pPr>
              <w:spacing w:line="240" w:lineRule="auto"/>
              <w:ind w:firstLine="0"/>
              <w:rPr>
                <w:b/>
                <w:color w:val="auto"/>
                <w:szCs w:val="21"/>
              </w:rPr>
            </w:pP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color w:val="auto"/>
                <w:szCs w:val="21"/>
              </w:rPr>
              <w:t>实收基金</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12,260,857.28</w:t>
            </w:r>
          </w:p>
        </w:tc>
      </w:tr>
      <w:tr w:rsidR="00287DDE" w:rsidRPr="0011747F" w:rsidTr="00287DDE">
        <w:tc>
          <w:tcPr>
            <w:tcW w:w="4219" w:type="dxa"/>
            <w:vAlign w:val="center"/>
          </w:tcPr>
          <w:p w:rsidR="00287DDE" w:rsidRPr="0011747F" w:rsidRDefault="00287DDE" w:rsidP="0011747F">
            <w:pPr>
              <w:spacing w:line="240" w:lineRule="auto"/>
              <w:ind w:firstLine="0"/>
              <w:rPr>
                <w:color w:val="auto"/>
                <w:szCs w:val="21"/>
              </w:rPr>
            </w:pPr>
            <w:r w:rsidRPr="0011747F">
              <w:rPr>
                <w:color w:val="auto"/>
                <w:szCs w:val="21"/>
              </w:rPr>
              <w:t>未分配利润</w:t>
            </w:r>
          </w:p>
        </w:tc>
        <w:tc>
          <w:tcPr>
            <w:tcW w:w="4394" w:type="dxa"/>
            <w:vAlign w:val="center"/>
          </w:tcPr>
          <w:p w:rsidR="00287DDE" w:rsidRPr="0011747F" w:rsidRDefault="00287DDE" w:rsidP="0011747F">
            <w:pPr>
              <w:spacing w:line="240" w:lineRule="auto"/>
              <w:ind w:firstLine="0"/>
              <w:jc w:val="right"/>
              <w:rPr>
                <w:color w:val="auto"/>
                <w:szCs w:val="21"/>
              </w:rPr>
            </w:pPr>
            <w:r w:rsidRPr="0011747F">
              <w:rPr>
                <w:rFonts w:hint="eastAsia"/>
                <w:color w:val="auto"/>
                <w:szCs w:val="21"/>
              </w:rPr>
              <w:t>3,131,320.25</w:t>
            </w:r>
          </w:p>
        </w:tc>
      </w:tr>
      <w:tr w:rsidR="00287DDE" w:rsidRPr="0011747F" w:rsidTr="00287DDE">
        <w:tc>
          <w:tcPr>
            <w:tcW w:w="4219" w:type="dxa"/>
            <w:vAlign w:val="center"/>
          </w:tcPr>
          <w:p w:rsidR="00287DDE" w:rsidRPr="0011747F" w:rsidRDefault="00287DDE" w:rsidP="0011747F">
            <w:pPr>
              <w:spacing w:line="240" w:lineRule="auto"/>
              <w:ind w:firstLine="0"/>
              <w:rPr>
                <w:b/>
                <w:color w:val="auto"/>
                <w:szCs w:val="21"/>
              </w:rPr>
            </w:pPr>
            <w:r w:rsidRPr="0011747F">
              <w:rPr>
                <w:b/>
                <w:color w:val="auto"/>
                <w:szCs w:val="21"/>
              </w:rPr>
              <w:t>所有者权益合计</w:t>
            </w:r>
          </w:p>
        </w:tc>
        <w:tc>
          <w:tcPr>
            <w:tcW w:w="4394" w:type="dxa"/>
            <w:vAlign w:val="center"/>
          </w:tcPr>
          <w:p w:rsidR="00287DDE" w:rsidRPr="0011747F" w:rsidRDefault="00287DDE" w:rsidP="0011747F">
            <w:pPr>
              <w:spacing w:line="240" w:lineRule="auto"/>
              <w:ind w:firstLine="0"/>
              <w:jc w:val="right"/>
              <w:rPr>
                <w:b/>
                <w:color w:val="auto"/>
                <w:szCs w:val="21"/>
              </w:rPr>
            </w:pPr>
            <w:r w:rsidRPr="0011747F">
              <w:rPr>
                <w:rFonts w:hint="eastAsia"/>
                <w:b/>
                <w:color w:val="auto"/>
                <w:szCs w:val="21"/>
              </w:rPr>
              <w:t>15,392,177.53</w:t>
            </w:r>
          </w:p>
        </w:tc>
      </w:tr>
      <w:tr w:rsidR="00287DDE" w:rsidRPr="0011747F" w:rsidTr="00287DDE">
        <w:tc>
          <w:tcPr>
            <w:tcW w:w="4219" w:type="dxa"/>
            <w:vAlign w:val="center"/>
          </w:tcPr>
          <w:p w:rsidR="00287DDE" w:rsidRPr="0011747F" w:rsidRDefault="00287DDE" w:rsidP="0011747F">
            <w:pPr>
              <w:spacing w:line="240" w:lineRule="auto"/>
              <w:ind w:firstLine="0"/>
              <w:rPr>
                <w:b/>
                <w:color w:val="auto"/>
                <w:szCs w:val="21"/>
              </w:rPr>
            </w:pPr>
            <w:r w:rsidRPr="0011747F">
              <w:rPr>
                <w:b/>
                <w:color w:val="auto"/>
                <w:szCs w:val="21"/>
              </w:rPr>
              <w:t>负债和所有者权益总计</w:t>
            </w:r>
          </w:p>
        </w:tc>
        <w:tc>
          <w:tcPr>
            <w:tcW w:w="4394" w:type="dxa"/>
            <w:vAlign w:val="center"/>
          </w:tcPr>
          <w:p w:rsidR="00287DDE" w:rsidRPr="0011747F" w:rsidRDefault="00287DDE" w:rsidP="0011747F">
            <w:pPr>
              <w:spacing w:line="240" w:lineRule="auto"/>
              <w:ind w:firstLine="0"/>
              <w:jc w:val="right"/>
              <w:rPr>
                <w:b/>
                <w:color w:val="auto"/>
                <w:szCs w:val="21"/>
              </w:rPr>
            </w:pPr>
            <w:r w:rsidRPr="0011747F">
              <w:rPr>
                <w:rFonts w:hint="eastAsia"/>
                <w:b/>
                <w:color w:val="auto"/>
                <w:szCs w:val="21"/>
              </w:rPr>
              <w:t>15,780,603.65</w:t>
            </w:r>
          </w:p>
        </w:tc>
      </w:tr>
    </w:tbl>
    <w:p w:rsidR="00AE1B69" w:rsidRPr="00FD3F1F" w:rsidRDefault="00AE1B69" w:rsidP="00FD3F1F">
      <w:pPr>
        <w:widowControl/>
        <w:tabs>
          <w:tab w:val="left" w:pos="1022"/>
        </w:tabs>
        <w:autoSpaceDE w:val="0"/>
        <w:autoSpaceDN w:val="0"/>
        <w:adjustRightInd w:val="0"/>
        <w:snapToGrid w:val="0"/>
        <w:spacing w:before="120" w:after="120" w:line="300" w:lineRule="auto"/>
        <w:ind w:firstLine="0"/>
        <w:textAlignment w:val="bottom"/>
        <w:rPr>
          <w:rFonts w:ascii="宋体" w:hAnsi="宋体"/>
          <w:color w:val="auto"/>
          <w:kern w:val="0"/>
          <w:szCs w:val="21"/>
        </w:rPr>
      </w:pPr>
      <w:r w:rsidRPr="00FD3F1F">
        <w:rPr>
          <w:rFonts w:ascii="宋体" w:hAnsi="宋体" w:hint="eastAsia"/>
          <w:color w:val="auto"/>
          <w:kern w:val="0"/>
          <w:szCs w:val="21"/>
        </w:rPr>
        <w:t>注</w:t>
      </w:r>
      <w:r w:rsidRPr="00FD3F1F">
        <w:rPr>
          <w:rFonts w:ascii="宋体" w:hAnsi="宋体"/>
          <w:color w:val="auto"/>
          <w:kern w:val="0"/>
          <w:szCs w:val="21"/>
        </w:rPr>
        <w:t>：</w:t>
      </w:r>
      <w:r w:rsidRPr="00FD3F1F">
        <w:rPr>
          <w:rFonts w:ascii="宋体" w:hAnsi="宋体" w:hint="eastAsia"/>
          <w:color w:val="auto"/>
          <w:kern w:val="0"/>
          <w:szCs w:val="21"/>
        </w:rPr>
        <w:t>报告截止日</w:t>
      </w:r>
      <w:r w:rsidRPr="00FD3F1F">
        <w:rPr>
          <w:rFonts w:ascii="宋体" w:hAnsi="宋体"/>
          <w:color w:val="auto"/>
          <w:kern w:val="0"/>
          <w:szCs w:val="21"/>
        </w:rPr>
        <w:t>201</w:t>
      </w:r>
      <w:r w:rsidR="003E3CA2" w:rsidRPr="00FD3F1F">
        <w:rPr>
          <w:rFonts w:ascii="宋体" w:hAnsi="宋体" w:hint="eastAsia"/>
          <w:color w:val="auto"/>
          <w:kern w:val="0"/>
          <w:szCs w:val="21"/>
        </w:rPr>
        <w:t>6</w:t>
      </w:r>
      <w:r w:rsidRPr="00FD3F1F">
        <w:rPr>
          <w:rFonts w:ascii="宋体" w:hAnsi="宋体" w:hint="eastAsia"/>
          <w:color w:val="auto"/>
          <w:kern w:val="0"/>
          <w:szCs w:val="21"/>
        </w:rPr>
        <w:t>年</w:t>
      </w:r>
      <w:r w:rsidR="003E3CA2" w:rsidRPr="00FD3F1F">
        <w:rPr>
          <w:rFonts w:ascii="宋体" w:hAnsi="宋体" w:hint="eastAsia"/>
          <w:color w:val="auto"/>
          <w:kern w:val="0"/>
          <w:szCs w:val="21"/>
        </w:rPr>
        <w:t>4</w:t>
      </w:r>
      <w:r w:rsidRPr="00FD3F1F">
        <w:rPr>
          <w:rFonts w:ascii="宋体" w:hAnsi="宋体" w:hint="eastAsia"/>
          <w:color w:val="auto"/>
          <w:kern w:val="0"/>
          <w:szCs w:val="21"/>
        </w:rPr>
        <w:t>月</w:t>
      </w:r>
      <w:r w:rsidR="003E3CA2" w:rsidRPr="00FD3F1F">
        <w:rPr>
          <w:rFonts w:ascii="宋体" w:hAnsi="宋体" w:hint="eastAsia"/>
          <w:color w:val="auto"/>
          <w:kern w:val="0"/>
          <w:szCs w:val="21"/>
        </w:rPr>
        <w:t>26</w:t>
      </w:r>
      <w:r w:rsidRPr="00FD3F1F">
        <w:rPr>
          <w:rFonts w:ascii="宋体" w:hAnsi="宋体" w:hint="eastAsia"/>
          <w:color w:val="auto"/>
          <w:kern w:val="0"/>
          <w:szCs w:val="21"/>
        </w:rPr>
        <w:t>日（基金最后运作日），基金份额净值</w:t>
      </w:r>
      <w:r w:rsidR="00C1447A" w:rsidRPr="00FD3F1F">
        <w:rPr>
          <w:rFonts w:ascii="宋体" w:hAnsi="宋体"/>
          <w:color w:val="auto"/>
          <w:kern w:val="0"/>
          <w:szCs w:val="21"/>
        </w:rPr>
        <w:t>1.</w:t>
      </w:r>
      <w:r w:rsidR="00C1447A" w:rsidRPr="00FD3F1F">
        <w:rPr>
          <w:rFonts w:ascii="宋体" w:hAnsi="宋体" w:hint="eastAsia"/>
          <w:color w:val="auto"/>
          <w:kern w:val="0"/>
          <w:szCs w:val="21"/>
        </w:rPr>
        <w:t>255</w:t>
      </w:r>
      <w:r w:rsidRPr="00FD3F1F">
        <w:rPr>
          <w:rFonts w:ascii="宋体" w:hAnsi="宋体" w:hint="eastAsia"/>
          <w:color w:val="auto"/>
          <w:kern w:val="0"/>
          <w:szCs w:val="21"/>
        </w:rPr>
        <w:t>元，基金份额总额</w:t>
      </w:r>
      <w:r w:rsidR="00C1447A" w:rsidRPr="00FD3F1F">
        <w:rPr>
          <w:rFonts w:ascii="宋体" w:hAnsi="宋体"/>
          <w:color w:val="auto"/>
          <w:kern w:val="0"/>
          <w:szCs w:val="21"/>
        </w:rPr>
        <w:t>12</w:t>
      </w:r>
      <w:r w:rsidR="00C1447A" w:rsidRPr="00FD3F1F">
        <w:rPr>
          <w:rFonts w:ascii="宋体" w:hAnsi="宋体" w:hint="eastAsia"/>
          <w:color w:val="auto"/>
          <w:kern w:val="0"/>
          <w:szCs w:val="21"/>
        </w:rPr>
        <w:t>,</w:t>
      </w:r>
      <w:r w:rsidR="00C1447A" w:rsidRPr="00FD3F1F">
        <w:rPr>
          <w:rFonts w:ascii="宋体" w:hAnsi="宋体"/>
          <w:color w:val="auto"/>
          <w:kern w:val="0"/>
          <w:szCs w:val="21"/>
        </w:rPr>
        <w:t>260</w:t>
      </w:r>
      <w:r w:rsidR="00C1447A" w:rsidRPr="00FD3F1F">
        <w:rPr>
          <w:rFonts w:ascii="宋体" w:hAnsi="宋体" w:hint="eastAsia"/>
          <w:color w:val="auto"/>
          <w:kern w:val="0"/>
          <w:szCs w:val="21"/>
        </w:rPr>
        <w:t>,</w:t>
      </w:r>
      <w:r w:rsidR="00C1447A" w:rsidRPr="00FD3F1F">
        <w:rPr>
          <w:rFonts w:ascii="宋体" w:hAnsi="宋体"/>
          <w:color w:val="auto"/>
          <w:kern w:val="0"/>
          <w:szCs w:val="21"/>
        </w:rPr>
        <w:t>857.28</w:t>
      </w:r>
      <w:r w:rsidRPr="00FD3F1F">
        <w:rPr>
          <w:rFonts w:ascii="宋体" w:hAnsi="宋体" w:hint="eastAsia"/>
          <w:color w:val="auto"/>
          <w:kern w:val="0"/>
          <w:szCs w:val="21"/>
        </w:rPr>
        <w:t>份</w:t>
      </w:r>
      <w:r w:rsidRPr="00FD3F1F">
        <w:rPr>
          <w:rFonts w:ascii="宋体" w:hAnsi="宋体"/>
          <w:color w:val="auto"/>
          <w:kern w:val="0"/>
          <w:szCs w:val="21"/>
        </w:rPr>
        <w:t>。</w:t>
      </w:r>
    </w:p>
    <w:p w:rsidR="00182984" w:rsidRDefault="00182984" w:rsidP="007164C5">
      <w:pPr>
        <w:ind w:firstLine="0"/>
        <w:rPr>
          <w:bCs/>
        </w:rPr>
      </w:pPr>
    </w:p>
    <w:p w:rsidR="00AF711D" w:rsidRPr="00FD3F1F" w:rsidRDefault="00182984" w:rsidP="00FD3F1F">
      <w:pPr>
        <w:widowControl/>
        <w:tabs>
          <w:tab w:val="left" w:pos="1022"/>
        </w:tabs>
        <w:autoSpaceDE w:val="0"/>
        <w:autoSpaceDN w:val="0"/>
        <w:adjustRightInd w:val="0"/>
        <w:snapToGrid w:val="0"/>
        <w:spacing w:before="120" w:after="120" w:line="300" w:lineRule="auto"/>
        <w:ind w:firstLine="0"/>
        <w:textAlignment w:val="bottom"/>
        <w:rPr>
          <w:rFonts w:ascii="宋体" w:hAnsi="宋体"/>
          <w:b/>
          <w:color w:val="auto"/>
          <w:kern w:val="0"/>
          <w:szCs w:val="21"/>
        </w:rPr>
      </w:pPr>
      <w:r w:rsidRPr="00FD3F1F">
        <w:rPr>
          <w:rFonts w:ascii="宋体" w:hAnsi="宋体" w:hint="eastAsia"/>
          <w:b/>
          <w:color w:val="auto"/>
          <w:kern w:val="0"/>
          <w:szCs w:val="21"/>
        </w:rPr>
        <w:t>2、</w:t>
      </w:r>
      <w:r w:rsidR="00AF711D" w:rsidRPr="00FD3F1F">
        <w:rPr>
          <w:rFonts w:ascii="宋体" w:hAnsi="宋体" w:hint="eastAsia"/>
          <w:b/>
          <w:color w:val="auto"/>
          <w:kern w:val="0"/>
          <w:szCs w:val="21"/>
        </w:rPr>
        <w:t>利润表（经审计</w:t>
      </w:r>
      <w:r w:rsidR="00AF711D" w:rsidRPr="00FD3F1F">
        <w:rPr>
          <w:rFonts w:ascii="宋体" w:hAnsi="宋体"/>
          <w:b/>
          <w:color w:val="auto"/>
          <w:kern w:val="0"/>
          <w:szCs w:val="21"/>
        </w:rPr>
        <w:t>）</w:t>
      </w:r>
    </w:p>
    <w:p w:rsidR="00AF711D" w:rsidRPr="00FD3F1F" w:rsidRDefault="00AF711D" w:rsidP="00FD3F1F">
      <w:pPr>
        <w:widowControl/>
        <w:tabs>
          <w:tab w:val="left" w:pos="1022"/>
        </w:tabs>
        <w:autoSpaceDE w:val="0"/>
        <w:autoSpaceDN w:val="0"/>
        <w:adjustRightInd w:val="0"/>
        <w:snapToGrid w:val="0"/>
        <w:spacing w:before="120" w:after="120" w:line="300" w:lineRule="auto"/>
        <w:ind w:firstLine="0"/>
        <w:textAlignment w:val="bottom"/>
        <w:rPr>
          <w:rFonts w:ascii="宋体" w:hAnsi="宋体"/>
          <w:b/>
          <w:color w:val="auto"/>
          <w:kern w:val="0"/>
          <w:szCs w:val="21"/>
        </w:rPr>
      </w:pPr>
      <w:r w:rsidRPr="00FD3F1F">
        <w:rPr>
          <w:rFonts w:ascii="宋体" w:hAnsi="宋体" w:hint="eastAsia"/>
          <w:b/>
          <w:color w:val="auto"/>
          <w:kern w:val="0"/>
          <w:szCs w:val="21"/>
        </w:rPr>
        <w:t>会计主体：华宸未来沪深300指数增强型发起式证券投资基金（LOF）</w:t>
      </w:r>
    </w:p>
    <w:p w:rsidR="00AF711D" w:rsidRPr="00FD3F1F" w:rsidRDefault="00AF711D" w:rsidP="00FD3F1F">
      <w:pPr>
        <w:widowControl/>
        <w:tabs>
          <w:tab w:val="left" w:pos="1022"/>
        </w:tabs>
        <w:autoSpaceDE w:val="0"/>
        <w:autoSpaceDN w:val="0"/>
        <w:adjustRightInd w:val="0"/>
        <w:snapToGrid w:val="0"/>
        <w:spacing w:before="120" w:after="120" w:line="300" w:lineRule="auto"/>
        <w:ind w:firstLine="0"/>
        <w:textAlignment w:val="bottom"/>
        <w:rPr>
          <w:rFonts w:ascii="宋体" w:hAnsi="宋体"/>
          <w:b/>
          <w:color w:val="auto"/>
          <w:kern w:val="0"/>
          <w:szCs w:val="21"/>
        </w:rPr>
      </w:pPr>
      <w:r w:rsidRPr="00FD3F1F">
        <w:rPr>
          <w:rFonts w:ascii="宋体" w:hAnsi="宋体" w:hint="eastAsia"/>
          <w:b/>
          <w:color w:val="auto"/>
          <w:kern w:val="0"/>
          <w:szCs w:val="21"/>
        </w:rPr>
        <w:t>本报告期：自2016年1月1日至2016年4月26日止期间</w:t>
      </w:r>
    </w:p>
    <w:p w:rsidR="00AF711D" w:rsidRDefault="00AF711D" w:rsidP="00182984">
      <w:pPr>
        <w:ind w:rightChars="-4" w:right="-8" w:firstLine="612"/>
        <w:jc w:val="right"/>
        <w:rPr>
          <w:bCs/>
        </w:rPr>
      </w:pPr>
      <w:r w:rsidRPr="009201F7">
        <w:rPr>
          <w:sz w:val="22"/>
          <w:szCs w:val="22"/>
        </w:rPr>
        <w:t>单位：人民币元</w:t>
      </w:r>
    </w:p>
    <w:tbl>
      <w:tblPr>
        <w:tblW w:w="85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5"/>
        <w:gridCol w:w="4394"/>
      </w:tblGrid>
      <w:tr w:rsidR="00287DDE" w:rsidRPr="00182984" w:rsidTr="00287DDE">
        <w:tc>
          <w:tcPr>
            <w:tcW w:w="4125" w:type="dxa"/>
            <w:tcBorders>
              <w:top w:val="single" w:sz="4" w:space="0" w:color="auto"/>
            </w:tcBorders>
            <w:vAlign w:val="center"/>
          </w:tcPr>
          <w:p w:rsidR="00287DDE" w:rsidRPr="00182984" w:rsidRDefault="00287DDE" w:rsidP="0011747F">
            <w:pPr>
              <w:spacing w:line="240" w:lineRule="auto"/>
              <w:ind w:firstLine="0"/>
              <w:jc w:val="center"/>
              <w:rPr>
                <w:b/>
                <w:color w:val="auto"/>
                <w:szCs w:val="21"/>
              </w:rPr>
            </w:pPr>
            <w:bookmarkStart w:id="0" w:name="利润表"/>
            <w:r w:rsidRPr="00182984">
              <w:rPr>
                <w:b/>
                <w:color w:val="auto"/>
                <w:szCs w:val="21"/>
              </w:rPr>
              <w:t>项目</w:t>
            </w:r>
          </w:p>
        </w:tc>
        <w:tc>
          <w:tcPr>
            <w:tcW w:w="4394" w:type="dxa"/>
            <w:tcBorders>
              <w:top w:val="single" w:sz="4" w:space="0" w:color="auto"/>
            </w:tcBorders>
            <w:vAlign w:val="center"/>
          </w:tcPr>
          <w:p w:rsidR="00287DDE" w:rsidRPr="00182984" w:rsidRDefault="00287DDE" w:rsidP="0011747F">
            <w:pPr>
              <w:spacing w:line="240" w:lineRule="auto"/>
              <w:ind w:rightChars="-8" w:right="-17" w:firstLine="0"/>
              <w:jc w:val="center"/>
              <w:rPr>
                <w:b/>
                <w:color w:val="auto"/>
                <w:szCs w:val="21"/>
              </w:rPr>
            </w:pPr>
            <w:r w:rsidRPr="00182984">
              <w:rPr>
                <w:rFonts w:hint="eastAsia"/>
                <w:b/>
                <w:color w:val="auto"/>
                <w:szCs w:val="21"/>
              </w:rPr>
              <w:t>自</w:t>
            </w:r>
            <w:r w:rsidRPr="00182984">
              <w:rPr>
                <w:rFonts w:hint="eastAsia"/>
                <w:b/>
                <w:color w:val="auto"/>
                <w:szCs w:val="21"/>
              </w:rPr>
              <w:t>2016</w:t>
            </w:r>
            <w:r w:rsidRPr="00182984">
              <w:rPr>
                <w:rFonts w:hint="eastAsia"/>
                <w:b/>
                <w:color w:val="auto"/>
                <w:szCs w:val="21"/>
              </w:rPr>
              <w:t>年</w:t>
            </w:r>
            <w:r w:rsidRPr="00182984">
              <w:rPr>
                <w:rFonts w:hint="eastAsia"/>
                <w:b/>
                <w:color w:val="auto"/>
                <w:szCs w:val="21"/>
              </w:rPr>
              <w:t>1</w:t>
            </w:r>
            <w:r w:rsidRPr="00182984">
              <w:rPr>
                <w:rFonts w:hint="eastAsia"/>
                <w:b/>
                <w:color w:val="auto"/>
                <w:szCs w:val="21"/>
              </w:rPr>
              <w:t>月</w:t>
            </w:r>
            <w:r w:rsidRPr="00182984">
              <w:rPr>
                <w:rFonts w:hint="eastAsia"/>
                <w:b/>
                <w:color w:val="auto"/>
                <w:szCs w:val="21"/>
              </w:rPr>
              <w:t>1</w:t>
            </w:r>
            <w:r w:rsidRPr="00182984">
              <w:rPr>
                <w:rFonts w:hint="eastAsia"/>
                <w:b/>
                <w:color w:val="auto"/>
                <w:szCs w:val="21"/>
              </w:rPr>
              <w:t>日</w:t>
            </w:r>
          </w:p>
          <w:p w:rsidR="00287DDE" w:rsidRPr="00182984" w:rsidRDefault="00287DDE" w:rsidP="0011747F">
            <w:pPr>
              <w:spacing w:line="240" w:lineRule="auto"/>
              <w:ind w:rightChars="-8" w:right="-17" w:firstLine="0"/>
              <w:jc w:val="center"/>
              <w:rPr>
                <w:b/>
                <w:color w:val="auto"/>
                <w:szCs w:val="21"/>
              </w:rPr>
            </w:pPr>
            <w:r w:rsidRPr="00182984">
              <w:rPr>
                <w:rFonts w:hint="eastAsia"/>
                <w:b/>
                <w:color w:val="auto"/>
                <w:szCs w:val="21"/>
              </w:rPr>
              <w:t>至</w:t>
            </w:r>
            <w:r w:rsidRPr="00182984">
              <w:rPr>
                <w:rFonts w:hint="eastAsia"/>
                <w:b/>
                <w:color w:val="auto"/>
                <w:szCs w:val="21"/>
              </w:rPr>
              <w:t>2016</w:t>
            </w:r>
            <w:r w:rsidRPr="00182984">
              <w:rPr>
                <w:rFonts w:hint="eastAsia"/>
                <w:b/>
                <w:color w:val="auto"/>
                <w:szCs w:val="21"/>
              </w:rPr>
              <w:t>年</w:t>
            </w:r>
            <w:r w:rsidRPr="00182984">
              <w:rPr>
                <w:rFonts w:hint="eastAsia"/>
                <w:b/>
                <w:color w:val="auto"/>
                <w:szCs w:val="21"/>
              </w:rPr>
              <w:t>4</w:t>
            </w:r>
            <w:r w:rsidRPr="00182984">
              <w:rPr>
                <w:rFonts w:hint="eastAsia"/>
                <w:b/>
                <w:color w:val="auto"/>
                <w:szCs w:val="21"/>
              </w:rPr>
              <w:t>月</w:t>
            </w:r>
            <w:r w:rsidRPr="00182984">
              <w:rPr>
                <w:rFonts w:hint="eastAsia"/>
                <w:b/>
                <w:color w:val="auto"/>
                <w:szCs w:val="21"/>
              </w:rPr>
              <w:t>26</w:t>
            </w:r>
            <w:r w:rsidRPr="00182984">
              <w:rPr>
                <w:rFonts w:hint="eastAsia"/>
                <w:b/>
                <w:color w:val="auto"/>
                <w:szCs w:val="21"/>
              </w:rPr>
              <w:t>日止期间</w:t>
            </w:r>
          </w:p>
        </w:tc>
      </w:tr>
      <w:tr w:rsidR="00287DDE" w:rsidRPr="00182984" w:rsidTr="00287DDE">
        <w:tc>
          <w:tcPr>
            <w:tcW w:w="4125" w:type="dxa"/>
            <w:vAlign w:val="center"/>
          </w:tcPr>
          <w:p w:rsidR="00287DDE" w:rsidRPr="00182984" w:rsidRDefault="00287DDE" w:rsidP="00AF711D">
            <w:pPr>
              <w:spacing w:line="240" w:lineRule="auto"/>
              <w:ind w:firstLine="0"/>
              <w:rPr>
                <w:b/>
                <w:color w:val="auto"/>
                <w:szCs w:val="21"/>
              </w:rPr>
            </w:pPr>
            <w:r w:rsidRPr="00182984">
              <w:rPr>
                <w:b/>
                <w:color w:val="auto"/>
                <w:szCs w:val="21"/>
              </w:rPr>
              <w:t>一、收入</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-2,741,024.52</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1.</w:t>
            </w:r>
            <w:r w:rsidRPr="00182984">
              <w:rPr>
                <w:color w:val="auto"/>
                <w:szCs w:val="21"/>
              </w:rPr>
              <w:t>利息收入</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4,298.21</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其中：存款利息收入</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4,298.21</w:t>
            </w:r>
          </w:p>
        </w:tc>
      </w:tr>
      <w:tr w:rsidR="00287DDE" w:rsidRPr="00182984" w:rsidTr="00287DDE">
        <w:tc>
          <w:tcPr>
            <w:tcW w:w="4125" w:type="dxa"/>
            <w:vAlign w:val="center"/>
          </w:tcPr>
          <w:p w:rsidR="00287DDE" w:rsidRPr="00182984" w:rsidRDefault="00287DDE" w:rsidP="00182984">
            <w:pPr>
              <w:spacing w:line="240" w:lineRule="auto"/>
              <w:ind w:firstLineChars="300" w:firstLine="630"/>
              <w:rPr>
                <w:color w:val="auto"/>
                <w:szCs w:val="21"/>
              </w:rPr>
            </w:pPr>
            <w:r w:rsidRPr="00182984">
              <w:rPr>
                <w:color w:val="auto"/>
                <w:szCs w:val="21"/>
              </w:rPr>
              <w:t>债券利息收入</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182984">
            <w:pPr>
              <w:spacing w:line="240" w:lineRule="auto"/>
              <w:ind w:firstLineChars="300" w:firstLine="630"/>
              <w:rPr>
                <w:color w:val="auto"/>
                <w:szCs w:val="21"/>
              </w:rPr>
            </w:pPr>
            <w:r w:rsidRPr="00182984">
              <w:rPr>
                <w:color w:val="auto"/>
                <w:szCs w:val="21"/>
              </w:rPr>
              <w:t>资产支持证券利息收入</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182984">
            <w:pPr>
              <w:spacing w:line="240" w:lineRule="auto"/>
              <w:ind w:firstLineChars="300" w:firstLine="630"/>
              <w:rPr>
                <w:color w:val="auto"/>
                <w:szCs w:val="21"/>
              </w:rPr>
            </w:pPr>
            <w:r w:rsidRPr="00182984">
              <w:rPr>
                <w:color w:val="auto"/>
                <w:szCs w:val="21"/>
              </w:rPr>
              <w:t>买入返售金融资产收入</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182984">
            <w:pPr>
              <w:spacing w:line="240" w:lineRule="auto"/>
              <w:ind w:firstLineChars="300" w:firstLine="630"/>
              <w:rPr>
                <w:color w:val="auto"/>
                <w:szCs w:val="21"/>
              </w:rPr>
            </w:pPr>
            <w:r w:rsidRPr="00182984">
              <w:rPr>
                <w:color w:val="auto"/>
                <w:szCs w:val="21"/>
              </w:rPr>
              <w:t>其他利息收入</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2.</w:t>
            </w:r>
            <w:r w:rsidRPr="00182984">
              <w:rPr>
                <w:color w:val="auto"/>
                <w:szCs w:val="21"/>
              </w:rPr>
              <w:t>投资收益（损失以</w:t>
            </w:r>
            <w:r w:rsidRPr="00182984">
              <w:rPr>
                <w:color w:val="auto"/>
                <w:szCs w:val="21"/>
              </w:rPr>
              <w:t>"-"</w:t>
            </w:r>
            <w:r w:rsidRPr="00182984">
              <w:rPr>
                <w:color w:val="auto"/>
                <w:szCs w:val="21"/>
              </w:rPr>
              <w:t>填列）</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-810,429.78</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其中：股票投资收益</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-812,455.38</w:t>
            </w:r>
          </w:p>
        </w:tc>
      </w:tr>
      <w:tr w:rsidR="00287DDE" w:rsidRPr="00182984" w:rsidTr="00287DDE">
        <w:tc>
          <w:tcPr>
            <w:tcW w:w="4125" w:type="dxa"/>
            <w:vAlign w:val="center"/>
          </w:tcPr>
          <w:p w:rsidR="00287DDE" w:rsidRPr="00182984" w:rsidRDefault="00287DDE" w:rsidP="00182984">
            <w:pPr>
              <w:spacing w:line="240" w:lineRule="auto"/>
              <w:ind w:firstLineChars="300" w:firstLine="630"/>
              <w:rPr>
                <w:color w:val="auto"/>
                <w:szCs w:val="21"/>
              </w:rPr>
            </w:pPr>
            <w:r w:rsidRPr="00182984">
              <w:rPr>
                <w:color w:val="auto"/>
                <w:szCs w:val="21"/>
              </w:rPr>
              <w:t>基金投资收益</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182984">
            <w:pPr>
              <w:spacing w:line="240" w:lineRule="auto"/>
              <w:ind w:firstLineChars="300" w:firstLine="630"/>
              <w:rPr>
                <w:color w:val="auto"/>
                <w:szCs w:val="21"/>
              </w:rPr>
            </w:pPr>
            <w:r w:rsidRPr="00182984">
              <w:rPr>
                <w:color w:val="auto"/>
                <w:szCs w:val="21"/>
              </w:rPr>
              <w:t>债券投资收益</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182984">
            <w:pPr>
              <w:spacing w:line="240" w:lineRule="auto"/>
              <w:ind w:firstLineChars="300" w:firstLine="630"/>
              <w:rPr>
                <w:color w:val="auto"/>
                <w:szCs w:val="21"/>
              </w:rPr>
            </w:pPr>
            <w:r w:rsidRPr="00182984">
              <w:rPr>
                <w:color w:val="auto"/>
                <w:szCs w:val="21"/>
              </w:rPr>
              <w:t>资产支持证券投资收益</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182984">
            <w:pPr>
              <w:spacing w:line="240" w:lineRule="auto"/>
              <w:ind w:firstLineChars="300" w:firstLine="630"/>
              <w:rPr>
                <w:color w:val="auto"/>
                <w:szCs w:val="21"/>
              </w:rPr>
            </w:pPr>
            <w:r w:rsidRPr="00182984">
              <w:rPr>
                <w:color w:val="auto"/>
                <w:szCs w:val="21"/>
              </w:rPr>
              <w:t>衍生工具收益</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182984">
            <w:pPr>
              <w:spacing w:line="240" w:lineRule="auto"/>
              <w:ind w:firstLineChars="300" w:firstLine="630"/>
              <w:rPr>
                <w:color w:val="auto"/>
                <w:szCs w:val="21"/>
              </w:rPr>
            </w:pPr>
            <w:r w:rsidRPr="00182984">
              <w:rPr>
                <w:color w:val="auto"/>
                <w:szCs w:val="21"/>
              </w:rPr>
              <w:t>股利收益</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2,025.60</w:t>
            </w:r>
          </w:p>
        </w:tc>
      </w:tr>
      <w:tr w:rsidR="00287DDE" w:rsidRPr="00182984" w:rsidTr="00287DDE">
        <w:trPr>
          <w:trHeight w:val="535"/>
        </w:trPr>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3.</w:t>
            </w:r>
            <w:r w:rsidRPr="00182984">
              <w:rPr>
                <w:color w:val="auto"/>
                <w:szCs w:val="21"/>
              </w:rPr>
              <w:t>公允价值变动收益</w:t>
            </w:r>
          </w:p>
          <w:p w:rsidR="00287DDE" w:rsidRPr="00182984" w:rsidRDefault="00287DDE" w:rsidP="00AF711D">
            <w:pPr>
              <w:spacing w:line="240" w:lineRule="auto"/>
              <w:ind w:firstLine="0"/>
              <w:rPr>
                <w:color w:val="auto"/>
                <w:szCs w:val="21"/>
              </w:rPr>
            </w:pPr>
            <w:r w:rsidRPr="00182984">
              <w:rPr>
                <w:color w:val="auto"/>
                <w:szCs w:val="21"/>
              </w:rPr>
              <w:t>（损失以</w:t>
            </w:r>
            <w:r w:rsidRPr="00182984">
              <w:rPr>
                <w:color w:val="auto"/>
                <w:szCs w:val="21"/>
              </w:rPr>
              <w:t>"-"</w:t>
            </w:r>
            <w:r w:rsidRPr="00182984">
              <w:rPr>
                <w:color w:val="auto"/>
                <w:szCs w:val="21"/>
              </w:rPr>
              <w:t>号填列）</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-1,942,156.67</w:t>
            </w:r>
          </w:p>
        </w:tc>
      </w:tr>
      <w:tr w:rsidR="00287DDE" w:rsidRPr="00182984" w:rsidTr="00287DDE">
        <w:tc>
          <w:tcPr>
            <w:tcW w:w="4125" w:type="dxa"/>
          </w:tcPr>
          <w:p w:rsidR="00287DDE" w:rsidRPr="00182984" w:rsidRDefault="00287DDE" w:rsidP="00AF711D">
            <w:pPr>
              <w:spacing w:line="240" w:lineRule="auto"/>
              <w:ind w:firstLine="0"/>
              <w:rPr>
                <w:color w:val="auto"/>
                <w:szCs w:val="21"/>
              </w:rPr>
            </w:pPr>
            <w:r w:rsidRPr="00182984">
              <w:rPr>
                <w:color w:val="auto"/>
                <w:szCs w:val="21"/>
              </w:rPr>
              <w:t>4.</w:t>
            </w:r>
            <w:r w:rsidRPr="00182984">
              <w:rPr>
                <w:color w:val="auto"/>
                <w:szCs w:val="21"/>
              </w:rPr>
              <w:t>汇兑收益（损失以</w:t>
            </w:r>
            <w:r w:rsidRPr="00182984">
              <w:rPr>
                <w:color w:val="auto"/>
                <w:szCs w:val="21"/>
              </w:rPr>
              <w:t>"-"</w:t>
            </w:r>
            <w:r w:rsidRPr="00182984">
              <w:rPr>
                <w:color w:val="auto"/>
                <w:szCs w:val="21"/>
              </w:rPr>
              <w:t>号填列）</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5.</w:t>
            </w:r>
            <w:r w:rsidRPr="00182984">
              <w:rPr>
                <w:color w:val="auto"/>
                <w:szCs w:val="21"/>
              </w:rPr>
              <w:t>其他收入（损失以</w:t>
            </w:r>
            <w:r w:rsidRPr="00182984">
              <w:rPr>
                <w:color w:val="auto"/>
                <w:szCs w:val="21"/>
              </w:rPr>
              <w:t>"-"</w:t>
            </w:r>
            <w:r w:rsidRPr="00182984">
              <w:rPr>
                <w:color w:val="auto"/>
                <w:szCs w:val="21"/>
              </w:rPr>
              <w:t>号填列）</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7,263.72</w:t>
            </w:r>
          </w:p>
        </w:tc>
      </w:tr>
      <w:tr w:rsidR="00287DDE" w:rsidRPr="00182984" w:rsidTr="00287DDE">
        <w:tc>
          <w:tcPr>
            <w:tcW w:w="4125" w:type="dxa"/>
            <w:vAlign w:val="center"/>
          </w:tcPr>
          <w:p w:rsidR="00287DDE" w:rsidRPr="00182984" w:rsidRDefault="00287DDE" w:rsidP="00AF711D">
            <w:pPr>
              <w:spacing w:line="240" w:lineRule="auto"/>
              <w:ind w:firstLine="0"/>
              <w:rPr>
                <w:b/>
                <w:color w:val="auto"/>
                <w:szCs w:val="21"/>
              </w:rPr>
            </w:pPr>
            <w:r w:rsidRPr="00182984">
              <w:rPr>
                <w:b/>
                <w:color w:val="auto"/>
                <w:szCs w:val="21"/>
              </w:rPr>
              <w:t>减：二、费用</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230,726.11</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1</w:t>
            </w:r>
            <w:r w:rsidRPr="00182984">
              <w:rPr>
                <w:color w:val="auto"/>
                <w:szCs w:val="21"/>
              </w:rPr>
              <w:t>．管理人报酬</w:t>
            </w:r>
          </w:p>
        </w:tc>
        <w:tc>
          <w:tcPr>
            <w:tcW w:w="4394" w:type="dxa"/>
            <w:vAlign w:val="center"/>
          </w:tcPr>
          <w:p w:rsidR="00287DDE" w:rsidRPr="00A61C5C" w:rsidRDefault="00287DDE" w:rsidP="00AF711D">
            <w:pPr>
              <w:spacing w:line="240" w:lineRule="auto"/>
              <w:ind w:firstLine="0"/>
              <w:jc w:val="right"/>
              <w:rPr>
                <w:color w:val="auto"/>
                <w:szCs w:val="21"/>
              </w:rPr>
            </w:pPr>
            <w:r w:rsidRPr="00AF711D">
              <w:rPr>
                <w:color w:val="auto"/>
                <w:szCs w:val="21"/>
              </w:rPr>
              <w:t>44,576.13</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2</w:t>
            </w:r>
            <w:r w:rsidRPr="00182984">
              <w:rPr>
                <w:color w:val="auto"/>
                <w:szCs w:val="21"/>
              </w:rPr>
              <w:t>．托管费</w:t>
            </w:r>
          </w:p>
        </w:tc>
        <w:tc>
          <w:tcPr>
            <w:tcW w:w="4394" w:type="dxa"/>
            <w:vAlign w:val="center"/>
          </w:tcPr>
          <w:p w:rsidR="00287DDE" w:rsidRPr="00A61C5C" w:rsidRDefault="00287DDE" w:rsidP="00AF711D">
            <w:pPr>
              <w:spacing w:line="240" w:lineRule="auto"/>
              <w:ind w:firstLine="0"/>
              <w:jc w:val="right"/>
              <w:rPr>
                <w:color w:val="auto"/>
                <w:szCs w:val="21"/>
              </w:rPr>
            </w:pPr>
            <w:r w:rsidRPr="00AF711D">
              <w:rPr>
                <w:color w:val="auto"/>
                <w:szCs w:val="21"/>
              </w:rPr>
              <w:t>8,358</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3</w:t>
            </w:r>
            <w:r w:rsidRPr="00182984">
              <w:rPr>
                <w:color w:val="auto"/>
                <w:szCs w:val="21"/>
              </w:rPr>
              <w:t>．销售服务费</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4</w:t>
            </w:r>
            <w:r w:rsidRPr="00182984">
              <w:rPr>
                <w:color w:val="auto"/>
                <w:szCs w:val="21"/>
              </w:rPr>
              <w:t>．交易费用</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38,632.67</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5</w:t>
            </w:r>
            <w:r w:rsidRPr="00182984">
              <w:rPr>
                <w:color w:val="auto"/>
                <w:szCs w:val="21"/>
              </w:rPr>
              <w:t>．利息支出</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其中：卖出回购金融资产支出</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6</w:t>
            </w:r>
            <w:r w:rsidRPr="00182984">
              <w:rPr>
                <w:color w:val="auto"/>
                <w:szCs w:val="21"/>
              </w:rPr>
              <w:t>．其他费用</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139,159.31</w:t>
            </w:r>
          </w:p>
        </w:tc>
      </w:tr>
      <w:tr w:rsidR="00287DDE" w:rsidRPr="00182984" w:rsidTr="00287DDE">
        <w:tc>
          <w:tcPr>
            <w:tcW w:w="4125" w:type="dxa"/>
            <w:vAlign w:val="center"/>
          </w:tcPr>
          <w:p w:rsidR="00287DDE" w:rsidRPr="00182984" w:rsidRDefault="00287DDE" w:rsidP="00AF711D">
            <w:pPr>
              <w:spacing w:line="240" w:lineRule="auto"/>
              <w:ind w:firstLine="0"/>
              <w:rPr>
                <w:b/>
                <w:color w:val="auto"/>
                <w:szCs w:val="21"/>
              </w:rPr>
            </w:pPr>
            <w:r w:rsidRPr="00182984">
              <w:rPr>
                <w:b/>
                <w:color w:val="auto"/>
                <w:szCs w:val="21"/>
              </w:rPr>
              <w:t>三、利润总额（亏损总额以</w:t>
            </w:r>
            <w:r w:rsidRPr="00182984">
              <w:rPr>
                <w:b/>
                <w:color w:val="auto"/>
                <w:szCs w:val="21"/>
              </w:rPr>
              <w:t>"-"</w:t>
            </w:r>
            <w:r w:rsidRPr="00182984">
              <w:rPr>
                <w:b/>
                <w:color w:val="auto"/>
                <w:szCs w:val="21"/>
              </w:rPr>
              <w:t>号填列）</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-2,971,750.63</w:t>
            </w:r>
          </w:p>
        </w:tc>
      </w:tr>
      <w:tr w:rsidR="00287DDE" w:rsidRPr="00182984" w:rsidTr="00287DDE">
        <w:tc>
          <w:tcPr>
            <w:tcW w:w="4125" w:type="dxa"/>
            <w:vAlign w:val="center"/>
          </w:tcPr>
          <w:p w:rsidR="00287DDE" w:rsidRPr="00182984" w:rsidRDefault="00287DDE" w:rsidP="00AF711D">
            <w:pPr>
              <w:spacing w:line="240" w:lineRule="auto"/>
              <w:ind w:firstLine="0"/>
              <w:rPr>
                <w:color w:val="auto"/>
                <w:szCs w:val="21"/>
              </w:rPr>
            </w:pPr>
            <w:r w:rsidRPr="00182984">
              <w:rPr>
                <w:color w:val="auto"/>
                <w:szCs w:val="21"/>
              </w:rPr>
              <w:t>减：所得税费用</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w:t>
            </w:r>
          </w:p>
        </w:tc>
      </w:tr>
      <w:tr w:rsidR="00287DDE" w:rsidRPr="00182984" w:rsidTr="00287DDE">
        <w:tc>
          <w:tcPr>
            <w:tcW w:w="4125" w:type="dxa"/>
            <w:vAlign w:val="center"/>
          </w:tcPr>
          <w:p w:rsidR="00287DDE" w:rsidRPr="00182984" w:rsidRDefault="00287DDE" w:rsidP="00AF711D">
            <w:pPr>
              <w:spacing w:line="240" w:lineRule="auto"/>
              <w:ind w:firstLine="0"/>
              <w:rPr>
                <w:b/>
                <w:color w:val="auto"/>
                <w:szCs w:val="21"/>
              </w:rPr>
            </w:pPr>
            <w:r w:rsidRPr="00182984">
              <w:rPr>
                <w:b/>
                <w:color w:val="auto"/>
                <w:szCs w:val="21"/>
              </w:rPr>
              <w:t>四、净利润（净亏损以</w:t>
            </w:r>
            <w:r w:rsidRPr="00182984">
              <w:rPr>
                <w:b/>
                <w:color w:val="auto"/>
                <w:szCs w:val="21"/>
              </w:rPr>
              <w:t>"-"</w:t>
            </w:r>
            <w:r w:rsidRPr="00182984">
              <w:rPr>
                <w:b/>
                <w:color w:val="auto"/>
                <w:szCs w:val="21"/>
              </w:rPr>
              <w:t>号填列）</w:t>
            </w:r>
          </w:p>
        </w:tc>
        <w:tc>
          <w:tcPr>
            <w:tcW w:w="4394" w:type="dxa"/>
            <w:vAlign w:val="center"/>
          </w:tcPr>
          <w:p w:rsidR="00287DDE" w:rsidRPr="00182984" w:rsidRDefault="00287DDE" w:rsidP="00AF711D">
            <w:pPr>
              <w:spacing w:line="240" w:lineRule="auto"/>
              <w:ind w:firstLine="0"/>
              <w:jc w:val="right"/>
              <w:rPr>
                <w:color w:val="auto"/>
                <w:szCs w:val="21"/>
              </w:rPr>
            </w:pPr>
            <w:r w:rsidRPr="00182984">
              <w:rPr>
                <w:color w:val="auto"/>
                <w:szCs w:val="21"/>
              </w:rPr>
              <w:t>-2,971,750.63</w:t>
            </w:r>
          </w:p>
        </w:tc>
      </w:tr>
    </w:tbl>
    <w:bookmarkEnd w:id="0"/>
    <w:p w:rsidR="0067409A" w:rsidRPr="0067409A" w:rsidRDefault="0067409A" w:rsidP="00552525">
      <w:pPr>
        <w:ind w:firstLine="0"/>
        <w:rPr>
          <w:bCs/>
        </w:rPr>
      </w:pPr>
      <w:r w:rsidRPr="0067409A">
        <w:rPr>
          <w:rFonts w:hint="eastAsia"/>
          <w:bCs/>
        </w:rPr>
        <w:t>报表附注为财务报表的组成部分。</w:t>
      </w:r>
      <w:bookmarkStart w:id="1" w:name="_GoBack"/>
      <w:bookmarkEnd w:id="1"/>
    </w:p>
    <w:p w:rsidR="0072035A" w:rsidRDefault="0072035A" w:rsidP="0072035A">
      <w:pPr>
        <w:ind w:firstLine="0"/>
        <w:rPr>
          <w:rStyle w:val="a6"/>
          <w:b w:val="0"/>
        </w:rPr>
      </w:pPr>
    </w:p>
    <w:p w:rsidR="007164C5" w:rsidRDefault="007164C5" w:rsidP="0072035A">
      <w:pPr>
        <w:ind w:firstLineChars="199" w:firstLine="479"/>
        <w:rPr>
          <w:b/>
          <w:bCs/>
          <w:sz w:val="24"/>
        </w:rPr>
      </w:pPr>
      <w:r>
        <w:rPr>
          <w:b/>
          <w:bCs/>
          <w:sz w:val="24"/>
        </w:rPr>
        <w:br w:type="page"/>
      </w:r>
    </w:p>
    <w:p w:rsidR="00AE1B69" w:rsidRPr="008B70D3" w:rsidRDefault="00AE1B69" w:rsidP="007164C5">
      <w:pPr>
        <w:ind w:firstLine="0"/>
        <w:rPr>
          <w:szCs w:val="21"/>
        </w:rPr>
      </w:pPr>
      <w:r w:rsidRPr="008B70D3">
        <w:rPr>
          <w:rFonts w:hint="eastAsia"/>
          <w:b/>
          <w:bCs/>
          <w:szCs w:val="21"/>
        </w:rPr>
        <w:t>四、</w:t>
      </w:r>
      <w:r w:rsidR="007164C5" w:rsidRPr="008B70D3">
        <w:rPr>
          <w:rFonts w:hint="eastAsia"/>
          <w:b/>
          <w:bCs/>
          <w:szCs w:val="21"/>
        </w:rPr>
        <w:t>清算报表附注</w:t>
      </w:r>
    </w:p>
    <w:p w:rsidR="007164C5" w:rsidRPr="007164C5" w:rsidRDefault="007164C5" w:rsidP="007164C5">
      <w:pPr>
        <w:ind w:firstLine="0"/>
        <w:outlineLvl w:val="2"/>
        <w:rPr>
          <w:b/>
          <w:color w:val="auto"/>
          <w:szCs w:val="21"/>
        </w:rPr>
      </w:pPr>
      <w:r w:rsidRPr="008B70D3">
        <w:rPr>
          <w:rFonts w:hint="eastAsia"/>
          <w:b/>
          <w:color w:val="auto"/>
          <w:szCs w:val="21"/>
        </w:rPr>
        <w:t>4</w:t>
      </w:r>
      <w:r w:rsidRPr="007164C5">
        <w:rPr>
          <w:b/>
          <w:color w:val="auto"/>
          <w:szCs w:val="21"/>
        </w:rPr>
        <w:t xml:space="preserve">.1 </w:t>
      </w:r>
      <w:r w:rsidRPr="007164C5">
        <w:rPr>
          <w:b/>
          <w:color w:val="auto"/>
          <w:szCs w:val="21"/>
        </w:rPr>
        <w:t>基金基本情况</w:t>
      </w:r>
    </w:p>
    <w:p w:rsidR="007164C5" w:rsidRPr="007164C5" w:rsidRDefault="007164C5" w:rsidP="007164C5">
      <w:pPr>
        <w:widowControl/>
        <w:tabs>
          <w:tab w:val="left" w:pos="1022"/>
        </w:tabs>
        <w:autoSpaceDE w:val="0"/>
        <w:autoSpaceDN w:val="0"/>
        <w:adjustRightInd w:val="0"/>
        <w:snapToGrid w:val="0"/>
        <w:spacing w:before="120" w:after="120" w:line="300" w:lineRule="auto"/>
        <w:ind w:firstLine="0"/>
        <w:textAlignment w:val="bottom"/>
        <w:rPr>
          <w:rFonts w:ascii="宋体" w:hAnsi="宋体"/>
          <w:color w:val="auto"/>
          <w:kern w:val="0"/>
          <w:szCs w:val="21"/>
        </w:rPr>
      </w:pPr>
      <w:bookmarkStart w:id="2" w:name="新基金基本情况"/>
      <w:r w:rsidRPr="007164C5">
        <w:rPr>
          <w:rFonts w:ascii="宋体" w:hAnsi="宋体"/>
          <w:color w:val="auto"/>
          <w:kern w:val="0"/>
          <w:szCs w:val="21"/>
        </w:rPr>
        <w:t>华宸未来沪深</w:t>
      </w:r>
      <w:r w:rsidRPr="007164C5">
        <w:rPr>
          <w:color w:val="auto"/>
          <w:kern w:val="0"/>
          <w:szCs w:val="21"/>
        </w:rPr>
        <w:t>300</w:t>
      </w:r>
      <w:r w:rsidRPr="007164C5">
        <w:rPr>
          <w:rFonts w:ascii="宋体" w:hAnsi="宋体"/>
          <w:color w:val="auto"/>
          <w:kern w:val="0"/>
          <w:szCs w:val="21"/>
        </w:rPr>
        <w:t>指数增强型发起式证券投资基金</w:t>
      </w:r>
      <w:r w:rsidRPr="007164C5">
        <w:rPr>
          <w:rFonts w:ascii="宋体" w:hAnsi="宋体" w:hint="eastAsia"/>
          <w:color w:val="auto"/>
          <w:kern w:val="0"/>
          <w:szCs w:val="21"/>
        </w:rPr>
        <w:t>（</w:t>
      </w:r>
      <w:r w:rsidRPr="007164C5">
        <w:rPr>
          <w:rFonts w:hint="eastAsia"/>
          <w:color w:val="auto"/>
          <w:kern w:val="0"/>
          <w:szCs w:val="21"/>
        </w:rPr>
        <w:t>LOF</w:t>
      </w:r>
      <w:r w:rsidRPr="007164C5">
        <w:rPr>
          <w:rFonts w:ascii="宋体" w:hAnsi="宋体" w:hint="eastAsia"/>
          <w:color w:val="auto"/>
          <w:kern w:val="0"/>
          <w:szCs w:val="21"/>
        </w:rPr>
        <w:t>）</w:t>
      </w:r>
      <w:r w:rsidRPr="007164C5">
        <w:rPr>
          <w:rFonts w:ascii="宋体" w:hAnsi="宋体"/>
          <w:color w:val="auto"/>
          <w:kern w:val="0"/>
          <w:szCs w:val="21"/>
        </w:rPr>
        <w:t>(以下简称“本基金”)，系经中国证券监督管理委员会（以下简称“中国证监会”）证监许可[</w:t>
      </w:r>
      <w:r w:rsidRPr="007164C5">
        <w:rPr>
          <w:color w:val="auto"/>
          <w:kern w:val="0"/>
          <w:szCs w:val="21"/>
        </w:rPr>
        <w:t>2013</w:t>
      </w:r>
      <w:r w:rsidRPr="007164C5">
        <w:rPr>
          <w:rFonts w:ascii="宋体" w:hAnsi="宋体"/>
          <w:color w:val="auto"/>
          <w:kern w:val="0"/>
          <w:szCs w:val="21"/>
        </w:rPr>
        <w:t>]</w:t>
      </w:r>
      <w:r w:rsidRPr="007164C5">
        <w:rPr>
          <w:color w:val="auto"/>
          <w:kern w:val="0"/>
          <w:szCs w:val="21"/>
        </w:rPr>
        <w:t>49</w:t>
      </w:r>
      <w:r w:rsidRPr="007164C5">
        <w:rPr>
          <w:rFonts w:ascii="宋体" w:hAnsi="宋体"/>
          <w:color w:val="auto"/>
          <w:kern w:val="0"/>
          <w:szCs w:val="21"/>
        </w:rPr>
        <w:t>号文《关于核准华宸未来沪深</w:t>
      </w:r>
      <w:r w:rsidRPr="007164C5">
        <w:rPr>
          <w:color w:val="auto"/>
          <w:kern w:val="0"/>
          <w:szCs w:val="21"/>
        </w:rPr>
        <w:t>300</w:t>
      </w:r>
      <w:r w:rsidRPr="007164C5">
        <w:rPr>
          <w:rFonts w:ascii="宋体" w:hAnsi="宋体"/>
          <w:color w:val="auto"/>
          <w:kern w:val="0"/>
          <w:szCs w:val="21"/>
        </w:rPr>
        <w:t>指数增强型发起式证券投资基金(</w:t>
      </w:r>
      <w:r w:rsidRPr="007164C5">
        <w:rPr>
          <w:color w:val="auto"/>
          <w:kern w:val="0"/>
          <w:szCs w:val="21"/>
        </w:rPr>
        <w:t>LOF</w:t>
      </w:r>
      <w:r w:rsidRPr="007164C5">
        <w:rPr>
          <w:rFonts w:ascii="宋体" w:hAnsi="宋体"/>
          <w:color w:val="auto"/>
          <w:kern w:val="0"/>
          <w:szCs w:val="21"/>
        </w:rPr>
        <w:t>)募集的批复》的核准，由</w:t>
      </w:r>
      <w:r w:rsidRPr="007164C5">
        <w:rPr>
          <w:rFonts w:ascii="宋体" w:hAnsi="宋体"/>
          <w:bCs/>
          <w:color w:val="auto"/>
          <w:szCs w:val="21"/>
        </w:rPr>
        <w:t>华宸未来基金管理有限公司</w:t>
      </w:r>
      <w:r w:rsidRPr="007164C5">
        <w:rPr>
          <w:rFonts w:ascii="宋体" w:hAnsi="宋体"/>
          <w:color w:val="auto"/>
          <w:kern w:val="0"/>
          <w:szCs w:val="21"/>
        </w:rPr>
        <w:t>作为管理人于</w:t>
      </w:r>
      <w:r w:rsidRPr="007164C5">
        <w:rPr>
          <w:color w:val="auto"/>
          <w:kern w:val="0"/>
          <w:szCs w:val="21"/>
        </w:rPr>
        <w:t>201</w:t>
      </w:r>
      <w:r w:rsidRPr="007164C5">
        <w:rPr>
          <w:rFonts w:hint="eastAsia"/>
          <w:color w:val="auto"/>
          <w:kern w:val="0"/>
          <w:szCs w:val="21"/>
        </w:rPr>
        <w:t>3</w:t>
      </w:r>
      <w:r w:rsidRPr="007164C5">
        <w:rPr>
          <w:rFonts w:ascii="宋体" w:hAnsi="宋体"/>
          <w:color w:val="auto"/>
          <w:kern w:val="0"/>
          <w:szCs w:val="21"/>
        </w:rPr>
        <w:t>年</w:t>
      </w:r>
      <w:r w:rsidRPr="007164C5">
        <w:rPr>
          <w:color w:val="auto"/>
          <w:kern w:val="0"/>
          <w:szCs w:val="21"/>
        </w:rPr>
        <w:t>3</w:t>
      </w:r>
      <w:r w:rsidRPr="007164C5">
        <w:rPr>
          <w:rFonts w:ascii="宋体" w:hAnsi="宋体"/>
          <w:color w:val="auto"/>
          <w:kern w:val="0"/>
          <w:szCs w:val="21"/>
        </w:rPr>
        <w:t>月</w:t>
      </w:r>
      <w:r w:rsidRPr="007164C5">
        <w:rPr>
          <w:color w:val="auto"/>
          <w:kern w:val="0"/>
          <w:szCs w:val="21"/>
        </w:rPr>
        <w:t>25</w:t>
      </w:r>
      <w:r w:rsidRPr="007164C5">
        <w:rPr>
          <w:rFonts w:ascii="宋体" w:hAnsi="宋体"/>
          <w:color w:val="auto"/>
          <w:kern w:val="0"/>
          <w:szCs w:val="21"/>
        </w:rPr>
        <w:t>日至</w:t>
      </w:r>
      <w:r w:rsidRPr="007164C5">
        <w:rPr>
          <w:color w:val="auto"/>
          <w:kern w:val="0"/>
          <w:szCs w:val="21"/>
        </w:rPr>
        <w:t>201</w:t>
      </w:r>
      <w:r w:rsidRPr="007164C5">
        <w:rPr>
          <w:rFonts w:hint="eastAsia"/>
          <w:color w:val="auto"/>
          <w:kern w:val="0"/>
          <w:szCs w:val="21"/>
        </w:rPr>
        <w:t>3</w:t>
      </w:r>
      <w:r w:rsidRPr="007164C5">
        <w:rPr>
          <w:rFonts w:ascii="宋体" w:hAnsi="宋体"/>
          <w:color w:val="auto"/>
          <w:kern w:val="0"/>
          <w:szCs w:val="21"/>
        </w:rPr>
        <w:t>年</w:t>
      </w:r>
      <w:r w:rsidRPr="007164C5">
        <w:rPr>
          <w:color w:val="auto"/>
          <w:kern w:val="0"/>
          <w:szCs w:val="21"/>
        </w:rPr>
        <w:t>4</w:t>
      </w:r>
      <w:r w:rsidRPr="007164C5">
        <w:rPr>
          <w:rFonts w:ascii="宋体" w:hAnsi="宋体"/>
          <w:color w:val="auto"/>
          <w:kern w:val="0"/>
          <w:szCs w:val="21"/>
        </w:rPr>
        <w:t>月</w:t>
      </w:r>
      <w:r w:rsidRPr="007164C5">
        <w:rPr>
          <w:color w:val="auto"/>
          <w:kern w:val="0"/>
          <w:szCs w:val="21"/>
        </w:rPr>
        <w:t>19</w:t>
      </w:r>
      <w:r w:rsidRPr="007164C5">
        <w:rPr>
          <w:rFonts w:ascii="宋体" w:hAnsi="宋体"/>
          <w:color w:val="auto"/>
          <w:kern w:val="0"/>
          <w:szCs w:val="21"/>
        </w:rPr>
        <w:t>日向社会公开募集，募集期结束经立信会计师事务所（特殊普通合伙）验证并出具信会师报字[</w:t>
      </w:r>
      <w:r w:rsidRPr="007164C5">
        <w:rPr>
          <w:color w:val="auto"/>
          <w:kern w:val="0"/>
          <w:szCs w:val="21"/>
        </w:rPr>
        <w:t>2013</w:t>
      </w:r>
      <w:r w:rsidRPr="007164C5">
        <w:rPr>
          <w:rFonts w:ascii="宋体" w:hAnsi="宋体"/>
          <w:color w:val="auto"/>
          <w:kern w:val="0"/>
          <w:szCs w:val="21"/>
        </w:rPr>
        <w:t>]第</w:t>
      </w:r>
      <w:r w:rsidRPr="007164C5">
        <w:rPr>
          <w:color w:val="auto"/>
          <w:kern w:val="0"/>
          <w:szCs w:val="21"/>
        </w:rPr>
        <w:t>740020</w:t>
      </w:r>
      <w:r w:rsidRPr="007164C5">
        <w:rPr>
          <w:rFonts w:ascii="宋体" w:hAnsi="宋体"/>
          <w:color w:val="auto"/>
          <w:kern w:val="0"/>
          <w:szCs w:val="21"/>
        </w:rPr>
        <w:t>号验资报告后，向中国证监会报送基金备案材料。基金合同于</w:t>
      </w:r>
      <w:r w:rsidRPr="007164C5">
        <w:rPr>
          <w:color w:val="auto"/>
          <w:kern w:val="0"/>
          <w:szCs w:val="21"/>
        </w:rPr>
        <w:t>201</w:t>
      </w:r>
      <w:r w:rsidRPr="007164C5">
        <w:rPr>
          <w:rFonts w:hint="eastAsia"/>
          <w:color w:val="auto"/>
          <w:kern w:val="0"/>
          <w:szCs w:val="21"/>
        </w:rPr>
        <w:t>3</w:t>
      </w:r>
      <w:r w:rsidRPr="007164C5">
        <w:rPr>
          <w:rFonts w:ascii="宋体" w:hAnsi="宋体"/>
          <w:color w:val="auto"/>
          <w:kern w:val="0"/>
          <w:szCs w:val="21"/>
        </w:rPr>
        <w:t>年</w:t>
      </w:r>
      <w:r w:rsidRPr="007164C5">
        <w:rPr>
          <w:color w:val="auto"/>
          <w:kern w:val="0"/>
          <w:szCs w:val="21"/>
        </w:rPr>
        <w:t>4</w:t>
      </w:r>
      <w:r w:rsidRPr="007164C5">
        <w:rPr>
          <w:rFonts w:ascii="宋体" w:hAnsi="宋体"/>
          <w:color w:val="auto"/>
          <w:kern w:val="0"/>
          <w:szCs w:val="21"/>
        </w:rPr>
        <w:t>月</w:t>
      </w:r>
      <w:r w:rsidRPr="007164C5">
        <w:rPr>
          <w:color w:val="auto"/>
          <w:kern w:val="0"/>
          <w:szCs w:val="21"/>
        </w:rPr>
        <w:t>26</w:t>
      </w:r>
      <w:r w:rsidRPr="007164C5">
        <w:rPr>
          <w:rFonts w:ascii="宋体" w:hAnsi="宋体"/>
          <w:color w:val="auto"/>
          <w:kern w:val="0"/>
          <w:szCs w:val="21"/>
        </w:rPr>
        <w:t>日生效。本基金为契约型开放式，存续期限不定。设立时募集的扣除认购费后的实收基金（本金）为人民币</w:t>
      </w:r>
      <w:r w:rsidRPr="007164C5">
        <w:rPr>
          <w:color w:val="auto"/>
          <w:kern w:val="0"/>
          <w:szCs w:val="21"/>
        </w:rPr>
        <w:t>272</w:t>
      </w:r>
      <w:r w:rsidRPr="007164C5">
        <w:rPr>
          <w:rFonts w:ascii="宋体" w:hAnsi="宋体"/>
          <w:color w:val="auto"/>
          <w:kern w:val="0"/>
          <w:szCs w:val="21"/>
        </w:rPr>
        <w:t>,</w:t>
      </w:r>
      <w:r w:rsidRPr="007164C5">
        <w:rPr>
          <w:color w:val="auto"/>
          <w:kern w:val="0"/>
          <w:szCs w:val="21"/>
        </w:rPr>
        <w:t>9</w:t>
      </w:r>
      <w:r w:rsidRPr="007164C5">
        <w:rPr>
          <w:rFonts w:hint="eastAsia"/>
          <w:color w:val="auto"/>
          <w:kern w:val="0"/>
          <w:szCs w:val="21"/>
        </w:rPr>
        <w:t>31</w:t>
      </w:r>
      <w:r w:rsidRPr="007164C5">
        <w:rPr>
          <w:rFonts w:ascii="宋体" w:hAnsi="宋体"/>
          <w:color w:val="auto"/>
          <w:kern w:val="0"/>
          <w:szCs w:val="21"/>
        </w:rPr>
        <w:t>,</w:t>
      </w:r>
      <w:r w:rsidRPr="007164C5">
        <w:rPr>
          <w:rFonts w:hint="eastAsia"/>
          <w:color w:val="auto"/>
          <w:kern w:val="0"/>
          <w:szCs w:val="21"/>
        </w:rPr>
        <w:t>718</w:t>
      </w:r>
      <w:r w:rsidRPr="007164C5">
        <w:rPr>
          <w:rFonts w:ascii="宋体" w:hAnsi="宋体"/>
          <w:color w:val="auto"/>
          <w:kern w:val="0"/>
          <w:szCs w:val="21"/>
        </w:rPr>
        <w:t>.</w:t>
      </w:r>
      <w:r w:rsidRPr="007164C5">
        <w:rPr>
          <w:rFonts w:hint="eastAsia"/>
          <w:color w:val="auto"/>
          <w:kern w:val="0"/>
          <w:szCs w:val="21"/>
        </w:rPr>
        <w:t>21</w:t>
      </w:r>
      <w:r w:rsidRPr="007164C5">
        <w:rPr>
          <w:rFonts w:ascii="宋体" w:hAnsi="宋体"/>
          <w:color w:val="auto"/>
          <w:kern w:val="0"/>
          <w:szCs w:val="21"/>
        </w:rPr>
        <w:t>元，在募集期间产生的活期存款利息为人民币</w:t>
      </w:r>
      <w:r w:rsidRPr="007164C5">
        <w:rPr>
          <w:color w:val="auto"/>
          <w:kern w:val="0"/>
          <w:szCs w:val="21"/>
        </w:rPr>
        <w:t>20</w:t>
      </w:r>
      <w:r w:rsidRPr="007164C5">
        <w:rPr>
          <w:rFonts w:ascii="宋体" w:hAnsi="宋体"/>
          <w:color w:val="auto"/>
          <w:kern w:val="0"/>
          <w:szCs w:val="21"/>
        </w:rPr>
        <w:t>,</w:t>
      </w:r>
      <w:r w:rsidRPr="007164C5">
        <w:rPr>
          <w:color w:val="auto"/>
          <w:kern w:val="0"/>
          <w:szCs w:val="21"/>
        </w:rPr>
        <w:t>773</w:t>
      </w:r>
      <w:r w:rsidRPr="007164C5">
        <w:rPr>
          <w:rFonts w:ascii="宋体" w:hAnsi="宋体"/>
          <w:color w:val="auto"/>
          <w:kern w:val="0"/>
          <w:szCs w:val="21"/>
        </w:rPr>
        <w:t>.</w:t>
      </w:r>
      <w:r w:rsidRPr="007164C5">
        <w:rPr>
          <w:color w:val="auto"/>
          <w:kern w:val="0"/>
          <w:szCs w:val="21"/>
        </w:rPr>
        <w:t>64</w:t>
      </w:r>
      <w:r w:rsidRPr="007164C5">
        <w:rPr>
          <w:rFonts w:ascii="宋体" w:hAnsi="宋体"/>
          <w:color w:val="auto"/>
          <w:kern w:val="0"/>
          <w:szCs w:val="21"/>
        </w:rPr>
        <w:t>元，以上实收基金（本息）合计为人民币</w:t>
      </w:r>
      <w:r w:rsidRPr="007164C5">
        <w:rPr>
          <w:color w:val="auto"/>
          <w:kern w:val="0"/>
          <w:szCs w:val="21"/>
        </w:rPr>
        <w:t>272</w:t>
      </w:r>
      <w:r w:rsidRPr="007164C5">
        <w:rPr>
          <w:rFonts w:ascii="宋体" w:hAnsi="宋体"/>
          <w:color w:val="auto"/>
          <w:kern w:val="0"/>
          <w:szCs w:val="21"/>
        </w:rPr>
        <w:t>,</w:t>
      </w:r>
      <w:r w:rsidRPr="007164C5">
        <w:rPr>
          <w:color w:val="auto"/>
          <w:kern w:val="0"/>
          <w:szCs w:val="21"/>
        </w:rPr>
        <w:t>952</w:t>
      </w:r>
      <w:r w:rsidRPr="007164C5">
        <w:rPr>
          <w:rFonts w:ascii="宋体" w:hAnsi="宋体"/>
          <w:color w:val="auto"/>
          <w:kern w:val="0"/>
          <w:szCs w:val="21"/>
        </w:rPr>
        <w:t>,</w:t>
      </w:r>
      <w:r w:rsidRPr="007164C5">
        <w:rPr>
          <w:color w:val="auto"/>
          <w:kern w:val="0"/>
          <w:szCs w:val="21"/>
        </w:rPr>
        <w:t>491</w:t>
      </w:r>
      <w:r w:rsidRPr="007164C5">
        <w:rPr>
          <w:rFonts w:ascii="宋体" w:hAnsi="宋体"/>
          <w:color w:val="auto"/>
          <w:kern w:val="0"/>
          <w:szCs w:val="21"/>
        </w:rPr>
        <w:t>.</w:t>
      </w:r>
      <w:r w:rsidRPr="007164C5">
        <w:rPr>
          <w:color w:val="auto"/>
          <w:kern w:val="0"/>
          <w:szCs w:val="21"/>
        </w:rPr>
        <w:t>85</w:t>
      </w:r>
      <w:r w:rsidRPr="007164C5">
        <w:rPr>
          <w:rFonts w:ascii="宋体" w:hAnsi="宋体"/>
          <w:color w:val="auto"/>
          <w:kern w:val="0"/>
          <w:szCs w:val="21"/>
        </w:rPr>
        <w:t>元，折合</w:t>
      </w:r>
      <w:r w:rsidRPr="007164C5">
        <w:rPr>
          <w:color w:val="auto"/>
          <w:kern w:val="0"/>
          <w:szCs w:val="21"/>
        </w:rPr>
        <w:t>272</w:t>
      </w:r>
      <w:r w:rsidRPr="007164C5">
        <w:rPr>
          <w:rFonts w:ascii="宋体" w:hAnsi="宋体"/>
          <w:color w:val="auto"/>
          <w:kern w:val="0"/>
          <w:szCs w:val="21"/>
        </w:rPr>
        <w:t>,</w:t>
      </w:r>
      <w:r w:rsidRPr="007164C5">
        <w:rPr>
          <w:color w:val="auto"/>
          <w:kern w:val="0"/>
          <w:szCs w:val="21"/>
        </w:rPr>
        <w:t>952</w:t>
      </w:r>
      <w:r w:rsidRPr="007164C5">
        <w:rPr>
          <w:rFonts w:ascii="宋体" w:hAnsi="宋体"/>
          <w:color w:val="auto"/>
          <w:kern w:val="0"/>
          <w:szCs w:val="21"/>
        </w:rPr>
        <w:t>,</w:t>
      </w:r>
      <w:r w:rsidRPr="007164C5">
        <w:rPr>
          <w:color w:val="auto"/>
          <w:kern w:val="0"/>
          <w:szCs w:val="21"/>
        </w:rPr>
        <w:t>491</w:t>
      </w:r>
      <w:r w:rsidRPr="007164C5">
        <w:rPr>
          <w:rFonts w:ascii="宋体" w:hAnsi="宋体"/>
          <w:color w:val="auto"/>
          <w:kern w:val="0"/>
          <w:szCs w:val="21"/>
        </w:rPr>
        <w:t>.</w:t>
      </w:r>
      <w:r w:rsidRPr="007164C5">
        <w:rPr>
          <w:color w:val="auto"/>
          <w:kern w:val="0"/>
          <w:szCs w:val="21"/>
        </w:rPr>
        <w:t>85</w:t>
      </w:r>
      <w:r w:rsidRPr="007164C5">
        <w:rPr>
          <w:rFonts w:ascii="宋体" w:hAnsi="宋体"/>
          <w:color w:val="auto"/>
          <w:kern w:val="0"/>
          <w:szCs w:val="21"/>
        </w:rPr>
        <w:t>份基金份额。本基金的基金管理人为华宸未来基金管理有限公司，注册登记机构为中国证券登记结算有限责任公司，基金托管人为</w:t>
      </w:r>
      <w:bookmarkEnd w:id="2"/>
      <w:r w:rsidRPr="007164C5">
        <w:rPr>
          <w:rFonts w:ascii="宋体" w:hAnsi="宋体" w:hint="eastAsia"/>
          <w:color w:val="auto"/>
          <w:kern w:val="0"/>
          <w:szCs w:val="21"/>
        </w:rPr>
        <w:t>中信银行</w:t>
      </w:r>
      <w:r w:rsidRPr="007164C5">
        <w:rPr>
          <w:rFonts w:ascii="宋体" w:hAnsi="宋体"/>
          <w:color w:val="auto"/>
          <w:kern w:val="0"/>
          <w:szCs w:val="21"/>
        </w:rPr>
        <w:t>股份有限公司。</w:t>
      </w:r>
    </w:p>
    <w:p w:rsidR="007164C5" w:rsidRPr="007164C5" w:rsidRDefault="007164C5" w:rsidP="007164C5">
      <w:pPr>
        <w:autoSpaceDE w:val="0"/>
        <w:autoSpaceDN w:val="0"/>
        <w:adjustRightInd w:val="0"/>
        <w:snapToGrid w:val="0"/>
        <w:spacing w:line="300" w:lineRule="auto"/>
        <w:ind w:firstLine="0"/>
        <w:jc w:val="left"/>
        <w:rPr>
          <w:rFonts w:ascii="宋体" w:hAnsi="宋体"/>
          <w:color w:val="auto"/>
          <w:kern w:val="0"/>
          <w:szCs w:val="21"/>
        </w:rPr>
      </w:pPr>
      <w:r w:rsidRPr="007164C5">
        <w:rPr>
          <w:rFonts w:ascii="宋体" w:hAnsi="宋体" w:hint="eastAsia"/>
          <w:color w:val="auto"/>
          <w:kern w:val="0"/>
          <w:szCs w:val="21"/>
        </w:rPr>
        <w:t>本基金的投资范围为具有良好流动性的金融工具，包括沪深</w:t>
      </w:r>
      <w:r w:rsidRPr="007164C5">
        <w:rPr>
          <w:color w:val="auto"/>
          <w:kern w:val="0"/>
          <w:szCs w:val="21"/>
        </w:rPr>
        <w:t>300</w:t>
      </w:r>
      <w:r w:rsidRPr="007164C5">
        <w:rPr>
          <w:rFonts w:ascii="宋体" w:hAnsi="宋体" w:hint="eastAsia"/>
          <w:color w:val="auto"/>
          <w:kern w:val="0"/>
          <w:szCs w:val="21"/>
        </w:rPr>
        <w:t>指数的成份股、备选成份股、非成份股票、新股（含首次公开发行和增发）、债券、债券回购、股指期货以及法律法规或中国证监会允许基金投资的其他金融工具</w:t>
      </w:r>
      <w:r w:rsidRPr="007164C5">
        <w:rPr>
          <w:rFonts w:ascii="宋体" w:hAnsi="宋体"/>
          <w:color w:val="auto"/>
          <w:kern w:val="0"/>
          <w:szCs w:val="21"/>
        </w:rPr>
        <w:t>(</w:t>
      </w:r>
      <w:r w:rsidRPr="007164C5">
        <w:rPr>
          <w:rFonts w:ascii="宋体" w:hAnsi="宋体" w:hint="eastAsia"/>
          <w:color w:val="auto"/>
          <w:kern w:val="0"/>
          <w:szCs w:val="21"/>
        </w:rPr>
        <w:t>但须符合中国证监会相关规定</w:t>
      </w:r>
      <w:r w:rsidRPr="007164C5">
        <w:rPr>
          <w:rFonts w:ascii="宋体" w:hAnsi="宋体"/>
          <w:color w:val="auto"/>
          <w:kern w:val="0"/>
          <w:szCs w:val="21"/>
        </w:rPr>
        <w:t>)</w:t>
      </w:r>
      <w:r w:rsidRPr="007164C5">
        <w:rPr>
          <w:rFonts w:ascii="宋体" w:hAnsi="宋体" w:hint="eastAsia"/>
          <w:color w:val="auto"/>
          <w:kern w:val="0"/>
          <w:szCs w:val="21"/>
        </w:rPr>
        <w:t>。如法律法规或监管机构以后允许基金投资其他品种，基金管理人在履行适当程序后，可以将其纳入投资范围。基金的投资组合比例为：本基金所持有的有价证券市值和买入、卖出股指期货合约价值，合计（轧差计算）占基金资产的比例为</w:t>
      </w:r>
      <w:r w:rsidRPr="007164C5">
        <w:rPr>
          <w:color w:val="auto"/>
          <w:kern w:val="0"/>
          <w:szCs w:val="21"/>
        </w:rPr>
        <w:t>85</w:t>
      </w:r>
      <w:r w:rsidRPr="007164C5">
        <w:rPr>
          <w:rFonts w:ascii="宋体" w:hAnsi="宋体"/>
          <w:color w:val="auto"/>
          <w:kern w:val="0"/>
          <w:szCs w:val="21"/>
        </w:rPr>
        <w:t>%</w:t>
      </w:r>
      <w:r w:rsidRPr="007164C5">
        <w:rPr>
          <w:rFonts w:ascii="宋体" w:hAnsi="宋体" w:hint="eastAsia"/>
          <w:color w:val="auto"/>
          <w:kern w:val="0"/>
          <w:szCs w:val="21"/>
        </w:rPr>
        <w:t>-</w:t>
      </w:r>
      <w:r w:rsidRPr="007164C5">
        <w:rPr>
          <w:color w:val="auto"/>
          <w:kern w:val="0"/>
          <w:szCs w:val="21"/>
        </w:rPr>
        <w:t>95</w:t>
      </w:r>
      <w:r w:rsidRPr="007164C5">
        <w:rPr>
          <w:rFonts w:ascii="宋体" w:hAnsi="宋体"/>
          <w:color w:val="auto"/>
          <w:kern w:val="0"/>
          <w:szCs w:val="21"/>
        </w:rPr>
        <w:t>%</w:t>
      </w:r>
      <w:r w:rsidRPr="007164C5">
        <w:rPr>
          <w:rFonts w:ascii="宋体" w:hAnsi="宋体" w:hint="eastAsia"/>
          <w:color w:val="auto"/>
          <w:kern w:val="0"/>
          <w:szCs w:val="21"/>
        </w:rPr>
        <w:t>，投资于沪深</w:t>
      </w:r>
      <w:r w:rsidRPr="007164C5">
        <w:rPr>
          <w:color w:val="auto"/>
          <w:kern w:val="0"/>
          <w:szCs w:val="21"/>
        </w:rPr>
        <w:t>300</w:t>
      </w:r>
      <w:r w:rsidRPr="007164C5">
        <w:rPr>
          <w:rFonts w:ascii="宋体" w:hAnsi="宋体" w:hint="eastAsia"/>
          <w:color w:val="auto"/>
          <w:kern w:val="0"/>
          <w:szCs w:val="21"/>
        </w:rPr>
        <w:t>指数成份股和备选成份股的资产不低于股票资产的</w:t>
      </w:r>
      <w:r w:rsidRPr="007164C5">
        <w:rPr>
          <w:color w:val="auto"/>
          <w:kern w:val="0"/>
          <w:szCs w:val="21"/>
        </w:rPr>
        <w:t>80</w:t>
      </w:r>
      <w:r w:rsidRPr="007164C5">
        <w:rPr>
          <w:rFonts w:ascii="宋体" w:hAnsi="宋体"/>
          <w:color w:val="auto"/>
          <w:kern w:val="0"/>
          <w:szCs w:val="21"/>
        </w:rPr>
        <w:t>%</w:t>
      </w:r>
      <w:r w:rsidRPr="007164C5">
        <w:rPr>
          <w:rFonts w:ascii="宋体" w:hAnsi="宋体" w:hint="eastAsia"/>
          <w:color w:val="auto"/>
          <w:kern w:val="0"/>
          <w:szCs w:val="21"/>
        </w:rPr>
        <w:t>；每个交易日日终在扣除股指期货合约需缴纳的交易保证金后，应当保持不低于基金资产净值</w:t>
      </w:r>
      <w:r w:rsidRPr="007164C5">
        <w:rPr>
          <w:color w:val="auto"/>
          <w:kern w:val="0"/>
          <w:szCs w:val="21"/>
        </w:rPr>
        <w:t>5</w:t>
      </w:r>
      <w:r w:rsidRPr="007164C5">
        <w:rPr>
          <w:rFonts w:ascii="宋体" w:hAnsi="宋体"/>
          <w:color w:val="auto"/>
          <w:kern w:val="0"/>
          <w:szCs w:val="21"/>
        </w:rPr>
        <w:t>%</w:t>
      </w:r>
      <w:r w:rsidRPr="007164C5">
        <w:rPr>
          <w:rFonts w:ascii="宋体" w:hAnsi="宋体" w:hint="eastAsia"/>
          <w:color w:val="auto"/>
          <w:kern w:val="0"/>
          <w:szCs w:val="21"/>
        </w:rPr>
        <w:t>的现金或到期日在一年以内的政府债券。</w:t>
      </w:r>
    </w:p>
    <w:p w:rsidR="007164C5" w:rsidRPr="007164C5" w:rsidRDefault="007164C5" w:rsidP="007164C5">
      <w:pPr>
        <w:widowControl/>
        <w:tabs>
          <w:tab w:val="left" w:pos="1022"/>
        </w:tabs>
        <w:autoSpaceDE w:val="0"/>
        <w:autoSpaceDN w:val="0"/>
        <w:adjustRightInd w:val="0"/>
        <w:snapToGrid w:val="0"/>
        <w:spacing w:before="120" w:after="120" w:line="300" w:lineRule="auto"/>
        <w:ind w:firstLine="0"/>
        <w:textAlignment w:val="bottom"/>
        <w:rPr>
          <w:rFonts w:ascii="宋体" w:hAnsi="宋体"/>
          <w:color w:val="auto"/>
          <w:kern w:val="0"/>
          <w:szCs w:val="21"/>
        </w:rPr>
      </w:pPr>
      <w:r w:rsidRPr="007164C5">
        <w:rPr>
          <w:rFonts w:ascii="宋体" w:hAnsi="宋体"/>
          <w:color w:val="auto"/>
          <w:kern w:val="0"/>
          <w:szCs w:val="21"/>
        </w:rPr>
        <w:t>本基金的业绩比较基准为：沪深</w:t>
      </w:r>
      <w:r w:rsidRPr="007164C5">
        <w:rPr>
          <w:color w:val="auto"/>
          <w:kern w:val="0"/>
          <w:szCs w:val="21"/>
        </w:rPr>
        <w:t>300</w:t>
      </w:r>
      <w:r w:rsidRPr="007164C5">
        <w:rPr>
          <w:rFonts w:ascii="宋体" w:hAnsi="宋体"/>
          <w:color w:val="auto"/>
          <w:kern w:val="0"/>
          <w:szCs w:val="21"/>
        </w:rPr>
        <w:t>指数</w:t>
      </w:r>
      <w:r w:rsidRPr="007164C5">
        <w:rPr>
          <w:rFonts w:ascii="宋体" w:hAnsi="宋体" w:hint="eastAsia"/>
          <w:color w:val="auto"/>
          <w:kern w:val="0"/>
          <w:szCs w:val="21"/>
        </w:rPr>
        <w:t>收益率</w:t>
      </w:r>
      <w:r w:rsidRPr="007164C5">
        <w:rPr>
          <w:rFonts w:ascii="宋体" w:hAnsi="宋体"/>
          <w:color w:val="auto"/>
          <w:kern w:val="0"/>
          <w:szCs w:val="21"/>
        </w:rPr>
        <w:t xml:space="preserve"> * </w:t>
      </w:r>
      <w:r w:rsidRPr="007164C5">
        <w:rPr>
          <w:color w:val="auto"/>
          <w:kern w:val="0"/>
          <w:szCs w:val="21"/>
        </w:rPr>
        <w:t>95</w:t>
      </w:r>
      <w:r w:rsidRPr="007164C5">
        <w:rPr>
          <w:rFonts w:ascii="宋体" w:hAnsi="宋体"/>
          <w:color w:val="auto"/>
          <w:kern w:val="0"/>
          <w:szCs w:val="21"/>
        </w:rPr>
        <w:t xml:space="preserve">% + 银行活期存款利息（税后）* </w:t>
      </w:r>
      <w:r w:rsidRPr="007164C5">
        <w:rPr>
          <w:color w:val="auto"/>
          <w:kern w:val="0"/>
          <w:szCs w:val="21"/>
        </w:rPr>
        <w:t>5</w:t>
      </w:r>
      <w:r w:rsidRPr="007164C5">
        <w:rPr>
          <w:rFonts w:ascii="宋体" w:hAnsi="宋体"/>
          <w:color w:val="auto"/>
          <w:kern w:val="0"/>
          <w:szCs w:val="21"/>
        </w:rPr>
        <w:t>%。</w:t>
      </w:r>
    </w:p>
    <w:p w:rsidR="008B70D3" w:rsidRPr="008B70D3" w:rsidRDefault="008B70D3" w:rsidP="008B70D3">
      <w:pPr>
        <w:ind w:firstLine="0"/>
        <w:outlineLvl w:val="2"/>
        <w:rPr>
          <w:b/>
          <w:color w:val="auto"/>
          <w:szCs w:val="21"/>
        </w:rPr>
      </w:pPr>
      <w:r>
        <w:rPr>
          <w:rFonts w:hint="eastAsia"/>
          <w:b/>
          <w:color w:val="auto"/>
          <w:szCs w:val="21"/>
        </w:rPr>
        <w:t>4</w:t>
      </w:r>
      <w:r w:rsidRPr="008B70D3">
        <w:rPr>
          <w:rFonts w:hint="eastAsia"/>
          <w:b/>
          <w:color w:val="auto"/>
          <w:szCs w:val="21"/>
        </w:rPr>
        <w:t xml:space="preserve">.2 </w:t>
      </w:r>
      <w:r w:rsidRPr="008B70D3">
        <w:rPr>
          <w:rFonts w:hint="eastAsia"/>
          <w:b/>
          <w:color w:val="auto"/>
          <w:szCs w:val="21"/>
        </w:rPr>
        <w:t>清算原因</w:t>
      </w:r>
    </w:p>
    <w:p w:rsidR="008B70D3" w:rsidRPr="008B70D3" w:rsidRDefault="008B70D3" w:rsidP="008B70D3">
      <w:pPr>
        <w:widowControl/>
        <w:tabs>
          <w:tab w:val="left" w:pos="1022"/>
        </w:tabs>
        <w:autoSpaceDE w:val="0"/>
        <w:autoSpaceDN w:val="0"/>
        <w:adjustRightInd w:val="0"/>
        <w:snapToGrid w:val="0"/>
        <w:spacing w:before="120" w:after="120" w:line="300" w:lineRule="auto"/>
        <w:ind w:firstLine="0"/>
        <w:textAlignment w:val="bottom"/>
        <w:rPr>
          <w:color w:val="auto"/>
          <w:kern w:val="0"/>
          <w:szCs w:val="21"/>
        </w:rPr>
      </w:pPr>
      <w:r w:rsidRPr="008B70D3">
        <w:rPr>
          <w:rFonts w:hint="eastAsia"/>
          <w:color w:val="auto"/>
          <w:kern w:val="0"/>
          <w:szCs w:val="21"/>
        </w:rPr>
        <w:t>截至</w:t>
      </w:r>
      <w:r w:rsidRPr="008B70D3">
        <w:rPr>
          <w:rFonts w:hint="eastAsia"/>
          <w:color w:val="auto"/>
          <w:kern w:val="0"/>
          <w:szCs w:val="21"/>
        </w:rPr>
        <w:t>2016</w:t>
      </w:r>
      <w:r w:rsidRPr="008B70D3">
        <w:rPr>
          <w:rFonts w:hint="eastAsia"/>
          <w:color w:val="auto"/>
          <w:kern w:val="0"/>
          <w:szCs w:val="21"/>
        </w:rPr>
        <w:t>年</w:t>
      </w:r>
      <w:r w:rsidRPr="008B70D3">
        <w:rPr>
          <w:rFonts w:hint="eastAsia"/>
          <w:color w:val="auto"/>
          <w:kern w:val="0"/>
          <w:szCs w:val="21"/>
        </w:rPr>
        <w:t>4</w:t>
      </w:r>
      <w:r w:rsidRPr="008B70D3">
        <w:rPr>
          <w:rFonts w:hint="eastAsia"/>
          <w:color w:val="auto"/>
          <w:kern w:val="0"/>
          <w:szCs w:val="21"/>
        </w:rPr>
        <w:t>月</w:t>
      </w:r>
      <w:r w:rsidRPr="008B70D3">
        <w:rPr>
          <w:rFonts w:hint="eastAsia"/>
          <w:color w:val="auto"/>
          <w:kern w:val="0"/>
          <w:szCs w:val="21"/>
        </w:rPr>
        <w:t>26</w:t>
      </w:r>
      <w:r w:rsidRPr="008B70D3">
        <w:rPr>
          <w:rFonts w:hint="eastAsia"/>
          <w:color w:val="auto"/>
          <w:kern w:val="0"/>
          <w:szCs w:val="21"/>
        </w:rPr>
        <w:t>日日终，华宸</w:t>
      </w:r>
      <w:r w:rsidRPr="008B70D3">
        <w:rPr>
          <w:rFonts w:hint="eastAsia"/>
          <w:color w:val="auto"/>
          <w:kern w:val="0"/>
          <w:szCs w:val="21"/>
        </w:rPr>
        <w:t>300</w:t>
      </w:r>
      <w:r w:rsidRPr="008B70D3">
        <w:rPr>
          <w:rFonts w:hint="eastAsia"/>
          <w:color w:val="auto"/>
          <w:kern w:val="0"/>
          <w:szCs w:val="21"/>
        </w:rPr>
        <w:t>资产规模为</w:t>
      </w:r>
      <w:r w:rsidRPr="008B70D3">
        <w:rPr>
          <w:rFonts w:hint="eastAsia"/>
          <w:color w:val="auto"/>
          <w:kern w:val="0"/>
          <w:szCs w:val="21"/>
        </w:rPr>
        <w:t>0.15</w:t>
      </w:r>
      <w:r w:rsidRPr="008B70D3">
        <w:rPr>
          <w:rFonts w:hint="eastAsia"/>
          <w:color w:val="auto"/>
          <w:kern w:val="0"/>
          <w:szCs w:val="21"/>
        </w:rPr>
        <w:t>亿元，基金资产规模低于</w:t>
      </w:r>
      <w:r w:rsidRPr="008B70D3">
        <w:rPr>
          <w:rFonts w:hint="eastAsia"/>
          <w:color w:val="auto"/>
          <w:kern w:val="0"/>
          <w:szCs w:val="21"/>
        </w:rPr>
        <w:t>2</w:t>
      </w:r>
      <w:r w:rsidR="004B5954">
        <w:rPr>
          <w:rFonts w:hint="eastAsia"/>
          <w:color w:val="auto"/>
          <w:kern w:val="0"/>
          <w:szCs w:val="21"/>
        </w:rPr>
        <w:t>亿元，触发上述基金合同终止情形，基金合同自动终止。</w:t>
      </w:r>
    </w:p>
    <w:p w:rsidR="008B70D3" w:rsidRPr="008B70D3" w:rsidRDefault="008B70D3" w:rsidP="008B70D3">
      <w:pPr>
        <w:ind w:firstLine="0"/>
        <w:outlineLvl w:val="2"/>
        <w:rPr>
          <w:b/>
          <w:color w:val="auto"/>
          <w:szCs w:val="21"/>
        </w:rPr>
      </w:pPr>
      <w:r>
        <w:rPr>
          <w:rFonts w:hint="eastAsia"/>
          <w:b/>
          <w:color w:val="auto"/>
          <w:szCs w:val="21"/>
        </w:rPr>
        <w:t>4</w:t>
      </w:r>
      <w:r w:rsidRPr="008B70D3">
        <w:rPr>
          <w:rFonts w:hint="eastAsia"/>
          <w:b/>
          <w:color w:val="auto"/>
          <w:szCs w:val="21"/>
        </w:rPr>
        <w:t xml:space="preserve">.3 </w:t>
      </w:r>
      <w:r w:rsidRPr="008B70D3">
        <w:rPr>
          <w:rFonts w:hint="eastAsia"/>
          <w:b/>
          <w:color w:val="auto"/>
          <w:szCs w:val="21"/>
        </w:rPr>
        <w:t>清算起始日</w:t>
      </w:r>
    </w:p>
    <w:p w:rsidR="008B70D3" w:rsidRPr="008B70D3" w:rsidRDefault="008B70D3" w:rsidP="008B70D3">
      <w:pPr>
        <w:widowControl/>
        <w:tabs>
          <w:tab w:val="left" w:pos="1022"/>
        </w:tabs>
        <w:autoSpaceDE w:val="0"/>
        <w:autoSpaceDN w:val="0"/>
        <w:adjustRightInd w:val="0"/>
        <w:snapToGrid w:val="0"/>
        <w:spacing w:before="120" w:after="120" w:line="300" w:lineRule="auto"/>
        <w:ind w:firstLine="0"/>
        <w:textAlignment w:val="bottom"/>
        <w:rPr>
          <w:color w:val="auto"/>
          <w:kern w:val="0"/>
          <w:szCs w:val="21"/>
        </w:rPr>
      </w:pPr>
      <w:r w:rsidRPr="008B70D3">
        <w:rPr>
          <w:rFonts w:hint="eastAsia"/>
          <w:color w:val="auto"/>
          <w:kern w:val="0"/>
          <w:szCs w:val="21"/>
        </w:rPr>
        <w:t>本基金于</w:t>
      </w:r>
      <w:r w:rsidRPr="008B70D3">
        <w:rPr>
          <w:rFonts w:hint="eastAsia"/>
          <w:color w:val="auto"/>
          <w:kern w:val="0"/>
          <w:szCs w:val="21"/>
        </w:rPr>
        <w:t>2016</w:t>
      </w:r>
      <w:r w:rsidRPr="008B70D3">
        <w:rPr>
          <w:rFonts w:hint="eastAsia"/>
          <w:color w:val="auto"/>
          <w:kern w:val="0"/>
          <w:szCs w:val="21"/>
        </w:rPr>
        <w:t>年</w:t>
      </w:r>
      <w:r w:rsidRPr="008B70D3">
        <w:rPr>
          <w:rFonts w:hint="eastAsia"/>
          <w:color w:val="auto"/>
          <w:kern w:val="0"/>
          <w:szCs w:val="21"/>
        </w:rPr>
        <w:t>4</w:t>
      </w:r>
      <w:r w:rsidRPr="008B70D3">
        <w:rPr>
          <w:rFonts w:hint="eastAsia"/>
          <w:color w:val="auto"/>
          <w:kern w:val="0"/>
          <w:szCs w:val="21"/>
        </w:rPr>
        <w:t>月</w:t>
      </w:r>
      <w:r w:rsidRPr="008B70D3">
        <w:rPr>
          <w:rFonts w:hint="eastAsia"/>
          <w:color w:val="auto"/>
          <w:kern w:val="0"/>
          <w:szCs w:val="21"/>
        </w:rPr>
        <w:t>27</w:t>
      </w:r>
      <w:r w:rsidRPr="008B70D3">
        <w:rPr>
          <w:rFonts w:hint="eastAsia"/>
          <w:color w:val="auto"/>
          <w:kern w:val="0"/>
          <w:szCs w:val="21"/>
        </w:rPr>
        <w:t>日起进入清算期，故本基金清算起始日为</w:t>
      </w:r>
      <w:r w:rsidRPr="008B70D3">
        <w:rPr>
          <w:rFonts w:hint="eastAsia"/>
          <w:color w:val="auto"/>
          <w:kern w:val="0"/>
          <w:szCs w:val="21"/>
        </w:rPr>
        <w:t>2016</w:t>
      </w:r>
      <w:r w:rsidRPr="008B70D3">
        <w:rPr>
          <w:rFonts w:hint="eastAsia"/>
          <w:color w:val="auto"/>
          <w:kern w:val="0"/>
          <w:szCs w:val="21"/>
        </w:rPr>
        <w:t>年</w:t>
      </w:r>
      <w:r w:rsidRPr="008B70D3">
        <w:rPr>
          <w:rFonts w:hint="eastAsia"/>
          <w:color w:val="auto"/>
          <w:kern w:val="0"/>
          <w:szCs w:val="21"/>
        </w:rPr>
        <w:t>4</w:t>
      </w:r>
      <w:r w:rsidRPr="008B70D3">
        <w:rPr>
          <w:rFonts w:hint="eastAsia"/>
          <w:color w:val="auto"/>
          <w:kern w:val="0"/>
          <w:szCs w:val="21"/>
        </w:rPr>
        <w:t>月</w:t>
      </w:r>
      <w:r w:rsidRPr="008B70D3">
        <w:rPr>
          <w:rFonts w:hint="eastAsia"/>
          <w:color w:val="auto"/>
          <w:kern w:val="0"/>
          <w:szCs w:val="21"/>
        </w:rPr>
        <w:t>27</w:t>
      </w:r>
      <w:r w:rsidRPr="008B70D3">
        <w:rPr>
          <w:rFonts w:hint="eastAsia"/>
          <w:color w:val="auto"/>
          <w:kern w:val="0"/>
          <w:szCs w:val="21"/>
        </w:rPr>
        <w:t>日。</w:t>
      </w:r>
    </w:p>
    <w:p w:rsidR="008B70D3" w:rsidRPr="008B70D3" w:rsidRDefault="008B70D3" w:rsidP="008B70D3">
      <w:pPr>
        <w:ind w:firstLine="0"/>
        <w:outlineLvl w:val="2"/>
        <w:rPr>
          <w:b/>
          <w:color w:val="auto"/>
          <w:szCs w:val="21"/>
        </w:rPr>
      </w:pPr>
      <w:r>
        <w:rPr>
          <w:rFonts w:hint="eastAsia"/>
          <w:b/>
          <w:color w:val="auto"/>
          <w:szCs w:val="21"/>
        </w:rPr>
        <w:t>4</w:t>
      </w:r>
      <w:r w:rsidRPr="008B70D3">
        <w:rPr>
          <w:b/>
          <w:color w:val="auto"/>
          <w:szCs w:val="21"/>
        </w:rPr>
        <w:t>.</w:t>
      </w:r>
      <w:r w:rsidRPr="008B70D3">
        <w:rPr>
          <w:rFonts w:hint="eastAsia"/>
          <w:b/>
          <w:color w:val="auto"/>
          <w:szCs w:val="21"/>
        </w:rPr>
        <w:t>4</w:t>
      </w:r>
      <w:r w:rsidRPr="008B70D3">
        <w:rPr>
          <w:rFonts w:hint="eastAsia"/>
          <w:b/>
          <w:color w:val="auto"/>
          <w:szCs w:val="21"/>
        </w:rPr>
        <w:t>清算</w:t>
      </w:r>
      <w:r w:rsidRPr="008B70D3">
        <w:rPr>
          <w:b/>
          <w:color w:val="auto"/>
          <w:szCs w:val="21"/>
        </w:rPr>
        <w:t>报表的编制基础</w:t>
      </w:r>
    </w:p>
    <w:p w:rsidR="008B70D3" w:rsidRPr="008B70D3" w:rsidRDefault="008B70D3" w:rsidP="003524F7">
      <w:pPr>
        <w:spacing w:before="120" w:after="120" w:line="300" w:lineRule="auto"/>
        <w:ind w:firstLine="0"/>
        <w:rPr>
          <w:color w:val="auto"/>
          <w:kern w:val="0"/>
          <w:szCs w:val="21"/>
        </w:rPr>
      </w:pPr>
      <w:r w:rsidRPr="008B70D3">
        <w:rPr>
          <w:rFonts w:hint="eastAsia"/>
          <w:color w:val="auto"/>
          <w:kern w:val="0"/>
          <w:szCs w:val="21"/>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3524F7" w:rsidRPr="003524F7" w:rsidRDefault="003524F7" w:rsidP="003524F7">
      <w:pPr>
        <w:ind w:firstLine="0"/>
        <w:outlineLvl w:val="2"/>
        <w:rPr>
          <w:b/>
          <w:color w:val="auto"/>
          <w:szCs w:val="21"/>
        </w:rPr>
      </w:pPr>
      <w:r>
        <w:rPr>
          <w:rFonts w:hint="eastAsia"/>
          <w:b/>
          <w:color w:val="auto"/>
          <w:szCs w:val="21"/>
        </w:rPr>
        <w:t>4</w:t>
      </w:r>
      <w:r w:rsidRPr="003524F7">
        <w:rPr>
          <w:rFonts w:hint="eastAsia"/>
          <w:b/>
          <w:color w:val="auto"/>
          <w:szCs w:val="21"/>
        </w:rPr>
        <w:t xml:space="preserve">.5 </w:t>
      </w:r>
      <w:r w:rsidRPr="003524F7">
        <w:rPr>
          <w:rFonts w:hint="eastAsia"/>
          <w:b/>
          <w:color w:val="auto"/>
          <w:szCs w:val="21"/>
        </w:rPr>
        <w:t>清算情况</w:t>
      </w:r>
    </w:p>
    <w:p w:rsidR="003524F7" w:rsidRPr="003524F7" w:rsidRDefault="003524F7" w:rsidP="003524F7">
      <w:pPr>
        <w:spacing w:line="240" w:lineRule="auto"/>
        <w:ind w:firstLine="0"/>
        <w:rPr>
          <w:color w:val="auto"/>
          <w:kern w:val="0"/>
          <w:szCs w:val="21"/>
        </w:rPr>
      </w:pPr>
      <w:r w:rsidRPr="003524F7">
        <w:rPr>
          <w:rFonts w:hint="eastAsia"/>
          <w:color w:val="auto"/>
          <w:kern w:val="0"/>
          <w:szCs w:val="21"/>
        </w:rPr>
        <w:t>自</w:t>
      </w:r>
      <w:r w:rsidRPr="003524F7">
        <w:rPr>
          <w:rFonts w:hint="eastAsia"/>
          <w:color w:val="auto"/>
          <w:kern w:val="0"/>
          <w:szCs w:val="21"/>
        </w:rPr>
        <w:t>2016</w:t>
      </w:r>
      <w:r w:rsidRPr="003524F7">
        <w:rPr>
          <w:rFonts w:hint="eastAsia"/>
          <w:color w:val="auto"/>
          <w:kern w:val="0"/>
          <w:szCs w:val="21"/>
        </w:rPr>
        <w:t>年</w:t>
      </w:r>
      <w:r w:rsidRPr="003524F7">
        <w:rPr>
          <w:rFonts w:hint="eastAsia"/>
          <w:color w:val="auto"/>
          <w:kern w:val="0"/>
          <w:szCs w:val="21"/>
        </w:rPr>
        <w:t>4</w:t>
      </w:r>
      <w:r w:rsidRPr="003524F7">
        <w:rPr>
          <w:rFonts w:hint="eastAsia"/>
          <w:color w:val="auto"/>
          <w:kern w:val="0"/>
          <w:szCs w:val="21"/>
        </w:rPr>
        <w:t>月</w:t>
      </w:r>
      <w:r w:rsidRPr="003524F7">
        <w:rPr>
          <w:rFonts w:hint="eastAsia"/>
          <w:color w:val="auto"/>
          <w:kern w:val="0"/>
          <w:szCs w:val="21"/>
        </w:rPr>
        <w:t>27</w:t>
      </w:r>
      <w:r w:rsidRPr="003524F7">
        <w:rPr>
          <w:rFonts w:hint="eastAsia"/>
          <w:color w:val="auto"/>
          <w:kern w:val="0"/>
          <w:szCs w:val="21"/>
        </w:rPr>
        <w:t>日至</w:t>
      </w:r>
      <w:r w:rsidRPr="003524F7">
        <w:rPr>
          <w:rFonts w:hint="eastAsia"/>
          <w:color w:val="auto"/>
          <w:kern w:val="0"/>
          <w:szCs w:val="21"/>
        </w:rPr>
        <w:t>2016</w:t>
      </w:r>
      <w:r w:rsidRPr="003524F7">
        <w:rPr>
          <w:rFonts w:hint="eastAsia"/>
          <w:color w:val="auto"/>
          <w:kern w:val="0"/>
          <w:szCs w:val="21"/>
        </w:rPr>
        <w:t>年</w:t>
      </w:r>
      <w:r w:rsidR="00770311">
        <w:rPr>
          <w:color w:val="auto"/>
          <w:kern w:val="0"/>
          <w:szCs w:val="21"/>
        </w:rPr>
        <w:t>7</w:t>
      </w:r>
      <w:r w:rsidRPr="003524F7">
        <w:rPr>
          <w:rFonts w:hint="eastAsia"/>
          <w:color w:val="auto"/>
          <w:kern w:val="0"/>
          <w:szCs w:val="21"/>
        </w:rPr>
        <w:t>月</w:t>
      </w:r>
      <w:r w:rsidR="00770311">
        <w:rPr>
          <w:color w:val="auto"/>
          <w:kern w:val="0"/>
          <w:szCs w:val="21"/>
        </w:rPr>
        <w:t>7</w:t>
      </w:r>
      <w:r w:rsidRPr="003524F7">
        <w:rPr>
          <w:rFonts w:hint="eastAsia"/>
          <w:color w:val="auto"/>
          <w:kern w:val="0"/>
          <w:szCs w:val="21"/>
        </w:rPr>
        <w:t>日止清算期间，基金财产清算小组对本基金的资产、负债进行清算，全部清算工作按清算原则和清算手续进行。具体清算情况如下：</w:t>
      </w:r>
    </w:p>
    <w:p w:rsidR="00897FE3" w:rsidRDefault="003524F7" w:rsidP="000C41DB">
      <w:pPr>
        <w:spacing w:before="120" w:after="120" w:line="300" w:lineRule="auto"/>
        <w:ind w:firstLine="0"/>
        <w:rPr>
          <w:color w:val="auto"/>
          <w:kern w:val="0"/>
          <w:szCs w:val="21"/>
        </w:rPr>
      </w:pPr>
      <w:r w:rsidRPr="002450A0">
        <w:rPr>
          <w:rFonts w:hint="eastAsia"/>
          <w:color w:val="auto"/>
          <w:kern w:val="0"/>
          <w:szCs w:val="21"/>
        </w:rPr>
        <w:t>1</w:t>
      </w:r>
      <w:r w:rsidRPr="002450A0">
        <w:rPr>
          <w:rFonts w:hint="eastAsia"/>
          <w:color w:val="auto"/>
          <w:kern w:val="0"/>
          <w:szCs w:val="21"/>
        </w:rPr>
        <w:t>、</w:t>
      </w:r>
      <w:r w:rsidR="00897FE3">
        <w:rPr>
          <w:rFonts w:hint="eastAsia"/>
          <w:color w:val="auto"/>
          <w:kern w:val="0"/>
          <w:szCs w:val="21"/>
        </w:rPr>
        <w:t>清算费用</w:t>
      </w:r>
    </w:p>
    <w:p w:rsidR="00897FE3" w:rsidRPr="00287DDE" w:rsidRDefault="00287DDE" w:rsidP="00287DDE">
      <w:pPr>
        <w:widowControl/>
        <w:spacing w:line="240" w:lineRule="auto"/>
        <w:ind w:firstLine="0"/>
        <w:rPr>
          <w:color w:val="auto"/>
          <w:kern w:val="0"/>
          <w:szCs w:val="21"/>
        </w:rPr>
      </w:pPr>
      <w:r w:rsidRPr="00287DDE">
        <w:rPr>
          <w:rFonts w:hint="eastAsia"/>
          <w:color w:val="auto"/>
          <w:kern w:val="0"/>
          <w:szCs w:val="21"/>
        </w:rPr>
        <w:t>按照《</w:t>
      </w:r>
      <w:r w:rsidRPr="00287DDE">
        <w:rPr>
          <w:rFonts w:ascii="宋体" w:hAnsi="宋体" w:hint="eastAsia"/>
          <w:color w:val="auto"/>
          <w:szCs w:val="21"/>
        </w:rPr>
        <w:t>华宸未来沪深</w:t>
      </w:r>
      <w:r w:rsidRPr="00287DDE">
        <w:rPr>
          <w:rFonts w:hint="eastAsia"/>
          <w:color w:val="auto"/>
          <w:szCs w:val="21"/>
        </w:rPr>
        <w:t>300</w:t>
      </w:r>
      <w:r w:rsidRPr="00287DDE">
        <w:rPr>
          <w:rFonts w:ascii="宋体" w:hAnsi="宋体" w:hint="eastAsia"/>
          <w:color w:val="auto"/>
          <w:szCs w:val="21"/>
        </w:rPr>
        <w:t>指数增强型发起式证券投资基金（</w:t>
      </w:r>
      <w:r w:rsidRPr="00287DDE">
        <w:rPr>
          <w:rFonts w:hint="eastAsia"/>
          <w:color w:val="auto"/>
          <w:szCs w:val="21"/>
        </w:rPr>
        <w:t>LOF</w:t>
      </w:r>
      <w:r w:rsidRPr="00287DDE">
        <w:rPr>
          <w:rFonts w:ascii="宋体" w:hAnsi="宋体" w:hint="eastAsia"/>
          <w:color w:val="auto"/>
          <w:szCs w:val="21"/>
        </w:rPr>
        <w:t>）基金合同</w:t>
      </w:r>
      <w:r w:rsidRPr="00287DDE">
        <w:rPr>
          <w:rFonts w:hint="eastAsia"/>
          <w:color w:val="auto"/>
          <w:kern w:val="0"/>
          <w:szCs w:val="21"/>
        </w:rPr>
        <w:t>》</w:t>
      </w:r>
      <w:r>
        <w:rPr>
          <w:rFonts w:hint="eastAsia"/>
        </w:rPr>
        <w:t>第二十</w:t>
      </w:r>
      <w:r w:rsidRPr="00AE1B69">
        <w:rPr>
          <w:rFonts w:hint="eastAsia"/>
        </w:rPr>
        <w:t>部分</w:t>
      </w:r>
      <w:r w:rsidRPr="00AE1B69">
        <w:t>“</w:t>
      </w:r>
      <w:r w:rsidRPr="00AE1B69">
        <w:rPr>
          <w:rFonts w:hint="eastAsia"/>
        </w:rPr>
        <w:t>基金合同的变更、终止与基金财产的清算</w:t>
      </w:r>
      <w:r w:rsidRPr="00AE1B69">
        <w:t>”</w:t>
      </w:r>
      <w:r w:rsidRPr="00AE1B69">
        <w:rPr>
          <w:rFonts w:hint="eastAsia"/>
        </w:rPr>
        <w:t>的规定，清算费用是指基金财产清算小组在进行基金清算过程中发生的所有合理费用，清算费用由基金财产清算小组优先从基金财产中支付。</w:t>
      </w:r>
    </w:p>
    <w:p w:rsidR="003524F7" w:rsidRPr="002450A0" w:rsidRDefault="00897FE3" w:rsidP="000C41DB">
      <w:pPr>
        <w:spacing w:before="120" w:after="120" w:line="300" w:lineRule="auto"/>
        <w:ind w:firstLine="0"/>
        <w:rPr>
          <w:color w:val="auto"/>
          <w:kern w:val="0"/>
          <w:szCs w:val="21"/>
        </w:rPr>
      </w:pPr>
      <w:r>
        <w:rPr>
          <w:rFonts w:hint="eastAsia"/>
          <w:color w:val="auto"/>
          <w:kern w:val="0"/>
          <w:szCs w:val="21"/>
        </w:rPr>
        <w:t>2</w:t>
      </w:r>
      <w:r>
        <w:rPr>
          <w:rFonts w:hint="eastAsia"/>
          <w:color w:val="auto"/>
          <w:kern w:val="0"/>
          <w:szCs w:val="21"/>
        </w:rPr>
        <w:t>、</w:t>
      </w:r>
      <w:r w:rsidR="003524F7" w:rsidRPr="002450A0">
        <w:rPr>
          <w:rFonts w:hint="eastAsia"/>
          <w:color w:val="auto"/>
          <w:kern w:val="0"/>
          <w:szCs w:val="21"/>
        </w:rPr>
        <w:t>资产处置情况</w:t>
      </w:r>
    </w:p>
    <w:p w:rsidR="003524F7" w:rsidRPr="002450A0" w:rsidRDefault="003524F7" w:rsidP="000C41DB">
      <w:pPr>
        <w:pStyle w:val="a7"/>
        <w:widowControl/>
        <w:numPr>
          <w:ilvl w:val="0"/>
          <w:numId w:val="7"/>
        </w:numPr>
        <w:spacing w:line="240" w:lineRule="auto"/>
        <w:ind w:firstLineChars="0"/>
        <w:rPr>
          <w:color w:val="auto"/>
          <w:kern w:val="0"/>
          <w:szCs w:val="21"/>
        </w:rPr>
      </w:pPr>
      <w:r w:rsidRPr="002450A0">
        <w:rPr>
          <w:rFonts w:hint="eastAsia"/>
          <w:color w:val="auto"/>
          <w:kern w:val="0"/>
          <w:szCs w:val="21"/>
        </w:rPr>
        <w:t>本基金最后运作日</w:t>
      </w:r>
      <w:r w:rsidR="000C41DB" w:rsidRPr="002450A0">
        <w:rPr>
          <w:rFonts w:hint="eastAsia"/>
          <w:color w:val="auto"/>
          <w:kern w:val="0"/>
          <w:szCs w:val="21"/>
        </w:rPr>
        <w:t>结算备付金人民币</w:t>
      </w:r>
      <w:r w:rsidR="000C41DB" w:rsidRPr="002450A0">
        <w:rPr>
          <w:rFonts w:hint="eastAsia"/>
          <w:color w:val="auto"/>
          <w:kern w:val="0"/>
          <w:szCs w:val="21"/>
        </w:rPr>
        <w:t>3,249.87</w:t>
      </w:r>
      <w:r w:rsidR="000C41DB" w:rsidRPr="002450A0">
        <w:rPr>
          <w:rFonts w:hint="eastAsia"/>
          <w:color w:val="auto"/>
          <w:kern w:val="0"/>
          <w:szCs w:val="21"/>
        </w:rPr>
        <w:t>元，该款项已于</w:t>
      </w:r>
      <w:r w:rsidR="000C41DB" w:rsidRPr="002450A0">
        <w:rPr>
          <w:rFonts w:hint="eastAsia"/>
          <w:color w:val="auto"/>
          <w:kern w:val="0"/>
          <w:szCs w:val="21"/>
        </w:rPr>
        <w:t>2016</w:t>
      </w:r>
      <w:r w:rsidR="000C41DB" w:rsidRPr="002450A0">
        <w:rPr>
          <w:rFonts w:hint="eastAsia"/>
          <w:color w:val="auto"/>
          <w:kern w:val="0"/>
          <w:szCs w:val="21"/>
        </w:rPr>
        <w:t>年</w:t>
      </w:r>
      <w:r w:rsidR="000C41DB" w:rsidRPr="002450A0">
        <w:rPr>
          <w:rFonts w:hint="eastAsia"/>
          <w:color w:val="auto"/>
          <w:kern w:val="0"/>
          <w:szCs w:val="21"/>
        </w:rPr>
        <w:t>5</w:t>
      </w:r>
      <w:r w:rsidR="000C41DB" w:rsidRPr="002450A0">
        <w:rPr>
          <w:rFonts w:hint="eastAsia"/>
          <w:color w:val="auto"/>
          <w:kern w:val="0"/>
          <w:szCs w:val="21"/>
        </w:rPr>
        <w:t>月</w:t>
      </w:r>
      <w:r w:rsidR="000C41DB" w:rsidRPr="002450A0">
        <w:rPr>
          <w:rFonts w:hint="eastAsia"/>
          <w:color w:val="auto"/>
          <w:kern w:val="0"/>
          <w:szCs w:val="21"/>
        </w:rPr>
        <w:t>4</w:t>
      </w:r>
      <w:r w:rsidR="000C41DB" w:rsidRPr="002450A0">
        <w:rPr>
          <w:rFonts w:hint="eastAsia"/>
          <w:color w:val="auto"/>
          <w:kern w:val="0"/>
          <w:szCs w:val="21"/>
        </w:rPr>
        <w:t>日划入托管账户</w:t>
      </w:r>
      <w:r w:rsidRPr="002450A0">
        <w:rPr>
          <w:rFonts w:hint="eastAsia"/>
          <w:color w:val="auto"/>
          <w:kern w:val="0"/>
          <w:szCs w:val="21"/>
        </w:rPr>
        <w:t>。</w:t>
      </w:r>
    </w:p>
    <w:p w:rsidR="003524F7" w:rsidRPr="002450A0" w:rsidRDefault="003524F7" w:rsidP="000C41DB">
      <w:pPr>
        <w:pStyle w:val="a7"/>
        <w:numPr>
          <w:ilvl w:val="0"/>
          <w:numId w:val="7"/>
        </w:numPr>
        <w:spacing w:line="240" w:lineRule="auto"/>
        <w:ind w:firstLineChars="0"/>
        <w:rPr>
          <w:color w:val="auto"/>
          <w:kern w:val="0"/>
          <w:szCs w:val="21"/>
        </w:rPr>
      </w:pPr>
      <w:r w:rsidRPr="002450A0">
        <w:rPr>
          <w:rFonts w:hint="eastAsia"/>
          <w:color w:val="auto"/>
          <w:kern w:val="0"/>
          <w:szCs w:val="21"/>
        </w:rPr>
        <w:t>本基金最后运作日应收证券清算款人民币</w:t>
      </w:r>
      <w:r w:rsidRPr="002450A0">
        <w:rPr>
          <w:color w:val="auto"/>
          <w:kern w:val="0"/>
          <w:szCs w:val="21"/>
        </w:rPr>
        <w:t>4,352,163.14</w:t>
      </w:r>
      <w:r w:rsidRPr="002450A0">
        <w:rPr>
          <w:rFonts w:hint="eastAsia"/>
          <w:color w:val="auto"/>
          <w:kern w:val="0"/>
          <w:szCs w:val="21"/>
        </w:rPr>
        <w:t>元</w:t>
      </w:r>
      <w:r w:rsidR="000C41DB" w:rsidRPr="002450A0">
        <w:rPr>
          <w:rFonts w:hint="eastAsia"/>
          <w:color w:val="auto"/>
          <w:kern w:val="0"/>
          <w:szCs w:val="21"/>
        </w:rPr>
        <w:t>。其中应收上交所、深交所证券清算款共计人民币</w:t>
      </w:r>
      <w:r w:rsidR="000C41DB" w:rsidRPr="002450A0">
        <w:rPr>
          <w:rFonts w:hint="eastAsia"/>
          <w:color w:val="auto"/>
          <w:kern w:val="0"/>
          <w:szCs w:val="21"/>
        </w:rPr>
        <w:t>4,353,693.74</w:t>
      </w:r>
      <w:r w:rsidR="000C41DB" w:rsidRPr="002450A0">
        <w:rPr>
          <w:rFonts w:hint="eastAsia"/>
          <w:color w:val="auto"/>
          <w:kern w:val="0"/>
          <w:szCs w:val="21"/>
        </w:rPr>
        <w:t>元，</w:t>
      </w:r>
      <w:r w:rsidRPr="002450A0">
        <w:rPr>
          <w:rFonts w:hint="eastAsia"/>
          <w:color w:val="auto"/>
          <w:kern w:val="0"/>
          <w:szCs w:val="21"/>
        </w:rPr>
        <w:t>已于</w:t>
      </w:r>
      <w:r w:rsidRPr="002450A0">
        <w:rPr>
          <w:rFonts w:hint="eastAsia"/>
          <w:color w:val="auto"/>
          <w:kern w:val="0"/>
          <w:szCs w:val="21"/>
        </w:rPr>
        <w:t>2016</w:t>
      </w:r>
      <w:r w:rsidRPr="002450A0">
        <w:rPr>
          <w:rFonts w:hint="eastAsia"/>
          <w:color w:val="auto"/>
          <w:kern w:val="0"/>
          <w:szCs w:val="21"/>
        </w:rPr>
        <w:t>年</w:t>
      </w:r>
      <w:r w:rsidRPr="002450A0">
        <w:rPr>
          <w:rFonts w:hint="eastAsia"/>
          <w:color w:val="auto"/>
          <w:kern w:val="0"/>
          <w:szCs w:val="21"/>
        </w:rPr>
        <w:t>4</w:t>
      </w:r>
      <w:r w:rsidRPr="002450A0">
        <w:rPr>
          <w:rFonts w:hint="eastAsia"/>
          <w:color w:val="auto"/>
          <w:kern w:val="0"/>
          <w:szCs w:val="21"/>
        </w:rPr>
        <w:t>月</w:t>
      </w:r>
      <w:r w:rsidRPr="002450A0">
        <w:rPr>
          <w:rFonts w:hint="eastAsia"/>
          <w:color w:val="auto"/>
          <w:kern w:val="0"/>
          <w:szCs w:val="21"/>
        </w:rPr>
        <w:t>27</w:t>
      </w:r>
      <w:r w:rsidR="000C41DB" w:rsidRPr="002450A0">
        <w:rPr>
          <w:rFonts w:hint="eastAsia"/>
          <w:color w:val="auto"/>
          <w:kern w:val="0"/>
          <w:szCs w:val="21"/>
        </w:rPr>
        <w:t>日划入托管账户；其中应付</w:t>
      </w:r>
      <w:r w:rsidR="00E02EBB" w:rsidRPr="002450A0">
        <w:rPr>
          <w:rFonts w:hint="eastAsia"/>
          <w:color w:val="auto"/>
          <w:kern w:val="0"/>
          <w:szCs w:val="21"/>
        </w:rPr>
        <w:t>上交所股息红利税款累计人民币</w:t>
      </w:r>
      <w:r w:rsidR="00E02EBB" w:rsidRPr="002450A0">
        <w:rPr>
          <w:rFonts w:hint="eastAsia"/>
          <w:color w:val="auto"/>
          <w:kern w:val="0"/>
          <w:szCs w:val="21"/>
        </w:rPr>
        <w:t>1,498.65</w:t>
      </w:r>
      <w:r w:rsidR="00E02EBB" w:rsidRPr="002450A0">
        <w:rPr>
          <w:rFonts w:hint="eastAsia"/>
          <w:color w:val="auto"/>
          <w:kern w:val="0"/>
          <w:szCs w:val="21"/>
        </w:rPr>
        <w:t>元，已于</w:t>
      </w:r>
      <w:r w:rsidR="00E02EBB" w:rsidRPr="002450A0">
        <w:rPr>
          <w:rFonts w:hint="eastAsia"/>
          <w:color w:val="auto"/>
          <w:kern w:val="0"/>
          <w:szCs w:val="21"/>
        </w:rPr>
        <w:t>2016</w:t>
      </w:r>
      <w:r w:rsidR="00E02EBB" w:rsidRPr="002450A0">
        <w:rPr>
          <w:rFonts w:hint="eastAsia"/>
          <w:color w:val="auto"/>
          <w:kern w:val="0"/>
          <w:szCs w:val="21"/>
        </w:rPr>
        <w:t>年</w:t>
      </w:r>
      <w:r w:rsidR="00E02EBB" w:rsidRPr="002450A0">
        <w:rPr>
          <w:rFonts w:hint="eastAsia"/>
          <w:color w:val="auto"/>
          <w:kern w:val="0"/>
          <w:szCs w:val="21"/>
        </w:rPr>
        <w:t>4</w:t>
      </w:r>
      <w:r w:rsidR="00E02EBB" w:rsidRPr="002450A0">
        <w:rPr>
          <w:rFonts w:hint="eastAsia"/>
          <w:color w:val="auto"/>
          <w:kern w:val="0"/>
          <w:szCs w:val="21"/>
        </w:rPr>
        <w:t>月</w:t>
      </w:r>
      <w:r w:rsidR="00E02EBB" w:rsidRPr="002450A0">
        <w:rPr>
          <w:rFonts w:hint="eastAsia"/>
          <w:color w:val="auto"/>
          <w:kern w:val="0"/>
          <w:szCs w:val="21"/>
        </w:rPr>
        <w:t>28</w:t>
      </w:r>
      <w:r w:rsidR="00E02EBB" w:rsidRPr="002450A0">
        <w:rPr>
          <w:rFonts w:hint="eastAsia"/>
          <w:color w:val="auto"/>
          <w:kern w:val="0"/>
          <w:szCs w:val="21"/>
        </w:rPr>
        <w:t>日清缴完毕；其中应付深交所股息红利税款累计人民币</w:t>
      </w:r>
      <w:r w:rsidR="00E02EBB" w:rsidRPr="002450A0">
        <w:rPr>
          <w:rFonts w:hint="eastAsia"/>
          <w:color w:val="auto"/>
          <w:kern w:val="0"/>
          <w:szCs w:val="21"/>
        </w:rPr>
        <w:t>31.95</w:t>
      </w:r>
      <w:r w:rsidR="00E02EBB" w:rsidRPr="002450A0">
        <w:rPr>
          <w:rFonts w:hint="eastAsia"/>
          <w:color w:val="auto"/>
          <w:kern w:val="0"/>
          <w:szCs w:val="21"/>
        </w:rPr>
        <w:t>元，已于</w:t>
      </w:r>
      <w:r w:rsidR="00E02EBB" w:rsidRPr="002450A0">
        <w:rPr>
          <w:rFonts w:hint="eastAsia"/>
          <w:color w:val="auto"/>
          <w:kern w:val="0"/>
          <w:szCs w:val="21"/>
        </w:rPr>
        <w:t>2016</w:t>
      </w:r>
      <w:r w:rsidR="00E02EBB" w:rsidRPr="002450A0">
        <w:rPr>
          <w:rFonts w:hint="eastAsia"/>
          <w:color w:val="auto"/>
          <w:kern w:val="0"/>
          <w:szCs w:val="21"/>
        </w:rPr>
        <w:t>年</w:t>
      </w:r>
      <w:r w:rsidR="00E02EBB" w:rsidRPr="002450A0">
        <w:rPr>
          <w:rFonts w:hint="eastAsia"/>
          <w:color w:val="auto"/>
          <w:kern w:val="0"/>
          <w:szCs w:val="21"/>
        </w:rPr>
        <w:t>4</w:t>
      </w:r>
      <w:r w:rsidR="00E02EBB" w:rsidRPr="002450A0">
        <w:rPr>
          <w:rFonts w:hint="eastAsia"/>
          <w:color w:val="auto"/>
          <w:kern w:val="0"/>
          <w:szCs w:val="21"/>
        </w:rPr>
        <w:t>月</w:t>
      </w:r>
      <w:r w:rsidR="00E02EBB" w:rsidRPr="002450A0">
        <w:rPr>
          <w:rFonts w:hint="eastAsia"/>
          <w:color w:val="auto"/>
          <w:kern w:val="0"/>
          <w:szCs w:val="21"/>
        </w:rPr>
        <w:t>27</w:t>
      </w:r>
      <w:r w:rsidR="00E02EBB" w:rsidRPr="002450A0">
        <w:rPr>
          <w:rFonts w:hint="eastAsia"/>
          <w:color w:val="auto"/>
          <w:kern w:val="0"/>
          <w:szCs w:val="21"/>
        </w:rPr>
        <w:t>日清缴完毕。</w:t>
      </w:r>
    </w:p>
    <w:p w:rsidR="003524F7" w:rsidRPr="002450A0" w:rsidRDefault="003524F7" w:rsidP="00E02EBB">
      <w:pPr>
        <w:pStyle w:val="a7"/>
        <w:numPr>
          <w:ilvl w:val="0"/>
          <w:numId w:val="7"/>
        </w:numPr>
        <w:spacing w:line="240" w:lineRule="auto"/>
        <w:ind w:firstLineChars="0"/>
        <w:rPr>
          <w:color w:val="auto"/>
          <w:kern w:val="0"/>
          <w:szCs w:val="21"/>
        </w:rPr>
      </w:pPr>
      <w:r w:rsidRPr="002450A0">
        <w:rPr>
          <w:rFonts w:hint="eastAsia"/>
          <w:color w:val="auto"/>
          <w:kern w:val="0"/>
          <w:szCs w:val="21"/>
        </w:rPr>
        <w:t>本基金最后运作日应收利息人民币</w:t>
      </w:r>
      <w:r w:rsidRPr="002450A0">
        <w:rPr>
          <w:color w:val="auto"/>
          <w:kern w:val="0"/>
          <w:szCs w:val="21"/>
        </w:rPr>
        <w:t>1,225.83</w:t>
      </w:r>
      <w:r w:rsidRPr="002450A0">
        <w:rPr>
          <w:rFonts w:hint="eastAsia"/>
          <w:color w:val="auto"/>
          <w:kern w:val="0"/>
          <w:szCs w:val="21"/>
        </w:rPr>
        <w:t>元，该款项</w:t>
      </w:r>
      <w:r w:rsidR="007F2EDE" w:rsidRPr="002450A0">
        <w:rPr>
          <w:rFonts w:hint="eastAsia"/>
          <w:color w:val="auto"/>
          <w:kern w:val="0"/>
          <w:szCs w:val="21"/>
        </w:rPr>
        <w:t>已</w:t>
      </w:r>
      <w:r w:rsidR="00070756">
        <w:rPr>
          <w:rFonts w:hint="eastAsia"/>
          <w:color w:val="auto"/>
          <w:kern w:val="0"/>
          <w:szCs w:val="21"/>
        </w:rPr>
        <w:t>于</w:t>
      </w:r>
      <w:r w:rsidR="00070756">
        <w:rPr>
          <w:rFonts w:hint="eastAsia"/>
          <w:color w:val="auto"/>
          <w:kern w:val="0"/>
          <w:szCs w:val="21"/>
        </w:rPr>
        <w:t>2016</w:t>
      </w:r>
      <w:r w:rsidR="00070756">
        <w:rPr>
          <w:rFonts w:hint="eastAsia"/>
          <w:color w:val="auto"/>
          <w:kern w:val="0"/>
          <w:szCs w:val="21"/>
        </w:rPr>
        <w:t>年</w:t>
      </w:r>
      <w:r w:rsidR="00070756">
        <w:rPr>
          <w:rFonts w:hint="eastAsia"/>
          <w:color w:val="auto"/>
          <w:kern w:val="0"/>
          <w:szCs w:val="21"/>
        </w:rPr>
        <w:t>6</w:t>
      </w:r>
      <w:r w:rsidR="00070756">
        <w:rPr>
          <w:rFonts w:hint="eastAsia"/>
          <w:color w:val="auto"/>
          <w:kern w:val="0"/>
          <w:szCs w:val="21"/>
        </w:rPr>
        <w:t>月</w:t>
      </w:r>
      <w:r w:rsidR="00070756">
        <w:rPr>
          <w:rFonts w:hint="eastAsia"/>
          <w:color w:val="auto"/>
          <w:kern w:val="0"/>
          <w:szCs w:val="21"/>
        </w:rPr>
        <w:t>21</w:t>
      </w:r>
      <w:r w:rsidR="00070756">
        <w:rPr>
          <w:rFonts w:hint="eastAsia"/>
          <w:color w:val="auto"/>
          <w:kern w:val="0"/>
          <w:szCs w:val="21"/>
        </w:rPr>
        <w:t>日划入托管账户</w:t>
      </w:r>
      <w:r w:rsidRPr="002450A0">
        <w:rPr>
          <w:rFonts w:hint="eastAsia"/>
          <w:color w:val="auto"/>
          <w:kern w:val="0"/>
          <w:szCs w:val="21"/>
        </w:rPr>
        <w:t>。</w:t>
      </w:r>
    </w:p>
    <w:p w:rsidR="003524F7" w:rsidRPr="002450A0" w:rsidRDefault="003524F7" w:rsidP="000C41DB">
      <w:pPr>
        <w:pStyle w:val="a7"/>
        <w:numPr>
          <w:ilvl w:val="0"/>
          <w:numId w:val="7"/>
        </w:numPr>
        <w:spacing w:line="240" w:lineRule="auto"/>
        <w:ind w:firstLineChars="0"/>
        <w:rPr>
          <w:color w:val="auto"/>
          <w:kern w:val="0"/>
          <w:szCs w:val="21"/>
        </w:rPr>
      </w:pPr>
      <w:r w:rsidRPr="002450A0">
        <w:rPr>
          <w:rFonts w:hint="eastAsia"/>
          <w:color w:val="auto"/>
          <w:kern w:val="0"/>
          <w:szCs w:val="21"/>
        </w:rPr>
        <w:t>本基金最后运作日应收申购款人民币</w:t>
      </w:r>
      <w:r w:rsidRPr="002450A0">
        <w:rPr>
          <w:color w:val="auto"/>
          <w:kern w:val="0"/>
          <w:szCs w:val="21"/>
        </w:rPr>
        <w:t>998.80</w:t>
      </w:r>
      <w:r w:rsidRPr="002450A0">
        <w:rPr>
          <w:rFonts w:hint="eastAsia"/>
          <w:color w:val="auto"/>
          <w:kern w:val="0"/>
          <w:szCs w:val="21"/>
        </w:rPr>
        <w:t>元，该款项已于</w:t>
      </w:r>
      <w:r w:rsidRPr="002450A0">
        <w:rPr>
          <w:rFonts w:hint="eastAsia"/>
          <w:color w:val="auto"/>
          <w:kern w:val="0"/>
          <w:szCs w:val="21"/>
        </w:rPr>
        <w:t>2016</w:t>
      </w:r>
      <w:r w:rsidRPr="002450A0">
        <w:rPr>
          <w:rFonts w:hint="eastAsia"/>
          <w:color w:val="auto"/>
          <w:kern w:val="0"/>
          <w:szCs w:val="21"/>
        </w:rPr>
        <w:t>年</w:t>
      </w:r>
      <w:r w:rsidRPr="002450A0">
        <w:rPr>
          <w:rFonts w:hint="eastAsia"/>
          <w:color w:val="auto"/>
          <w:kern w:val="0"/>
          <w:szCs w:val="21"/>
        </w:rPr>
        <w:t>4</w:t>
      </w:r>
      <w:r w:rsidRPr="002450A0">
        <w:rPr>
          <w:rFonts w:hint="eastAsia"/>
          <w:color w:val="auto"/>
          <w:kern w:val="0"/>
          <w:szCs w:val="21"/>
        </w:rPr>
        <w:t>月</w:t>
      </w:r>
      <w:r w:rsidRPr="002450A0">
        <w:rPr>
          <w:rFonts w:hint="eastAsia"/>
          <w:color w:val="auto"/>
          <w:kern w:val="0"/>
          <w:szCs w:val="21"/>
        </w:rPr>
        <w:t>27</w:t>
      </w:r>
      <w:r w:rsidRPr="002450A0">
        <w:rPr>
          <w:rFonts w:hint="eastAsia"/>
          <w:color w:val="auto"/>
          <w:kern w:val="0"/>
          <w:szCs w:val="21"/>
        </w:rPr>
        <w:t>日</w:t>
      </w:r>
      <w:r w:rsidR="00E02EBB" w:rsidRPr="002450A0">
        <w:rPr>
          <w:rFonts w:hint="eastAsia"/>
          <w:color w:val="auto"/>
          <w:kern w:val="0"/>
          <w:szCs w:val="21"/>
        </w:rPr>
        <w:t>划入托管账户</w:t>
      </w:r>
      <w:r w:rsidRPr="002450A0">
        <w:rPr>
          <w:rFonts w:hint="eastAsia"/>
          <w:color w:val="auto"/>
          <w:kern w:val="0"/>
          <w:szCs w:val="21"/>
        </w:rPr>
        <w:t>。</w:t>
      </w:r>
    </w:p>
    <w:p w:rsidR="00E02EBB" w:rsidRDefault="000C41DB" w:rsidP="002450A0">
      <w:pPr>
        <w:pStyle w:val="a7"/>
        <w:widowControl/>
        <w:numPr>
          <w:ilvl w:val="0"/>
          <w:numId w:val="7"/>
        </w:numPr>
        <w:spacing w:after="120" w:line="240" w:lineRule="auto"/>
        <w:ind w:left="357" w:firstLineChars="0" w:hanging="357"/>
        <w:rPr>
          <w:color w:val="auto"/>
          <w:kern w:val="0"/>
          <w:sz w:val="22"/>
          <w:szCs w:val="22"/>
        </w:rPr>
      </w:pPr>
      <w:r w:rsidRPr="002450A0">
        <w:rPr>
          <w:rFonts w:hint="eastAsia"/>
          <w:color w:val="auto"/>
          <w:kern w:val="0"/>
          <w:szCs w:val="21"/>
        </w:rPr>
        <w:t>本基金最后运作日</w:t>
      </w:r>
      <w:r w:rsidRPr="002450A0">
        <w:rPr>
          <w:color w:val="auto"/>
          <w:kern w:val="0"/>
          <w:szCs w:val="21"/>
        </w:rPr>
        <w:t>交易性金融资产</w:t>
      </w:r>
      <w:r w:rsidRPr="002450A0">
        <w:rPr>
          <w:rFonts w:hint="eastAsia"/>
          <w:color w:val="auto"/>
          <w:kern w:val="0"/>
          <w:szCs w:val="21"/>
        </w:rPr>
        <w:t>人民币</w:t>
      </w:r>
      <w:r w:rsidRPr="002450A0">
        <w:rPr>
          <w:color w:val="auto"/>
          <w:kern w:val="0"/>
          <w:szCs w:val="21"/>
        </w:rPr>
        <w:t>937,263.31</w:t>
      </w:r>
      <w:r w:rsidRPr="002450A0">
        <w:rPr>
          <w:rFonts w:hint="eastAsia"/>
          <w:color w:val="auto"/>
          <w:kern w:val="0"/>
          <w:szCs w:val="21"/>
        </w:rPr>
        <w:t>元，为</w:t>
      </w:r>
      <w:r w:rsidR="002450A0" w:rsidRPr="002450A0">
        <w:rPr>
          <w:rFonts w:hint="eastAsia"/>
          <w:color w:val="auto"/>
          <w:kern w:val="0"/>
          <w:szCs w:val="21"/>
        </w:rPr>
        <w:t>本基金持有的</w:t>
      </w:r>
      <w:r w:rsidR="00F7144C">
        <w:rPr>
          <w:rFonts w:hint="eastAsia"/>
          <w:color w:val="auto"/>
          <w:kern w:val="0"/>
          <w:szCs w:val="21"/>
        </w:rPr>
        <w:t>未变现</w:t>
      </w:r>
      <w:r w:rsidRPr="002450A0">
        <w:rPr>
          <w:rFonts w:hint="eastAsia"/>
          <w:color w:val="auto"/>
          <w:kern w:val="0"/>
          <w:szCs w:val="21"/>
        </w:rPr>
        <w:t>股票</w:t>
      </w:r>
      <w:r w:rsidR="002450A0" w:rsidRPr="002450A0">
        <w:rPr>
          <w:rFonts w:hint="eastAsia"/>
          <w:color w:val="auto"/>
          <w:kern w:val="0"/>
          <w:szCs w:val="21"/>
        </w:rPr>
        <w:t>资产。自</w:t>
      </w:r>
      <w:r w:rsidR="002450A0" w:rsidRPr="002450A0">
        <w:rPr>
          <w:rFonts w:hint="eastAsia"/>
          <w:color w:val="auto"/>
          <w:kern w:val="0"/>
          <w:szCs w:val="21"/>
        </w:rPr>
        <w:t>2016</w:t>
      </w:r>
      <w:r w:rsidR="002450A0" w:rsidRPr="002450A0">
        <w:rPr>
          <w:rFonts w:hint="eastAsia"/>
          <w:color w:val="auto"/>
          <w:kern w:val="0"/>
          <w:szCs w:val="21"/>
        </w:rPr>
        <w:t>年</w:t>
      </w:r>
      <w:r w:rsidR="002450A0" w:rsidRPr="002450A0">
        <w:rPr>
          <w:rFonts w:hint="eastAsia"/>
          <w:color w:val="auto"/>
          <w:kern w:val="0"/>
          <w:szCs w:val="21"/>
        </w:rPr>
        <w:t>4</w:t>
      </w:r>
      <w:r w:rsidR="002450A0" w:rsidRPr="002450A0">
        <w:rPr>
          <w:rFonts w:hint="eastAsia"/>
          <w:color w:val="auto"/>
          <w:kern w:val="0"/>
          <w:szCs w:val="21"/>
        </w:rPr>
        <w:t>月</w:t>
      </w:r>
      <w:r w:rsidR="002450A0" w:rsidRPr="002450A0">
        <w:rPr>
          <w:rFonts w:hint="eastAsia"/>
          <w:color w:val="auto"/>
          <w:kern w:val="0"/>
          <w:szCs w:val="21"/>
        </w:rPr>
        <w:t>27</w:t>
      </w:r>
      <w:r w:rsidR="002450A0" w:rsidRPr="002450A0">
        <w:rPr>
          <w:rFonts w:hint="eastAsia"/>
          <w:color w:val="auto"/>
          <w:kern w:val="0"/>
          <w:szCs w:val="21"/>
        </w:rPr>
        <w:t>日至</w:t>
      </w:r>
      <w:r w:rsidR="002450A0" w:rsidRPr="002450A0">
        <w:rPr>
          <w:rFonts w:hint="eastAsia"/>
          <w:color w:val="auto"/>
          <w:kern w:val="0"/>
          <w:szCs w:val="21"/>
        </w:rPr>
        <w:t>2016</w:t>
      </w:r>
      <w:r w:rsidR="002450A0" w:rsidRPr="002450A0">
        <w:rPr>
          <w:rFonts w:hint="eastAsia"/>
          <w:color w:val="auto"/>
          <w:kern w:val="0"/>
          <w:szCs w:val="21"/>
        </w:rPr>
        <w:t>年</w:t>
      </w:r>
      <w:r w:rsidR="00770311">
        <w:rPr>
          <w:color w:val="auto"/>
          <w:kern w:val="0"/>
          <w:szCs w:val="21"/>
        </w:rPr>
        <w:t>7</w:t>
      </w:r>
      <w:r w:rsidR="002450A0" w:rsidRPr="002450A0">
        <w:rPr>
          <w:rFonts w:hint="eastAsia"/>
          <w:color w:val="auto"/>
          <w:kern w:val="0"/>
          <w:szCs w:val="21"/>
        </w:rPr>
        <w:t>月</w:t>
      </w:r>
      <w:r w:rsidR="001C6EAE">
        <w:rPr>
          <w:color w:val="auto"/>
          <w:kern w:val="0"/>
          <w:szCs w:val="21"/>
        </w:rPr>
        <w:t>7</w:t>
      </w:r>
      <w:r w:rsidR="002450A0" w:rsidRPr="002450A0">
        <w:rPr>
          <w:rFonts w:hint="eastAsia"/>
          <w:color w:val="auto"/>
          <w:kern w:val="0"/>
          <w:szCs w:val="21"/>
        </w:rPr>
        <w:t>日止</w:t>
      </w:r>
      <w:r w:rsidR="002450A0">
        <w:rPr>
          <w:rFonts w:hint="eastAsia"/>
          <w:color w:val="auto"/>
          <w:kern w:val="0"/>
          <w:szCs w:val="21"/>
        </w:rPr>
        <w:t>的</w:t>
      </w:r>
      <w:r w:rsidR="002450A0" w:rsidRPr="002450A0">
        <w:rPr>
          <w:rFonts w:hint="eastAsia"/>
          <w:color w:val="auto"/>
          <w:kern w:val="0"/>
          <w:szCs w:val="21"/>
        </w:rPr>
        <w:t>清算期间</w:t>
      </w:r>
      <w:r w:rsidR="002450A0">
        <w:rPr>
          <w:rFonts w:hint="eastAsia"/>
          <w:color w:val="auto"/>
          <w:kern w:val="0"/>
          <w:szCs w:val="21"/>
        </w:rPr>
        <w:t>，</w:t>
      </w:r>
      <w:r w:rsidR="00F7144C">
        <w:rPr>
          <w:rFonts w:hint="eastAsia"/>
          <w:color w:val="auto"/>
          <w:kern w:val="0"/>
          <w:szCs w:val="21"/>
        </w:rPr>
        <w:t>其中一部分</w:t>
      </w:r>
      <w:r w:rsidR="002450A0">
        <w:rPr>
          <w:rFonts w:hint="eastAsia"/>
          <w:color w:val="auto"/>
          <w:kern w:val="0"/>
          <w:szCs w:val="21"/>
        </w:rPr>
        <w:t>股票陆续复牌并被卖出。截至</w:t>
      </w:r>
      <w:r w:rsidR="002450A0">
        <w:rPr>
          <w:rFonts w:hint="eastAsia"/>
          <w:color w:val="auto"/>
          <w:kern w:val="0"/>
          <w:szCs w:val="21"/>
        </w:rPr>
        <w:t>2016</w:t>
      </w:r>
      <w:r w:rsidR="002450A0">
        <w:rPr>
          <w:rFonts w:hint="eastAsia"/>
          <w:color w:val="auto"/>
          <w:kern w:val="0"/>
          <w:szCs w:val="21"/>
        </w:rPr>
        <w:t>年</w:t>
      </w:r>
      <w:r w:rsidR="00770311">
        <w:rPr>
          <w:color w:val="auto"/>
          <w:kern w:val="0"/>
          <w:szCs w:val="21"/>
        </w:rPr>
        <w:t>7</w:t>
      </w:r>
      <w:r w:rsidR="002450A0">
        <w:rPr>
          <w:rFonts w:hint="eastAsia"/>
          <w:color w:val="auto"/>
          <w:kern w:val="0"/>
          <w:szCs w:val="21"/>
        </w:rPr>
        <w:t>月</w:t>
      </w:r>
      <w:r w:rsidR="001C6EAE">
        <w:rPr>
          <w:color w:val="auto"/>
          <w:kern w:val="0"/>
          <w:szCs w:val="21"/>
        </w:rPr>
        <w:t>7</w:t>
      </w:r>
      <w:r w:rsidR="002450A0">
        <w:rPr>
          <w:rFonts w:hint="eastAsia"/>
          <w:color w:val="auto"/>
          <w:kern w:val="0"/>
          <w:szCs w:val="21"/>
        </w:rPr>
        <w:t>日</w:t>
      </w:r>
      <w:r w:rsidR="001C6EAE">
        <w:rPr>
          <w:rFonts w:hint="eastAsia"/>
          <w:color w:val="auto"/>
          <w:kern w:val="0"/>
          <w:szCs w:val="21"/>
        </w:rPr>
        <w:t>收盘后</w:t>
      </w:r>
      <w:r w:rsidR="002450A0">
        <w:rPr>
          <w:rFonts w:hint="eastAsia"/>
          <w:color w:val="auto"/>
          <w:kern w:val="0"/>
          <w:szCs w:val="21"/>
        </w:rPr>
        <w:t>，本基金仍持有</w:t>
      </w:r>
      <w:r w:rsidR="00F7144C">
        <w:rPr>
          <w:rFonts w:hint="eastAsia"/>
          <w:color w:val="auto"/>
          <w:kern w:val="0"/>
          <w:szCs w:val="21"/>
        </w:rPr>
        <w:t>下述</w:t>
      </w:r>
      <w:r w:rsidR="0094704F">
        <w:rPr>
          <w:rFonts w:hint="eastAsia"/>
          <w:color w:val="auto"/>
          <w:kern w:val="0"/>
          <w:szCs w:val="21"/>
        </w:rPr>
        <w:t>未变现</w:t>
      </w:r>
      <w:r w:rsidR="002450A0">
        <w:rPr>
          <w:rFonts w:hint="eastAsia"/>
          <w:color w:val="auto"/>
          <w:kern w:val="0"/>
          <w:szCs w:val="21"/>
        </w:rPr>
        <w:t>股票：</w:t>
      </w:r>
    </w:p>
    <w:tbl>
      <w:tblPr>
        <w:tblStyle w:val="a8"/>
        <w:tblW w:w="8647" w:type="dxa"/>
        <w:tblInd w:w="250" w:type="dxa"/>
        <w:tblLook w:val="04A0"/>
      </w:tblPr>
      <w:tblGrid>
        <w:gridCol w:w="851"/>
        <w:gridCol w:w="1275"/>
        <w:gridCol w:w="993"/>
        <w:gridCol w:w="1417"/>
        <w:gridCol w:w="1276"/>
        <w:gridCol w:w="1417"/>
        <w:gridCol w:w="1418"/>
      </w:tblGrid>
      <w:tr w:rsidR="00F7144C" w:rsidRPr="00D8717D" w:rsidTr="00FB177C">
        <w:tc>
          <w:tcPr>
            <w:tcW w:w="851" w:type="dxa"/>
          </w:tcPr>
          <w:p w:rsidR="00F7144C" w:rsidRDefault="00F7144C" w:rsidP="00FB177C">
            <w:pPr>
              <w:spacing w:line="240" w:lineRule="auto"/>
              <w:ind w:firstLine="0"/>
              <w:jc w:val="center"/>
              <w:rPr>
                <w:b/>
                <w:color w:val="auto"/>
                <w:szCs w:val="21"/>
              </w:rPr>
            </w:pPr>
            <w:r w:rsidRPr="00D8717D">
              <w:rPr>
                <w:rFonts w:hint="eastAsia"/>
                <w:b/>
                <w:color w:val="auto"/>
                <w:szCs w:val="21"/>
              </w:rPr>
              <w:t>交易</w:t>
            </w:r>
          </w:p>
          <w:p w:rsidR="00F7144C" w:rsidRPr="00D8717D" w:rsidRDefault="00F7144C" w:rsidP="00FB177C">
            <w:pPr>
              <w:spacing w:line="240" w:lineRule="auto"/>
              <w:ind w:firstLine="0"/>
              <w:jc w:val="center"/>
              <w:rPr>
                <w:b/>
                <w:color w:val="auto"/>
                <w:szCs w:val="21"/>
              </w:rPr>
            </w:pPr>
            <w:r>
              <w:rPr>
                <w:rFonts w:hint="eastAsia"/>
                <w:b/>
                <w:color w:val="auto"/>
                <w:szCs w:val="21"/>
              </w:rPr>
              <w:t>场所</w:t>
            </w:r>
          </w:p>
        </w:tc>
        <w:tc>
          <w:tcPr>
            <w:tcW w:w="1275" w:type="dxa"/>
          </w:tcPr>
          <w:p w:rsidR="00F7144C" w:rsidRPr="00D8717D" w:rsidRDefault="00F7144C" w:rsidP="00FB177C">
            <w:pPr>
              <w:spacing w:line="240" w:lineRule="auto"/>
              <w:ind w:firstLine="0"/>
              <w:jc w:val="center"/>
              <w:rPr>
                <w:b/>
                <w:color w:val="auto"/>
                <w:szCs w:val="21"/>
              </w:rPr>
            </w:pPr>
            <w:r w:rsidRPr="00D8717D">
              <w:rPr>
                <w:rFonts w:hint="eastAsia"/>
                <w:b/>
                <w:color w:val="auto"/>
                <w:szCs w:val="21"/>
              </w:rPr>
              <w:t>股票名称</w:t>
            </w:r>
          </w:p>
        </w:tc>
        <w:tc>
          <w:tcPr>
            <w:tcW w:w="993" w:type="dxa"/>
          </w:tcPr>
          <w:p w:rsidR="00F7144C" w:rsidRPr="00D8717D" w:rsidRDefault="00F7144C" w:rsidP="00FB177C">
            <w:pPr>
              <w:spacing w:line="240" w:lineRule="auto"/>
              <w:ind w:firstLine="0"/>
              <w:jc w:val="center"/>
              <w:rPr>
                <w:b/>
                <w:color w:val="auto"/>
                <w:szCs w:val="21"/>
              </w:rPr>
            </w:pPr>
            <w:r w:rsidRPr="00D8717D">
              <w:rPr>
                <w:rFonts w:hint="eastAsia"/>
                <w:b/>
                <w:color w:val="auto"/>
                <w:szCs w:val="21"/>
              </w:rPr>
              <w:t>股票代码</w:t>
            </w:r>
          </w:p>
        </w:tc>
        <w:tc>
          <w:tcPr>
            <w:tcW w:w="1417" w:type="dxa"/>
          </w:tcPr>
          <w:p w:rsidR="00F7144C" w:rsidRPr="00D8717D" w:rsidRDefault="00F7144C" w:rsidP="00FB177C">
            <w:pPr>
              <w:spacing w:line="240" w:lineRule="auto"/>
              <w:ind w:firstLine="0"/>
              <w:jc w:val="center"/>
              <w:rPr>
                <w:b/>
                <w:color w:val="auto"/>
                <w:szCs w:val="21"/>
              </w:rPr>
            </w:pPr>
            <w:r w:rsidRPr="00865D65">
              <w:rPr>
                <w:rFonts w:hint="eastAsia"/>
                <w:b/>
                <w:color w:val="auto"/>
                <w:szCs w:val="21"/>
              </w:rPr>
              <w:t>最后运作日</w:t>
            </w:r>
            <w:r>
              <w:rPr>
                <w:rFonts w:hint="eastAsia"/>
                <w:b/>
                <w:color w:val="auto"/>
                <w:szCs w:val="21"/>
              </w:rPr>
              <w:t>估值价格</w:t>
            </w:r>
            <w:r w:rsidRPr="00D8717D">
              <w:rPr>
                <w:rFonts w:hint="eastAsia"/>
                <w:b/>
                <w:color w:val="auto"/>
                <w:szCs w:val="21"/>
              </w:rPr>
              <w:t>（元）</w:t>
            </w:r>
          </w:p>
        </w:tc>
        <w:tc>
          <w:tcPr>
            <w:tcW w:w="1276" w:type="dxa"/>
          </w:tcPr>
          <w:p w:rsidR="00F7144C" w:rsidRDefault="00F7144C" w:rsidP="00FB177C">
            <w:pPr>
              <w:spacing w:line="240" w:lineRule="auto"/>
              <w:ind w:firstLine="0"/>
              <w:jc w:val="center"/>
              <w:rPr>
                <w:b/>
                <w:color w:val="auto"/>
                <w:szCs w:val="21"/>
              </w:rPr>
            </w:pPr>
            <w:r w:rsidRPr="00D8717D">
              <w:rPr>
                <w:rFonts w:hint="eastAsia"/>
                <w:b/>
                <w:color w:val="auto"/>
                <w:szCs w:val="21"/>
              </w:rPr>
              <w:t>数量</w:t>
            </w:r>
          </w:p>
          <w:p w:rsidR="00F7144C" w:rsidRPr="00D8717D" w:rsidRDefault="00F7144C" w:rsidP="00FB177C">
            <w:pPr>
              <w:spacing w:line="240" w:lineRule="auto"/>
              <w:ind w:firstLine="0"/>
              <w:jc w:val="center"/>
              <w:rPr>
                <w:b/>
                <w:color w:val="auto"/>
                <w:szCs w:val="21"/>
              </w:rPr>
            </w:pPr>
            <w:r>
              <w:rPr>
                <w:rFonts w:hint="eastAsia"/>
                <w:b/>
                <w:color w:val="auto"/>
                <w:szCs w:val="21"/>
              </w:rPr>
              <w:t>（股）</w:t>
            </w:r>
          </w:p>
        </w:tc>
        <w:tc>
          <w:tcPr>
            <w:tcW w:w="1417" w:type="dxa"/>
          </w:tcPr>
          <w:p w:rsidR="00F7144C" w:rsidRPr="00D8717D" w:rsidRDefault="00F7144C" w:rsidP="00FB177C">
            <w:pPr>
              <w:spacing w:line="240" w:lineRule="auto"/>
              <w:ind w:firstLine="0"/>
              <w:jc w:val="center"/>
              <w:rPr>
                <w:b/>
                <w:color w:val="auto"/>
                <w:szCs w:val="21"/>
              </w:rPr>
            </w:pPr>
            <w:r w:rsidRPr="00865D65">
              <w:rPr>
                <w:rFonts w:hint="eastAsia"/>
                <w:b/>
                <w:color w:val="auto"/>
                <w:szCs w:val="21"/>
              </w:rPr>
              <w:t>最后运作日</w:t>
            </w:r>
            <w:r w:rsidRPr="00D8717D">
              <w:rPr>
                <w:rFonts w:hint="eastAsia"/>
                <w:b/>
                <w:color w:val="auto"/>
                <w:szCs w:val="21"/>
              </w:rPr>
              <w:t>市值（元）</w:t>
            </w:r>
          </w:p>
        </w:tc>
        <w:tc>
          <w:tcPr>
            <w:tcW w:w="1418" w:type="dxa"/>
          </w:tcPr>
          <w:p w:rsidR="00F7144C" w:rsidRPr="00D8717D" w:rsidRDefault="00F7144C" w:rsidP="00FB177C">
            <w:pPr>
              <w:spacing w:line="240" w:lineRule="auto"/>
              <w:ind w:firstLine="0"/>
              <w:jc w:val="center"/>
              <w:rPr>
                <w:b/>
                <w:color w:val="auto"/>
                <w:szCs w:val="21"/>
              </w:rPr>
            </w:pPr>
            <w:r w:rsidRPr="00D8717D">
              <w:rPr>
                <w:rFonts w:hint="eastAsia"/>
                <w:b/>
                <w:color w:val="auto"/>
                <w:szCs w:val="21"/>
              </w:rPr>
              <w:t>停牌时间</w:t>
            </w:r>
          </w:p>
        </w:tc>
      </w:tr>
      <w:tr w:rsidR="00F7144C" w:rsidRPr="00D8717D" w:rsidTr="00FB177C">
        <w:tc>
          <w:tcPr>
            <w:tcW w:w="851" w:type="dxa"/>
            <w:vAlign w:val="center"/>
          </w:tcPr>
          <w:p w:rsidR="00F7144C" w:rsidRPr="00D8717D" w:rsidRDefault="00F7144C" w:rsidP="00FB177C">
            <w:pPr>
              <w:spacing w:line="240" w:lineRule="auto"/>
              <w:ind w:firstLine="0"/>
              <w:jc w:val="left"/>
              <w:rPr>
                <w:color w:val="auto"/>
                <w:szCs w:val="21"/>
              </w:rPr>
            </w:pPr>
            <w:r w:rsidRPr="00D8717D">
              <w:rPr>
                <w:rFonts w:hint="eastAsia"/>
                <w:color w:val="auto"/>
                <w:szCs w:val="21"/>
              </w:rPr>
              <w:t>深交所</w:t>
            </w:r>
          </w:p>
        </w:tc>
        <w:tc>
          <w:tcPr>
            <w:tcW w:w="1275" w:type="dxa"/>
            <w:vAlign w:val="center"/>
          </w:tcPr>
          <w:p w:rsidR="00F7144C" w:rsidRPr="00D8717D" w:rsidRDefault="00F7144C" w:rsidP="00FB177C">
            <w:pPr>
              <w:spacing w:line="240" w:lineRule="auto"/>
              <w:ind w:firstLine="0"/>
              <w:jc w:val="left"/>
              <w:rPr>
                <w:color w:val="auto"/>
                <w:szCs w:val="21"/>
              </w:rPr>
            </w:pPr>
            <w:r w:rsidRPr="00D8717D">
              <w:rPr>
                <w:rFonts w:hint="eastAsia"/>
                <w:color w:val="auto"/>
                <w:szCs w:val="21"/>
              </w:rPr>
              <w:t>格力电器</w:t>
            </w:r>
          </w:p>
        </w:tc>
        <w:tc>
          <w:tcPr>
            <w:tcW w:w="993" w:type="dxa"/>
            <w:vAlign w:val="center"/>
          </w:tcPr>
          <w:p w:rsidR="00F7144C" w:rsidRPr="00D8717D" w:rsidRDefault="00F7144C" w:rsidP="00FB177C">
            <w:pPr>
              <w:spacing w:line="240" w:lineRule="auto"/>
              <w:ind w:firstLine="0"/>
              <w:jc w:val="left"/>
              <w:rPr>
                <w:color w:val="auto"/>
                <w:szCs w:val="21"/>
              </w:rPr>
            </w:pPr>
            <w:r w:rsidRPr="00D8717D">
              <w:rPr>
                <w:rFonts w:hint="eastAsia"/>
                <w:color w:val="auto"/>
                <w:szCs w:val="21"/>
              </w:rPr>
              <w:t>000651</w:t>
            </w:r>
          </w:p>
        </w:tc>
        <w:tc>
          <w:tcPr>
            <w:tcW w:w="1417" w:type="dxa"/>
            <w:vAlign w:val="center"/>
          </w:tcPr>
          <w:p w:rsidR="00F7144C" w:rsidRPr="00D8717D" w:rsidRDefault="00F7144C" w:rsidP="00FB177C">
            <w:pPr>
              <w:spacing w:line="240" w:lineRule="auto"/>
              <w:ind w:firstLine="0"/>
              <w:jc w:val="right"/>
              <w:rPr>
                <w:color w:val="auto"/>
                <w:szCs w:val="21"/>
              </w:rPr>
            </w:pPr>
            <w:r w:rsidRPr="00D8717D">
              <w:rPr>
                <w:rFonts w:hint="eastAsia"/>
                <w:color w:val="auto"/>
                <w:szCs w:val="21"/>
              </w:rPr>
              <w:t>19.22</w:t>
            </w:r>
          </w:p>
        </w:tc>
        <w:tc>
          <w:tcPr>
            <w:tcW w:w="1276" w:type="dxa"/>
            <w:vAlign w:val="center"/>
          </w:tcPr>
          <w:p w:rsidR="00F7144C" w:rsidRPr="00D8717D" w:rsidRDefault="00F7144C" w:rsidP="00FB177C">
            <w:pPr>
              <w:spacing w:line="240" w:lineRule="auto"/>
              <w:ind w:firstLine="0"/>
              <w:jc w:val="right"/>
              <w:rPr>
                <w:color w:val="auto"/>
                <w:szCs w:val="21"/>
              </w:rPr>
            </w:pPr>
            <w:r w:rsidRPr="00D8717D">
              <w:rPr>
                <w:rFonts w:hint="eastAsia"/>
                <w:color w:val="auto"/>
                <w:szCs w:val="21"/>
              </w:rPr>
              <w:t>7,427</w:t>
            </w:r>
          </w:p>
        </w:tc>
        <w:tc>
          <w:tcPr>
            <w:tcW w:w="1417" w:type="dxa"/>
            <w:vAlign w:val="center"/>
          </w:tcPr>
          <w:p w:rsidR="00F7144C" w:rsidRPr="00D8717D" w:rsidRDefault="00F7144C" w:rsidP="00FB177C">
            <w:pPr>
              <w:spacing w:line="240" w:lineRule="auto"/>
              <w:ind w:firstLine="0"/>
              <w:jc w:val="right"/>
              <w:rPr>
                <w:color w:val="auto"/>
                <w:szCs w:val="21"/>
              </w:rPr>
            </w:pPr>
            <w:r w:rsidRPr="00D8717D">
              <w:rPr>
                <w:rFonts w:hint="eastAsia"/>
                <w:color w:val="auto"/>
                <w:szCs w:val="21"/>
              </w:rPr>
              <w:t>142,746.94</w:t>
            </w:r>
          </w:p>
        </w:tc>
        <w:tc>
          <w:tcPr>
            <w:tcW w:w="1418" w:type="dxa"/>
          </w:tcPr>
          <w:p w:rsidR="00F7144C" w:rsidRPr="00D8717D" w:rsidRDefault="00F7144C" w:rsidP="00FB177C">
            <w:pPr>
              <w:spacing w:line="240" w:lineRule="auto"/>
              <w:ind w:firstLine="0"/>
              <w:rPr>
                <w:color w:val="auto"/>
                <w:szCs w:val="21"/>
              </w:rPr>
            </w:pPr>
            <w:r w:rsidRPr="00D8717D">
              <w:rPr>
                <w:rFonts w:hint="eastAsia"/>
                <w:color w:val="auto"/>
                <w:szCs w:val="21"/>
              </w:rPr>
              <w:t>2016-02-</w:t>
            </w:r>
            <w:r w:rsidR="00FB359B">
              <w:rPr>
                <w:rFonts w:hint="eastAsia"/>
                <w:color w:val="auto"/>
                <w:szCs w:val="21"/>
              </w:rPr>
              <w:t>22</w:t>
            </w:r>
          </w:p>
        </w:tc>
      </w:tr>
      <w:tr w:rsidR="00F7144C" w:rsidRPr="00D8717D" w:rsidTr="00FB177C">
        <w:tc>
          <w:tcPr>
            <w:tcW w:w="851" w:type="dxa"/>
            <w:vAlign w:val="center"/>
          </w:tcPr>
          <w:p w:rsidR="00F7144C" w:rsidRPr="00D8717D" w:rsidRDefault="00F7144C" w:rsidP="00FB177C">
            <w:pPr>
              <w:spacing w:line="240" w:lineRule="auto"/>
              <w:ind w:firstLine="0"/>
              <w:jc w:val="left"/>
              <w:rPr>
                <w:color w:val="auto"/>
                <w:szCs w:val="21"/>
              </w:rPr>
            </w:pPr>
            <w:r w:rsidRPr="00D8717D">
              <w:rPr>
                <w:rFonts w:hint="eastAsia"/>
                <w:color w:val="auto"/>
                <w:szCs w:val="21"/>
              </w:rPr>
              <w:t>深交所</w:t>
            </w:r>
          </w:p>
        </w:tc>
        <w:tc>
          <w:tcPr>
            <w:tcW w:w="1275" w:type="dxa"/>
            <w:vAlign w:val="center"/>
          </w:tcPr>
          <w:p w:rsidR="00F7144C" w:rsidRPr="00D8717D" w:rsidRDefault="00F7144C" w:rsidP="00FB177C">
            <w:pPr>
              <w:spacing w:line="240" w:lineRule="auto"/>
              <w:ind w:firstLine="0"/>
              <w:jc w:val="left"/>
              <w:rPr>
                <w:color w:val="auto"/>
                <w:szCs w:val="21"/>
              </w:rPr>
            </w:pPr>
            <w:r w:rsidRPr="00D8717D">
              <w:rPr>
                <w:rFonts w:hint="eastAsia"/>
                <w:color w:val="auto"/>
                <w:szCs w:val="21"/>
              </w:rPr>
              <w:t>中环股份</w:t>
            </w:r>
          </w:p>
        </w:tc>
        <w:tc>
          <w:tcPr>
            <w:tcW w:w="993" w:type="dxa"/>
            <w:vAlign w:val="center"/>
          </w:tcPr>
          <w:p w:rsidR="00F7144C" w:rsidRPr="00D8717D" w:rsidRDefault="00F7144C" w:rsidP="00FB177C">
            <w:pPr>
              <w:spacing w:line="240" w:lineRule="auto"/>
              <w:ind w:firstLine="0"/>
              <w:jc w:val="left"/>
              <w:rPr>
                <w:color w:val="auto"/>
                <w:szCs w:val="21"/>
              </w:rPr>
            </w:pPr>
            <w:r w:rsidRPr="00D8717D">
              <w:rPr>
                <w:rFonts w:hint="eastAsia"/>
                <w:color w:val="auto"/>
                <w:szCs w:val="21"/>
              </w:rPr>
              <w:t>002129</w:t>
            </w:r>
          </w:p>
        </w:tc>
        <w:tc>
          <w:tcPr>
            <w:tcW w:w="1417" w:type="dxa"/>
            <w:vAlign w:val="center"/>
          </w:tcPr>
          <w:p w:rsidR="00F7144C" w:rsidRPr="00D8717D" w:rsidRDefault="00F7144C" w:rsidP="00FB177C">
            <w:pPr>
              <w:spacing w:line="240" w:lineRule="auto"/>
              <w:ind w:firstLine="0"/>
              <w:jc w:val="right"/>
              <w:rPr>
                <w:color w:val="auto"/>
                <w:szCs w:val="21"/>
              </w:rPr>
            </w:pPr>
            <w:r w:rsidRPr="00D8717D">
              <w:rPr>
                <w:rFonts w:hint="eastAsia"/>
                <w:color w:val="auto"/>
                <w:szCs w:val="21"/>
              </w:rPr>
              <w:t>8.29</w:t>
            </w:r>
          </w:p>
        </w:tc>
        <w:tc>
          <w:tcPr>
            <w:tcW w:w="1276" w:type="dxa"/>
            <w:vAlign w:val="center"/>
          </w:tcPr>
          <w:p w:rsidR="00F7144C" w:rsidRPr="00D8717D" w:rsidRDefault="00F7144C" w:rsidP="00FB177C">
            <w:pPr>
              <w:spacing w:line="240" w:lineRule="auto"/>
              <w:ind w:firstLine="0"/>
              <w:jc w:val="right"/>
              <w:rPr>
                <w:color w:val="auto"/>
                <w:szCs w:val="21"/>
              </w:rPr>
            </w:pPr>
            <w:r w:rsidRPr="00D8717D">
              <w:rPr>
                <w:rFonts w:hint="eastAsia"/>
                <w:color w:val="auto"/>
                <w:szCs w:val="21"/>
              </w:rPr>
              <w:t>773</w:t>
            </w:r>
          </w:p>
        </w:tc>
        <w:tc>
          <w:tcPr>
            <w:tcW w:w="1417" w:type="dxa"/>
            <w:vAlign w:val="center"/>
          </w:tcPr>
          <w:p w:rsidR="00F7144C" w:rsidRPr="00D8717D" w:rsidRDefault="00F7144C" w:rsidP="00FB177C">
            <w:pPr>
              <w:spacing w:line="240" w:lineRule="auto"/>
              <w:ind w:firstLine="0"/>
              <w:jc w:val="right"/>
              <w:rPr>
                <w:color w:val="auto"/>
                <w:szCs w:val="21"/>
              </w:rPr>
            </w:pPr>
            <w:r w:rsidRPr="00D8717D">
              <w:rPr>
                <w:rFonts w:hint="eastAsia"/>
                <w:color w:val="auto"/>
                <w:szCs w:val="21"/>
              </w:rPr>
              <w:t>6,408.17</w:t>
            </w:r>
          </w:p>
        </w:tc>
        <w:tc>
          <w:tcPr>
            <w:tcW w:w="1418" w:type="dxa"/>
          </w:tcPr>
          <w:p w:rsidR="00F7144C" w:rsidRPr="00D8717D" w:rsidRDefault="00F7144C" w:rsidP="00FB177C">
            <w:pPr>
              <w:spacing w:line="240" w:lineRule="auto"/>
              <w:ind w:firstLine="0"/>
              <w:rPr>
                <w:color w:val="auto"/>
                <w:szCs w:val="21"/>
              </w:rPr>
            </w:pPr>
            <w:r w:rsidRPr="00D8717D">
              <w:rPr>
                <w:rFonts w:hint="eastAsia"/>
                <w:color w:val="auto"/>
                <w:szCs w:val="21"/>
              </w:rPr>
              <w:t>2016-04-2</w:t>
            </w:r>
            <w:r w:rsidR="00FB359B">
              <w:rPr>
                <w:rFonts w:hint="eastAsia"/>
                <w:color w:val="auto"/>
                <w:szCs w:val="21"/>
              </w:rPr>
              <w:t>5</w:t>
            </w:r>
          </w:p>
        </w:tc>
      </w:tr>
    </w:tbl>
    <w:p w:rsidR="00F72294" w:rsidRDefault="006E2231" w:rsidP="006E2231">
      <w:pPr>
        <w:pStyle w:val="a7"/>
        <w:widowControl/>
        <w:spacing w:after="120" w:line="240" w:lineRule="auto"/>
        <w:ind w:left="357" w:firstLineChars="0" w:firstLine="0"/>
        <w:rPr>
          <w:color w:val="auto"/>
          <w:kern w:val="0"/>
          <w:szCs w:val="21"/>
        </w:rPr>
      </w:pPr>
      <w:r>
        <w:rPr>
          <w:rFonts w:hint="eastAsia"/>
          <w:color w:val="auto"/>
          <w:kern w:val="0"/>
          <w:szCs w:val="21"/>
        </w:rPr>
        <w:t>上述停牌股票</w:t>
      </w:r>
      <w:r w:rsidR="001222B9">
        <w:rPr>
          <w:rFonts w:hint="eastAsia"/>
          <w:color w:val="auto"/>
          <w:kern w:val="0"/>
          <w:szCs w:val="21"/>
        </w:rPr>
        <w:t>的</w:t>
      </w:r>
      <w:r>
        <w:rPr>
          <w:rFonts w:hint="eastAsia"/>
          <w:color w:val="auto"/>
          <w:kern w:val="0"/>
          <w:szCs w:val="21"/>
        </w:rPr>
        <w:t>最后运作日市值合计人民币</w:t>
      </w:r>
      <w:r w:rsidR="00220589" w:rsidRPr="00220589">
        <w:rPr>
          <w:color w:val="auto"/>
          <w:kern w:val="0"/>
          <w:szCs w:val="21"/>
        </w:rPr>
        <w:t>149,155.11</w:t>
      </w:r>
      <w:r>
        <w:rPr>
          <w:rFonts w:hint="eastAsia"/>
          <w:color w:val="auto"/>
          <w:kern w:val="0"/>
          <w:szCs w:val="21"/>
        </w:rPr>
        <w:t>元，</w:t>
      </w:r>
      <w:r w:rsidR="0094704F">
        <w:rPr>
          <w:rFonts w:hint="eastAsia"/>
          <w:color w:val="auto"/>
          <w:kern w:val="0"/>
          <w:szCs w:val="21"/>
        </w:rPr>
        <w:t>为最大化保护基金份额持有人利益，基金管理人将根据所持未变现股票最后运作日估值价格</w:t>
      </w:r>
      <w:r w:rsidR="00F72294">
        <w:rPr>
          <w:rFonts w:hint="eastAsia"/>
          <w:color w:val="auto"/>
          <w:kern w:val="0"/>
          <w:szCs w:val="21"/>
        </w:rPr>
        <w:t>扣减清算期间派发股息后的净额，</w:t>
      </w:r>
      <w:r w:rsidR="0094704F">
        <w:rPr>
          <w:rFonts w:hint="eastAsia"/>
          <w:color w:val="auto"/>
          <w:kern w:val="0"/>
          <w:szCs w:val="21"/>
        </w:rPr>
        <w:t>以自有资金垫付等价现金。</w:t>
      </w:r>
      <w:r w:rsidR="00F72294">
        <w:rPr>
          <w:rFonts w:hint="eastAsia"/>
          <w:color w:val="auto"/>
          <w:kern w:val="0"/>
          <w:szCs w:val="21"/>
        </w:rPr>
        <w:t>本基金在</w:t>
      </w:r>
      <w:r w:rsidR="00F72294">
        <w:rPr>
          <w:rFonts w:hint="eastAsia"/>
          <w:color w:val="auto"/>
          <w:kern w:val="0"/>
          <w:szCs w:val="21"/>
        </w:rPr>
        <w:t>2016</w:t>
      </w:r>
      <w:r w:rsidR="00F72294">
        <w:rPr>
          <w:rFonts w:hint="eastAsia"/>
          <w:color w:val="auto"/>
          <w:kern w:val="0"/>
          <w:szCs w:val="21"/>
        </w:rPr>
        <w:t>年</w:t>
      </w:r>
      <w:r w:rsidR="00F72294">
        <w:rPr>
          <w:rFonts w:hint="eastAsia"/>
          <w:color w:val="auto"/>
          <w:kern w:val="0"/>
          <w:szCs w:val="21"/>
        </w:rPr>
        <w:t>7</w:t>
      </w:r>
      <w:r w:rsidR="00F72294">
        <w:rPr>
          <w:rFonts w:hint="eastAsia"/>
          <w:color w:val="auto"/>
          <w:kern w:val="0"/>
          <w:szCs w:val="21"/>
        </w:rPr>
        <w:t>月</w:t>
      </w:r>
      <w:r w:rsidR="00F72294">
        <w:rPr>
          <w:rFonts w:hint="eastAsia"/>
          <w:color w:val="auto"/>
          <w:kern w:val="0"/>
          <w:szCs w:val="21"/>
        </w:rPr>
        <w:t>5</w:t>
      </w:r>
      <w:r w:rsidR="00F72294">
        <w:rPr>
          <w:rFonts w:hint="eastAsia"/>
          <w:color w:val="auto"/>
          <w:kern w:val="0"/>
          <w:szCs w:val="21"/>
        </w:rPr>
        <w:t>日收到中环股份股息款</w:t>
      </w:r>
      <w:r w:rsidR="00F72294">
        <w:rPr>
          <w:rFonts w:hint="eastAsia"/>
          <w:color w:val="auto"/>
          <w:kern w:val="0"/>
          <w:szCs w:val="21"/>
        </w:rPr>
        <w:t>15.46</w:t>
      </w:r>
      <w:r w:rsidR="00F72294">
        <w:rPr>
          <w:rFonts w:hint="eastAsia"/>
          <w:color w:val="auto"/>
          <w:kern w:val="0"/>
          <w:szCs w:val="21"/>
        </w:rPr>
        <w:t>元，在</w:t>
      </w:r>
      <w:r w:rsidR="00F72294">
        <w:rPr>
          <w:rFonts w:hint="eastAsia"/>
          <w:color w:val="auto"/>
          <w:kern w:val="0"/>
          <w:szCs w:val="21"/>
        </w:rPr>
        <w:t>2016</w:t>
      </w:r>
      <w:r w:rsidR="00F72294">
        <w:rPr>
          <w:rFonts w:hint="eastAsia"/>
          <w:color w:val="auto"/>
          <w:kern w:val="0"/>
          <w:szCs w:val="21"/>
        </w:rPr>
        <w:t>年</w:t>
      </w:r>
      <w:r w:rsidR="00F72294">
        <w:rPr>
          <w:rFonts w:hint="eastAsia"/>
          <w:color w:val="auto"/>
          <w:kern w:val="0"/>
          <w:szCs w:val="21"/>
        </w:rPr>
        <w:t>7</w:t>
      </w:r>
      <w:r w:rsidR="00F72294">
        <w:rPr>
          <w:rFonts w:hint="eastAsia"/>
          <w:color w:val="auto"/>
          <w:kern w:val="0"/>
          <w:szCs w:val="21"/>
        </w:rPr>
        <w:t>月</w:t>
      </w:r>
      <w:r w:rsidR="00F72294">
        <w:rPr>
          <w:rFonts w:hint="eastAsia"/>
          <w:color w:val="auto"/>
          <w:kern w:val="0"/>
          <w:szCs w:val="21"/>
        </w:rPr>
        <w:t>7</w:t>
      </w:r>
      <w:r w:rsidR="00F72294">
        <w:rPr>
          <w:rFonts w:hint="eastAsia"/>
          <w:color w:val="auto"/>
          <w:kern w:val="0"/>
          <w:szCs w:val="21"/>
        </w:rPr>
        <w:t>日收到格力电器股息款</w:t>
      </w:r>
      <w:r w:rsidR="00F72294">
        <w:rPr>
          <w:rFonts w:hint="eastAsia"/>
          <w:color w:val="auto"/>
          <w:kern w:val="0"/>
          <w:szCs w:val="21"/>
        </w:rPr>
        <w:t>11,140.50</w:t>
      </w:r>
      <w:r w:rsidR="00F72294">
        <w:rPr>
          <w:rFonts w:hint="eastAsia"/>
          <w:color w:val="auto"/>
          <w:kern w:val="0"/>
          <w:szCs w:val="21"/>
        </w:rPr>
        <w:t>元，合计收到股息款为</w:t>
      </w:r>
      <w:r w:rsidR="00F72294">
        <w:rPr>
          <w:rFonts w:hint="eastAsia"/>
          <w:color w:val="auto"/>
          <w:kern w:val="0"/>
          <w:szCs w:val="21"/>
        </w:rPr>
        <w:t>11,155.96</w:t>
      </w:r>
      <w:r w:rsidR="00F72294">
        <w:rPr>
          <w:rFonts w:hint="eastAsia"/>
          <w:color w:val="auto"/>
          <w:kern w:val="0"/>
          <w:szCs w:val="21"/>
        </w:rPr>
        <w:t>元。基金管理人以自有资金垫付金额为</w:t>
      </w:r>
      <w:r w:rsidR="00F72294">
        <w:rPr>
          <w:rFonts w:hint="eastAsia"/>
          <w:color w:val="auto"/>
          <w:kern w:val="0"/>
          <w:szCs w:val="21"/>
        </w:rPr>
        <w:t>137,999.15</w:t>
      </w:r>
      <w:r w:rsidR="00F72294">
        <w:rPr>
          <w:rFonts w:hint="eastAsia"/>
          <w:color w:val="auto"/>
          <w:kern w:val="0"/>
          <w:szCs w:val="21"/>
        </w:rPr>
        <w:t>元。</w:t>
      </w:r>
    </w:p>
    <w:p w:rsidR="006E2231" w:rsidRDefault="0094704F" w:rsidP="006E2231">
      <w:pPr>
        <w:pStyle w:val="a7"/>
        <w:widowControl/>
        <w:spacing w:after="120" w:line="240" w:lineRule="auto"/>
        <w:ind w:left="357" w:firstLineChars="0" w:firstLine="0"/>
        <w:rPr>
          <w:color w:val="auto"/>
          <w:kern w:val="0"/>
          <w:szCs w:val="21"/>
        </w:rPr>
      </w:pPr>
      <w:r>
        <w:rPr>
          <w:rFonts w:hint="eastAsia"/>
          <w:color w:val="auto"/>
          <w:kern w:val="0"/>
          <w:szCs w:val="21"/>
        </w:rPr>
        <w:t>待上述股票变现后，若其变现金额高于</w:t>
      </w:r>
      <w:r w:rsidR="00F72294">
        <w:rPr>
          <w:rFonts w:hint="eastAsia"/>
          <w:color w:val="auto"/>
          <w:kern w:val="0"/>
          <w:szCs w:val="21"/>
        </w:rPr>
        <w:t>垫付金额</w:t>
      </w:r>
      <w:r>
        <w:rPr>
          <w:rFonts w:hint="eastAsia"/>
          <w:color w:val="auto"/>
          <w:kern w:val="0"/>
          <w:szCs w:val="21"/>
        </w:rPr>
        <w:t>，则该差额将按基金份额持有人持有的基金份额比例追偿给基金份额持有人，若变现金额小于</w:t>
      </w:r>
      <w:r w:rsidR="00F72294">
        <w:rPr>
          <w:rFonts w:hint="eastAsia"/>
          <w:color w:val="auto"/>
          <w:kern w:val="0"/>
          <w:szCs w:val="21"/>
        </w:rPr>
        <w:t>垫付金额</w:t>
      </w:r>
      <w:r>
        <w:rPr>
          <w:rFonts w:hint="eastAsia"/>
          <w:color w:val="auto"/>
          <w:kern w:val="0"/>
          <w:szCs w:val="21"/>
        </w:rPr>
        <w:t>，则由基金管理人承担相应损失。</w:t>
      </w:r>
    </w:p>
    <w:p w:rsidR="003524F7" w:rsidRPr="0094704F" w:rsidRDefault="00287DDE" w:rsidP="000C41DB">
      <w:pPr>
        <w:spacing w:before="120" w:after="120" w:line="300" w:lineRule="auto"/>
        <w:ind w:firstLine="0"/>
        <w:rPr>
          <w:color w:val="auto"/>
          <w:kern w:val="0"/>
          <w:szCs w:val="21"/>
        </w:rPr>
      </w:pPr>
      <w:r w:rsidRPr="0094704F">
        <w:rPr>
          <w:rFonts w:hint="eastAsia"/>
          <w:color w:val="auto"/>
          <w:kern w:val="0"/>
          <w:szCs w:val="21"/>
        </w:rPr>
        <w:t>3</w:t>
      </w:r>
      <w:r w:rsidR="003524F7" w:rsidRPr="0094704F">
        <w:rPr>
          <w:rFonts w:hint="eastAsia"/>
          <w:color w:val="auto"/>
          <w:kern w:val="0"/>
          <w:szCs w:val="21"/>
        </w:rPr>
        <w:t>、负债清偿情况</w:t>
      </w:r>
    </w:p>
    <w:p w:rsidR="003524F7" w:rsidRPr="0094704F" w:rsidRDefault="003524F7" w:rsidP="006E2231">
      <w:pPr>
        <w:pStyle w:val="a7"/>
        <w:numPr>
          <w:ilvl w:val="0"/>
          <w:numId w:val="8"/>
        </w:numPr>
        <w:spacing w:line="240" w:lineRule="auto"/>
        <w:ind w:firstLineChars="0"/>
        <w:rPr>
          <w:color w:val="auto"/>
          <w:kern w:val="0"/>
          <w:szCs w:val="21"/>
        </w:rPr>
      </w:pPr>
      <w:r w:rsidRPr="0094704F">
        <w:rPr>
          <w:rFonts w:hint="eastAsia"/>
          <w:color w:val="auto"/>
          <w:kern w:val="0"/>
          <w:szCs w:val="21"/>
        </w:rPr>
        <w:t>本基金最后运作日应付赎回款人民币</w:t>
      </w:r>
      <w:r w:rsidRPr="0094704F">
        <w:rPr>
          <w:color w:val="auto"/>
          <w:kern w:val="0"/>
          <w:szCs w:val="21"/>
        </w:rPr>
        <w:t>169,210.69</w:t>
      </w:r>
      <w:r w:rsidRPr="0094704F">
        <w:rPr>
          <w:rFonts w:hint="eastAsia"/>
          <w:color w:val="auto"/>
          <w:kern w:val="0"/>
          <w:szCs w:val="21"/>
        </w:rPr>
        <w:t>元，该款项已于</w:t>
      </w:r>
      <w:r w:rsidRPr="0094704F">
        <w:rPr>
          <w:rFonts w:hint="eastAsia"/>
          <w:color w:val="auto"/>
          <w:kern w:val="0"/>
          <w:szCs w:val="21"/>
        </w:rPr>
        <w:t>2016</w:t>
      </w:r>
      <w:r w:rsidRPr="0094704F">
        <w:rPr>
          <w:rFonts w:hint="eastAsia"/>
          <w:color w:val="auto"/>
          <w:kern w:val="0"/>
          <w:szCs w:val="21"/>
        </w:rPr>
        <w:t>年</w:t>
      </w:r>
      <w:r w:rsidRPr="0094704F">
        <w:rPr>
          <w:rFonts w:hint="eastAsia"/>
          <w:color w:val="auto"/>
          <w:kern w:val="0"/>
          <w:szCs w:val="21"/>
        </w:rPr>
        <w:t>4</w:t>
      </w:r>
      <w:r w:rsidRPr="0094704F">
        <w:rPr>
          <w:rFonts w:hint="eastAsia"/>
          <w:color w:val="auto"/>
          <w:kern w:val="0"/>
          <w:szCs w:val="21"/>
        </w:rPr>
        <w:t>月</w:t>
      </w:r>
      <w:r w:rsidRPr="0094704F">
        <w:rPr>
          <w:rFonts w:hint="eastAsia"/>
          <w:color w:val="auto"/>
          <w:kern w:val="0"/>
          <w:szCs w:val="21"/>
        </w:rPr>
        <w:t>27</w:t>
      </w:r>
      <w:r w:rsidRPr="0094704F">
        <w:rPr>
          <w:rFonts w:hint="eastAsia"/>
          <w:color w:val="auto"/>
          <w:kern w:val="0"/>
          <w:szCs w:val="21"/>
        </w:rPr>
        <w:t>日支付。</w:t>
      </w:r>
    </w:p>
    <w:p w:rsidR="003524F7" w:rsidRPr="0094704F" w:rsidRDefault="003524F7" w:rsidP="006E2231">
      <w:pPr>
        <w:pStyle w:val="a7"/>
        <w:numPr>
          <w:ilvl w:val="0"/>
          <w:numId w:val="8"/>
        </w:numPr>
        <w:spacing w:line="240" w:lineRule="auto"/>
        <w:ind w:firstLineChars="0"/>
        <w:rPr>
          <w:color w:val="auto"/>
          <w:kern w:val="0"/>
          <w:szCs w:val="21"/>
        </w:rPr>
      </w:pPr>
      <w:r w:rsidRPr="0094704F">
        <w:rPr>
          <w:rFonts w:hint="eastAsia"/>
          <w:color w:val="auto"/>
          <w:kern w:val="0"/>
          <w:szCs w:val="21"/>
        </w:rPr>
        <w:t>本基金最后运作日应付管理</w:t>
      </w:r>
      <w:r w:rsidRPr="0094704F">
        <w:rPr>
          <w:color w:val="auto"/>
          <w:szCs w:val="21"/>
        </w:rPr>
        <w:t>人报酬</w:t>
      </w:r>
      <w:r w:rsidRPr="0094704F">
        <w:rPr>
          <w:rFonts w:hint="eastAsia"/>
          <w:color w:val="auto"/>
          <w:kern w:val="0"/>
          <w:szCs w:val="21"/>
        </w:rPr>
        <w:t>人民币</w:t>
      </w:r>
      <w:r w:rsidRPr="0094704F">
        <w:rPr>
          <w:color w:val="auto"/>
          <w:kern w:val="0"/>
          <w:szCs w:val="21"/>
        </w:rPr>
        <w:t>9,413.17</w:t>
      </w:r>
      <w:r w:rsidRPr="0094704F">
        <w:rPr>
          <w:rFonts w:hint="eastAsia"/>
          <w:color w:val="auto"/>
          <w:kern w:val="0"/>
          <w:szCs w:val="21"/>
        </w:rPr>
        <w:t>元，该款项</w:t>
      </w:r>
      <w:r w:rsidR="00EF28F0">
        <w:rPr>
          <w:rFonts w:hint="eastAsia"/>
          <w:color w:val="auto"/>
          <w:kern w:val="0"/>
          <w:szCs w:val="21"/>
        </w:rPr>
        <w:t>将</w:t>
      </w:r>
      <w:r w:rsidR="00454540" w:rsidRPr="0094704F">
        <w:rPr>
          <w:rFonts w:hint="eastAsia"/>
          <w:color w:val="auto"/>
          <w:kern w:val="0"/>
          <w:szCs w:val="21"/>
        </w:rPr>
        <w:t>于</w:t>
      </w:r>
      <w:r w:rsidRPr="0094704F">
        <w:rPr>
          <w:rFonts w:hint="eastAsia"/>
          <w:color w:val="auto"/>
          <w:kern w:val="0"/>
          <w:szCs w:val="21"/>
        </w:rPr>
        <w:t>2016</w:t>
      </w:r>
      <w:r w:rsidRPr="0094704F">
        <w:rPr>
          <w:rFonts w:hint="eastAsia"/>
          <w:color w:val="auto"/>
          <w:kern w:val="0"/>
          <w:szCs w:val="21"/>
        </w:rPr>
        <w:t>年</w:t>
      </w:r>
      <w:r w:rsidR="00454540">
        <w:rPr>
          <w:color w:val="auto"/>
          <w:kern w:val="0"/>
          <w:szCs w:val="21"/>
        </w:rPr>
        <w:t>7</w:t>
      </w:r>
      <w:r w:rsidRPr="0094704F">
        <w:rPr>
          <w:rFonts w:hint="eastAsia"/>
          <w:color w:val="auto"/>
          <w:kern w:val="0"/>
          <w:szCs w:val="21"/>
        </w:rPr>
        <w:t>月</w:t>
      </w:r>
      <w:r w:rsidR="00EF28F0">
        <w:rPr>
          <w:color w:val="auto"/>
          <w:kern w:val="0"/>
          <w:szCs w:val="21"/>
        </w:rPr>
        <w:t>7</w:t>
      </w:r>
      <w:r w:rsidRPr="0094704F">
        <w:rPr>
          <w:rFonts w:hint="eastAsia"/>
          <w:color w:val="auto"/>
          <w:kern w:val="0"/>
          <w:szCs w:val="21"/>
        </w:rPr>
        <w:t>日</w:t>
      </w:r>
      <w:r w:rsidR="00EF28F0">
        <w:rPr>
          <w:rFonts w:hint="eastAsia"/>
          <w:color w:val="auto"/>
          <w:kern w:val="0"/>
          <w:szCs w:val="21"/>
        </w:rPr>
        <w:t>后</w:t>
      </w:r>
      <w:r w:rsidRPr="0094704F">
        <w:rPr>
          <w:rFonts w:hint="eastAsia"/>
          <w:color w:val="auto"/>
          <w:kern w:val="0"/>
          <w:szCs w:val="21"/>
        </w:rPr>
        <w:t>支付。</w:t>
      </w:r>
    </w:p>
    <w:p w:rsidR="003524F7" w:rsidRPr="0094704F" w:rsidRDefault="003524F7" w:rsidP="006E2231">
      <w:pPr>
        <w:pStyle w:val="a7"/>
        <w:numPr>
          <w:ilvl w:val="0"/>
          <w:numId w:val="8"/>
        </w:numPr>
        <w:spacing w:line="240" w:lineRule="auto"/>
        <w:ind w:firstLineChars="0"/>
        <w:rPr>
          <w:color w:val="auto"/>
          <w:kern w:val="0"/>
          <w:szCs w:val="21"/>
        </w:rPr>
      </w:pPr>
      <w:r w:rsidRPr="0094704F">
        <w:rPr>
          <w:rFonts w:hint="eastAsia"/>
          <w:color w:val="auto"/>
          <w:kern w:val="0"/>
          <w:szCs w:val="21"/>
        </w:rPr>
        <w:t>本基金最后运作日</w:t>
      </w:r>
      <w:r w:rsidRPr="0094704F">
        <w:rPr>
          <w:color w:val="auto"/>
          <w:szCs w:val="21"/>
        </w:rPr>
        <w:t>应付托管费</w:t>
      </w:r>
      <w:r w:rsidRPr="0094704F">
        <w:rPr>
          <w:rFonts w:hint="eastAsia"/>
          <w:color w:val="auto"/>
          <w:kern w:val="0"/>
          <w:szCs w:val="21"/>
        </w:rPr>
        <w:t>人民币</w:t>
      </w:r>
      <w:r w:rsidRPr="0094704F">
        <w:rPr>
          <w:color w:val="auto"/>
          <w:kern w:val="0"/>
          <w:szCs w:val="21"/>
        </w:rPr>
        <w:t>1,764.97</w:t>
      </w:r>
      <w:r w:rsidRPr="0094704F">
        <w:rPr>
          <w:rFonts w:hint="eastAsia"/>
          <w:color w:val="auto"/>
          <w:kern w:val="0"/>
          <w:szCs w:val="21"/>
        </w:rPr>
        <w:t>元，该款项</w:t>
      </w:r>
      <w:r w:rsidR="00EF28F0">
        <w:rPr>
          <w:rFonts w:hint="eastAsia"/>
          <w:color w:val="auto"/>
          <w:kern w:val="0"/>
          <w:szCs w:val="21"/>
        </w:rPr>
        <w:t>将</w:t>
      </w:r>
      <w:r w:rsidR="00EF28F0" w:rsidRPr="0094704F">
        <w:rPr>
          <w:rFonts w:hint="eastAsia"/>
          <w:color w:val="auto"/>
          <w:kern w:val="0"/>
          <w:szCs w:val="21"/>
        </w:rPr>
        <w:t>于</w:t>
      </w:r>
      <w:r w:rsidR="00EF28F0" w:rsidRPr="0094704F">
        <w:rPr>
          <w:rFonts w:hint="eastAsia"/>
          <w:color w:val="auto"/>
          <w:kern w:val="0"/>
          <w:szCs w:val="21"/>
        </w:rPr>
        <w:t>2016</w:t>
      </w:r>
      <w:r w:rsidR="00EF28F0" w:rsidRPr="0094704F">
        <w:rPr>
          <w:rFonts w:hint="eastAsia"/>
          <w:color w:val="auto"/>
          <w:kern w:val="0"/>
          <w:szCs w:val="21"/>
        </w:rPr>
        <w:t>年</w:t>
      </w:r>
      <w:r w:rsidR="00EF28F0">
        <w:rPr>
          <w:color w:val="auto"/>
          <w:kern w:val="0"/>
          <w:szCs w:val="21"/>
        </w:rPr>
        <w:t>7</w:t>
      </w:r>
      <w:r w:rsidR="00EF28F0" w:rsidRPr="0094704F">
        <w:rPr>
          <w:rFonts w:hint="eastAsia"/>
          <w:color w:val="auto"/>
          <w:kern w:val="0"/>
          <w:szCs w:val="21"/>
        </w:rPr>
        <w:t>月</w:t>
      </w:r>
      <w:r w:rsidR="00EF28F0">
        <w:rPr>
          <w:color w:val="auto"/>
          <w:kern w:val="0"/>
          <w:szCs w:val="21"/>
        </w:rPr>
        <w:t>7</w:t>
      </w:r>
      <w:r w:rsidR="00EF28F0" w:rsidRPr="0094704F">
        <w:rPr>
          <w:rFonts w:hint="eastAsia"/>
          <w:color w:val="auto"/>
          <w:kern w:val="0"/>
          <w:szCs w:val="21"/>
        </w:rPr>
        <w:t>日</w:t>
      </w:r>
      <w:r w:rsidR="00EF28F0">
        <w:rPr>
          <w:rFonts w:hint="eastAsia"/>
          <w:color w:val="auto"/>
          <w:kern w:val="0"/>
          <w:szCs w:val="21"/>
        </w:rPr>
        <w:t>后</w:t>
      </w:r>
      <w:r w:rsidRPr="0094704F">
        <w:rPr>
          <w:rFonts w:hint="eastAsia"/>
          <w:color w:val="auto"/>
          <w:kern w:val="0"/>
          <w:szCs w:val="21"/>
        </w:rPr>
        <w:t>支付。</w:t>
      </w:r>
    </w:p>
    <w:p w:rsidR="003524F7" w:rsidRPr="0094704F" w:rsidRDefault="003524F7" w:rsidP="006E2231">
      <w:pPr>
        <w:pStyle w:val="a7"/>
        <w:numPr>
          <w:ilvl w:val="0"/>
          <w:numId w:val="8"/>
        </w:numPr>
        <w:spacing w:line="240" w:lineRule="auto"/>
        <w:ind w:firstLineChars="0"/>
        <w:rPr>
          <w:color w:val="auto"/>
          <w:kern w:val="0"/>
          <w:szCs w:val="21"/>
        </w:rPr>
      </w:pPr>
      <w:r w:rsidRPr="0094704F">
        <w:rPr>
          <w:rFonts w:hint="eastAsia"/>
          <w:color w:val="auto"/>
          <w:kern w:val="0"/>
          <w:szCs w:val="21"/>
        </w:rPr>
        <w:t>本基金最后运作日应付交易费用人民币</w:t>
      </w:r>
      <w:r w:rsidRPr="0094704F">
        <w:rPr>
          <w:color w:val="auto"/>
          <w:kern w:val="0"/>
          <w:szCs w:val="21"/>
        </w:rPr>
        <w:t>20,239.42</w:t>
      </w:r>
      <w:r w:rsidRPr="0094704F">
        <w:rPr>
          <w:rFonts w:hint="eastAsia"/>
          <w:color w:val="auto"/>
          <w:kern w:val="0"/>
          <w:szCs w:val="21"/>
        </w:rPr>
        <w:t>元，该款项</w:t>
      </w:r>
      <w:r w:rsidR="00EF28F0">
        <w:rPr>
          <w:rFonts w:hint="eastAsia"/>
          <w:color w:val="auto"/>
          <w:kern w:val="0"/>
          <w:szCs w:val="21"/>
        </w:rPr>
        <w:t>将</w:t>
      </w:r>
      <w:r w:rsidR="00EF28F0" w:rsidRPr="0094704F">
        <w:rPr>
          <w:rFonts w:hint="eastAsia"/>
          <w:color w:val="auto"/>
          <w:kern w:val="0"/>
          <w:szCs w:val="21"/>
        </w:rPr>
        <w:t>于</w:t>
      </w:r>
      <w:r w:rsidR="00EF28F0" w:rsidRPr="0094704F">
        <w:rPr>
          <w:rFonts w:hint="eastAsia"/>
          <w:color w:val="auto"/>
          <w:kern w:val="0"/>
          <w:szCs w:val="21"/>
        </w:rPr>
        <w:t>2016</w:t>
      </w:r>
      <w:r w:rsidR="00EF28F0" w:rsidRPr="0094704F">
        <w:rPr>
          <w:rFonts w:hint="eastAsia"/>
          <w:color w:val="auto"/>
          <w:kern w:val="0"/>
          <w:szCs w:val="21"/>
        </w:rPr>
        <w:t>年</w:t>
      </w:r>
      <w:r w:rsidR="00EF28F0">
        <w:rPr>
          <w:color w:val="auto"/>
          <w:kern w:val="0"/>
          <w:szCs w:val="21"/>
        </w:rPr>
        <w:t>7</w:t>
      </w:r>
      <w:r w:rsidR="00EF28F0" w:rsidRPr="0094704F">
        <w:rPr>
          <w:rFonts w:hint="eastAsia"/>
          <w:color w:val="auto"/>
          <w:kern w:val="0"/>
          <w:szCs w:val="21"/>
        </w:rPr>
        <w:t>月</w:t>
      </w:r>
      <w:r w:rsidR="00EF28F0">
        <w:rPr>
          <w:color w:val="auto"/>
          <w:kern w:val="0"/>
          <w:szCs w:val="21"/>
        </w:rPr>
        <w:t>7</w:t>
      </w:r>
      <w:r w:rsidR="00EF28F0" w:rsidRPr="0094704F">
        <w:rPr>
          <w:rFonts w:hint="eastAsia"/>
          <w:color w:val="auto"/>
          <w:kern w:val="0"/>
          <w:szCs w:val="21"/>
        </w:rPr>
        <w:t>日</w:t>
      </w:r>
      <w:r w:rsidR="00EF28F0">
        <w:rPr>
          <w:rFonts w:hint="eastAsia"/>
          <w:color w:val="auto"/>
          <w:kern w:val="0"/>
          <w:szCs w:val="21"/>
        </w:rPr>
        <w:t>后</w:t>
      </w:r>
      <w:r w:rsidRPr="0094704F">
        <w:rPr>
          <w:rFonts w:hint="eastAsia"/>
          <w:color w:val="auto"/>
          <w:kern w:val="0"/>
          <w:szCs w:val="21"/>
        </w:rPr>
        <w:t>支付。</w:t>
      </w:r>
    </w:p>
    <w:p w:rsidR="006E2231" w:rsidRPr="0094704F" w:rsidRDefault="003524F7" w:rsidP="006E2231">
      <w:pPr>
        <w:pStyle w:val="a7"/>
        <w:numPr>
          <w:ilvl w:val="0"/>
          <w:numId w:val="8"/>
        </w:numPr>
        <w:spacing w:line="240" w:lineRule="auto"/>
        <w:ind w:firstLineChars="0"/>
        <w:rPr>
          <w:color w:val="auto"/>
          <w:kern w:val="0"/>
          <w:szCs w:val="21"/>
        </w:rPr>
      </w:pPr>
      <w:r w:rsidRPr="0094704F">
        <w:rPr>
          <w:rFonts w:hint="eastAsia"/>
          <w:color w:val="auto"/>
          <w:kern w:val="0"/>
          <w:szCs w:val="21"/>
        </w:rPr>
        <w:t>本基金最后运作日</w:t>
      </w:r>
      <w:r w:rsidRPr="0094704F">
        <w:rPr>
          <w:color w:val="auto"/>
          <w:szCs w:val="21"/>
        </w:rPr>
        <w:t>其他</w:t>
      </w:r>
      <w:r w:rsidR="006E2231" w:rsidRPr="0094704F">
        <w:rPr>
          <w:rFonts w:hint="eastAsia"/>
          <w:color w:val="auto"/>
          <w:szCs w:val="21"/>
        </w:rPr>
        <w:t>负债</w:t>
      </w:r>
      <w:r w:rsidRPr="0094704F">
        <w:rPr>
          <w:rFonts w:hint="eastAsia"/>
          <w:color w:val="auto"/>
          <w:kern w:val="0"/>
          <w:szCs w:val="21"/>
        </w:rPr>
        <w:t>人民币</w:t>
      </w:r>
      <w:r w:rsidR="006E2231" w:rsidRPr="0094704F">
        <w:rPr>
          <w:rFonts w:hint="eastAsia"/>
          <w:color w:val="auto"/>
          <w:kern w:val="0"/>
          <w:szCs w:val="21"/>
        </w:rPr>
        <w:t>187,797.87</w:t>
      </w:r>
      <w:r w:rsidRPr="0094704F">
        <w:rPr>
          <w:rFonts w:hint="eastAsia"/>
          <w:color w:val="auto"/>
          <w:kern w:val="0"/>
          <w:szCs w:val="21"/>
        </w:rPr>
        <w:t>元，包括：</w:t>
      </w:r>
      <w:r w:rsidR="006E2231" w:rsidRPr="0094704F">
        <w:rPr>
          <w:rFonts w:hint="eastAsia"/>
          <w:color w:val="auto"/>
          <w:kern w:val="0"/>
          <w:szCs w:val="21"/>
        </w:rPr>
        <w:t>应付赎回费人民币</w:t>
      </w:r>
      <w:r w:rsidR="006E2231" w:rsidRPr="0094704F">
        <w:rPr>
          <w:rFonts w:hint="eastAsia"/>
          <w:color w:val="auto"/>
          <w:kern w:val="0"/>
          <w:szCs w:val="21"/>
        </w:rPr>
        <w:t>176.45</w:t>
      </w:r>
      <w:r w:rsidR="006E2231" w:rsidRPr="0094704F">
        <w:rPr>
          <w:rFonts w:hint="eastAsia"/>
          <w:color w:val="auto"/>
          <w:kern w:val="0"/>
          <w:szCs w:val="21"/>
        </w:rPr>
        <w:t>元，该款项已于</w:t>
      </w:r>
      <w:r w:rsidR="006E2231" w:rsidRPr="0094704F">
        <w:rPr>
          <w:rFonts w:hint="eastAsia"/>
          <w:color w:val="auto"/>
          <w:kern w:val="0"/>
          <w:szCs w:val="21"/>
        </w:rPr>
        <w:t>2016</w:t>
      </w:r>
      <w:r w:rsidR="006E2231" w:rsidRPr="0094704F">
        <w:rPr>
          <w:rFonts w:hint="eastAsia"/>
          <w:color w:val="auto"/>
          <w:kern w:val="0"/>
          <w:szCs w:val="21"/>
        </w:rPr>
        <w:t>年</w:t>
      </w:r>
      <w:r w:rsidR="006E2231" w:rsidRPr="0094704F">
        <w:rPr>
          <w:rFonts w:hint="eastAsia"/>
          <w:color w:val="auto"/>
          <w:kern w:val="0"/>
          <w:szCs w:val="21"/>
        </w:rPr>
        <w:t>4</w:t>
      </w:r>
      <w:r w:rsidR="006E2231" w:rsidRPr="0094704F">
        <w:rPr>
          <w:rFonts w:hint="eastAsia"/>
          <w:color w:val="auto"/>
          <w:kern w:val="0"/>
          <w:szCs w:val="21"/>
        </w:rPr>
        <w:t>月</w:t>
      </w:r>
      <w:r w:rsidR="006E2231" w:rsidRPr="0094704F">
        <w:rPr>
          <w:rFonts w:hint="eastAsia"/>
          <w:color w:val="auto"/>
          <w:kern w:val="0"/>
          <w:szCs w:val="21"/>
        </w:rPr>
        <w:t>27</w:t>
      </w:r>
      <w:r w:rsidR="006E2231" w:rsidRPr="0094704F">
        <w:rPr>
          <w:rFonts w:hint="eastAsia"/>
          <w:color w:val="auto"/>
          <w:kern w:val="0"/>
          <w:szCs w:val="21"/>
        </w:rPr>
        <w:t>日支付；应付</w:t>
      </w:r>
      <w:r w:rsidR="006E2231" w:rsidRPr="0094704F">
        <w:rPr>
          <w:rFonts w:hint="eastAsia"/>
          <w:color w:val="auto"/>
          <w:kern w:val="0"/>
          <w:szCs w:val="21"/>
        </w:rPr>
        <w:t>TA</w:t>
      </w:r>
      <w:r w:rsidR="006E2231" w:rsidRPr="0094704F">
        <w:rPr>
          <w:rFonts w:hint="eastAsia"/>
          <w:color w:val="auto"/>
          <w:kern w:val="0"/>
          <w:szCs w:val="21"/>
        </w:rPr>
        <w:t>服务费</w:t>
      </w:r>
      <w:r w:rsidR="006E2231" w:rsidRPr="0094704F">
        <w:rPr>
          <w:rFonts w:hint="eastAsia"/>
          <w:color w:val="auto"/>
          <w:kern w:val="0"/>
          <w:szCs w:val="21"/>
        </w:rPr>
        <w:t>549.95</w:t>
      </w:r>
      <w:r w:rsidR="006E2231" w:rsidRPr="0094704F">
        <w:rPr>
          <w:rFonts w:hint="eastAsia"/>
          <w:color w:val="auto"/>
          <w:kern w:val="0"/>
          <w:szCs w:val="21"/>
        </w:rPr>
        <w:t>元、应付律师费</w:t>
      </w:r>
      <w:r w:rsidR="006E2231" w:rsidRPr="0094704F">
        <w:rPr>
          <w:rFonts w:hint="eastAsia"/>
          <w:color w:val="auto"/>
          <w:kern w:val="0"/>
          <w:szCs w:val="21"/>
        </w:rPr>
        <w:t>30,000.00</w:t>
      </w:r>
      <w:r w:rsidR="006E2231" w:rsidRPr="0094704F">
        <w:rPr>
          <w:rFonts w:hint="eastAsia"/>
          <w:color w:val="auto"/>
          <w:kern w:val="0"/>
          <w:szCs w:val="21"/>
        </w:rPr>
        <w:t>元、应付审计费人民币</w:t>
      </w:r>
      <w:r w:rsidR="006E2231" w:rsidRPr="0094704F">
        <w:rPr>
          <w:color w:val="auto"/>
          <w:kern w:val="0"/>
          <w:szCs w:val="21"/>
        </w:rPr>
        <w:t>30,000.00</w:t>
      </w:r>
      <w:r w:rsidR="006E2231" w:rsidRPr="0094704F">
        <w:rPr>
          <w:rFonts w:hint="eastAsia"/>
          <w:color w:val="auto"/>
          <w:kern w:val="0"/>
          <w:szCs w:val="21"/>
        </w:rPr>
        <w:t>元、应付信息披露费人民币</w:t>
      </w:r>
      <w:r w:rsidR="006E2231" w:rsidRPr="0094704F">
        <w:rPr>
          <w:color w:val="auto"/>
          <w:kern w:val="0"/>
          <w:szCs w:val="21"/>
        </w:rPr>
        <w:t>62,785.76</w:t>
      </w:r>
      <w:r w:rsidR="006E2231" w:rsidRPr="0094704F">
        <w:rPr>
          <w:rFonts w:hint="eastAsia"/>
          <w:color w:val="auto"/>
          <w:kern w:val="0"/>
          <w:szCs w:val="21"/>
        </w:rPr>
        <w:t>元、应付指数使用费人民币</w:t>
      </w:r>
      <w:r w:rsidR="006E2231" w:rsidRPr="0094704F">
        <w:rPr>
          <w:color w:val="auto"/>
          <w:kern w:val="0"/>
          <w:szCs w:val="21"/>
        </w:rPr>
        <w:t>64,285.71</w:t>
      </w:r>
      <w:r w:rsidR="006E2231" w:rsidRPr="0094704F">
        <w:rPr>
          <w:rFonts w:hint="eastAsia"/>
          <w:color w:val="auto"/>
          <w:kern w:val="0"/>
          <w:szCs w:val="21"/>
        </w:rPr>
        <w:t>元，该部分款项</w:t>
      </w:r>
      <w:r w:rsidR="00EF28F0">
        <w:rPr>
          <w:rFonts w:hint="eastAsia"/>
          <w:color w:val="auto"/>
          <w:kern w:val="0"/>
          <w:szCs w:val="21"/>
        </w:rPr>
        <w:t>将</w:t>
      </w:r>
      <w:r w:rsidR="00EF28F0" w:rsidRPr="0094704F">
        <w:rPr>
          <w:rFonts w:hint="eastAsia"/>
          <w:color w:val="auto"/>
          <w:kern w:val="0"/>
          <w:szCs w:val="21"/>
        </w:rPr>
        <w:t>于</w:t>
      </w:r>
      <w:r w:rsidR="00EF28F0" w:rsidRPr="0094704F">
        <w:rPr>
          <w:rFonts w:hint="eastAsia"/>
          <w:color w:val="auto"/>
          <w:kern w:val="0"/>
          <w:szCs w:val="21"/>
        </w:rPr>
        <w:t>2016</w:t>
      </w:r>
      <w:r w:rsidR="00EF28F0" w:rsidRPr="0094704F">
        <w:rPr>
          <w:rFonts w:hint="eastAsia"/>
          <w:color w:val="auto"/>
          <w:kern w:val="0"/>
          <w:szCs w:val="21"/>
        </w:rPr>
        <w:t>年</w:t>
      </w:r>
      <w:r w:rsidR="00EF28F0">
        <w:rPr>
          <w:color w:val="auto"/>
          <w:kern w:val="0"/>
          <w:szCs w:val="21"/>
        </w:rPr>
        <w:t>7</w:t>
      </w:r>
      <w:r w:rsidR="00EF28F0" w:rsidRPr="0094704F">
        <w:rPr>
          <w:rFonts w:hint="eastAsia"/>
          <w:color w:val="auto"/>
          <w:kern w:val="0"/>
          <w:szCs w:val="21"/>
        </w:rPr>
        <w:t>月</w:t>
      </w:r>
      <w:r w:rsidR="00EF28F0">
        <w:rPr>
          <w:color w:val="auto"/>
          <w:kern w:val="0"/>
          <w:szCs w:val="21"/>
        </w:rPr>
        <w:t>7</w:t>
      </w:r>
      <w:r w:rsidR="00EF28F0" w:rsidRPr="0094704F">
        <w:rPr>
          <w:rFonts w:hint="eastAsia"/>
          <w:color w:val="auto"/>
          <w:kern w:val="0"/>
          <w:szCs w:val="21"/>
        </w:rPr>
        <w:t>日</w:t>
      </w:r>
      <w:r w:rsidR="00EF28F0">
        <w:rPr>
          <w:rFonts w:hint="eastAsia"/>
          <w:color w:val="auto"/>
          <w:kern w:val="0"/>
          <w:szCs w:val="21"/>
        </w:rPr>
        <w:t>后</w:t>
      </w:r>
      <w:r w:rsidR="006E2231" w:rsidRPr="0094704F">
        <w:rPr>
          <w:rFonts w:hint="eastAsia"/>
          <w:color w:val="auto"/>
          <w:kern w:val="0"/>
          <w:szCs w:val="21"/>
        </w:rPr>
        <w:t>支付。</w:t>
      </w:r>
    </w:p>
    <w:p w:rsidR="003524F7" w:rsidRPr="0094704F" w:rsidRDefault="003524F7" w:rsidP="003524F7">
      <w:pPr>
        <w:spacing w:line="240" w:lineRule="auto"/>
        <w:ind w:firstLine="0"/>
        <w:rPr>
          <w:color w:val="auto"/>
          <w:kern w:val="0"/>
          <w:szCs w:val="21"/>
          <w:highlight w:val="yellow"/>
        </w:rPr>
      </w:pPr>
    </w:p>
    <w:p w:rsidR="003524F7" w:rsidRDefault="0094704F" w:rsidP="003524F7">
      <w:pPr>
        <w:spacing w:line="240" w:lineRule="auto"/>
        <w:ind w:firstLine="0"/>
        <w:rPr>
          <w:color w:val="auto"/>
          <w:kern w:val="0"/>
          <w:szCs w:val="21"/>
        </w:rPr>
      </w:pPr>
      <w:r w:rsidRPr="0094704F">
        <w:rPr>
          <w:rFonts w:hint="eastAsia"/>
          <w:color w:val="auto"/>
          <w:kern w:val="0"/>
          <w:szCs w:val="21"/>
        </w:rPr>
        <w:t>4</w:t>
      </w:r>
      <w:r w:rsidR="003524F7" w:rsidRPr="0094704F">
        <w:rPr>
          <w:rFonts w:hint="eastAsia"/>
          <w:color w:val="auto"/>
          <w:kern w:val="0"/>
          <w:szCs w:val="21"/>
        </w:rPr>
        <w:t>、清算期间的清算损益情况</w:t>
      </w:r>
    </w:p>
    <w:p w:rsidR="007C4C52" w:rsidRPr="0094704F" w:rsidRDefault="007C4C52" w:rsidP="003524F7">
      <w:pPr>
        <w:spacing w:line="240" w:lineRule="auto"/>
        <w:ind w:firstLine="0"/>
        <w:rPr>
          <w:color w:val="auto"/>
          <w:kern w:val="0"/>
          <w:szCs w:val="21"/>
        </w:rPr>
      </w:pPr>
    </w:p>
    <w:p w:rsidR="003524F7" w:rsidRPr="0094704F" w:rsidRDefault="0094704F" w:rsidP="0094704F">
      <w:pPr>
        <w:spacing w:line="240" w:lineRule="auto"/>
        <w:ind w:firstLineChars="150" w:firstLine="315"/>
        <w:jc w:val="center"/>
        <w:rPr>
          <w:color w:val="auto"/>
          <w:szCs w:val="21"/>
        </w:rPr>
      </w:pPr>
      <w:r w:rsidRPr="0094704F">
        <w:rPr>
          <w:rFonts w:hint="eastAsia"/>
          <w:color w:val="auto"/>
          <w:szCs w:val="21"/>
        </w:rPr>
        <w:t>自</w:t>
      </w:r>
      <w:r w:rsidRPr="0094704F">
        <w:rPr>
          <w:rFonts w:hint="eastAsia"/>
          <w:color w:val="auto"/>
          <w:szCs w:val="21"/>
        </w:rPr>
        <w:t>2016</w:t>
      </w:r>
      <w:r w:rsidRPr="0094704F">
        <w:rPr>
          <w:rFonts w:hint="eastAsia"/>
          <w:color w:val="auto"/>
          <w:szCs w:val="21"/>
        </w:rPr>
        <w:t>年</w:t>
      </w:r>
      <w:r w:rsidRPr="0094704F">
        <w:rPr>
          <w:rFonts w:hint="eastAsia"/>
          <w:color w:val="auto"/>
          <w:szCs w:val="21"/>
        </w:rPr>
        <w:t>4</w:t>
      </w:r>
      <w:r w:rsidRPr="0094704F">
        <w:rPr>
          <w:rFonts w:hint="eastAsia"/>
          <w:color w:val="auto"/>
          <w:szCs w:val="21"/>
        </w:rPr>
        <w:t>月</w:t>
      </w:r>
      <w:r w:rsidRPr="0094704F">
        <w:rPr>
          <w:rFonts w:hint="eastAsia"/>
          <w:color w:val="auto"/>
          <w:szCs w:val="21"/>
        </w:rPr>
        <w:t>27</w:t>
      </w:r>
      <w:r w:rsidRPr="0094704F">
        <w:rPr>
          <w:rFonts w:hint="eastAsia"/>
          <w:color w:val="auto"/>
          <w:szCs w:val="21"/>
        </w:rPr>
        <w:t>日</w:t>
      </w:r>
      <w:r w:rsidR="003524F7" w:rsidRPr="0094704F">
        <w:rPr>
          <w:rFonts w:hint="eastAsia"/>
          <w:color w:val="auto"/>
          <w:szCs w:val="21"/>
        </w:rPr>
        <w:t>至</w:t>
      </w:r>
      <w:r w:rsidR="003524F7" w:rsidRPr="0094704F">
        <w:rPr>
          <w:rFonts w:hint="eastAsia"/>
          <w:color w:val="auto"/>
          <w:szCs w:val="21"/>
        </w:rPr>
        <w:t>201</w:t>
      </w:r>
      <w:r w:rsidRPr="0094704F">
        <w:rPr>
          <w:rFonts w:hint="eastAsia"/>
          <w:color w:val="auto"/>
          <w:szCs w:val="21"/>
        </w:rPr>
        <w:t>6</w:t>
      </w:r>
      <w:r w:rsidR="003524F7" w:rsidRPr="0094704F">
        <w:rPr>
          <w:rFonts w:hint="eastAsia"/>
          <w:color w:val="auto"/>
          <w:szCs w:val="21"/>
        </w:rPr>
        <w:t>年</w:t>
      </w:r>
      <w:r w:rsidR="00944150">
        <w:rPr>
          <w:color w:val="auto"/>
          <w:szCs w:val="21"/>
        </w:rPr>
        <w:t>7</w:t>
      </w:r>
      <w:r w:rsidR="003524F7" w:rsidRPr="0094704F">
        <w:rPr>
          <w:rFonts w:hint="eastAsia"/>
          <w:color w:val="auto"/>
          <w:szCs w:val="21"/>
        </w:rPr>
        <w:t>月</w:t>
      </w:r>
      <w:r w:rsidR="001C6EAE">
        <w:rPr>
          <w:rFonts w:hint="eastAsia"/>
          <w:color w:val="auto"/>
          <w:szCs w:val="21"/>
        </w:rPr>
        <w:t>7</w:t>
      </w:r>
      <w:r w:rsidR="003524F7" w:rsidRPr="0094704F">
        <w:rPr>
          <w:rFonts w:hint="eastAsia"/>
          <w:color w:val="auto"/>
          <w:szCs w:val="21"/>
        </w:rPr>
        <w:t>日止清算期间</w:t>
      </w:r>
    </w:p>
    <w:tbl>
      <w:tblPr>
        <w:tblW w:w="0" w:type="auto"/>
        <w:tblInd w:w="392" w:type="dxa"/>
        <w:tblLook w:val="04A0"/>
      </w:tblPr>
      <w:tblGrid>
        <w:gridCol w:w="5245"/>
        <w:gridCol w:w="2885"/>
      </w:tblGrid>
      <w:tr w:rsidR="003524F7" w:rsidRPr="0094704F" w:rsidTr="00865D65">
        <w:tc>
          <w:tcPr>
            <w:tcW w:w="5245" w:type="dxa"/>
            <w:shd w:val="clear" w:color="auto" w:fill="auto"/>
          </w:tcPr>
          <w:p w:rsidR="003524F7" w:rsidRPr="0094704F" w:rsidRDefault="003524F7" w:rsidP="003524F7">
            <w:pPr>
              <w:spacing w:line="240" w:lineRule="auto"/>
              <w:ind w:firstLine="0"/>
              <w:rPr>
                <w:color w:val="auto"/>
                <w:szCs w:val="21"/>
              </w:rPr>
            </w:pPr>
            <w:r w:rsidRPr="0094704F">
              <w:rPr>
                <w:rFonts w:hint="eastAsia"/>
                <w:color w:val="auto"/>
                <w:szCs w:val="21"/>
              </w:rPr>
              <w:t>项目</w:t>
            </w:r>
          </w:p>
        </w:tc>
        <w:tc>
          <w:tcPr>
            <w:tcW w:w="2885" w:type="dxa"/>
            <w:shd w:val="clear" w:color="auto" w:fill="auto"/>
          </w:tcPr>
          <w:p w:rsidR="003524F7" w:rsidRPr="0094704F" w:rsidRDefault="003524F7" w:rsidP="003524F7">
            <w:pPr>
              <w:spacing w:line="240" w:lineRule="auto"/>
              <w:ind w:firstLine="0"/>
              <w:jc w:val="right"/>
              <w:rPr>
                <w:color w:val="auto"/>
                <w:szCs w:val="21"/>
              </w:rPr>
            </w:pPr>
            <w:r w:rsidRPr="0094704F">
              <w:rPr>
                <w:rFonts w:hint="eastAsia"/>
                <w:color w:val="auto"/>
                <w:szCs w:val="21"/>
              </w:rPr>
              <w:t>金额</w:t>
            </w:r>
            <w:r w:rsidR="007C4C52">
              <w:rPr>
                <w:rFonts w:hint="eastAsia"/>
                <w:color w:val="auto"/>
                <w:szCs w:val="21"/>
              </w:rPr>
              <w:t>（单位：人民币元）</w:t>
            </w:r>
          </w:p>
        </w:tc>
      </w:tr>
      <w:tr w:rsidR="003524F7" w:rsidRPr="0094704F" w:rsidTr="00BA0936">
        <w:tc>
          <w:tcPr>
            <w:tcW w:w="5245" w:type="dxa"/>
            <w:shd w:val="clear" w:color="auto" w:fill="auto"/>
          </w:tcPr>
          <w:p w:rsidR="003524F7" w:rsidRPr="0094704F" w:rsidRDefault="003524F7" w:rsidP="003524F7">
            <w:pPr>
              <w:spacing w:line="240" w:lineRule="auto"/>
              <w:ind w:firstLine="0"/>
              <w:rPr>
                <w:color w:val="auto"/>
                <w:szCs w:val="21"/>
              </w:rPr>
            </w:pPr>
            <w:r w:rsidRPr="0094704F">
              <w:rPr>
                <w:rFonts w:hint="eastAsia"/>
                <w:color w:val="auto"/>
                <w:szCs w:val="21"/>
              </w:rPr>
              <w:t>一、清算收益</w:t>
            </w:r>
          </w:p>
        </w:tc>
        <w:tc>
          <w:tcPr>
            <w:tcW w:w="2885" w:type="dxa"/>
            <w:shd w:val="clear" w:color="auto" w:fill="auto"/>
          </w:tcPr>
          <w:p w:rsidR="003524F7" w:rsidRPr="0094704F" w:rsidRDefault="003524F7" w:rsidP="003524F7">
            <w:pPr>
              <w:spacing w:line="240" w:lineRule="auto"/>
              <w:ind w:firstLine="0"/>
              <w:jc w:val="right"/>
              <w:rPr>
                <w:color w:val="auto"/>
                <w:szCs w:val="21"/>
              </w:rPr>
            </w:pPr>
          </w:p>
        </w:tc>
      </w:tr>
      <w:tr w:rsidR="003524F7" w:rsidRPr="0094704F" w:rsidTr="00BA0936">
        <w:tc>
          <w:tcPr>
            <w:tcW w:w="5245" w:type="dxa"/>
            <w:shd w:val="clear" w:color="auto" w:fill="auto"/>
          </w:tcPr>
          <w:p w:rsidR="003524F7" w:rsidRPr="0094704F" w:rsidRDefault="003524F7" w:rsidP="003524F7">
            <w:pPr>
              <w:spacing w:line="240" w:lineRule="auto"/>
              <w:ind w:firstLine="0"/>
              <w:rPr>
                <w:color w:val="auto"/>
                <w:szCs w:val="21"/>
              </w:rPr>
            </w:pPr>
            <w:r w:rsidRPr="0094704F">
              <w:rPr>
                <w:rFonts w:hint="eastAsia"/>
                <w:color w:val="auto"/>
                <w:szCs w:val="21"/>
              </w:rPr>
              <w:t>利息收入</w:t>
            </w:r>
            <w:r w:rsidRPr="0094704F">
              <w:rPr>
                <w:rFonts w:hint="eastAsia"/>
                <w:color w:val="auto"/>
                <w:szCs w:val="21"/>
              </w:rPr>
              <w:t>-</w:t>
            </w:r>
            <w:r w:rsidRPr="0094704F">
              <w:rPr>
                <w:rFonts w:hint="eastAsia"/>
                <w:color w:val="auto"/>
                <w:szCs w:val="21"/>
              </w:rPr>
              <w:t>银行存款利息收入（注</w:t>
            </w:r>
            <w:r w:rsidRPr="0094704F">
              <w:rPr>
                <w:rFonts w:hint="eastAsia"/>
                <w:color w:val="auto"/>
                <w:szCs w:val="21"/>
              </w:rPr>
              <w:t>1</w:t>
            </w:r>
            <w:r w:rsidRPr="0094704F">
              <w:rPr>
                <w:rFonts w:hint="eastAsia"/>
                <w:color w:val="auto"/>
                <w:szCs w:val="21"/>
              </w:rPr>
              <w:t>）</w:t>
            </w:r>
          </w:p>
        </w:tc>
        <w:tc>
          <w:tcPr>
            <w:tcW w:w="2885" w:type="dxa"/>
            <w:shd w:val="clear" w:color="auto" w:fill="auto"/>
          </w:tcPr>
          <w:p w:rsidR="003524F7" w:rsidRPr="0094704F" w:rsidRDefault="00ED6D9C" w:rsidP="001C6EAE">
            <w:pPr>
              <w:spacing w:line="240" w:lineRule="auto"/>
              <w:ind w:firstLine="0"/>
              <w:jc w:val="right"/>
              <w:rPr>
                <w:color w:val="auto"/>
                <w:szCs w:val="21"/>
              </w:rPr>
            </w:pPr>
            <w:r>
              <w:rPr>
                <w:color w:val="auto"/>
                <w:szCs w:val="21"/>
              </w:rPr>
              <w:t>21,489.59</w:t>
            </w:r>
          </w:p>
        </w:tc>
      </w:tr>
      <w:tr w:rsidR="00BA0936" w:rsidRPr="0094704F" w:rsidTr="00BA0936">
        <w:tc>
          <w:tcPr>
            <w:tcW w:w="5245" w:type="dxa"/>
            <w:shd w:val="clear" w:color="auto" w:fill="auto"/>
          </w:tcPr>
          <w:p w:rsidR="00BA0936" w:rsidRPr="0094704F" w:rsidRDefault="00BA0936" w:rsidP="003524F7">
            <w:pPr>
              <w:spacing w:line="240" w:lineRule="auto"/>
              <w:ind w:firstLine="0"/>
              <w:rPr>
                <w:color w:val="auto"/>
                <w:szCs w:val="21"/>
              </w:rPr>
            </w:pPr>
            <w:r>
              <w:rPr>
                <w:rFonts w:hint="eastAsia"/>
                <w:color w:val="auto"/>
                <w:szCs w:val="21"/>
              </w:rPr>
              <w:t>投资收益（损失以“</w:t>
            </w:r>
            <w:r>
              <w:rPr>
                <w:rFonts w:hint="eastAsia"/>
                <w:color w:val="auto"/>
                <w:szCs w:val="21"/>
              </w:rPr>
              <w:t>-</w:t>
            </w:r>
            <w:r>
              <w:rPr>
                <w:rFonts w:hint="eastAsia"/>
                <w:color w:val="auto"/>
                <w:szCs w:val="21"/>
              </w:rPr>
              <w:t>”号填列）</w:t>
            </w:r>
          </w:p>
        </w:tc>
        <w:tc>
          <w:tcPr>
            <w:tcW w:w="2885" w:type="dxa"/>
            <w:shd w:val="clear" w:color="auto" w:fill="auto"/>
          </w:tcPr>
          <w:p w:rsidR="00BA0936" w:rsidRDefault="00ED6D9C" w:rsidP="00FF328C">
            <w:pPr>
              <w:spacing w:line="240" w:lineRule="auto"/>
              <w:ind w:firstLine="0"/>
              <w:jc w:val="right"/>
              <w:rPr>
                <w:color w:val="auto"/>
                <w:szCs w:val="21"/>
              </w:rPr>
            </w:pPr>
            <w:r>
              <w:rPr>
                <w:color w:val="auto"/>
                <w:szCs w:val="21"/>
              </w:rPr>
              <w:t>184,2</w:t>
            </w:r>
            <w:r w:rsidR="00FF328C">
              <w:rPr>
                <w:color w:val="auto"/>
                <w:szCs w:val="21"/>
              </w:rPr>
              <w:t>18</w:t>
            </w:r>
            <w:r>
              <w:rPr>
                <w:color w:val="auto"/>
                <w:szCs w:val="21"/>
              </w:rPr>
              <w:t>.</w:t>
            </w:r>
            <w:r w:rsidR="00FF328C">
              <w:rPr>
                <w:color w:val="auto"/>
                <w:szCs w:val="21"/>
              </w:rPr>
              <w:t>8</w:t>
            </w:r>
            <w:r>
              <w:rPr>
                <w:color w:val="auto"/>
                <w:szCs w:val="21"/>
              </w:rPr>
              <w:t>5</w:t>
            </w:r>
          </w:p>
        </w:tc>
      </w:tr>
      <w:tr w:rsidR="00BA0936" w:rsidRPr="0094704F" w:rsidTr="00BA0936">
        <w:tc>
          <w:tcPr>
            <w:tcW w:w="5245" w:type="dxa"/>
            <w:shd w:val="clear" w:color="auto" w:fill="auto"/>
          </w:tcPr>
          <w:p w:rsidR="00BA0936" w:rsidRPr="0094704F" w:rsidRDefault="00BA0936" w:rsidP="003524F7">
            <w:pPr>
              <w:spacing w:line="240" w:lineRule="auto"/>
              <w:ind w:firstLine="0"/>
              <w:rPr>
                <w:color w:val="auto"/>
                <w:szCs w:val="21"/>
              </w:rPr>
            </w:pPr>
            <w:r>
              <w:rPr>
                <w:rFonts w:hint="eastAsia"/>
                <w:color w:val="auto"/>
                <w:szCs w:val="21"/>
              </w:rPr>
              <w:t>其中：股票投资收益</w:t>
            </w:r>
          </w:p>
        </w:tc>
        <w:tc>
          <w:tcPr>
            <w:tcW w:w="2885" w:type="dxa"/>
            <w:shd w:val="clear" w:color="auto" w:fill="auto"/>
          </w:tcPr>
          <w:p w:rsidR="00BA0936" w:rsidRDefault="00FF328C" w:rsidP="00BA0936">
            <w:pPr>
              <w:spacing w:line="240" w:lineRule="auto"/>
              <w:ind w:firstLine="0"/>
              <w:jc w:val="right"/>
              <w:rPr>
                <w:color w:val="auto"/>
                <w:szCs w:val="21"/>
              </w:rPr>
            </w:pPr>
            <w:r>
              <w:rPr>
                <w:color w:val="auto"/>
                <w:szCs w:val="21"/>
              </w:rPr>
              <w:t>172,723.14</w:t>
            </w:r>
          </w:p>
        </w:tc>
      </w:tr>
      <w:tr w:rsidR="00BA0936" w:rsidRPr="0094704F" w:rsidTr="00BA0936">
        <w:tc>
          <w:tcPr>
            <w:tcW w:w="5245" w:type="dxa"/>
            <w:shd w:val="clear" w:color="auto" w:fill="auto"/>
          </w:tcPr>
          <w:p w:rsidR="00BA0936" w:rsidRPr="0094704F" w:rsidRDefault="007C4C52" w:rsidP="003524F7">
            <w:pPr>
              <w:spacing w:line="240" w:lineRule="auto"/>
              <w:ind w:firstLine="0"/>
              <w:rPr>
                <w:color w:val="auto"/>
                <w:szCs w:val="21"/>
              </w:rPr>
            </w:pPr>
            <w:r>
              <w:rPr>
                <w:rFonts w:hint="eastAsia"/>
                <w:color w:val="auto"/>
                <w:szCs w:val="21"/>
              </w:rPr>
              <w:t>股利收益</w:t>
            </w:r>
          </w:p>
        </w:tc>
        <w:tc>
          <w:tcPr>
            <w:tcW w:w="2885" w:type="dxa"/>
            <w:shd w:val="clear" w:color="auto" w:fill="auto"/>
          </w:tcPr>
          <w:p w:rsidR="00BA0936" w:rsidRDefault="009A1289" w:rsidP="007C4C52">
            <w:pPr>
              <w:spacing w:line="240" w:lineRule="auto"/>
              <w:ind w:firstLine="0"/>
              <w:jc w:val="right"/>
              <w:rPr>
                <w:color w:val="auto"/>
                <w:szCs w:val="21"/>
              </w:rPr>
            </w:pPr>
            <w:r>
              <w:rPr>
                <w:color w:val="auto"/>
                <w:szCs w:val="21"/>
              </w:rPr>
              <w:t>11,</w:t>
            </w:r>
            <w:r>
              <w:rPr>
                <w:rFonts w:hint="eastAsia"/>
                <w:color w:val="auto"/>
                <w:szCs w:val="21"/>
              </w:rPr>
              <w:t>495.71</w:t>
            </w:r>
          </w:p>
        </w:tc>
      </w:tr>
      <w:tr w:rsidR="00BA0936" w:rsidRPr="0094704F" w:rsidTr="007C4C52">
        <w:tc>
          <w:tcPr>
            <w:tcW w:w="5245" w:type="dxa"/>
            <w:shd w:val="clear" w:color="auto" w:fill="auto"/>
          </w:tcPr>
          <w:p w:rsidR="00BA0936" w:rsidRPr="0094704F" w:rsidRDefault="007C4C52" w:rsidP="003524F7">
            <w:pPr>
              <w:spacing w:line="240" w:lineRule="auto"/>
              <w:ind w:firstLine="0"/>
              <w:rPr>
                <w:color w:val="auto"/>
                <w:szCs w:val="21"/>
              </w:rPr>
            </w:pPr>
            <w:r>
              <w:rPr>
                <w:rFonts w:hint="eastAsia"/>
                <w:color w:val="auto"/>
                <w:szCs w:val="21"/>
              </w:rPr>
              <w:t>公允价值变动损益（损失以“</w:t>
            </w:r>
            <w:r>
              <w:rPr>
                <w:rFonts w:hint="eastAsia"/>
                <w:color w:val="auto"/>
                <w:szCs w:val="21"/>
              </w:rPr>
              <w:t>-</w:t>
            </w:r>
            <w:r>
              <w:rPr>
                <w:rFonts w:hint="eastAsia"/>
                <w:color w:val="auto"/>
                <w:szCs w:val="21"/>
              </w:rPr>
              <w:t>”号填列）</w:t>
            </w:r>
          </w:p>
        </w:tc>
        <w:tc>
          <w:tcPr>
            <w:tcW w:w="2885" w:type="dxa"/>
            <w:shd w:val="clear" w:color="auto" w:fill="auto"/>
          </w:tcPr>
          <w:p w:rsidR="00BA0936" w:rsidRDefault="00ED6D9C" w:rsidP="007C4C52">
            <w:pPr>
              <w:spacing w:line="240" w:lineRule="auto"/>
              <w:ind w:firstLine="0"/>
              <w:jc w:val="right"/>
              <w:rPr>
                <w:color w:val="auto"/>
                <w:szCs w:val="21"/>
              </w:rPr>
            </w:pPr>
            <w:r>
              <w:rPr>
                <w:rFonts w:hint="eastAsia"/>
                <w:color w:val="auto"/>
                <w:szCs w:val="21"/>
              </w:rPr>
              <w:t>-</w:t>
            </w:r>
            <w:r>
              <w:rPr>
                <w:color w:val="auto"/>
                <w:szCs w:val="21"/>
              </w:rPr>
              <w:t>196,359.16</w:t>
            </w:r>
          </w:p>
        </w:tc>
      </w:tr>
      <w:tr w:rsidR="007C4C52" w:rsidRPr="0094704F" w:rsidTr="007C4C52">
        <w:tc>
          <w:tcPr>
            <w:tcW w:w="5245" w:type="dxa"/>
            <w:shd w:val="clear" w:color="auto" w:fill="auto"/>
          </w:tcPr>
          <w:p w:rsidR="007C4C52" w:rsidRDefault="007C4C52" w:rsidP="003524F7">
            <w:pPr>
              <w:spacing w:line="240" w:lineRule="auto"/>
              <w:ind w:firstLine="0"/>
              <w:rPr>
                <w:color w:val="auto"/>
                <w:szCs w:val="21"/>
              </w:rPr>
            </w:pPr>
            <w:r>
              <w:rPr>
                <w:rFonts w:hint="eastAsia"/>
                <w:color w:val="auto"/>
                <w:szCs w:val="21"/>
              </w:rPr>
              <w:t>其他收入</w:t>
            </w:r>
          </w:p>
        </w:tc>
        <w:tc>
          <w:tcPr>
            <w:tcW w:w="2885" w:type="dxa"/>
            <w:tcBorders>
              <w:bottom w:val="single" w:sz="2" w:space="0" w:color="auto"/>
            </w:tcBorders>
            <w:shd w:val="clear" w:color="auto" w:fill="auto"/>
          </w:tcPr>
          <w:p w:rsidR="007C4C52" w:rsidRDefault="007C4C52" w:rsidP="007C4C52">
            <w:pPr>
              <w:spacing w:line="240" w:lineRule="auto"/>
              <w:ind w:firstLine="0"/>
              <w:jc w:val="right"/>
              <w:rPr>
                <w:color w:val="auto"/>
                <w:szCs w:val="21"/>
              </w:rPr>
            </w:pPr>
            <w:r>
              <w:rPr>
                <w:rFonts w:hint="eastAsia"/>
                <w:color w:val="auto"/>
                <w:szCs w:val="21"/>
              </w:rPr>
              <w:t>-</w:t>
            </w:r>
          </w:p>
        </w:tc>
      </w:tr>
      <w:tr w:rsidR="007C4C52" w:rsidRPr="002A4FE6" w:rsidTr="007C4C52">
        <w:tc>
          <w:tcPr>
            <w:tcW w:w="5245" w:type="dxa"/>
            <w:shd w:val="clear" w:color="auto" w:fill="auto"/>
          </w:tcPr>
          <w:p w:rsidR="007C4C52" w:rsidRPr="002A4FE6" w:rsidRDefault="007C4C52" w:rsidP="006D13FC">
            <w:pPr>
              <w:spacing w:line="240" w:lineRule="auto"/>
              <w:ind w:firstLine="0"/>
              <w:rPr>
                <w:b/>
                <w:color w:val="auto"/>
                <w:szCs w:val="21"/>
              </w:rPr>
            </w:pPr>
            <w:r w:rsidRPr="002A4FE6">
              <w:rPr>
                <w:rFonts w:hint="eastAsia"/>
                <w:b/>
                <w:color w:val="auto"/>
                <w:szCs w:val="21"/>
              </w:rPr>
              <w:t>清算收入小计</w:t>
            </w:r>
            <w:r w:rsidR="00540C5B">
              <w:rPr>
                <w:b/>
                <w:color w:val="auto"/>
                <w:szCs w:val="21"/>
              </w:rPr>
              <w:fldChar w:fldCharType="begin"/>
            </w:r>
            <w:r w:rsidR="006D13FC">
              <w:rPr>
                <w:rFonts w:hint="eastAsia"/>
                <w:b/>
                <w:color w:val="auto"/>
                <w:szCs w:val="21"/>
              </w:rPr>
              <w:instrText>eq \o\ac(</w:instrText>
            </w:r>
            <w:r w:rsidR="006D13FC">
              <w:rPr>
                <w:rFonts w:hint="eastAsia"/>
                <w:b/>
                <w:color w:val="auto"/>
                <w:szCs w:val="21"/>
              </w:rPr>
              <w:instrText>○</w:instrText>
            </w:r>
            <w:r w:rsidR="006D13FC">
              <w:rPr>
                <w:rFonts w:hint="eastAsia"/>
                <w:b/>
                <w:color w:val="auto"/>
                <w:szCs w:val="21"/>
              </w:rPr>
              <w:instrText>,</w:instrText>
            </w:r>
            <w:r w:rsidR="006D13FC" w:rsidRPr="006D13FC">
              <w:rPr>
                <w:rFonts w:hint="eastAsia"/>
                <w:b/>
                <w:color w:val="auto"/>
                <w:position w:val="2"/>
                <w:sz w:val="14"/>
                <w:szCs w:val="21"/>
              </w:rPr>
              <w:instrText>1</w:instrText>
            </w:r>
            <w:r w:rsidR="006D13FC">
              <w:rPr>
                <w:rFonts w:hint="eastAsia"/>
                <w:b/>
                <w:color w:val="auto"/>
                <w:szCs w:val="21"/>
              </w:rPr>
              <w:instrText>)</w:instrText>
            </w:r>
            <w:r w:rsidR="00540C5B">
              <w:rPr>
                <w:b/>
                <w:color w:val="auto"/>
                <w:szCs w:val="21"/>
              </w:rPr>
              <w:fldChar w:fldCharType="end"/>
            </w:r>
          </w:p>
        </w:tc>
        <w:tc>
          <w:tcPr>
            <w:tcW w:w="2885" w:type="dxa"/>
            <w:tcBorders>
              <w:top w:val="single" w:sz="2" w:space="0" w:color="auto"/>
            </w:tcBorders>
            <w:shd w:val="clear" w:color="auto" w:fill="auto"/>
          </w:tcPr>
          <w:p w:rsidR="007C4C52" w:rsidRPr="002A4FE6" w:rsidRDefault="009A1289" w:rsidP="007C4C52">
            <w:pPr>
              <w:spacing w:line="240" w:lineRule="auto"/>
              <w:ind w:firstLine="0"/>
              <w:jc w:val="right"/>
              <w:rPr>
                <w:b/>
                <w:color w:val="auto"/>
                <w:szCs w:val="21"/>
              </w:rPr>
            </w:pPr>
            <w:r>
              <w:rPr>
                <w:b/>
                <w:color w:val="auto"/>
                <w:szCs w:val="21"/>
              </w:rPr>
              <w:t>9,3</w:t>
            </w:r>
            <w:r>
              <w:rPr>
                <w:rFonts w:hint="eastAsia"/>
                <w:b/>
                <w:color w:val="auto"/>
                <w:szCs w:val="21"/>
              </w:rPr>
              <w:t>49.28</w:t>
            </w:r>
          </w:p>
        </w:tc>
      </w:tr>
      <w:tr w:rsidR="003524F7" w:rsidRPr="0094704F" w:rsidTr="007C4C52">
        <w:tc>
          <w:tcPr>
            <w:tcW w:w="5245" w:type="dxa"/>
            <w:shd w:val="clear" w:color="auto" w:fill="auto"/>
          </w:tcPr>
          <w:p w:rsidR="003524F7" w:rsidRPr="0094704F" w:rsidRDefault="003524F7" w:rsidP="003524F7">
            <w:pPr>
              <w:spacing w:line="240" w:lineRule="auto"/>
              <w:ind w:firstLine="0"/>
              <w:rPr>
                <w:color w:val="auto"/>
                <w:szCs w:val="21"/>
              </w:rPr>
            </w:pPr>
            <w:r w:rsidRPr="0094704F">
              <w:rPr>
                <w:rFonts w:hint="eastAsia"/>
                <w:color w:val="auto"/>
                <w:szCs w:val="21"/>
              </w:rPr>
              <w:t>二、清算费用</w:t>
            </w:r>
          </w:p>
        </w:tc>
        <w:tc>
          <w:tcPr>
            <w:tcW w:w="2885" w:type="dxa"/>
            <w:tcBorders>
              <w:top w:val="double" w:sz="4" w:space="0" w:color="auto"/>
            </w:tcBorders>
            <w:shd w:val="clear" w:color="auto" w:fill="auto"/>
          </w:tcPr>
          <w:p w:rsidR="003524F7" w:rsidRPr="0094704F" w:rsidRDefault="003524F7" w:rsidP="003524F7">
            <w:pPr>
              <w:spacing w:line="240" w:lineRule="auto"/>
              <w:ind w:firstLine="0"/>
              <w:jc w:val="right"/>
              <w:rPr>
                <w:color w:val="auto"/>
                <w:szCs w:val="21"/>
              </w:rPr>
            </w:pPr>
          </w:p>
        </w:tc>
      </w:tr>
      <w:tr w:rsidR="007C4C52" w:rsidRPr="0094704F" w:rsidTr="007C4C52">
        <w:tc>
          <w:tcPr>
            <w:tcW w:w="5245" w:type="dxa"/>
            <w:shd w:val="clear" w:color="auto" w:fill="auto"/>
          </w:tcPr>
          <w:p w:rsidR="007C4C52" w:rsidRPr="0094704F" w:rsidRDefault="007C4C52" w:rsidP="00DB24D7">
            <w:pPr>
              <w:spacing w:line="240" w:lineRule="auto"/>
              <w:ind w:firstLine="0"/>
              <w:rPr>
                <w:color w:val="auto"/>
                <w:szCs w:val="21"/>
              </w:rPr>
            </w:pPr>
            <w:r>
              <w:rPr>
                <w:rFonts w:hint="eastAsia"/>
                <w:color w:val="auto"/>
                <w:szCs w:val="21"/>
              </w:rPr>
              <w:t>管理费报酬</w:t>
            </w:r>
          </w:p>
        </w:tc>
        <w:tc>
          <w:tcPr>
            <w:tcW w:w="2885" w:type="dxa"/>
            <w:shd w:val="clear" w:color="auto" w:fill="auto"/>
          </w:tcPr>
          <w:p w:rsidR="007C4C52" w:rsidRPr="0094704F" w:rsidRDefault="007C4C52" w:rsidP="003524F7">
            <w:pPr>
              <w:spacing w:line="240" w:lineRule="auto"/>
              <w:ind w:firstLine="0"/>
              <w:jc w:val="right"/>
              <w:rPr>
                <w:color w:val="auto"/>
                <w:szCs w:val="21"/>
              </w:rPr>
            </w:pPr>
            <w:r>
              <w:rPr>
                <w:rFonts w:hint="eastAsia"/>
                <w:color w:val="auto"/>
                <w:szCs w:val="21"/>
              </w:rPr>
              <w:t>-</w:t>
            </w:r>
          </w:p>
        </w:tc>
      </w:tr>
      <w:tr w:rsidR="007C4C52" w:rsidRPr="0094704F" w:rsidTr="007C4C52">
        <w:tc>
          <w:tcPr>
            <w:tcW w:w="5245" w:type="dxa"/>
            <w:shd w:val="clear" w:color="auto" w:fill="auto"/>
          </w:tcPr>
          <w:p w:rsidR="007C4C52" w:rsidRPr="0094704F" w:rsidRDefault="007C4C52" w:rsidP="00DB24D7">
            <w:pPr>
              <w:spacing w:line="240" w:lineRule="auto"/>
              <w:ind w:firstLine="0"/>
              <w:rPr>
                <w:color w:val="auto"/>
                <w:szCs w:val="21"/>
              </w:rPr>
            </w:pPr>
            <w:r>
              <w:rPr>
                <w:rFonts w:hint="eastAsia"/>
                <w:color w:val="auto"/>
                <w:szCs w:val="21"/>
              </w:rPr>
              <w:t>托管费</w:t>
            </w:r>
          </w:p>
        </w:tc>
        <w:tc>
          <w:tcPr>
            <w:tcW w:w="2885" w:type="dxa"/>
            <w:shd w:val="clear" w:color="auto" w:fill="auto"/>
          </w:tcPr>
          <w:p w:rsidR="007C4C52" w:rsidRPr="0094704F" w:rsidRDefault="007C4C52" w:rsidP="003524F7">
            <w:pPr>
              <w:spacing w:line="240" w:lineRule="auto"/>
              <w:ind w:firstLine="0"/>
              <w:jc w:val="right"/>
              <w:rPr>
                <w:color w:val="auto"/>
                <w:szCs w:val="21"/>
              </w:rPr>
            </w:pPr>
            <w:r>
              <w:rPr>
                <w:rFonts w:hint="eastAsia"/>
                <w:color w:val="auto"/>
                <w:szCs w:val="21"/>
              </w:rPr>
              <w:t>-</w:t>
            </w:r>
          </w:p>
        </w:tc>
      </w:tr>
      <w:tr w:rsidR="007C4C52" w:rsidRPr="0094704F" w:rsidTr="007C4C52">
        <w:tc>
          <w:tcPr>
            <w:tcW w:w="5245" w:type="dxa"/>
            <w:shd w:val="clear" w:color="auto" w:fill="auto"/>
          </w:tcPr>
          <w:p w:rsidR="007C4C52" w:rsidRPr="0094704F" w:rsidRDefault="007C4C52" w:rsidP="00DB24D7">
            <w:pPr>
              <w:spacing w:line="240" w:lineRule="auto"/>
              <w:ind w:firstLine="0"/>
              <w:rPr>
                <w:color w:val="auto"/>
                <w:szCs w:val="21"/>
              </w:rPr>
            </w:pPr>
            <w:r>
              <w:rPr>
                <w:rFonts w:hint="eastAsia"/>
                <w:color w:val="auto"/>
                <w:szCs w:val="21"/>
              </w:rPr>
              <w:t>交易费用</w:t>
            </w:r>
          </w:p>
        </w:tc>
        <w:tc>
          <w:tcPr>
            <w:tcW w:w="2885" w:type="dxa"/>
            <w:shd w:val="clear" w:color="auto" w:fill="auto"/>
          </w:tcPr>
          <w:p w:rsidR="007C4C52" w:rsidRPr="0094704F" w:rsidRDefault="00ED6D9C" w:rsidP="003524F7">
            <w:pPr>
              <w:spacing w:line="240" w:lineRule="auto"/>
              <w:ind w:firstLine="0"/>
              <w:jc w:val="right"/>
              <w:rPr>
                <w:color w:val="auto"/>
                <w:szCs w:val="21"/>
              </w:rPr>
            </w:pPr>
            <w:r>
              <w:rPr>
                <w:color w:val="auto"/>
                <w:szCs w:val="21"/>
              </w:rPr>
              <w:t>1,411.66</w:t>
            </w:r>
          </w:p>
        </w:tc>
      </w:tr>
      <w:tr w:rsidR="007C4C52" w:rsidRPr="0094704F" w:rsidTr="007C4C52">
        <w:tc>
          <w:tcPr>
            <w:tcW w:w="5245" w:type="dxa"/>
            <w:shd w:val="clear" w:color="auto" w:fill="auto"/>
          </w:tcPr>
          <w:p w:rsidR="007C4C52" w:rsidRDefault="007C4C52" w:rsidP="007C4C52">
            <w:pPr>
              <w:spacing w:line="240" w:lineRule="auto"/>
              <w:ind w:firstLine="0"/>
              <w:rPr>
                <w:color w:val="auto"/>
                <w:szCs w:val="21"/>
              </w:rPr>
            </w:pPr>
            <w:r>
              <w:rPr>
                <w:rFonts w:hint="eastAsia"/>
                <w:color w:val="auto"/>
                <w:szCs w:val="21"/>
              </w:rPr>
              <w:t>其他费用</w:t>
            </w:r>
            <w:r w:rsidRPr="0094704F">
              <w:rPr>
                <w:rFonts w:hint="eastAsia"/>
                <w:color w:val="auto"/>
                <w:szCs w:val="21"/>
              </w:rPr>
              <w:t>（注</w:t>
            </w:r>
            <w:r>
              <w:rPr>
                <w:rFonts w:hint="eastAsia"/>
                <w:color w:val="auto"/>
                <w:szCs w:val="21"/>
              </w:rPr>
              <w:t>2</w:t>
            </w:r>
            <w:r w:rsidRPr="0094704F">
              <w:rPr>
                <w:rFonts w:hint="eastAsia"/>
                <w:color w:val="auto"/>
                <w:szCs w:val="21"/>
              </w:rPr>
              <w:t>）</w:t>
            </w:r>
          </w:p>
        </w:tc>
        <w:tc>
          <w:tcPr>
            <w:tcW w:w="2885" w:type="dxa"/>
            <w:tcBorders>
              <w:bottom w:val="single" w:sz="4" w:space="0" w:color="auto"/>
            </w:tcBorders>
            <w:shd w:val="clear" w:color="auto" w:fill="auto"/>
          </w:tcPr>
          <w:p w:rsidR="007C4C52" w:rsidRPr="0094704F" w:rsidRDefault="00ED6D9C" w:rsidP="003524F7">
            <w:pPr>
              <w:spacing w:line="240" w:lineRule="auto"/>
              <w:ind w:firstLine="0"/>
              <w:jc w:val="right"/>
              <w:rPr>
                <w:color w:val="auto"/>
                <w:szCs w:val="21"/>
              </w:rPr>
            </w:pPr>
            <w:r>
              <w:rPr>
                <w:color w:val="auto"/>
                <w:szCs w:val="21"/>
              </w:rPr>
              <w:t>517.46</w:t>
            </w:r>
          </w:p>
        </w:tc>
      </w:tr>
      <w:tr w:rsidR="003524F7" w:rsidRPr="002A4FE6" w:rsidTr="007C4C52">
        <w:tc>
          <w:tcPr>
            <w:tcW w:w="5245" w:type="dxa"/>
            <w:shd w:val="clear" w:color="auto" w:fill="auto"/>
          </w:tcPr>
          <w:p w:rsidR="003524F7" w:rsidRPr="002A4FE6" w:rsidRDefault="003524F7" w:rsidP="006D13FC">
            <w:pPr>
              <w:spacing w:line="240" w:lineRule="auto"/>
              <w:ind w:firstLine="0"/>
              <w:rPr>
                <w:b/>
                <w:color w:val="auto"/>
                <w:szCs w:val="21"/>
              </w:rPr>
            </w:pPr>
            <w:r w:rsidRPr="002A4FE6">
              <w:rPr>
                <w:rFonts w:hint="eastAsia"/>
                <w:b/>
                <w:color w:val="auto"/>
                <w:szCs w:val="21"/>
              </w:rPr>
              <w:t>清算费用小计</w:t>
            </w:r>
            <w:r w:rsidR="00540C5B">
              <w:rPr>
                <w:b/>
                <w:color w:val="auto"/>
                <w:szCs w:val="21"/>
              </w:rPr>
              <w:fldChar w:fldCharType="begin"/>
            </w:r>
            <w:r w:rsidR="006D13FC">
              <w:rPr>
                <w:rFonts w:hint="eastAsia"/>
                <w:b/>
                <w:color w:val="auto"/>
                <w:szCs w:val="21"/>
              </w:rPr>
              <w:instrText>eq \o\ac(</w:instrText>
            </w:r>
            <w:r w:rsidR="006D13FC">
              <w:rPr>
                <w:rFonts w:hint="eastAsia"/>
                <w:b/>
                <w:color w:val="auto"/>
                <w:szCs w:val="21"/>
              </w:rPr>
              <w:instrText>○</w:instrText>
            </w:r>
            <w:r w:rsidR="006D13FC">
              <w:rPr>
                <w:rFonts w:hint="eastAsia"/>
                <w:b/>
                <w:color w:val="auto"/>
                <w:szCs w:val="21"/>
              </w:rPr>
              <w:instrText>,</w:instrText>
            </w:r>
            <w:r w:rsidR="006D13FC" w:rsidRPr="006D13FC">
              <w:rPr>
                <w:rFonts w:hint="eastAsia"/>
                <w:b/>
                <w:color w:val="auto"/>
                <w:position w:val="2"/>
                <w:sz w:val="14"/>
                <w:szCs w:val="21"/>
              </w:rPr>
              <w:instrText>2</w:instrText>
            </w:r>
            <w:r w:rsidR="006D13FC">
              <w:rPr>
                <w:rFonts w:hint="eastAsia"/>
                <w:b/>
                <w:color w:val="auto"/>
                <w:szCs w:val="21"/>
              </w:rPr>
              <w:instrText>)</w:instrText>
            </w:r>
            <w:r w:rsidR="00540C5B">
              <w:rPr>
                <w:b/>
                <w:color w:val="auto"/>
                <w:szCs w:val="21"/>
              </w:rPr>
              <w:fldChar w:fldCharType="end"/>
            </w:r>
          </w:p>
        </w:tc>
        <w:tc>
          <w:tcPr>
            <w:tcW w:w="2885" w:type="dxa"/>
            <w:tcBorders>
              <w:top w:val="single" w:sz="4" w:space="0" w:color="auto"/>
              <w:bottom w:val="double" w:sz="4" w:space="0" w:color="auto"/>
            </w:tcBorders>
            <w:shd w:val="clear" w:color="auto" w:fill="auto"/>
          </w:tcPr>
          <w:p w:rsidR="003524F7" w:rsidRPr="002A4FE6" w:rsidRDefault="00ED6D9C" w:rsidP="003524F7">
            <w:pPr>
              <w:spacing w:line="240" w:lineRule="auto"/>
              <w:ind w:firstLine="0"/>
              <w:jc w:val="right"/>
              <w:rPr>
                <w:b/>
                <w:color w:val="auto"/>
                <w:szCs w:val="21"/>
              </w:rPr>
            </w:pPr>
            <w:r>
              <w:rPr>
                <w:b/>
                <w:color w:val="auto"/>
                <w:szCs w:val="21"/>
              </w:rPr>
              <w:t>1,929.12</w:t>
            </w:r>
          </w:p>
        </w:tc>
      </w:tr>
      <w:tr w:rsidR="003524F7" w:rsidRPr="002A4FE6" w:rsidTr="007C4C52">
        <w:tc>
          <w:tcPr>
            <w:tcW w:w="5245" w:type="dxa"/>
            <w:shd w:val="clear" w:color="auto" w:fill="auto"/>
          </w:tcPr>
          <w:p w:rsidR="003524F7" w:rsidRPr="002A4FE6" w:rsidRDefault="003524F7" w:rsidP="003524F7">
            <w:pPr>
              <w:spacing w:line="240" w:lineRule="auto"/>
              <w:ind w:firstLine="0"/>
              <w:rPr>
                <w:b/>
                <w:color w:val="auto"/>
                <w:szCs w:val="21"/>
              </w:rPr>
            </w:pPr>
            <w:r w:rsidRPr="002A4FE6">
              <w:rPr>
                <w:rFonts w:hint="eastAsia"/>
                <w:b/>
                <w:color w:val="auto"/>
                <w:szCs w:val="21"/>
              </w:rPr>
              <w:t>三、清算净收益</w:t>
            </w:r>
            <w:r w:rsidR="00540C5B">
              <w:rPr>
                <w:b/>
                <w:color w:val="auto"/>
                <w:szCs w:val="21"/>
              </w:rPr>
              <w:fldChar w:fldCharType="begin"/>
            </w:r>
            <w:r w:rsidR="006D13FC">
              <w:rPr>
                <w:rFonts w:hint="eastAsia"/>
                <w:b/>
                <w:color w:val="auto"/>
                <w:szCs w:val="21"/>
              </w:rPr>
              <w:instrText>eq \o\ac(</w:instrText>
            </w:r>
            <w:r w:rsidR="006D13FC">
              <w:rPr>
                <w:rFonts w:hint="eastAsia"/>
                <w:b/>
                <w:color w:val="auto"/>
                <w:szCs w:val="21"/>
              </w:rPr>
              <w:instrText>○</w:instrText>
            </w:r>
            <w:r w:rsidR="006D13FC">
              <w:rPr>
                <w:rFonts w:hint="eastAsia"/>
                <w:b/>
                <w:color w:val="auto"/>
                <w:szCs w:val="21"/>
              </w:rPr>
              <w:instrText>,</w:instrText>
            </w:r>
            <w:r w:rsidR="006D13FC" w:rsidRPr="006D13FC">
              <w:rPr>
                <w:rFonts w:hint="eastAsia"/>
                <w:b/>
                <w:color w:val="auto"/>
                <w:position w:val="2"/>
                <w:sz w:val="14"/>
                <w:szCs w:val="21"/>
              </w:rPr>
              <w:instrText>1</w:instrText>
            </w:r>
            <w:r w:rsidR="006D13FC">
              <w:rPr>
                <w:rFonts w:hint="eastAsia"/>
                <w:b/>
                <w:color w:val="auto"/>
                <w:szCs w:val="21"/>
              </w:rPr>
              <w:instrText>)</w:instrText>
            </w:r>
            <w:r w:rsidR="00540C5B">
              <w:rPr>
                <w:b/>
                <w:color w:val="auto"/>
                <w:szCs w:val="21"/>
              </w:rPr>
              <w:fldChar w:fldCharType="end"/>
            </w:r>
            <w:r w:rsidR="006D13FC">
              <w:rPr>
                <w:rFonts w:hint="eastAsia"/>
                <w:b/>
                <w:color w:val="auto"/>
                <w:szCs w:val="21"/>
              </w:rPr>
              <w:t>-</w:t>
            </w:r>
            <w:r w:rsidR="00540C5B">
              <w:rPr>
                <w:b/>
                <w:color w:val="auto"/>
                <w:szCs w:val="21"/>
              </w:rPr>
              <w:fldChar w:fldCharType="begin"/>
            </w:r>
            <w:r w:rsidR="006D13FC">
              <w:rPr>
                <w:rFonts w:hint="eastAsia"/>
                <w:b/>
                <w:color w:val="auto"/>
                <w:szCs w:val="21"/>
              </w:rPr>
              <w:instrText>eq \o\ac(</w:instrText>
            </w:r>
            <w:r w:rsidR="006D13FC">
              <w:rPr>
                <w:rFonts w:hint="eastAsia"/>
                <w:b/>
                <w:color w:val="auto"/>
                <w:szCs w:val="21"/>
              </w:rPr>
              <w:instrText>○</w:instrText>
            </w:r>
            <w:r w:rsidR="006D13FC">
              <w:rPr>
                <w:rFonts w:hint="eastAsia"/>
                <w:b/>
                <w:color w:val="auto"/>
                <w:szCs w:val="21"/>
              </w:rPr>
              <w:instrText>,</w:instrText>
            </w:r>
            <w:r w:rsidR="006D13FC" w:rsidRPr="006D13FC">
              <w:rPr>
                <w:rFonts w:hint="eastAsia"/>
                <w:b/>
                <w:color w:val="auto"/>
                <w:position w:val="2"/>
                <w:sz w:val="14"/>
                <w:szCs w:val="21"/>
              </w:rPr>
              <w:instrText>2</w:instrText>
            </w:r>
            <w:r w:rsidR="006D13FC">
              <w:rPr>
                <w:rFonts w:hint="eastAsia"/>
                <w:b/>
                <w:color w:val="auto"/>
                <w:szCs w:val="21"/>
              </w:rPr>
              <w:instrText>)</w:instrText>
            </w:r>
            <w:r w:rsidR="00540C5B">
              <w:rPr>
                <w:b/>
                <w:color w:val="auto"/>
                <w:szCs w:val="21"/>
              </w:rPr>
              <w:fldChar w:fldCharType="end"/>
            </w:r>
          </w:p>
        </w:tc>
        <w:tc>
          <w:tcPr>
            <w:tcW w:w="2885" w:type="dxa"/>
            <w:tcBorders>
              <w:top w:val="double" w:sz="4" w:space="0" w:color="auto"/>
              <w:bottom w:val="double" w:sz="4" w:space="0" w:color="auto"/>
            </w:tcBorders>
            <w:shd w:val="clear" w:color="auto" w:fill="auto"/>
          </w:tcPr>
          <w:p w:rsidR="003524F7" w:rsidRPr="002A4FE6" w:rsidRDefault="009A1289" w:rsidP="003524F7">
            <w:pPr>
              <w:spacing w:line="240" w:lineRule="auto"/>
              <w:ind w:firstLine="0"/>
              <w:jc w:val="right"/>
              <w:rPr>
                <w:b/>
                <w:color w:val="auto"/>
                <w:szCs w:val="21"/>
              </w:rPr>
            </w:pPr>
            <w:r>
              <w:rPr>
                <w:b/>
                <w:color w:val="auto"/>
                <w:szCs w:val="21"/>
              </w:rPr>
              <w:t>7,4</w:t>
            </w:r>
            <w:r>
              <w:rPr>
                <w:rFonts w:hint="eastAsia"/>
                <w:b/>
                <w:color w:val="auto"/>
                <w:szCs w:val="21"/>
              </w:rPr>
              <w:t>20.16</w:t>
            </w:r>
          </w:p>
        </w:tc>
      </w:tr>
    </w:tbl>
    <w:p w:rsidR="003524F7" w:rsidRDefault="003524F7" w:rsidP="007C4C52">
      <w:pPr>
        <w:spacing w:before="120" w:line="240" w:lineRule="auto"/>
        <w:ind w:firstLine="0"/>
        <w:rPr>
          <w:color w:val="auto"/>
          <w:kern w:val="0"/>
          <w:szCs w:val="21"/>
        </w:rPr>
      </w:pPr>
      <w:r w:rsidRPr="0094704F">
        <w:rPr>
          <w:rFonts w:hint="eastAsia"/>
          <w:color w:val="auto"/>
          <w:kern w:val="0"/>
          <w:szCs w:val="21"/>
        </w:rPr>
        <w:t>注</w:t>
      </w:r>
      <w:r w:rsidRPr="0094704F">
        <w:rPr>
          <w:rFonts w:hint="eastAsia"/>
          <w:color w:val="auto"/>
          <w:kern w:val="0"/>
          <w:szCs w:val="21"/>
        </w:rPr>
        <w:t>1</w:t>
      </w:r>
      <w:r w:rsidRPr="0094704F">
        <w:rPr>
          <w:rFonts w:hint="eastAsia"/>
          <w:color w:val="auto"/>
          <w:kern w:val="0"/>
          <w:szCs w:val="21"/>
        </w:rPr>
        <w:t>：利息收入系计提的自</w:t>
      </w:r>
      <w:r w:rsidRPr="0094704F">
        <w:rPr>
          <w:rFonts w:hint="eastAsia"/>
          <w:color w:val="auto"/>
          <w:kern w:val="0"/>
          <w:szCs w:val="21"/>
        </w:rPr>
        <w:t>201</w:t>
      </w:r>
      <w:r w:rsidR="00DB24D7">
        <w:rPr>
          <w:rFonts w:hint="eastAsia"/>
          <w:color w:val="auto"/>
          <w:kern w:val="0"/>
          <w:szCs w:val="21"/>
        </w:rPr>
        <w:t>6</w:t>
      </w:r>
      <w:r w:rsidRPr="0094704F">
        <w:rPr>
          <w:rFonts w:hint="eastAsia"/>
          <w:color w:val="auto"/>
          <w:kern w:val="0"/>
          <w:szCs w:val="21"/>
        </w:rPr>
        <w:t>年</w:t>
      </w:r>
      <w:r w:rsidR="00DB24D7">
        <w:rPr>
          <w:rFonts w:hint="eastAsia"/>
          <w:color w:val="auto"/>
          <w:kern w:val="0"/>
          <w:szCs w:val="21"/>
        </w:rPr>
        <w:t>4</w:t>
      </w:r>
      <w:r w:rsidRPr="0094704F">
        <w:rPr>
          <w:rFonts w:hint="eastAsia"/>
          <w:color w:val="auto"/>
          <w:kern w:val="0"/>
          <w:szCs w:val="21"/>
        </w:rPr>
        <w:t>月</w:t>
      </w:r>
      <w:r w:rsidR="00DB24D7">
        <w:rPr>
          <w:rFonts w:hint="eastAsia"/>
          <w:color w:val="auto"/>
          <w:kern w:val="0"/>
          <w:szCs w:val="21"/>
        </w:rPr>
        <w:t>27</w:t>
      </w:r>
      <w:r w:rsidRPr="0094704F">
        <w:rPr>
          <w:rFonts w:hint="eastAsia"/>
          <w:color w:val="auto"/>
          <w:kern w:val="0"/>
          <w:szCs w:val="21"/>
        </w:rPr>
        <w:t>日至</w:t>
      </w:r>
      <w:r w:rsidRPr="0094704F">
        <w:rPr>
          <w:rFonts w:hint="eastAsia"/>
          <w:color w:val="auto"/>
          <w:kern w:val="0"/>
          <w:szCs w:val="21"/>
        </w:rPr>
        <w:t>201</w:t>
      </w:r>
      <w:r w:rsidR="00DB24D7">
        <w:rPr>
          <w:rFonts w:hint="eastAsia"/>
          <w:color w:val="auto"/>
          <w:kern w:val="0"/>
          <w:szCs w:val="21"/>
        </w:rPr>
        <w:t>6</w:t>
      </w:r>
      <w:r w:rsidRPr="0094704F">
        <w:rPr>
          <w:rFonts w:hint="eastAsia"/>
          <w:color w:val="auto"/>
          <w:kern w:val="0"/>
          <w:szCs w:val="21"/>
        </w:rPr>
        <w:t>年</w:t>
      </w:r>
      <w:r w:rsidR="00ED6D9C">
        <w:rPr>
          <w:color w:val="auto"/>
          <w:kern w:val="0"/>
          <w:szCs w:val="21"/>
        </w:rPr>
        <w:t>7</w:t>
      </w:r>
      <w:r w:rsidRPr="0094704F">
        <w:rPr>
          <w:rFonts w:hint="eastAsia"/>
          <w:color w:val="auto"/>
          <w:kern w:val="0"/>
          <w:szCs w:val="21"/>
        </w:rPr>
        <w:t>月</w:t>
      </w:r>
      <w:r w:rsidR="001C6EAE">
        <w:rPr>
          <w:rFonts w:hint="eastAsia"/>
          <w:color w:val="auto"/>
          <w:kern w:val="0"/>
          <w:szCs w:val="21"/>
        </w:rPr>
        <w:t>7</w:t>
      </w:r>
      <w:r w:rsidRPr="0094704F">
        <w:rPr>
          <w:rFonts w:hint="eastAsia"/>
          <w:color w:val="auto"/>
          <w:kern w:val="0"/>
          <w:szCs w:val="21"/>
        </w:rPr>
        <w:t>日止清算期间的银行存款利息及结算备付金利息</w:t>
      </w:r>
      <w:r w:rsidR="007C4C52">
        <w:rPr>
          <w:rFonts w:hint="eastAsia"/>
          <w:color w:val="auto"/>
          <w:kern w:val="0"/>
          <w:szCs w:val="21"/>
        </w:rPr>
        <w:t>等</w:t>
      </w:r>
      <w:r w:rsidRPr="0094704F">
        <w:rPr>
          <w:rFonts w:hint="eastAsia"/>
          <w:color w:val="auto"/>
          <w:kern w:val="0"/>
          <w:szCs w:val="21"/>
        </w:rPr>
        <w:t>。</w:t>
      </w:r>
    </w:p>
    <w:p w:rsidR="007C4C52" w:rsidRPr="0094704F" w:rsidRDefault="007C4C52" w:rsidP="00530DAB">
      <w:pPr>
        <w:spacing w:after="120" w:line="240" w:lineRule="auto"/>
        <w:ind w:firstLine="0"/>
        <w:rPr>
          <w:color w:val="auto"/>
          <w:kern w:val="0"/>
          <w:szCs w:val="21"/>
        </w:rPr>
      </w:pPr>
      <w:r>
        <w:rPr>
          <w:rFonts w:hint="eastAsia"/>
          <w:color w:val="auto"/>
          <w:kern w:val="0"/>
          <w:szCs w:val="21"/>
        </w:rPr>
        <w:t>注</w:t>
      </w:r>
      <w:r>
        <w:rPr>
          <w:rFonts w:hint="eastAsia"/>
          <w:color w:val="auto"/>
          <w:kern w:val="0"/>
          <w:szCs w:val="21"/>
        </w:rPr>
        <w:t>2</w:t>
      </w:r>
      <w:r>
        <w:rPr>
          <w:rFonts w:hint="eastAsia"/>
          <w:color w:val="auto"/>
          <w:kern w:val="0"/>
          <w:szCs w:val="21"/>
        </w:rPr>
        <w:t>：其他费用</w:t>
      </w:r>
      <w:r w:rsidR="00ED6D9C">
        <w:rPr>
          <w:rFonts w:hint="eastAsia"/>
          <w:color w:val="auto"/>
          <w:kern w:val="0"/>
          <w:szCs w:val="21"/>
        </w:rPr>
        <w:t>包含网银及汇划费用</w:t>
      </w:r>
      <w:r w:rsidR="00ED6D9C">
        <w:rPr>
          <w:rFonts w:hint="eastAsia"/>
          <w:color w:val="auto"/>
          <w:kern w:val="0"/>
          <w:szCs w:val="21"/>
        </w:rPr>
        <w:t>150</w:t>
      </w:r>
      <w:r w:rsidR="00ED6D9C">
        <w:rPr>
          <w:rFonts w:hint="eastAsia"/>
          <w:color w:val="auto"/>
          <w:kern w:val="0"/>
          <w:szCs w:val="21"/>
        </w:rPr>
        <w:t>元、中登公司</w:t>
      </w:r>
      <w:r w:rsidR="00ED6D9C">
        <w:rPr>
          <w:rFonts w:hint="eastAsia"/>
          <w:color w:val="auto"/>
          <w:kern w:val="0"/>
          <w:szCs w:val="21"/>
        </w:rPr>
        <w:t>TA</w:t>
      </w:r>
      <w:r w:rsidR="00ED6D9C">
        <w:rPr>
          <w:rFonts w:hint="eastAsia"/>
          <w:color w:val="auto"/>
          <w:kern w:val="0"/>
          <w:szCs w:val="21"/>
        </w:rPr>
        <w:t>服务费用</w:t>
      </w:r>
      <w:r w:rsidR="00ED6D9C">
        <w:rPr>
          <w:rFonts w:hint="eastAsia"/>
          <w:color w:val="auto"/>
          <w:kern w:val="0"/>
          <w:szCs w:val="21"/>
        </w:rPr>
        <w:t>367.46</w:t>
      </w:r>
      <w:r w:rsidR="00ED6D9C">
        <w:rPr>
          <w:rFonts w:hint="eastAsia"/>
          <w:color w:val="auto"/>
          <w:kern w:val="0"/>
          <w:szCs w:val="21"/>
        </w:rPr>
        <w:t>元</w:t>
      </w:r>
      <w:r>
        <w:rPr>
          <w:rFonts w:hint="eastAsia"/>
          <w:color w:val="auto"/>
          <w:kern w:val="0"/>
          <w:szCs w:val="21"/>
        </w:rPr>
        <w:t>。</w:t>
      </w:r>
    </w:p>
    <w:p w:rsidR="003524F7" w:rsidRPr="00530DAB" w:rsidRDefault="003524F7" w:rsidP="00530DAB">
      <w:pPr>
        <w:spacing w:before="120" w:after="120" w:line="300" w:lineRule="auto"/>
        <w:ind w:firstLine="0"/>
        <w:outlineLvl w:val="2"/>
        <w:rPr>
          <w:b/>
          <w:color w:val="auto"/>
          <w:szCs w:val="21"/>
        </w:rPr>
      </w:pPr>
      <w:r w:rsidRPr="00530DAB">
        <w:rPr>
          <w:rFonts w:hint="eastAsia"/>
          <w:b/>
          <w:color w:val="auto"/>
          <w:szCs w:val="21"/>
        </w:rPr>
        <w:t xml:space="preserve">4.6 </w:t>
      </w:r>
      <w:r w:rsidRPr="00530DAB">
        <w:rPr>
          <w:rFonts w:hint="eastAsia"/>
          <w:b/>
          <w:color w:val="auto"/>
          <w:szCs w:val="21"/>
        </w:rPr>
        <w:t>资产处置及负债清偿后的剩余资产分配情况</w:t>
      </w:r>
    </w:p>
    <w:p w:rsidR="003524F7" w:rsidRPr="003524F7" w:rsidRDefault="003524F7" w:rsidP="007C4C52">
      <w:pPr>
        <w:ind w:firstLine="0"/>
        <w:jc w:val="center"/>
        <w:outlineLvl w:val="2"/>
        <w:rPr>
          <w:b/>
          <w:color w:val="auto"/>
          <w:sz w:val="22"/>
          <w:szCs w:val="22"/>
        </w:rPr>
      </w:pPr>
    </w:p>
    <w:tbl>
      <w:tblPr>
        <w:tblW w:w="0" w:type="auto"/>
        <w:tblLook w:val="04A0"/>
      </w:tblPr>
      <w:tblGrid>
        <w:gridCol w:w="5353"/>
        <w:gridCol w:w="3169"/>
      </w:tblGrid>
      <w:tr w:rsidR="003524F7" w:rsidRPr="00530DAB" w:rsidTr="00865D65">
        <w:tc>
          <w:tcPr>
            <w:tcW w:w="5353" w:type="dxa"/>
            <w:shd w:val="clear" w:color="auto" w:fill="auto"/>
          </w:tcPr>
          <w:p w:rsidR="003524F7" w:rsidRPr="00530DAB" w:rsidRDefault="003524F7" w:rsidP="003524F7">
            <w:pPr>
              <w:spacing w:line="240" w:lineRule="auto"/>
              <w:ind w:firstLine="0"/>
              <w:rPr>
                <w:color w:val="auto"/>
                <w:szCs w:val="21"/>
              </w:rPr>
            </w:pPr>
            <w:r w:rsidRPr="00530DAB">
              <w:rPr>
                <w:rFonts w:hint="eastAsia"/>
                <w:color w:val="auto"/>
                <w:szCs w:val="21"/>
              </w:rPr>
              <w:t>项目</w:t>
            </w:r>
          </w:p>
        </w:tc>
        <w:tc>
          <w:tcPr>
            <w:tcW w:w="3169" w:type="dxa"/>
            <w:shd w:val="clear" w:color="auto" w:fill="auto"/>
          </w:tcPr>
          <w:p w:rsidR="003524F7" w:rsidRPr="00530DAB" w:rsidRDefault="007C4C52" w:rsidP="007C4C52">
            <w:pPr>
              <w:spacing w:line="240" w:lineRule="auto"/>
              <w:ind w:firstLine="0"/>
              <w:jc w:val="center"/>
              <w:rPr>
                <w:color w:val="auto"/>
                <w:szCs w:val="21"/>
              </w:rPr>
            </w:pPr>
            <w:r w:rsidRPr="00530DAB">
              <w:rPr>
                <w:rFonts w:hint="eastAsia"/>
                <w:color w:val="auto"/>
                <w:szCs w:val="21"/>
              </w:rPr>
              <w:t>金额（单位：人民币元）</w:t>
            </w:r>
          </w:p>
        </w:tc>
      </w:tr>
      <w:tr w:rsidR="003524F7" w:rsidRPr="00530DAB" w:rsidTr="00865D65">
        <w:tc>
          <w:tcPr>
            <w:tcW w:w="5353" w:type="dxa"/>
            <w:shd w:val="clear" w:color="auto" w:fill="auto"/>
          </w:tcPr>
          <w:p w:rsidR="003524F7" w:rsidRPr="00530DAB" w:rsidRDefault="003524F7" w:rsidP="007C4C52">
            <w:pPr>
              <w:spacing w:line="240" w:lineRule="auto"/>
              <w:ind w:firstLine="0"/>
              <w:rPr>
                <w:color w:val="auto"/>
                <w:szCs w:val="21"/>
              </w:rPr>
            </w:pPr>
            <w:r w:rsidRPr="00530DAB">
              <w:rPr>
                <w:rFonts w:hint="eastAsia"/>
                <w:color w:val="auto"/>
                <w:szCs w:val="21"/>
              </w:rPr>
              <w:t>一、最后运作日</w:t>
            </w:r>
            <w:r w:rsidRPr="00530DAB">
              <w:rPr>
                <w:rFonts w:hint="eastAsia"/>
                <w:color w:val="auto"/>
                <w:szCs w:val="21"/>
              </w:rPr>
              <w:t>201</w:t>
            </w:r>
            <w:r w:rsidR="007C4C52" w:rsidRPr="00530DAB">
              <w:rPr>
                <w:rFonts w:hint="eastAsia"/>
                <w:color w:val="auto"/>
                <w:szCs w:val="21"/>
              </w:rPr>
              <w:t>6</w:t>
            </w:r>
            <w:r w:rsidRPr="00530DAB">
              <w:rPr>
                <w:rFonts w:hint="eastAsia"/>
                <w:color w:val="auto"/>
                <w:szCs w:val="21"/>
              </w:rPr>
              <w:t>年</w:t>
            </w:r>
            <w:r w:rsidR="007C4C52" w:rsidRPr="00530DAB">
              <w:rPr>
                <w:rFonts w:hint="eastAsia"/>
                <w:color w:val="auto"/>
                <w:szCs w:val="21"/>
              </w:rPr>
              <w:t>4</w:t>
            </w:r>
            <w:r w:rsidRPr="00530DAB">
              <w:rPr>
                <w:rFonts w:hint="eastAsia"/>
                <w:color w:val="auto"/>
                <w:szCs w:val="21"/>
              </w:rPr>
              <w:t>月</w:t>
            </w:r>
            <w:r w:rsidR="007C4C52" w:rsidRPr="00530DAB">
              <w:rPr>
                <w:rFonts w:hint="eastAsia"/>
                <w:color w:val="auto"/>
                <w:szCs w:val="21"/>
              </w:rPr>
              <w:t>26</w:t>
            </w:r>
            <w:r w:rsidRPr="00530DAB">
              <w:rPr>
                <w:rFonts w:hint="eastAsia"/>
                <w:color w:val="auto"/>
                <w:szCs w:val="21"/>
              </w:rPr>
              <w:t>日基金净资产</w:t>
            </w:r>
          </w:p>
        </w:tc>
        <w:tc>
          <w:tcPr>
            <w:tcW w:w="3169" w:type="dxa"/>
            <w:shd w:val="clear" w:color="auto" w:fill="auto"/>
          </w:tcPr>
          <w:p w:rsidR="003524F7" w:rsidRPr="00530DAB" w:rsidRDefault="007C4C52" w:rsidP="003524F7">
            <w:pPr>
              <w:spacing w:line="240" w:lineRule="auto"/>
              <w:ind w:firstLine="0"/>
              <w:jc w:val="right"/>
              <w:rPr>
                <w:color w:val="auto"/>
                <w:szCs w:val="21"/>
              </w:rPr>
            </w:pPr>
            <w:r w:rsidRPr="00530DAB">
              <w:rPr>
                <w:rFonts w:hint="eastAsia"/>
                <w:color w:val="auto"/>
                <w:szCs w:val="21"/>
              </w:rPr>
              <w:t>15,392,177.53</w:t>
            </w:r>
          </w:p>
        </w:tc>
      </w:tr>
      <w:tr w:rsidR="003524F7" w:rsidRPr="00530DAB" w:rsidTr="00865D65">
        <w:tc>
          <w:tcPr>
            <w:tcW w:w="5353" w:type="dxa"/>
            <w:shd w:val="clear" w:color="auto" w:fill="auto"/>
          </w:tcPr>
          <w:p w:rsidR="003524F7" w:rsidRPr="00530DAB" w:rsidRDefault="003524F7" w:rsidP="003524F7">
            <w:pPr>
              <w:spacing w:line="240" w:lineRule="auto"/>
              <w:ind w:firstLine="0"/>
              <w:rPr>
                <w:color w:val="auto"/>
                <w:szCs w:val="21"/>
              </w:rPr>
            </w:pPr>
            <w:r w:rsidRPr="00530DAB">
              <w:rPr>
                <w:rFonts w:hint="eastAsia"/>
                <w:color w:val="auto"/>
                <w:szCs w:val="21"/>
              </w:rPr>
              <w:t>加：清算期间净收益</w:t>
            </w:r>
          </w:p>
        </w:tc>
        <w:tc>
          <w:tcPr>
            <w:tcW w:w="3169" w:type="dxa"/>
            <w:shd w:val="clear" w:color="auto" w:fill="auto"/>
          </w:tcPr>
          <w:p w:rsidR="003524F7" w:rsidRPr="00530DAB" w:rsidRDefault="009A1289" w:rsidP="001C6EAE">
            <w:pPr>
              <w:spacing w:line="240" w:lineRule="auto"/>
              <w:ind w:firstLine="0"/>
              <w:jc w:val="right"/>
              <w:rPr>
                <w:color w:val="auto"/>
                <w:szCs w:val="21"/>
              </w:rPr>
            </w:pPr>
            <w:r>
              <w:rPr>
                <w:color w:val="auto"/>
                <w:szCs w:val="21"/>
              </w:rPr>
              <w:t>7,4</w:t>
            </w:r>
            <w:r>
              <w:rPr>
                <w:rFonts w:hint="eastAsia"/>
                <w:color w:val="auto"/>
                <w:szCs w:val="21"/>
              </w:rPr>
              <w:t>20.16</w:t>
            </w:r>
          </w:p>
        </w:tc>
      </w:tr>
      <w:tr w:rsidR="003524F7" w:rsidRPr="00530DAB" w:rsidTr="00865D65">
        <w:tc>
          <w:tcPr>
            <w:tcW w:w="5353" w:type="dxa"/>
            <w:shd w:val="clear" w:color="auto" w:fill="auto"/>
          </w:tcPr>
          <w:p w:rsidR="003524F7" w:rsidRPr="00530DAB" w:rsidRDefault="003524F7" w:rsidP="00B72BB0">
            <w:pPr>
              <w:spacing w:line="240" w:lineRule="auto"/>
              <w:ind w:firstLine="0"/>
              <w:rPr>
                <w:color w:val="auto"/>
                <w:szCs w:val="21"/>
              </w:rPr>
            </w:pPr>
            <w:r w:rsidRPr="00530DAB">
              <w:rPr>
                <w:rFonts w:hint="eastAsia"/>
                <w:color w:val="auto"/>
                <w:szCs w:val="21"/>
              </w:rPr>
              <w:t>二、</w:t>
            </w:r>
            <w:r w:rsidRPr="00530DAB">
              <w:rPr>
                <w:rFonts w:hint="eastAsia"/>
                <w:color w:val="auto"/>
                <w:szCs w:val="21"/>
              </w:rPr>
              <w:t>201</w:t>
            </w:r>
            <w:r w:rsidR="007C4C52" w:rsidRPr="00530DAB">
              <w:rPr>
                <w:rFonts w:hint="eastAsia"/>
                <w:color w:val="auto"/>
                <w:szCs w:val="21"/>
              </w:rPr>
              <w:t>6</w:t>
            </w:r>
            <w:r w:rsidRPr="00530DAB">
              <w:rPr>
                <w:rFonts w:hint="eastAsia"/>
                <w:color w:val="auto"/>
                <w:szCs w:val="21"/>
              </w:rPr>
              <w:t>年</w:t>
            </w:r>
            <w:r w:rsidR="00B72BB0">
              <w:rPr>
                <w:color w:val="auto"/>
                <w:szCs w:val="21"/>
              </w:rPr>
              <w:t>7</w:t>
            </w:r>
            <w:r w:rsidRPr="00530DAB">
              <w:rPr>
                <w:rFonts w:hint="eastAsia"/>
                <w:color w:val="auto"/>
                <w:szCs w:val="21"/>
              </w:rPr>
              <w:t>月</w:t>
            </w:r>
            <w:r w:rsidR="001C6EAE">
              <w:rPr>
                <w:rFonts w:hint="eastAsia"/>
                <w:color w:val="auto"/>
                <w:szCs w:val="21"/>
              </w:rPr>
              <w:t>7</w:t>
            </w:r>
            <w:r w:rsidRPr="00530DAB">
              <w:rPr>
                <w:rFonts w:hint="eastAsia"/>
                <w:color w:val="auto"/>
                <w:szCs w:val="21"/>
              </w:rPr>
              <w:t>日基金净资产</w:t>
            </w:r>
          </w:p>
        </w:tc>
        <w:tc>
          <w:tcPr>
            <w:tcW w:w="3169" w:type="dxa"/>
            <w:tcBorders>
              <w:top w:val="single" w:sz="4" w:space="0" w:color="auto"/>
              <w:bottom w:val="double" w:sz="4" w:space="0" w:color="auto"/>
            </w:tcBorders>
            <w:shd w:val="clear" w:color="auto" w:fill="auto"/>
          </w:tcPr>
          <w:p w:rsidR="003524F7" w:rsidRPr="00530DAB" w:rsidRDefault="00BC0957" w:rsidP="00ED6D9C">
            <w:pPr>
              <w:spacing w:line="240" w:lineRule="auto"/>
              <w:ind w:firstLine="0"/>
              <w:jc w:val="right"/>
              <w:rPr>
                <w:color w:val="auto"/>
                <w:szCs w:val="21"/>
              </w:rPr>
            </w:pPr>
            <w:r>
              <w:rPr>
                <w:rFonts w:hint="eastAsia"/>
                <w:color w:val="auto"/>
                <w:szCs w:val="21"/>
              </w:rPr>
              <w:t>15,3</w:t>
            </w:r>
            <w:r w:rsidR="009A1289">
              <w:rPr>
                <w:color w:val="auto"/>
                <w:szCs w:val="21"/>
              </w:rPr>
              <w:t>99,</w:t>
            </w:r>
            <w:r w:rsidR="009A1289">
              <w:rPr>
                <w:rFonts w:hint="eastAsia"/>
                <w:color w:val="auto"/>
                <w:szCs w:val="21"/>
              </w:rPr>
              <w:t>597.69</w:t>
            </w:r>
          </w:p>
        </w:tc>
      </w:tr>
    </w:tbl>
    <w:p w:rsidR="003524F7" w:rsidRPr="00530DAB" w:rsidRDefault="003524F7" w:rsidP="003524F7">
      <w:pPr>
        <w:spacing w:line="240" w:lineRule="auto"/>
        <w:ind w:firstLine="0"/>
        <w:rPr>
          <w:color w:val="auto"/>
          <w:kern w:val="0"/>
          <w:szCs w:val="21"/>
        </w:rPr>
      </w:pPr>
    </w:p>
    <w:p w:rsidR="003524F7" w:rsidRPr="00530DAB" w:rsidRDefault="003524F7" w:rsidP="00530DAB">
      <w:pPr>
        <w:spacing w:before="120" w:after="120" w:line="300" w:lineRule="auto"/>
        <w:ind w:firstLine="0"/>
        <w:rPr>
          <w:color w:val="auto"/>
          <w:kern w:val="0"/>
          <w:szCs w:val="21"/>
        </w:rPr>
      </w:pPr>
      <w:r w:rsidRPr="00530DAB">
        <w:rPr>
          <w:rFonts w:hint="eastAsia"/>
          <w:color w:val="auto"/>
          <w:kern w:val="0"/>
          <w:szCs w:val="21"/>
        </w:rPr>
        <w:t>资产处置及负债清偿后，于</w:t>
      </w:r>
      <w:r w:rsidRPr="00530DAB">
        <w:rPr>
          <w:rFonts w:hint="eastAsia"/>
          <w:color w:val="auto"/>
          <w:kern w:val="0"/>
          <w:szCs w:val="21"/>
        </w:rPr>
        <w:t>201</w:t>
      </w:r>
      <w:r w:rsidR="00530DAB" w:rsidRPr="00530DAB">
        <w:rPr>
          <w:rFonts w:hint="eastAsia"/>
          <w:color w:val="auto"/>
          <w:kern w:val="0"/>
          <w:szCs w:val="21"/>
        </w:rPr>
        <w:t>6</w:t>
      </w:r>
      <w:r w:rsidRPr="00530DAB">
        <w:rPr>
          <w:rFonts w:hint="eastAsia"/>
          <w:color w:val="auto"/>
          <w:kern w:val="0"/>
          <w:szCs w:val="21"/>
        </w:rPr>
        <w:t>年</w:t>
      </w:r>
      <w:r w:rsidR="00ED6D9C">
        <w:rPr>
          <w:color w:val="auto"/>
          <w:kern w:val="0"/>
          <w:szCs w:val="21"/>
        </w:rPr>
        <w:t>7</w:t>
      </w:r>
      <w:r w:rsidRPr="00530DAB">
        <w:rPr>
          <w:rFonts w:hint="eastAsia"/>
          <w:color w:val="auto"/>
          <w:kern w:val="0"/>
          <w:szCs w:val="21"/>
        </w:rPr>
        <w:t>月</w:t>
      </w:r>
      <w:r w:rsidR="001C6EAE">
        <w:rPr>
          <w:rFonts w:hint="eastAsia"/>
          <w:color w:val="auto"/>
          <w:kern w:val="0"/>
          <w:szCs w:val="21"/>
        </w:rPr>
        <w:t>7</w:t>
      </w:r>
      <w:r w:rsidRPr="00530DAB">
        <w:rPr>
          <w:rFonts w:hint="eastAsia"/>
          <w:color w:val="auto"/>
          <w:kern w:val="0"/>
          <w:szCs w:val="21"/>
        </w:rPr>
        <w:t>日本基金剩余财产为人民币</w:t>
      </w:r>
      <w:r w:rsidR="001C6EAE">
        <w:rPr>
          <w:rFonts w:hint="eastAsia"/>
          <w:color w:val="auto"/>
          <w:kern w:val="0"/>
          <w:szCs w:val="21"/>
        </w:rPr>
        <w:t>15,</w:t>
      </w:r>
      <w:r w:rsidR="009A1289">
        <w:rPr>
          <w:color w:val="auto"/>
          <w:kern w:val="0"/>
          <w:szCs w:val="21"/>
        </w:rPr>
        <w:t>399,</w:t>
      </w:r>
      <w:r w:rsidR="009A1289">
        <w:rPr>
          <w:rFonts w:hint="eastAsia"/>
          <w:color w:val="auto"/>
          <w:kern w:val="0"/>
          <w:szCs w:val="21"/>
        </w:rPr>
        <w:t>597.69</w:t>
      </w:r>
      <w:r w:rsidRPr="00530DAB">
        <w:rPr>
          <w:rFonts w:hint="eastAsia"/>
          <w:color w:val="auto"/>
          <w:kern w:val="0"/>
          <w:szCs w:val="21"/>
        </w:rPr>
        <w:t>元，根据本基金的基金合同约定，依据基金财产清算的分配方案，将基金财产清算后的全部剩余资产扣除基金财产清算费用、交纳所欠税款并清偿基金债务后，按基金份额持有人持有的基金份额比例进行分配。</w:t>
      </w:r>
    </w:p>
    <w:p w:rsidR="003524F7" w:rsidRPr="00530DAB" w:rsidRDefault="003524F7" w:rsidP="00530DAB">
      <w:pPr>
        <w:spacing w:before="120" w:after="120" w:line="300" w:lineRule="auto"/>
        <w:ind w:firstLine="0"/>
        <w:rPr>
          <w:color w:val="auto"/>
          <w:kern w:val="0"/>
          <w:szCs w:val="21"/>
        </w:rPr>
      </w:pPr>
      <w:r w:rsidRPr="00530DAB">
        <w:rPr>
          <w:rFonts w:hint="eastAsia"/>
          <w:color w:val="auto"/>
          <w:kern w:val="0"/>
          <w:szCs w:val="21"/>
        </w:rPr>
        <w:t>清算起始日</w:t>
      </w:r>
      <w:r w:rsidRPr="00530DAB">
        <w:rPr>
          <w:rFonts w:hint="eastAsia"/>
          <w:color w:val="auto"/>
          <w:kern w:val="0"/>
          <w:szCs w:val="21"/>
        </w:rPr>
        <w:t>201</w:t>
      </w:r>
      <w:r w:rsidR="00530DAB" w:rsidRPr="00530DAB">
        <w:rPr>
          <w:rFonts w:hint="eastAsia"/>
          <w:color w:val="auto"/>
          <w:kern w:val="0"/>
          <w:szCs w:val="21"/>
        </w:rPr>
        <w:t>6</w:t>
      </w:r>
      <w:r w:rsidRPr="00530DAB">
        <w:rPr>
          <w:rFonts w:hint="eastAsia"/>
          <w:color w:val="auto"/>
          <w:kern w:val="0"/>
          <w:szCs w:val="21"/>
        </w:rPr>
        <w:t>年</w:t>
      </w:r>
      <w:r w:rsidR="00530DAB" w:rsidRPr="00530DAB">
        <w:rPr>
          <w:rFonts w:hint="eastAsia"/>
          <w:color w:val="auto"/>
          <w:kern w:val="0"/>
          <w:szCs w:val="21"/>
        </w:rPr>
        <w:t>4</w:t>
      </w:r>
      <w:r w:rsidRPr="00530DAB">
        <w:rPr>
          <w:rFonts w:hint="eastAsia"/>
          <w:color w:val="auto"/>
          <w:kern w:val="0"/>
          <w:szCs w:val="21"/>
        </w:rPr>
        <w:t>月</w:t>
      </w:r>
      <w:r w:rsidR="00530DAB" w:rsidRPr="00530DAB">
        <w:rPr>
          <w:rFonts w:hint="eastAsia"/>
          <w:color w:val="auto"/>
          <w:kern w:val="0"/>
          <w:szCs w:val="21"/>
        </w:rPr>
        <w:t>27</w:t>
      </w:r>
      <w:r w:rsidRPr="00530DAB">
        <w:rPr>
          <w:rFonts w:hint="eastAsia"/>
          <w:color w:val="auto"/>
          <w:kern w:val="0"/>
          <w:szCs w:val="21"/>
        </w:rPr>
        <w:t>日至清算款划出日前一日的银行存款产生的利息亦属份额持有人所有。基金管理人以自有资金垫付并</w:t>
      </w:r>
      <w:r w:rsidR="00530DAB" w:rsidRPr="00530DAB">
        <w:rPr>
          <w:rFonts w:hint="eastAsia"/>
          <w:color w:val="auto"/>
          <w:kern w:val="0"/>
          <w:szCs w:val="21"/>
        </w:rPr>
        <w:t>将</w:t>
      </w:r>
      <w:r w:rsidRPr="00530DAB">
        <w:rPr>
          <w:rFonts w:hint="eastAsia"/>
          <w:color w:val="auto"/>
          <w:kern w:val="0"/>
          <w:szCs w:val="21"/>
        </w:rPr>
        <w:t>于</w:t>
      </w:r>
      <w:r w:rsidRPr="00ED6D9C">
        <w:rPr>
          <w:rFonts w:hint="eastAsia"/>
          <w:color w:val="auto"/>
          <w:kern w:val="0"/>
          <w:szCs w:val="21"/>
        </w:rPr>
        <w:t>201</w:t>
      </w:r>
      <w:r w:rsidR="00530DAB" w:rsidRPr="00ED6D9C">
        <w:rPr>
          <w:rFonts w:hint="eastAsia"/>
          <w:color w:val="auto"/>
          <w:kern w:val="0"/>
          <w:szCs w:val="21"/>
        </w:rPr>
        <w:t>6</w:t>
      </w:r>
      <w:r w:rsidRPr="00ED6D9C">
        <w:rPr>
          <w:rFonts w:hint="eastAsia"/>
          <w:color w:val="auto"/>
          <w:kern w:val="0"/>
          <w:szCs w:val="21"/>
        </w:rPr>
        <w:t>年</w:t>
      </w:r>
      <w:r w:rsidR="00ED6D9C" w:rsidRPr="00ED6D9C">
        <w:rPr>
          <w:color w:val="auto"/>
          <w:kern w:val="0"/>
          <w:szCs w:val="21"/>
        </w:rPr>
        <w:t>7</w:t>
      </w:r>
      <w:r w:rsidRPr="00ED6D9C">
        <w:rPr>
          <w:rFonts w:hint="eastAsia"/>
          <w:color w:val="auto"/>
          <w:kern w:val="0"/>
          <w:szCs w:val="21"/>
        </w:rPr>
        <w:t>月</w:t>
      </w:r>
      <w:r w:rsidR="00ED6D9C" w:rsidRPr="00ED6D9C">
        <w:rPr>
          <w:color w:val="auto"/>
          <w:kern w:val="0"/>
          <w:szCs w:val="21"/>
        </w:rPr>
        <w:t>15</w:t>
      </w:r>
      <w:r w:rsidRPr="00ED6D9C">
        <w:rPr>
          <w:rFonts w:hint="eastAsia"/>
          <w:color w:val="auto"/>
          <w:kern w:val="0"/>
          <w:szCs w:val="21"/>
        </w:rPr>
        <w:t>日</w:t>
      </w:r>
      <w:r w:rsidRPr="00530DAB">
        <w:rPr>
          <w:rFonts w:hint="eastAsia"/>
          <w:color w:val="auto"/>
          <w:kern w:val="0"/>
          <w:szCs w:val="21"/>
        </w:rPr>
        <w:t>划入托管账户人民币</w:t>
      </w:r>
      <w:r w:rsidR="00ED6D9C">
        <w:rPr>
          <w:rFonts w:hint="eastAsia"/>
          <w:color w:val="auto"/>
          <w:kern w:val="0"/>
          <w:szCs w:val="21"/>
        </w:rPr>
        <w:t>137,999.15</w:t>
      </w:r>
      <w:r w:rsidRPr="00530DAB">
        <w:rPr>
          <w:rFonts w:hint="eastAsia"/>
          <w:color w:val="auto"/>
          <w:kern w:val="0"/>
          <w:szCs w:val="21"/>
        </w:rPr>
        <w:t>元，用以垫付</w:t>
      </w:r>
      <w:r w:rsidR="00530DAB" w:rsidRPr="00530DAB">
        <w:rPr>
          <w:rFonts w:hint="eastAsia"/>
          <w:color w:val="auto"/>
          <w:kern w:val="0"/>
          <w:szCs w:val="21"/>
        </w:rPr>
        <w:t>未变现资产</w:t>
      </w:r>
      <w:r w:rsidRPr="00530DAB">
        <w:rPr>
          <w:rFonts w:hint="eastAsia"/>
          <w:color w:val="auto"/>
          <w:kern w:val="0"/>
          <w:szCs w:val="21"/>
        </w:rPr>
        <w:t>等，基金管理人垫付资金到账日起孳生的利息归基金管理人所有。基金管理人垫付的资金以及垫付资金到帐日起孳生的利息将于清算期后返还给基金管理人。</w:t>
      </w:r>
    </w:p>
    <w:p w:rsidR="00AE1B69" w:rsidRPr="00530DAB" w:rsidRDefault="00530DAB" w:rsidP="00530DAB">
      <w:pPr>
        <w:ind w:firstLine="0"/>
        <w:outlineLvl w:val="2"/>
        <w:rPr>
          <w:b/>
          <w:color w:val="auto"/>
          <w:szCs w:val="21"/>
        </w:rPr>
      </w:pPr>
      <w:r w:rsidRPr="00530DAB">
        <w:rPr>
          <w:rFonts w:hint="eastAsia"/>
          <w:b/>
          <w:color w:val="auto"/>
          <w:szCs w:val="21"/>
        </w:rPr>
        <w:t>4.7</w:t>
      </w:r>
      <w:r w:rsidR="00AE1B69" w:rsidRPr="00530DAB">
        <w:rPr>
          <w:rFonts w:hint="eastAsia"/>
          <w:b/>
          <w:color w:val="auto"/>
          <w:szCs w:val="21"/>
        </w:rPr>
        <w:t>基金财产清算报告的告知安</w:t>
      </w:r>
      <w:r w:rsidR="00AE1B69" w:rsidRPr="00530DAB">
        <w:rPr>
          <w:b/>
          <w:color w:val="auto"/>
          <w:szCs w:val="21"/>
        </w:rPr>
        <w:t>排</w:t>
      </w:r>
    </w:p>
    <w:p w:rsidR="00530DAB" w:rsidRDefault="00AE1B69" w:rsidP="00530DAB">
      <w:pPr>
        <w:spacing w:before="120" w:after="120" w:line="300" w:lineRule="auto"/>
        <w:ind w:firstLine="0"/>
        <w:rPr>
          <w:rStyle w:val="a6"/>
          <w:lang w:val="en-GB"/>
        </w:rPr>
      </w:pPr>
      <w:r w:rsidRPr="00530DAB">
        <w:rPr>
          <w:rFonts w:hint="eastAsia"/>
          <w:color w:val="auto"/>
          <w:kern w:val="0"/>
          <w:szCs w:val="21"/>
        </w:rPr>
        <w:t>清算报告已经基金托管人复核，在经会计师事务所审计、律师事务所出具法律意见书后，报中国证监会备案后向基金份额持有人公告。</w:t>
      </w:r>
      <w:r w:rsidRPr="00530DAB">
        <w:rPr>
          <w:color w:val="auto"/>
          <w:kern w:val="0"/>
          <w:szCs w:val="21"/>
        </w:rPr>
        <w:br/>
      </w:r>
      <w:r w:rsidR="00530DAB">
        <w:rPr>
          <w:rStyle w:val="a6"/>
          <w:lang w:val="en-GB"/>
        </w:rPr>
        <w:br w:type="page"/>
      </w:r>
    </w:p>
    <w:p w:rsidR="001862BD" w:rsidRPr="00D76926" w:rsidRDefault="00530DAB" w:rsidP="00530DAB">
      <w:pPr>
        <w:spacing w:before="120" w:after="120" w:line="300" w:lineRule="auto"/>
        <w:ind w:firstLine="0"/>
        <w:rPr>
          <w:rStyle w:val="a6"/>
          <w:lang w:val="en-GB"/>
        </w:rPr>
      </w:pPr>
      <w:r>
        <w:rPr>
          <w:rStyle w:val="a6"/>
          <w:rFonts w:hint="eastAsia"/>
          <w:lang w:val="en-GB"/>
        </w:rPr>
        <w:t>五</w:t>
      </w:r>
      <w:r w:rsidR="002F64EC">
        <w:rPr>
          <w:rStyle w:val="a6"/>
          <w:rFonts w:hint="eastAsia"/>
          <w:lang w:val="en-GB"/>
        </w:rPr>
        <w:t>、</w:t>
      </w:r>
      <w:r w:rsidR="001862BD" w:rsidRPr="00D76926">
        <w:rPr>
          <w:rStyle w:val="a6"/>
          <w:rFonts w:hint="eastAsia"/>
          <w:lang w:val="en-GB"/>
        </w:rPr>
        <w:t>备查文件目录</w:t>
      </w:r>
    </w:p>
    <w:p w:rsidR="001862BD" w:rsidRPr="00AF266D" w:rsidRDefault="00530DAB" w:rsidP="00AF266D">
      <w:pPr>
        <w:spacing w:before="120" w:after="120" w:line="300" w:lineRule="auto"/>
        <w:ind w:firstLine="0"/>
        <w:outlineLvl w:val="2"/>
        <w:rPr>
          <w:b/>
          <w:bCs/>
          <w:color w:val="auto"/>
          <w:szCs w:val="21"/>
        </w:rPr>
      </w:pPr>
      <w:r w:rsidRPr="00AF266D">
        <w:rPr>
          <w:rFonts w:hint="eastAsia"/>
          <w:b/>
          <w:bCs/>
          <w:color w:val="auto"/>
          <w:szCs w:val="21"/>
        </w:rPr>
        <w:t>5.</w:t>
      </w:r>
      <w:r w:rsidR="001862BD" w:rsidRPr="00AF266D">
        <w:rPr>
          <w:rFonts w:hint="eastAsia"/>
          <w:b/>
          <w:bCs/>
          <w:color w:val="auto"/>
          <w:szCs w:val="21"/>
        </w:rPr>
        <w:t>1</w:t>
      </w:r>
      <w:r w:rsidR="001862BD" w:rsidRPr="00AF266D">
        <w:rPr>
          <w:rFonts w:hint="eastAsia"/>
          <w:b/>
          <w:bCs/>
          <w:color w:val="auto"/>
          <w:szCs w:val="21"/>
        </w:rPr>
        <w:t>备查文件目录</w:t>
      </w:r>
    </w:p>
    <w:p w:rsidR="001862BD" w:rsidRPr="005B6118" w:rsidRDefault="005B6118" w:rsidP="005B6118">
      <w:pPr>
        <w:spacing w:line="240" w:lineRule="auto"/>
        <w:ind w:firstLine="0"/>
        <w:rPr>
          <w:bCs/>
          <w:color w:val="auto"/>
          <w:kern w:val="0"/>
          <w:szCs w:val="21"/>
        </w:rPr>
      </w:pPr>
      <w:r>
        <w:rPr>
          <w:rFonts w:hint="eastAsia"/>
          <w:bCs/>
          <w:color w:val="auto"/>
          <w:kern w:val="0"/>
          <w:szCs w:val="21"/>
        </w:rPr>
        <w:t>1</w:t>
      </w:r>
      <w:r>
        <w:rPr>
          <w:rFonts w:hint="eastAsia"/>
          <w:bCs/>
          <w:color w:val="auto"/>
          <w:kern w:val="0"/>
          <w:szCs w:val="21"/>
        </w:rPr>
        <w:t>、</w:t>
      </w:r>
      <w:r w:rsidR="003A268A" w:rsidRPr="005B6118">
        <w:rPr>
          <w:rFonts w:hint="eastAsia"/>
          <w:bCs/>
          <w:color w:val="auto"/>
          <w:kern w:val="0"/>
          <w:szCs w:val="21"/>
        </w:rPr>
        <w:t>《</w:t>
      </w:r>
      <w:r w:rsidR="003A268A" w:rsidRPr="005B6118">
        <w:rPr>
          <w:rFonts w:hint="eastAsia"/>
          <w:color w:val="auto"/>
          <w:kern w:val="0"/>
          <w:szCs w:val="21"/>
        </w:rPr>
        <w:t>华宸未来沪深</w:t>
      </w:r>
      <w:r w:rsidR="003A268A" w:rsidRPr="005B6118">
        <w:rPr>
          <w:rFonts w:hint="eastAsia"/>
          <w:color w:val="auto"/>
          <w:kern w:val="0"/>
          <w:szCs w:val="21"/>
        </w:rPr>
        <w:t>300</w:t>
      </w:r>
      <w:r w:rsidR="003A268A" w:rsidRPr="005B6118">
        <w:rPr>
          <w:rFonts w:hint="eastAsia"/>
          <w:color w:val="auto"/>
          <w:kern w:val="0"/>
          <w:szCs w:val="21"/>
        </w:rPr>
        <w:t>指数增强型发起式证券投资基金（</w:t>
      </w:r>
      <w:r w:rsidR="003A268A" w:rsidRPr="005B6118">
        <w:rPr>
          <w:rFonts w:hint="eastAsia"/>
          <w:color w:val="auto"/>
          <w:kern w:val="0"/>
          <w:szCs w:val="21"/>
        </w:rPr>
        <w:t>LOF</w:t>
      </w:r>
      <w:r w:rsidR="003A268A" w:rsidRPr="005B6118">
        <w:rPr>
          <w:rFonts w:hint="eastAsia"/>
          <w:color w:val="auto"/>
          <w:kern w:val="0"/>
          <w:szCs w:val="21"/>
        </w:rPr>
        <w:t>）</w:t>
      </w:r>
      <w:r w:rsidR="001862BD" w:rsidRPr="005B6118">
        <w:rPr>
          <w:rFonts w:hint="eastAsia"/>
          <w:bCs/>
          <w:color w:val="auto"/>
          <w:kern w:val="0"/>
          <w:szCs w:val="21"/>
        </w:rPr>
        <w:t>清算审计报告</w:t>
      </w:r>
      <w:r w:rsidR="003A268A" w:rsidRPr="005B6118">
        <w:rPr>
          <w:rFonts w:hint="eastAsia"/>
          <w:bCs/>
          <w:color w:val="auto"/>
          <w:kern w:val="0"/>
          <w:szCs w:val="21"/>
        </w:rPr>
        <w:t>》；</w:t>
      </w:r>
    </w:p>
    <w:p w:rsidR="001862BD" w:rsidRPr="005B6118" w:rsidRDefault="005B6118" w:rsidP="005B6118">
      <w:pPr>
        <w:spacing w:line="240" w:lineRule="auto"/>
        <w:ind w:firstLine="0"/>
        <w:rPr>
          <w:bCs/>
          <w:color w:val="auto"/>
          <w:kern w:val="0"/>
          <w:szCs w:val="21"/>
        </w:rPr>
      </w:pPr>
      <w:r>
        <w:rPr>
          <w:rFonts w:hint="eastAsia"/>
          <w:bCs/>
          <w:color w:val="auto"/>
          <w:kern w:val="0"/>
          <w:szCs w:val="21"/>
        </w:rPr>
        <w:t>2</w:t>
      </w:r>
      <w:r>
        <w:rPr>
          <w:rFonts w:hint="eastAsia"/>
          <w:bCs/>
          <w:color w:val="auto"/>
          <w:kern w:val="0"/>
          <w:szCs w:val="21"/>
        </w:rPr>
        <w:t>、</w:t>
      </w:r>
      <w:r w:rsidR="003A268A" w:rsidRPr="005B6118">
        <w:rPr>
          <w:rFonts w:hint="eastAsia"/>
          <w:bCs/>
          <w:color w:val="auto"/>
          <w:kern w:val="0"/>
          <w:szCs w:val="21"/>
        </w:rPr>
        <w:t>海华永泰律师事务所关于《</w:t>
      </w:r>
      <w:r w:rsidR="003A268A" w:rsidRPr="005B6118">
        <w:rPr>
          <w:rFonts w:hint="eastAsia"/>
          <w:color w:val="auto"/>
          <w:kern w:val="0"/>
          <w:szCs w:val="21"/>
        </w:rPr>
        <w:t>华宸未来沪深</w:t>
      </w:r>
      <w:r w:rsidR="003A268A" w:rsidRPr="005B6118">
        <w:rPr>
          <w:rFonts w:hint="eastAsia"/>
          <w:color w:val="auto"/>
          <w:kern w:val="0"/>
          <w:szCs w:val="21"/>
        </w:rPr>
        <w:t>300</w:t>
      </w:r>
      <w:r w:rsidR="003A268A" w:rsidRPr="005B6118">
        <w:rPr>
          <w:rFonts w:hint="eastAsia"/>
          <w:color w:val="auto"/>
          <w:kern w:val="0"/>
          <w:szCs w:val="21"/>
        </w:rPr>
        <w:t>指数增强型发起式证券投资基金（</w:t>
      </w:r>
      <w:r w:rsidR="003A268A" w:rsidRPr="005B6118">
        <w:rPr>
          <w:rFonts w:hint="eastAsia"/>
          <w:color w:val="auto"/>
          <w:kern w:val="0"/>
          <w:szCs w:val="21"/>
        </w:rPr>
        <w:t>LOF</w:t>
      </w:r>
      <w:r w:rsidR="003A268A" w:rsidRPr="005B6118">
        <w:rPr>
          <w:rFonts w:hint="eastAsia"/>
          <w:color w:val="auto"/>
          <w:kern w:val="0"/>
          <w:szCs w:val="21"/>
        </w:rPr>
        <w:t>）</w:t>
      </w:r>
      <w:r w:rsidR="001862BD" w:rsidRPr="005B6118">
        <w:rPr>
          <w:rFonts w:hint="eastAsia"/>
          <w:bCs/>
          <w:color w:val="auto"/>
          <w:kern w:val="0"/>
          <w:szCs w:val="21"/>
        </w:rPr>
        <w:t>清算</w:t>
      </w:r>
      <w:r w:rsidR="003A268A" w:rsidRPr="005B6118">
        <w:rPr>
          <w:rFonts w:hint="eastAsia"/>
          <w:bCs/>
          <w:color w:val="auto"/>
          <w:kern w:val="0"/>
          <w:szCs w:val="21"/>
        </w:rPr>
        <w:t>报告》</w:t>
      </w:r>
      <w:r w:rsidR="001862BD" w:rsidRPr="005B6118">
        <w:rPr>
          <w:rFonts w:hint="eastAsia"/>
          <w:bCs/>
          <w:color w:val="auto"/>
          <w:kern w:val="0"/>
          <w:szCs w:val="21"/>
        </w:rPr>
        <w:t>的法律意见书</w:t>
      </w:r>
      <w:r w:rsidR="003A268A" w:rsidRPr="005B6118">
        <w:rPr>
          <w:rFonts w:hint="eastAsia"/>
          <w:bCs/>
          <w:color w:val="auto"/>
          <w:kern w:val="0"/>
          <w:szCs w:val="21"/>
        </w:rPr>
        <w:t>。</w:t>
      </w:r>
    </w:p>
    <w:p w:rsidR="001862BD" w:rsidRPr="00AF266D" w:rsidRDefault="00530DAB" w:rsidP="00AF266D">
      <w:pPr>
        <w:spacing w:before="120" w:after="120" w:line="300" w:lineRule="auto"/>
        <w:ind w:firstLine="0"/>
        <w:outlineLvl w:val="2"/>
        <w:rPr>
          <w:b/>
          <w:color w:val="auto"/>
          <w:szCs w:val="21"/>
        </w:rPr>
      </w:pPr>
      <w:r w:rsidRPr="00AF266D">
        <w:rPr>
          <w:rFonts w:hint="eastAsia"/>
          <w:b/>
          <w:color w:val="auto"/>
          <w:szCs w:val="21"/>
        </w:rPr>
        <w:t>5.2</w:t>
      </w:r>
      <w:r w:rsidR="001862BD" w:rsidRPr="00AF266D">
        <w:rPr>
          <w:rFonts w:hint="eastAsia"/>
          <w:b/>
          <w:color w:val="auto"/>
          <w:szCs w:val="21"/>
        </w:rPr>
        <w:t>存放地点</w:t>
      </w:r>
    </w:p>
    <w:p w:rsidR="001862BD" w:rsidRPr="00D76926" w:rsidRDefault="003A268A" w:rsidP="00AF266D">
      <w:pPr>
        <w:spacing w:before="120" w:after="120" w:line="300" w:lineRule="auto"/>
        <w:ind w:firstLine="0"/>
        <w:rPr>
          <w:rStyle w:val="a6"/>
          <w:b w:val="0"/>
          <w:lang w:val="en-GB"/>
        </w:rPr>
      </w:pPr>
      <w:r>
        <w:rPr>
          <w:rStyle w:val="a6"/>
          <w:rFonts w:hint="eastAsia"/>
          <w:b w:val="0"/>
          <w:lang w:val="en-GB"/>
        </w:rPr>
        <w:t>上海市虹口区四川北路</w:t>
      </w:r>
      <w:r>
        <w:rPr>
          <w:rStyle w:val="a6"/>
          <w:rFonts w:hint="eastAsia"/>
          <w:b w:val="0"/>
          <w:lang w:val="en-GB"/>
        </w:rPr>
        <w:t>859</w:t>
      </w:r>
      <w:r>
        <w:rPr>
          <w:rStyle w:val="a6"/>
          <w:rFonts w:hint="eastAsia"/>
          <w:b w:val="0"/>
          <w:lang w:val="en-GB"/>
        </w:rPr>
        <w:t>号中信广场</w:t>
      </w:r>
      <w:r>
        <w:rPr>
          <w:rStyle w:val="a6"/>
          <w:rFonts w:hint="eastAsia"/>
          <w:b w:val="0"/>
          <w:lang w:val="en-GB"/>
        </w:rPr>
        <w:t>16</w:t>
      </w:r>
      <w:r>
        <w:rPr>
          <w:rStyle w:val="a6"/>
          <w:rFonts w:hint="eastAsia"/>
          <w:b w:val="0"/>
          <w:lang w:val="en-GB"/>
        </w:rPr>
        <w:t>楼</w:t>
      </w:r>
    </w:p>
    <w:p w:rsidR="001862BD" w:rsidRPr="00AF266D" w:rsidRDefault="00530DAB" w:rsidP="00AF266D">
      <w:pPr>
        <w:spacing w:before="120" w:after="120" w:line="300" w:lineRule="auto"/>
        <w:ind w:firstLine="0"/>
        <w:rPr>
          <w:rStyle w:val="a6"/>
          <w:lang w:val="en-GB"/>
        </w:rPr>
      </w:pPr>
      <w:r w:rsidRPr="00AF266D">
        <w:rPr>
          <w:rStyle w:val="a6"/>
          <w:rFonts w:hint="eastAsia"/>
          <w:lang w:val="en-GB"/>
        </w:rPr>
        <w:t>5.3</w:t>
      </w:r>
      <w:r w:rsidR="001862BD" w:rsidRPr="00AF266D">
        <w:rPr>
          <w:rStyle w:val="a6"/>
          <w:rFonts w:hint="eastAsia"/>
          <w:lang w:val="en-GB"/>
        </w:rPr>
        <w:t>查阅方式</w:t>
      </w:r>
    </w:p>
    <w:p w:rsidR="001862BD" w:rsidRDefault="001862BD" w:rsidP="00AF266D">
      <w:pPr>
        <w:spacing w:before="120" w:after="120" w:line="300" w:lineRule="auto"/>
        <w:ind w:firstLine="0"/>
        <w:rPr>
          <w:rStyle w:val="a6"/>
          <w:b w:val="0"/>
          <w:lang w:val="en-GB"/>
        </w:rPr>
      </w:pPr>
      <w:r w:rsidRPr="00D76926">
        <w:rPr>
          <w:rStyle w:val="a6"/>
          <w:rFonts w:hint="eastAsia"/>
          <w:b w:val="0"/>
          <w:lang w:val="en-GB"/>
        </w:rPr>
        <w:t>投资者可在营业时间内至基金管理人的办公场所免费查阅。</w:t>
      </w:r>
    </w:p>
    <w:p w:rsidR="00474CBD" w:rsidRPr="00D76926" w:rsidRDefault="00474CBD" w:rsidP="005B3983">
      <w:pPr>
        <w:rPr>
          <w:rStyle w:val="a6"/>
          <w:b w:val="0"/>
          <w:lang w:val="en-GB"/>
        </w:rPr>
      </w:pPr>
    </w:p>
    <w:p w:rsidR="00AF266D" w:rsidRDefault="003A268A" w:rsidP="00474CBD">
      <w:pPr>
        <w:jc w:val="right"/>
        <w:rPr>
          <w:rStyle w:val="a6"/>
          <w:b w:val="0"/>
          <w:bCs w:val="0"/>
        </w:rPr>
      </w:pPr>
      <w:r w:rsidRPr="005B3983">
        <w:rPr>
          <w:rStyle w:val="a6"/>
          <w:rFonts w:hint="eastAsia"/>
          <w:b w:val="0"/>
          <w:bCs w:val="0"/>
        </w:rPr>
        <w:t>华宸未来沪深</w:t>
      </w:r>
      <w:r w:rsidRPr="005B3983">
        <w:rPr>
          <w:rStyle w:val="a6"/>
          <w:rFonts w:hint="eastAsia"/>
          <w:b w:val="0"/>
          <w:bCs w:val="0"/>
        </w:rPr>
        <w:t>300</w:t>
      </w:r>
      <w:r w:rsidRPr="005B3983">
        <w:rPr>
          <w:rStyle w:val="a6"/>
          <w:rFonts w:hint="eastAsia"/>
          <w:b w:val="0"/>
          <w:bCs w:val="0"/>
        </w:rPr>
        <w:t>指数增强型发起式证券投资基金（</w:t>
      </w:r>
      <w:r w:rsidRPr="005B3983">
        <w:rPr>
          <w:rStyle w:val="a6"/>
          <w:rFonts w:hint="eastAsia"/>
          <w:b w:val="0"/>
          <w:bCs w:val="0"/>
        </w:rPr>
        <w:t>LOF</w:t>
      </w:r>
      <w:r w:rsidRPr="005B3983">
        <w:rPr>
          <w:rStyle w:val="a6"/>
          <w:rFonts w:hint="eastAsia"/>
          <w:b w:val="0"/>
          <w:bCs w:val="0"/>
        </w:rPr>
        <w:t>）</w:t>
      </w:r>
    </w:p>
    <w:p w:rsidR="001862BD" w:rsidRPr="00D76926" w:rsidRDefault="001862BD" w:rsidP="00474CBD">
      <w:pPr>
        <w:jc w:val="right"/>
        <w:rPr>
          <w:rStyle w:val="a6"/>
          <w:b w:val="0"/>
          <w:lang w:val="en-GB"/>
        </w:rPr>
      </w:pPr>
      <w:r w:rsidRPr="00D76926">
        <w:rPr>
          <w:rStyle w:val="a6"/>
          <w:rFonts w:hint="eastAsia"/>
          <w:b w:val="0"/>
          <w:lang w:val="en-GB"/>
        </w:rPr>
        <w:t>基金财产清算小组</w:t>
      </w:r>
    </w:p>
    <w:p w:rsidR="001862BD" w:rsidRPr="00D76926" w:rsidRDefault="003A268A" w:rsidP="00474CBD">
      <w:pPr>
        <w:ind w:firstLineChars="2928" w:firstLine="6149"/>
        <w:jc w:val="right"/>
        <w:rPr>
          <w:rStyle w:val="a6"/>
          <w:b w:val="0"/>
          <w:lang w:val="en-GB"/>
        </w:rPr>
      </w:pPr>
      <w:r>
        <w:rPr>
          <w:rStyle w:val="a6"/>
          <w:rFonts w:hint="eastAsia"/>
          <w:b w:val="0"/>
          <w:lang w:val="en-GB"/>
        </w:rPr>
        <w:t>2016</w:t>
      </w:r>
      <w:r w:rsidR="001862BD" w:rsidRPr="00D76926">
        <w:rPr>
          <w:rStyle w:val="a6"/>
          <w:rFonts w:hint="eastAsia"/>
          <w:b w:val="0"/>
          <w:lang w:val="en-GB"/>
        </w:rPr>
        <w:t>年</w:t>
      </w:r>
      <w:r w:rsidR="00D0221F">
        <w:rPr>
          <w:rStyle w:val="a6"/>
          <w:rFonts w:hint="eastAsia"/>
          <w:b w:val="0"/>
          <w:lang w:val="en-GB"/>
        </w:rPr>
        <w:t>10</w:t>
      </w:r>
      <w:r w:rsidR="001862BD" w:rsidRPr="00D76926">
        <w:rPr>
          <w:rStyle w:val="a6"/>
          <w:rFonts w:hint="eastAsia"/>
          <w:b w:val="0"/>
          <w:lang w:val="en-GB"/>
        </w:rPr>
        <w:t>月</w:t>
      </w:r>
      <w:r w:rsidR="00D0221F">
        <w:rPr>
          <w:rStyle w:val="a6"/>
          <w:rFonts w:hint="eastAsia"/>
          <w:b w:val="0"/>
          <w:lang w:val="en-GB"/>
        </w:rPr>
        <w:t>21</w:t>
      </w:r>
      <w:r w:rsidR="001862BD" w:rsidRPr="00D76926">
        <w:rPr>
          <w:rStyle w:val="a6"/>
          <w:rFonts w:hint="eastAsia"/>
          <w:b w:val="0"/>
          <w:lang w:val="en-GB"/>
        </w:rPr>
        <w:t>日</w:t>
      </w:r>
    </w:p>
    <w:p w:rsidR="007B1A88" w:rsidRDefault="007B1A88" w:rsidP="005B3983"/>
    <w:sectPr w:rsidR="007B1A88" w:rsidSect="00182984">
      <w:headerReference w:type="default" r:id="rId8"/>
      <w:footerReference w:type="default" r:id="rId9"/>
      <w:headerReference w:type="first" r:id="rId10"/>
      <w:pgSz w:w="11906" w:h="16838"/>
      <w:pgMar w:top="1440" w:right="1800" w:bottom="1440" w:left="1800" w:header="851" w:footer="992" w:gutter="0"/>
      <w:pgBorders w:offsetFrom="page">
        <w:top w:val="single" w:sz="2" w:space="24" w:color="auto"/>
        <w:left w:val="single" w:sz="2" w:space="24" w:color="auto"/>
        <w:bottom w:val="single" w:sz="2" w:space="24" w:color="auto"/>
        <w:right w:val="single" w:sz="2" w:space="24" w:color="auto"/>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5DF" w:rsidRDefault="002D75DF" w:rsidP="005B3983">
      <w:r>
        <w:separator/>
      </w:r>
    </w:p>
  </w:endnote>
  <w:endnote w:type="continuationSeparator" w:id="0">
    <w:p w:rsidR="002D75DF" w:rsidRDefault="002D75DF" w:rsidP="005B3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74850"/>
      <w:docPartObj>
        <w:docPartGallery w:val="Page Numbers (Bottom of Page)"/>
        <w:docPartUnique/>
      </w:docPartObj>
    </w:sdtPr>
    <w:sdtContent>
      <w:p w:rsidR="00865D65" w:rsidRDefault="00865D65">
        <w:pPr>
          <w:pStyle w:val="a5"/>
          <w:jc w:val="center"/>
        </w:pPr>
        <w:r>
          <w:rPr>
            <w:rFonts w:hint="eastAsia"/>
          </w:rPr>
          <w:t>第</w:t>
        </w:r>
        <w:r w:rsidR="00540C5B" w:rsidRPr="00540C5B">
          <w:fldChar w:fldCharType="begin"/>
        </w:r>
        <w:r>
          <w:instrText xml:space="preserve"> PAGE   \* MERGEFORMAT </w:instrText>
        </w:r>
        <w:r w:rsidR="00540C5B" w:rsidRPr="00540C5B">
          <w:fldChar w:fldCharType="separate"/>
        </w:r>
        <w:r w:rsidR="004B343E" w:rsidRPr="004B343E">
          <w:rPr>
            <w:noProof/>
            <w:lang w:val="zh-CN"/>
          </w:rPr>
          <w:t>1</w:t>
        </w:r>
        <w:r w:rsidR="00540C5B">
          <w:rPr>
            <w:noProof/>
            <w:lang w:val="zh-CN"/>
          </w:rPr>
          <w:fldChar w:fldCharType="end"/>
        </w:r>
        <w:r>
          <w:rPr>
            <w:rFonts w:hint="eastAsia"/>
          </w:rPr>
          <w:t>页共</w:t>
        </w:r>
        <w:r>
          <w:rPr>
            <w:rFonts w:hint="eastAsia"/>
          </w:rPr>
          <w:t>10</w:t>
        </w:r>
        <w:r>
          <w:rPr>
            <w:rFonts w:hint="eastAsia"/>
          </w:rPr>
          <w:t>页</w:t>
        </w:r>
      </w:p>
    </w:sdtContent>
  </w:sdt>
  <w:p w:rsidR="00865D65" w:rsidRDefault="00865D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5DF" w:rsidRDefault="002D75DF" w:rsidP="005B3983">
      <w:r>
        <w:separator/>
      </w:r>
    </w:p>
  </w:footnote>
  <w:footnote w:type="continuationSeparator" w:id="0">
    <w:p w:rsidR="002D75DF" w:rsidRDefault="002D75DF" w:rsidP="005B3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5" w:rsidRPr="00043755" w:rsidRDefault="00865D65" w:rsidP="00B65EF8">
    <w:pPr>
      <w:pStyle w:val="a4"/>
      <w:ind w:firstLineChars="966" w:firstLine="1739"/>
      <w:jc w:val="both"/>
    </w:pPr>
    <w:r w:rsidRPr="005B3983">
      <w:rPr>
        <w:rStyle w:val="a6"/>
        <w:rFonts w:hint="eastAsia"/>
        <w:b w:val="0"/>
        <w:bCs w:val="0"/>
      </w:rPr>
      <w:t>华宸未来沪深</w:t>
    </w:r>
    <w:r w:rsidRPr="005B3983">
      <w:rPr>
        <w:rStyle w:val="a6"/>
        <w:rFonts w:hint="eastAsia"/>
        <w:b w:val="0"/>
        <w:bCs w:val="0"/>
      </w:rPr>
      <w:t>300</w:t>
    </w:r>
    <w:r w:rsidRPr="005B3983">
      <w:rPr>
        <w:rStyle w:val="a6"/>
        <w:rFonts w:hint="eastAsia"/>
        <w:b w:val="0"/>
        <w:bCs w:val="0"/>
      </w:rPr>
      <w:t>指数增强型发起式证券投资基金（</w:t>
    </w:r>
    <w:r w:rsidRPr="005B3983">
      <w:rPr>
        <w:rStyle w:val="a6"/>
        <w:rFonts w:hint="eastAsia"/>
        <w:b w:val="0"/>
        <w:bCs w:val="0"/>
      </w:rPr>
      <w:t>LOF</w:t>
    </w:r>
    <w:r w:rsidRPr="005B3983">
      <w:rPr>
        <w:rStyle w:val="a6"/>
        <w:rFonts w:hint="eastAsia"/>
        <w:b w:val="0"/>
        <w:bCs w:val="0"/>
      </w:rPr>
      <w:t>）</w:t>
    </w:r>
    <w:r w:rsidR="003A152F">
      <w:rPr>
        <w:rStyle w:val="a6"/>
        <w:rFonts w:hint="eastAsia"/>
        <w:b w:val="0"/>
        <w:bCs w:val="0"/>
      </w:rPr>
      <w:t>清算报告</w:t>
    </w:r>
    <w:r w:rsidRPr="001F04C9">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D65" w:rsidRDefault="00865D65" w:rsidP="005B3983">
    <w:pPr>
      <w:pStyle w:val="a4"/>
    </w:pPr>
    <w:r>
      <w:rPr>
        <w:szCs w:val="24"/>
      </w:rPr>
      <w:t>heng</w:t>
    </w:r>
    <w:r>
      <w:t>Heng</w:t>
    </w:r>
  </w:p>
  <w:p w:rsidR="00865D65" w:rsidRDefault="00865D65" w:rsidP="005B3983">
    <w:r>
      <w:t>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14A"/>
    <w:multiLevelType w:val="hybridMultilevel"/>
    <w:tmpl w:val="11E60324"/>
    <w:lvl w:ilvl="0" w:tplc="4B14D1A4">
      <w:start w:val="1"/>
      <w:numFmt w:val="decimal"/>
      <w:lvlText w:val="（%1）"/>
      <w:lvlJc w:val="left"/>
      <w:pPr>
        <w:ind w:left="1306" w:hanging="720"/>
      </w:pPr>
      <w:rPr>
        <w:rFonts w:hint="default"/>
      </w:rPr>
    </w:lvl>
    <w:lvl w:ilvl="1" w:tplc="04090019" w:tentative="1">
      <w:start w:val="1"/>
      <w:numFmt w:val="lowerLetter"/>
      <w:lvlText w:val="%2)"/>
      <w:lvlJc w:val="left"/>
      <w:pPr>
        <w:ind w:left="1426" w:hanging="420"/>
      </w:pPr>
    </w:lvl>
    <w:lvl w:ilvl="2" w:tplc="0409001B" w:tentative="1">
      <w:start w:val="1"/>
      <w:numFmt w:val="lowerRoman"/>
      <w:lvlText w:val="%3."/>
      <w:lvlJc w:val="right"/>
      <w:pPr>
        <w:ind w:left="1846" w:hanging="420"/>
      </w:pPr>
    </w:lvl>
    <w:lvl w:ilvl="3" w:tplc="0409000F" w:tentative="1">
      <w:start w:val="1"/>
      <w:numFmt w:val="decimal"/>
      <w:lvlText w:val="%4."/>
      <w:lvlJc w:val="left"/>
      <w:pPr>
        <w:ind w:left="2266" w:hanging="420"/>
      </w:pPr>
    </w:lvl>
    <w:lvl w:ilvl="4" w:tplc="04090019" w:tentative="1">
      <w:start w:val="1"/>
      <w:numFmt w:val="lowerLetter"/>
      <w:lvlText w:val="%5)"/>
      <w:lvlJc w:val="left"/>
      <w:pPr>
        <w:ind w:left="2686" w:hanging="420"/>
      </w:pPr>
    </w:lvl>
    <w:lvl w:ilvl="5" w:tplc="0409001B" w:tentative="1">
      <w:start w:val="1"/>
      <w:numFmt w:val="lowerRoman"/>
      <w:lvlText w:val="%6."/>
      <w:lvlJc w:val="right"/>
      <w:pPr>
        <w:ind w:left="3106" w:hanging="420"/>
      </w:pPr>
    </w:lvl>
    <w:lvl w:ilvl="6" w:tplc="0409000F" w:tentative="1">
      <w:start w:val="1"/>
      <w:numFmt w:val="decimal"/>
      <w:lvlText w:val="%7."/>
      <w:lvlJc w:val="left"/>
      <w:pPr>
        <w:ind w:left="3526" w:hanging="420"/>
      </w:pPr>
    </w:lvl>
    <w:lvl w:ilvl="7" w:tplc="04090019" w:tentative="1">
      <w:start w:val="1"/>
      <w:numFmt w:val="lowerLetter"/>
      <w:lvlText w:val="%8)"/>
      <w:lvlJc w:val="left"/>
      <w:pPr>
        <w:ind w:left="3946" w:hanging="420"/>
      </w:pPr>
    </w:lvl>
    <w:lvl w:ilvl="8" w:tplc="0409001B" w:tentative="1">
      <w:start w:val="1"/>
      <w:numFmt w:val="lowerRoman"/>
      <w:lvlText w:val="%9."/>
      <w:lvlJc w:val="right"/>
      <w:pPr>
        <w:ind w:left="4366" w:hanging="420"/>
      </w:pPr>
    </w:lvl>
  </w:abstractNum>
  <w:abstractNum w:abstractNumId="1">
    <w:nsid w:val="23AF1D64"/>
    <w:multiLevelType w:val="hybridMultilevel"/>
    <w:tmpl w:val="9704E1D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B361B1A"/>
    <w:multiLevelType w:val="hybridMultilevel"/>
    <w:tmpl w:val="8E12C0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4">
    <w:nsid w:val="5C3F26D4"/>
    <w:multiLevelType w:val="hybridMultilevel"/>
    <w:tmpl w:val="AADA0C52"/>
    <w:lvl w:ilvl="0" w:tplc="58400038">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61D74F16"/>
    <w:multiLevelType w:val="hybridMultilevel"/>
    <w:tmpl w:val="DF58EC6E"/>
    <w:lvl w:ilvl="0" w:tplc="D2F47B0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663711CC"/>
    <w:multiLevelType w:val="hybridMultilevel"/>
    <w:tmpl w:val="B78C2A36"/>
    <w:lvl w:ilvl="0" w:tplc="CE6A530E">
      <w:start w:val="6"/>
      <w:numFmt w:val="decimal"/>
      <w:lvlText w:val="%1、"/>
      <w:lvlJc w:val="left"/>
      <w:pPr>
        <w:ind w:left="3904" w:hanging="360"/>
      </w:pPr>
      <w:rPr>
        <w:rFonts w:hint="default"/>
      </w:rPr>
    </w:lvl>
    <w:lvl w:ilvl="1" w:tplc="04090019" w:tentative="1">
      <w:start w:val="1"/>
      <w:numFmt w:val="lowerLetter"/>
      <w:lvlText w:val="%2)"/>
      <w:lvlJc w:val="left"/>
      <w:pPr>
        <w:ind w:left="4384" w:hanging="420"/>
      </w:pPr>
    </w:lvl>
    <w:lvl w:ilvl="2" w:tplc="0409001B" w:tentative="1">
      <w:start w:val="1"/>
      <w:numFmt w:val="lowerRoman"/>
      <w:lvlText w:val="%3."/>
      <w:lvlJc w:val="right"/>
      <w:pPr>
        <w:ind w:left="4804" w:hanging="420"/>
      </w:pPr>
    </w:lvl>
    <w:lvl w:ilvl="3" w:tplc="0409000F" w:tentative="1">
      <w:start w:val="1"/>
      <w:numFmt w:val="decimal"/>
      <w:lvlText w:val="%4."/>
      <w:lvlJc w:val="left"/>
      <w:pPr>
        <w:ind w:left="5224" w:hanging="420"/>
      </w:pPr>
    </w:lvl>
    <w:lvl w:ilvl="4" w:tplc="04090019" w:tentative="1">
      <w:start w:val="1"/>
      <w:numFmt w:val="lowerLetter"/>
      <w:lvlText w:val="%5)"/>
      <w:lvlJc w:val="left"/>
      <w:pPr>
        <w:ind w:left="5644" w:hanging="420"/>
      </w:pPr>
    </w:lvl>
    <w:lvl w:ilvl="5" w:tplc="0409001B" w:tentative="1">
      <w:start w:val="1"/>
      <w:numFmt w:val="lowerRoman"/>
      <w:lvlText w:val="%6."/>
      <w:lvlJc w:val="right"/>
      <w:pPr>
        <w:ind w:left="6064" w:hanging="420"/>
      </w:pPr>
    </w:lvl>
    <w:lvl w:ilvl="6" w:tplc="0409000F" w:tentative="1">
      <w:start w:val="1"/>
      <w:numFmt w:val="decimal"/>
      <w:lvlText w:val="%7."/>
      <w:lvlJc w:val="left"/>
      <w:pPr>
        <w:ind w:left="6484" w:hanging="420"/>
      </w:pPr>
    </w:lvl>
    <w:lvl w:ilvl="7" w:tplc="04090019" w:tentative="1">
      <w:start w:val="1"/>
      <w:numFmt w:val="lowerLetter"/>
      <w:lvlText w:val="%8)"/>
      <w:lvlJc w:val="left"/>
      <w:pPr>
        <w:ind w:left="6904" w:hanging="420"/>
      </w:pPr>
    </w:lvl>
    <w:lvl w:ilvl="8" w:tplc="0409001B" w:tentative="1">
      <w:start w:val="1"/>
      <w:numFmt w:val="lowerRoman"/>
      <w:lvlText w:val="%9."/>
      <w:lvlJc w:val="right"/>
      <w:pPr>
        <w:ind w:left="7324" w:hanging="420"/>
      </w:pPr>
    </w:lvl>
  </w:abstractNum>
  <w:abstractNum w:abstractNumId="7">
    <w:nsid w:val="68636DE5"/>
    <w:multiLevelType w:val="hybridMultilevel"/>
    <w:tmpl w:val="8E12C0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A9626AA"/>
    <w:multiLevelType w:val="hybridMultilevel"/>
    <w:tmpl w:val="0FDA5A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num w:numId="1">
    <w:abstractNumId w:val="3"/>
  </w:num>
  <w:num w:numId="2">
    <w:abstractNumId w:val="9"/>
  </w:num>
  <w:num w:numId="3">
    <w:abstractNumId w:val="6"/>
  </w:num>
  <w:num w:numId="4">
    <w:abstractNumId w:val="4"/>
  </w:num>
  <w:num w:numId="5">
    <w:abstractNumId w:val="5"/>
  </w:num>
  <w:num w:numId="6">
    <w:abstractNumId w:val="0"/>
  </w:num>
  <w:num w:numId="7">
    <w:abstractNumId w:val="8"/>
  </w:num>
  <w:num w:numId="8">
    <w:abstractNumId w:val="7"/>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62BD"/>
    <w:rsid w:val="0000364E"/>
    <w:rsid w:val="00021922"/>
    <w:rsid w:val="00044993"/>
    <w:rsid w:val="00070756"/>
    <w:rsid w:val="0007598E"/>
    <w:rsid w:val="00097A5B"/>
    <w:rsid w:val="00097D03"/>
    <w:rsid w:val="000C41DB"/>
    <w:rsid w:val="000D1E94"/>
    <w:rsid w:val="000F6D11"/>
    <w:rsid w:val="001007B9"/>
    <w:rsid w:val="001058D9"/>
    <w:rsid w:val="00112714"/>
    <w:rsid w:val="0011747F"/>
    <w:rsid w:val="001222B9"/>
    <w:rsid w:val="0016000E"/>
    <w:rsid w:val="00182984"/>
    <w:rsid w:val="001862BD"/>
    <w:rsid w:val="001910F1"/>
    <w:rsid w:val="001A1AE5"/>
    <w:rsid w:val="001C6EAE"/>
    <w:rsid w:val="001D7674"/>
    <w:rsid w:val="001E588B"/>
    <w:rsid w:val="00220589"/>
    <w:rsid w:val="00233782"/>
    <w:rsid w:val="002450A0"/>
    <w:rsid w:val="00246CF3"/>
    <w:rsid w:val="002753D6"/>
    <w:rsid w:val="00287DDE"/>
    <w:rsid w:val="002A4FE6"/>
    <w:rsid w:val="002C451E"/>
    <w:rsid w:val="002D75DF"/>
    <w:rsid w:val="002E5E9A"/>
    <w:rsid w:val="002F33AF"/>
    <w:rsid w:val="002F64EC"/>
    <w:rsid w:val="0030089C"/>
    <w:rsid w:val="0030141A"/>
    <w:rsid w:val="003101CF"/>
    <w:rsid w:val="0032238F"/>
    <w:rsid w:val="003524F7"/>
    <w:rsid w:val="00387D94"/>
    <w:rsid w:val="00391205"/>
    <w:rsid w:val="003A152F"/>
    <w:rsid w:val="003A268A"/>
    <w:rsid w:val="003B6982"/>
    <w:rsid w:val="003C2C6A"/>
    <w:rsid w:val="003E0527"/>
    <w:rsid w:val="003E14FC"/>
    <w:rsid w:val="003E3CA2"/>
    <w:rsid w:val="00410B97"/>
    <w:rsid w:val="00420A15"/>
    <w:rsid w:val="00454540"/>
    <w:rsid w:val="00465B10"/>
    <w:rsid w:val="00465D5B"/>
    <w:rsid w:val="00474CBD"/>
    <w:rsid w:val="00493F77"/>
    <w:rsid w:val="004944D7"/>
    <w:rsid w:val="004A353D"/>
    <w:rsid w:val="004B343E"/>
    <w:rsid w:val="004B5954"/>
    <w:rsid w:val="004C7AD0"/>
    <w:rsid w:val="004D1EF5"/>
    <w:rsid w:val="00513CBD"/>
    <w:rsid w:val="00530DAB"/>
    <w:rsid w:val="00532185"/>
    <w:rsid w:val="00540C5B"/>
    <w:rsid w:val="00545FBE"/>
    <w:rsid w:val="00552525"/>
    <w:rsid w:val="00556C97"/>
    <w:rsid w:val="005673C7"/>
    <w:rsid w:val="00576160"/>
    <w:rsid w:val="00591E70"/>
    <w:rsid w:val="005A1A36"/>
    <w:rsid w:val="005B3983"/>
    <w:rsid w:val="005B6118"/>
    <w:rsid w:val="005E7141"/>
    <w:rsid w:val="005E7367"/>
    <w:rsid w:val="00610C3E"/>
    <w:rsid w:val="00625BA8"/>
    <w:rsid w:val="0067409A"/>
    <w:rsid w:val="00675EFF"/>
    <w:rsid w:val="00680528"/>
    <w:rsid w:val="006B4FD9"/>
    <w:rsid w:val="006C7482"/>
    <w:rsid w:val="006D13FC"/>
    <w:rsid w:val="006E2231"/>
    <w:rsid w:val="0070660E"/>
    <w:rsid w:val="00713BEE"/>
    <w:rsid w:val="007164C5"/>
    <w:rsid w:val="0072035A"/>
    <w:rsid w:val="00746116"/>
    <w:rsid w:val="00770311"/>
    <w:rsid w:val="00785069"/>
    <w:rsid w:val="00794030"/>
    <w:rsid w:val="007B1A88"/>
    <w:rsid w:val="007C4C52"/>
    <w:rsid w:val="007C6F95"/>
    <w:rsid w:val="007E2539"/>
    <w:rsid w:val="007F2EDE"/>
    <w:rsid w:val="007F3222"/>
    <w:rsid w:val="00801797"/>
    <w:rsid w:val="008162B1"/>
    <w:rsid w:val="00823307"/>
    <w:rsid w:val="00834065"/>
    <w:rsid w:val="00840ED2"/>
    <w:rsid w:val="00865D65"/>
    <w:rsid w:val="00897FE3"/>
    <w:rsid w:val="008A33EC"/>
    <w:rsid w:val="008B70D3"/>
    <w:rsid w:val="008C1C88"/>
    <w:rsid w:val="008F1F27"/>
    <w:rsid w:val="00905F0F"/>
    <w:rsid w:val="00912CF6"/>
    <w:rsid w:val="009426F8"/>
    <w:rsid w:val="00944150"/>
    <w:rsid w:val="0094704F"/>
    <w:rsid w:val="00954FD2"/>
    <w:rsid w:val="009A1289"/>
    <w:rsid w:val="009B2A0C"/>
    <w:rsid w:val="009E628B"/>
    <w:rsid w:val="00A44347"/>
    <w:rsid w:val="00A448E9"/>
    <w:rsid w:val="00A61C5C"/>
    <w:rsid w:val="00A6338C"/>
    <w:rsid w:val="00A77B10"/>
    <w:rsid w:val="00A93F96"/>
    <w:rsid w:val="00A96200"/>
    <w:rsid w:val="00AE1B69"/>
    <w:rsid w:val="00AF266D"/>
    <w:rsid w:val="00AF711D"/>
    <w:rsid w:val="00B011B5"/>
    <w:rsid w:val="00B04C9C"/>
    <w:rsid w:val="00B1239D"/>
    <w:rsid w:val="00B25282"/>
    <w:rsid w:val="00B65EF8"/>
    <w:rsid w:val="00B722CD"/>
    <w:rsid w:val="00B72BB0"/>
    <w:rsid w:val="00BA0936"/>
    <w:rsid w:val="00BC002D"/>
    <w:rsid w:val="00BC0957"/>
    <w:rsid w:val="00BD21C7"/>
    <w:rsid w:val="00C1447A"/>
    <w:rsid w:val="00C22082"/>
    <w:rsid w:val="00C27575"/>
    <w:rsid w:val="00C92DC2"/>
    <w:rsid w:val="00CC0BF8"/>
    <w:rsid w:val="00CD53AF"/>
    <w:rsid w:val="00CF2EA2"/>
    <w:rsid w:val="00CF67AF"/>
    <w:rsid w:val="00D0221F"/>
    <w:rsid w:val="00D150E1"/>
    <w:rsid w:val="00D21709"/>
    <w:rsid w:val="00D368EA"/>
    <w:rsid w:val="00D44040"/>
    <w:rsid w:val="00D60974"/>
    <w:rsid w:val="00D76BC8"/>
    <w:rsid w:val="00D8717D"/>
    <w:rsid w:val="00DB24D7"/>
    <w:rsid w:val="00DB5F8B"/>
    <w:rsid w:val="00DB6801"/>
    <w:rsid w:val="00DC0DDD"/>
    <w:rsid w:val="00E02EBB"/>
    <w:rsid w:val="00E0509A"/>
    <w:rsid w:val="00E42DA7"/>
    <w:rsid w:val="00E949C2"/>
    <w:rsid w:val="00E94D9D"/>
    <w:rsid w:val="00EC41E1"/>
    <w:rsid w:val="00ED6D9C"/>
    <w:rsid w:val="00EF28F0"/>
    <w:rsid w:val="00F2038C"/>
    <w:rsid w:val="00F2708E"/>
    <w:rsid w:val="00F35019"/>
    <w:rsid w:val="00F437EE"/>
    <w:rsid w:val="00F7144C"/>
    <w:rsid w:val="00F72294"/>
    <w:rsid w:val="00F73AEB"/>
    <w:rsid w:val="00FB359B"/>
    <w:rsid w:val="00FD3F1F"/>
    <w:rsid w:val="00FF32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983"/>
    <w:pPr>
      <w:widowControl w:val="0"/>
      <w:spacing w:line="360" w:lineRule="auto"/>
      <w:ind w:firstLine="480"/>
      <w:jc w:val="both"/>
    </w:pPr>
    <w:rPr>
      <w:rFonts w:ascii="Times New Roman" w:eastAsia="宋体" w:hAnsi="Times New Roman" w:cs="Times New Roman"/>
      <w:color w:val="000000"/>
      <w:szCs w:val="24"/>
    </w:rPr>
  </w:style>
  <w:style w:type="paragraph" w:styleId="2">
    <w:name w:val="heading 2"/>
    <w:basedOn w:val="a"/>
    <w:next w:val="a0"/>
    <w:link w:val="2Char"/>
    <w:qFormat/>
    <w:rsid w:val="001862BD"/>
    <w:pPr>
      <w:keepNext/>
      <w:keepLines/>
      <w:spacing w:before="260" w:after="260"/>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862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1862BD"/>
    <w:rPr>
      <w:sz w:val="18"/>
      <w:szCs w:val="18"/>
    </w:rPr>
  </w:style>
  <w:style w:type="paragraph" w:styleId="a5">
    <w:name w:val="footer"/>
    <w:basedOn w:val="a"/>
    <w:link w:val="Char0"/>
    <w:uiPriority w:val="99"/>
    <w:unhideWhenUsed/>
    <w:rsid w:val="001862BD"/>
    <w:pPr>
      <w:tabs>
        <w:tab w:val="center" w:pos="4153"/>
        <w:tab w:val="right" w:pos="8306"/>
      </w:tabs>
      <w:snapToGrid w:val="0"/>
      <w:jc w:val="left"/>
    </w:pPr>
    <w:rPr>
      <w:sz w:val="18"/>
      <w:szCs w:val="18"/>
    </w:rPr>
  </w:style>
  <w:style w:type="character" w:customStyle="1" w:styleId="Char0">
    <w:name w:val="页脚 Char"/>
    <w:basedOn w:val="a1"/>
    <w:link w:val="a5"/>
    <w:uiPriority w:val="99"/>
    <w:rsid w:val="001862BD"/>
    <w:rPr>
      <w:sz w:val="18"/>
      <w:szCs w:val="18"/>
    </w:rPr>
  </w:style>
  <w:style w:type="character" w:customStyle="1" w:styleId="2Char">
    <w:name w:val="标题 2 Char"/>
    <w:basedOn w:val="a1"/>
    <w:link w:val="2"/>
    <w:rsid w:val="001862BD"/>
    <w:rPr>
      <w:rFonts w:ascii="Arial" w:eastAsia="宋体" w:hAnsi="Arial" w:cs="Arial"/>
      <w:b/>
      <w:bCs/>
      <w:sz w:val="24"/>
      <w:szCs w:val="28"/>
    </w:rPr>
  </w:style>
  <w:style w:type="character" w:styleId="a6">
    <w:name w:val="Strong"/>
    <w:uiPriority w:val="22"/>
    <w:qFormat/>
    <w:rsid w:val="001862BD"/>
    <w:rPr>
      <w:b/>
      <w:bCs/>
    </w:rPr>
  </w:style>
  <w:style w:type="paragraph" w:styleId="a7">
    <w:name w:val="List Paragraph"/>
    <w:basedOn w:val="a"/>
    <w:uiPriority w:val="34"/>
    <w:qFormat/>
    <w:rsid w:val="001862BD"/>
    <w:pPr>
      <w:ind w:firstLineChars="200" w:firstLine="420"/>
    </w:pPr>
  </w:style>
  <w:style w:type="paragraph" w:styleId="a0">
    <w:name w:val="Normal Indent"/>
    <w:basedOn w:val="a"/>
    <w:uiPriority w:val="99"/>
    <w:semiHidden/>
    <w:unhideWhenUsed/>
    <w:rsid w:val="001862BD"/>
    <w:pPr>
      <w:ind w:firstLineChars="200" w:firstLine="420"/>
    </w:pPr>
  </w:style>
  <w:style w:type="table" w:styleId="a8">
    <w:name w:val="Table Grid"/>
    <w:basedOn w:val="a2"/>
    <w:uiPriority w:val="59"/>
    <w:rsid w:val="00D76B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Char1"/>
    <w:uiPriority w:val="1"/>
    <w:qFormat/>
    <w:rsid w:val="00A448E9"/>
    <w:rPr>
      <w:kern w:val="0"/>
      <w:sz w:val="22"/>
    </w:rPr>
  </w:style>
  <w:style w:type="character" w:customStyle="1" w:styleId="Char1">
    <w:name w:val="无间隔 Char"/>
    <w:basedOn w:val="a1"/>
    <w:link w:val="a9"/>
    <w:uiPriority w:val="1"/>
    <w:rsid w:val="00A448E9"/>
    <w:rPr>
      <w:kern w:val="0"/>
      <w:sz w:val="22"/>
    </w:rPr>
  </w:style>
  <w:style w:type="character" w:styleId="aa">
    <w:name w:val="annotation reference"/>
    <w:basedOn w:val="a1"/>
    <w:uiPriority w:val="99"/>
    <w:semiHidden/>
    <w:unhideWhenUsed/>
    <w:rsid w:val="00823307"/>
    <w:rPr>
      <w:sz w:val="16"/>
      <w:szCs w:val="16"/>
    </w:rPr>
  </w:style>
  <w:style w:type="paragraph" w:styleId="ab">
    <w:name w:val="annotation text"/>
    <w:basedOn w:val="a"/>
    <w:link w:val="Char2"/>
    <w:uiPriority w:val="99"/>
    <w:semiHidden/>
    <w:unhideWhenUsed/>
    <w:rsid w:val="00823307"/>
    <w:pPr>
      <w:spacing w:line="240" w:lineRule="auto"/>
    </w:pPr>
    <w:rPr>
      <w:sz w:val="20"/>
      <w:szCs w:val="20"/>
    </w:rPr>
  </w:style>
  <w:style w:type="character" w:customStyle="1" w:styleId="Char2">
    <w:name w:val="批注文字 Char"/>
    <w:basedOn w:val="a1"/>
    <w:link w:val="ab"/>
    <w:uiPriority w:val="99"/>
    <w:semiHidden/>
    <w:rsid w:val="00823307"/>
    <w:rPr>
      <w:rFonts w:ascii="Times New Roman" w:eastAsia="宋体" w:hAnsi="Times New Roman" w:cs="Times New Roman"/>
      <w:color w:val="000000"/>
      <w:sz w:val="20"/>
      <w:szCs w:val="20"/>
    </w:rPr>
  </w:style>
  <w:style w:type="paragraph" w:styleId="ac">
    <w:name w:val="annotation subject"/>
    <w:basedOn w:val="ab"/>
    <w:next w:val="ab"/>
    <w:link w:val="Char3"/>
    <w:uiPriority w:val="99"/>
    <w:semiHidden/>
    <w:unhideWhenUsed/>
    <w:rsid w:val="00823307"/>
    <w:rPr>
      <w:b/>
      <w:bCs/>
    </w:rPr>
  </w:style>
  <w:style w:type="character" w:customStyle="1" w:styleId="Char3">
    <w:name w:val="批注主题 Char"/>
    <w:basedOn w:val="Char2"/>
    <w:link w:val="ac"/>
    <w:uiPriority w:val="99"/>
    <w:semiHidden/>
    <w:rsid w:val="00823307"/>
    <w:rPr>
      <w:rFonts w:ascii="Times New Roman" w:eastAsia="宋体" w:hAnsi="Times New Roman" w:cs="Times New Roman"/>
      <w:b/>
      <w:bCs/>
      <w:color w:val="000000"/>
      <w:sz w:val="20"/>
      <w:szCs w:val="20"/>
    </w:rPr>
  </w:style>
  <w:style w:type="paragraph" w:styleId="ad">
    <w:name w:val="Balloon Text"/>
    <w:basedOn w:val="a"/>
    <w:link w:val="Char4"/>
    <w:uiPriority w:val="99"/>
    <w:semiHidden/>
    <w:unhideWhenUsed/>
    <w:rsid w:val="00823307"/>
    <w:pPr>
      <w:spacing w:line="240" w:lineRule="auto"/>
    </w:pPr>
    <w:rPr>
      <w:rFonts w:ascii="宋体"/>
      <w:sz w:val="18"/>
      <w:szCs w:val="18"/>
    </w:rPr>
  </w:style>
  <w:style w:type="character" w:customStyle="1" w:styleId="Char4">
    <w:name w:val="批注框文本 Char"/>
    <w:basedOn w:val="a1"/>
    <w:link w:val="ad"/>
    <w:uiPriority w:val="99"/>
    <w:semiHidden/>
    <w:rsid w:val="00823307"/>
    <w:rPr>
      <w:rFonts w:ascii="宋体" w:eastAsia="宋体" w:hAnsi="Times New Roman"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17203">
      <w:bodyDiv w:val="1"/>
      <w:marLeft w:val="0"/>
      <w:marRight w:val="0"/>
      <w:marTop w:val="0"/>
      <w:marBottom w:val="0"/>
      <w:divBdr>
        <w:top w:val="none" w:sz="0" w:space="0" w:color="auto"/>
        <w:left w:val="none" w:sz="0" w:space="0" w:color="auto"/>
        <w:bottom w:val="none" w:sz="0" w:space="0" w:color="auto"/>
        <w:right w:val="none" w:sz="0" w:space="0" w:color="auto"/>
      </w:divBdr>
    </w:div>
    <w:div w:id="741370599">
      <w:bodyDiv w:val="1"/>
      <w:marLeft w:val="0"/>
      <w:marRight w:val="0"/>
      <w:marTop w:val="0"/>
      <w:marBottom w:val="0"/>
      <w:divBdr>
        <w:top w:val="none" w:sz="0" w:space="0" w:color="auto"/>
        <w:left w:val="none" w:sz="0" w:space="0" w:color="auto"/>
        <w:bottom w:val="none" w:sz="0" w:space="0" w:color="auto"/>
        <w:right w:val="none" w:sz="0" w:space="0" w:color="auto"/>
      </w:divBdr>
    </w:div>
    <w:div w:id="827404834">
      <w:bodyDiv w:val="1"/>
      <w:marLeft w:val="0"/>
      <w:marRight w:val="0"/>
      <w:marTop w:val="0"/>
      <w:marBottom w:val="0"/>
      <w:divBdr>
        <w:top w:val="none" w:sz="0" w:space="0" w:color="auto"/>
        <w:left w:val="none" w:sz="0" w:space="0" w:color="auto"/>
        <w:bottom w:val="none" w:sz="0" w:space="0" w:color="auto"/>
        <w:right w:val="none" w:sz="0" w:space="0" w:color="auto"/>
      </w:divBdr>
    </w:div>
    <w:div w:id="1072699207">
      <w:bodyDiv w:val="1"/>
      <w:marLeft w:val="0"/>
      <w:marRight w:val="0"/>
      <w:marTop w:val="0"/>
      <w:marBottom w:val="0"/>
      <w:divBdr>
        <w:top w:val="none" w:sz="0" w:space="0" w:color="auto"/>
        <w:left w:val="none" w:sz="0" w:space="0" w:color="auto"/>
        <w:bottom w:val="none" w:sz="0" w:space="0" w:color="auto"/>
        <w:right w:val="none" w:sz="0" w:space="0" w:color="auto"/>
      </w:divBdr>
    </w:div>
    <w:div w:id="1136872619">
      <w:bodyDiv w:val="1"/>
      <w:marLeft w:val="0"/>
      <w:marRight w:val="0"/>
      <w:marTop w:val="0"/>
      <w:marBottom w:val="0"/>
      <w:divBdr>
        <w:top w:val="none" w:sz="0" w:space="0" w:color="auto"/>
        <w:left w:val="none" w:sz="0" w:space="0" w:color="auto"/>
        <w:bottom w:val="none" w:sz="0" w:space="0" w:color="auto"/>
        <w:right w:val="none" w:sz="0" w:space="0" w:color="auto"/>
      </w:divBdr>
    </w:div>
    <w:div w:id="1160849921">
      <w:bodyDiv w:val="1"/>
      <w:marLeft w:val="0"/>
      <w:marRight w:val="0"/>
      <w:marTop w:val="0"/>
      <w:marBottom w:val="0"/>
      <w:divBdr>
        <w:top w:val="none" w:sz="0" w:space="0" w:color="auto"/>
        <w:left w:val="none" w:sz="0" w:space="0" w:color="auto"/>
        <w:bottom w:val="none" w:sz="0" w:space="0" w:color="auto"/>
        <w:right w:val="none" w:sz="0" w:space="0" w:color="auto"/>
      </w:divBdr>
    </w:div>
    <w:div w:id="1572472016">
      <w:bodyDiv w:val="1"/>
      <w:marLeft w:val="0"/>
      <w:marRight w:val="0"/>
      <w:marTop w:val="0"/>
      <w:marBottom w:val="0"/>
      <w:divBdr>
        <w:top w:val="none" w:sz="0" w:space="0" w:color="auto"/>
        <w:left w:val="none" w:sz="0" w:space="0" w:color="auto"/>
        <w:bottom w:val="none" w:sz="0" w:space="0" w:color="auto"/>
        <w:right w:val="none" w:sz="0" w:space="0" w:color="auto"/>
      </w:divBdr>
    </w:div>
    <w:div w:id="1989357198">
      <w:bodyDiv w:val="1"/>
      <w:marLeft w:val="0"/>
      <w:marRight w:val="0"/>
      <w:marTop w:val="0"/>
      <w:marBottom w:val="0"/>
      <w:divBdr>
        <w:top w:val="none" w:sz="0" w:space="0" w:color="auto"/>
        <w:left w:val="none" w:sz="0" w:space="0" w:color="auto"/>
        <w:bottom w:val="none" w:sz="0" w:space="0" w:color="auto"/>
        <w:right w:val="none" w:sz="0" w:space="0" w:color="auto"/>
      </w:divBdr>
    </w:div>
    <w:div w:id="21396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0C608-1918-4BD0-87B4-3340CCD7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977</Words>
  <Characters>5575</Characters>
  <Application>Microsoft Office Word</Application>
  <DocSecurity>4</DocSecurity>
  <Lines>46</Lines>
  <Paragraphs>13</Paragraphs>
  <ScaleCrop>false</ScaleCrop>
  <Company>Lenovo</Company>
  <LinksUpToDate>false</LinksUpToDate>
  <CharactersWithSpaces>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dc:creator>
  <cp:lastModifiedBy>cnstock</cp:lastModifiedBy>
  <cp:revision>2</cp:revision>
  <cp:lastPrinted>2016-04-27T09:18:00Z</cp:lastPrinted>
  <dcterms:created xsi:type="dcterms:W3CDTF">2016-10-20T16:26:00Z</dcterms:created>
  <dcterms:modified xsi:type="dcterms:W3CDTF">2016-10-20T16:26:00Z</dcterms:modified>
</cp:coreProperties>
</file>